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5FB36B">
      <w:pPr>
        <w:ind w:firstLine="3654" w:firstLineChars="1300"/>
        <w:rPr>
          <w:rFonts w:ascii="宋体" w:hAnsi="宋体" w:eastAsia="宋体" w:cs="Times New Roman"/>
          <w:color w:val="FF0000"/>
          <w:szCs w:val="21"/>
        </w:rPr>
      </w:pPr>
      <w:bookmarkStart w:id="0" w:name="_Hlk71456902"/>
      <w:r>
        <w:rPr>
          <w:rFonts w:hint="eastAsia" w:ascii="宋体" w:hAnsi="宋体" w:eastAsia="黑体" w:cs="Times New Roman"/>
          <w:b/>
          <w:bCs/>
          <w:color w:val="FF0000"/>
          <w:kern w:val="44"/>
          <w:sz w:val="28"/>
          <w:szCs w:val="44"/>
        </w:rPr>
        <w:t>特别警示条款</w:t>
      </w:r>
    </w:p>
    <w:p w14:paraId="7C3221C2">
      <w:pPr>
        <w:pBdr>
          <w:left w:val="none" w:color="auto" w:sz="0" w:space="4"/>
          <w:bottom w:val="none" w:color="auto" w:sz="0" w:space="1"/>
          <w:right w:val="none" w:color="auto" w:sz="0" w:space="4"/>
        </w:pBdr>
        <w:spacing w:after="240" w:afterLines="100" w:line="400" w:lineRule="exact"/>
        <w:ind w:firstLine="422" w:firstLineChars="200"/>
        <w:rPr>
          <w:rFonts w:ascii="宋体" w:hAnsi="宋体" w:eastAsia="宋体" w:cs="宋体"/>
          <w:b/>
          <w:bCs/>
          <w:color w:val="FF0000"/>
          <w:szCs w:val="21"/>
          <w:highlight w:val="yellow"/>
        </w:rPr>
      </w:pPr>
      <w:r>
        <w:rPr>
          <w:rFonts w:hint="eastAsia" w:ascii="宋体" w:hAnsi="宋体" w:eastAsia="宋体" w:cs="宋体"/>
          <w:b/>
          <w:bCs/>
          <w:color w:val="FF0000"/>
          <w:szCs w:val="21"/>
          <w:highlight w:val="yellow"/>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7711"/>
      </w:tblGrid>
      <w:tr w14:paraId="3C4F5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tcBorders>
              <w:tl2br w:val="nil"/>
              <w:tr2bl w:val="nil"/>
            </w:tcBorders>
            <w:vAlign w:val="center"/>
          </w:tcPr>
          <w:p w14:paraId="5E87047D">
            <w:pPr>
              <w:pBdr>
                <w:top w:val="none" w:color="auto" w:sz="0" w:space="1"/>
                <w:left w:val="none" w:color="auto" w:sz="0" w:space="4"/>
                <w:bottom w:val="none" w:color="auto" w:sz="0" w:space="1"/>
                <w:right w:val="none" w:color="auto" w:sz="0" w:space="4"/>
              </w:pBdr>
              <w:spacing w:line="400" w:lineRule="exact"/>
              <w:jc w:val="center"/>
              <w:rPr>
                <w:rFonts w:ascii="宋体" w:hAnsi="宋体" w:eastAsia="宋体" w:cs="宋体"/>
                <w:color w:val="FF0000"/>
                <w:szCs w:val="21"/>
              </w:rPr>
            </w:pPr>
            <w:r>
              <w:rPr>
                <w:rFonts w:hint="eastAsia" w:ascii="宋体" w:hAnsi="宋体" w:eastAsia="宋体" w:cs="宋体"/>
                <w:color w:val="FF0000"/>
                <w:szCs w:val="21"/>
              </w:rPr>
              <w:t>序号</w:t>
            </w:r>
          </w:p>
        </w:tc>
        <w:tc>
          <w:tcPr>
            <w:tcW w:w="7711" w:type="dxa"/>
            <w:tcBorders>
              <w:tl2br w:val="nil"/>
              <w:tr2bl w:val="nil"/>
            </w:tcBorders>
            <w:vAlign w:val="center"/>
          </w:tcPr>
          <w:p w14:paraId="79D1E8EB">
            <w:pPr>
              <w:pBdr>
                <w:top w:val="none" w:color="auto" w:sz="0" w:space="1"/>
                <w:left w:val="none" w:color="auto" w:sz="0" w:space="4"/>
                <w:bottom w:val="none" w:color="auto" w:sz="0" w:space="1"/>
                <w:right w:val="none" w:color="auto" w:sz="0" w:space="4"/>
              </w:pBdr>
              <w:spacing w:line="400" w:lineRule="exact"/>
              <w:jc w:val="center"/>
              <w:rPr>
                <w:rFonts w:ascii="宋体" w:hAnsi="宋体" w:eastAsia="宋体" w:cs="宋体"/>
                <w:color w:val="FF0000"/>
                <w:szCs w:val="21"/>
              </w:rPr>
            </w:pPr>
            <w:r>
              <w:rPr>
                <w:rFonts w:hint="eastAsia" w:ascii="宋体" w:hAnsi="宋体" w:eastAsia="宋体" w:cs="宋体"/>
                <w:b/>
                <w:bCs/>
                <w:color w:val="FF0000"/>
                <w:szCs w:val="21"/>
              </w:rPr>
              <w:t>供应商参与投标禁止情形</w:t>
            </w:r>
          </w:p>
        </w:tc>
      </w:tr>
      <w:tr w14:paraId="0EADF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Borders>
              <w:tl2br w:val="nil"/>
              <w:tr2bl w:val="nil"/>
            </w:tcBorders>
            <w:vAlign w:val="center"/>
          </w:tcPr>
          <w:p w14:paraId="06BC8572">
            <w:pPr>
              <w:pBdr>
                <w:top w:val="none" w:color="auto" w:sz="0" w:space="1"/>
                <w:left w:val="none" w:color="auto" w:sz="0" w:space="4"/>
                <w:bottom w:val="none" w:color="auto" w:sz="0" w:space="1"/>
                <w:right w:val="none" w:color="auto" w:sz="0" w:space="4"/>
              </w:pBdr>
              <w:spacing w:line="400" w:lineRule="exact"/>
              <w:jc w:val="center"/>
              <w:rPr>
                <w:rFonts w:ascii="宋体" w:hAnsi="宋体" w:eastAsia="宋体" w:cs="宋体"/>
                <w:color w:val="FF0000"/>
                <w:szCs w:val="21"/>
              </w:rPr>
            </w:pPr>
            <w:r>
              <w:rPr>
                <w:rFonts w:hint="eastAsia" w:ascii="宋体" w:hAnsi="宋体" w:eastAsia="宋体" w:cs="宋体"/>
                <w:color w:val="FF0000"/>
                <w:szCs w:val="21"/>
              </w:rPr>
              <w:t>1</w:t>
            </w:r>
          </w:p>
        </w:tc>
        <w:tc>
          <w:tcPr>
            <w:tcW w:w="7711" w:type="dxa"/>
            <w:tcBorders>
              <w:tl2br w:val="nil"/>
              <w:tr2bl w:val="nil"/>
            </w:tcBorders>
            <w:vAlign w:val="center"/>
          </w:tcPr>
          <w:p w14:paraId="763A58FB">
            <w:pPr>
              <w:pBdr>
                <w:top w:val="none" w:color="auto" w:sz="0" w:space="1"/>
                <w:left w:val="none" w:color="auto" w:sz="0" w:space="4"/>
                <w:bottom w:val="none" w:color="auto" w:sz="0" w:space="1"/>
                <w:right w:val="none" w:color="auto" w:sz="0" w:space="4"/>
              </w:pBdr>
              <w:spacing w:line="400" w:lineRule="exact"/>
              <w:jc w:val="left"/>
              <w:rPr>
                <w:rFonts w:ascii="宋体" w:hAnsi="宋体" w:eastAsia="宋体" w:cs="宋体"/>
                <w:color w:val="FF0000"/>
                <w:szCs w:val="21"/>
              </w:rPr>
            </w:pPr>
            <w:r>
              <w:rPr>
                <w:rFonts w:hint="eastAsia" w:ascii="宋体" w:hAnsi="宋体" w:eastAsia="宋体" w:cs="宋体"/>
                <w:color w:val="FF0000"/>
                <w:szCs w:val="21"/>
              </w:rPr>
              <w:t>与其他投标供应商的法定代表人、主要经营负责人、投标授权代表人、项目负责人、主要技术人员为</w:t>
            </w:r>
            <w:r>
              <w:rPr>
                <w:rFonts w:hint="eastAsia" w:ascii="宋体" w:hAnsi="宋体" w:eastAsia="宋体" w:cs="宋体"/>
                <w:b/>
                <w:bCs/>
                <w:color w:val="FF0000"/>
                <w:szCs w:val="21"/>
              </w:rPr>
              <w:t>同一人、属同一单位或者在同一单位缴纳社会保险</w:t>
            </w:r>
            <w:r>
              <w:rPr>
                <w:rFonts w:hint="eastAsia" w:ascii="宋体" w:hAnsi="宋体" w:eastAsia="宋体" w:cs="宋体"/>
                <w:color w:val="FF0000"/>
                <w:szCs w:val="21"/>
              </w:rPr>
              <w:t>。</w:t>
            </w:r>
          </w:p>
        </w:tc>
      </w:tr>
      <w:tr w14:paraId="58CD4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vAlign w:val="center"/>
          </w:tcPr>
          <w:p w14:paraId="0771F982">
            <w:pPr>
              <w:pBdr>
                <w:top w:val="none" w:color="auto" w:sz="0" w:space="1"/>
                <w:left w:val="none" w:color="auto" w:sz="0" w:space="4"/>
                <w:bottom w:val="none" w:color="auto" w:sz="0" w:space="1"/>
                <w:right w:val="none" w:color="auto" w:sz="0" w:space="4"/>
              </w:pBdr>
              <w:spacing w:line="400" w:lineRule="exact"/>
              <w:jc w:val="center"/>
              <w:rPr>
                <w:rFonts w:ascii="宋体" w:hAnsi="宋体" w:eastAsia="宋体" w:cs="宋体"/>
                <w:color w:val="FF0000"/>
                <w:szCs w:val="21"/>
              </w:rPr>
            </w:pPr>
            <w:r>
              <w:rPr>
                <w:rFonts w:hint="eastAsia" w:ascii="宋体" w:hAnsi="宋体" w:eastAsia="宋体" w:cs="宋体"/>
                <w:color w:val="FF0000"/>
                <w:szCs w:val="21"/>
              </w:rPr>
              <w:t>2</w:t>
            </w:r>
          </w:p>
        </w:tc>
        <w:tc>
          <w:tcPr>
            <w:tcW w:w="7711" w:type="dxa"/>
            <w:tcBorders>
              <w:tl2br w:val="nil"/>
              <w:tr2bl w:val="nil"/>
            </w:tcBorders>
            <w:vAlign w:val="center"/>
          </w:tcPr>
          <w:p w14:paraId="07F045E3">
            <w:pPr>
              <w:pBdr>
                <w:top w:val="none" w:color="auto" w:sz="0" w:space="1"/>
                <w:left w:val="none" w:color="auto" w:sz="0" w:space="4"/>
                <w:bottom w:val="none" w:color="auto" w:sz="0" w:space="1"/>
                <w:right w:val="none" w:color="auto" w:sz="0" w:space="4"/>
              </w:pBdr>
              <w:spacing w:line="400" w:lineRule="exact"/>
              <w:jc w:val="left"/>
              <w:rPr>
                <w:rFonts w:ascii="宋体" w:hAnsi="宋体" w:eastAsia="宋体" w:cs="宋体"/>
                <w:color w:val="FF0000"/>
                <w:szCs w:val="21"/>
              </w:rPr>
            </w:pPr>
            <w:r>
              <w:rPr>
                <w:rFonts w:hint="eastAsia" w:ascii="宋体" w:hAnsi="宋体" w:eastAsia="宋体" w:cs="宋体"/>
                <w:color w:val="FF0000"/>
                <w:szCs w:val="21"/>
              </w:rPr>
              <w:t>参与本项目政府采购活动时，与其他投标供应商存在单位负责人为</w:t>
            </w:r>
            <w:r>
              <w:rPr>
                <w:rFonts w:hint="eastAsia" w:ascii="宋体" w:hAnsi="宋体" w:eastAsia="宋体" w:cs="宋体"/>
                <w:b/>
                <w:bCs/>
                <w:color w:val="FF0000"/>
                <w:szCs w:val="21"/>
              </w:rPr>
              <w:t>同一人或直接控股、管理关系</w:t>
            </w:r>
            <w:r>
              <w:rPr>
                <w:rFonts w:hint="eastAsia" w:ascii="宋体" w:hAnsi="宋体" w:eastAsia="宋体" w:cs="宋体"/>
                <w:color w:val="FF0000"/>
                <w:szCs w:val="21"/>
              </w:rPr>
              <w:t>。</w:t>
            </w:r>
          </w:p>
        </w:tc>
      </w:tr>
      <w:tr w14:paraId="65E12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Borders>
              <w:tl2br w:val="nil"/>
              <w:tr2bl w:val="nil"/>
            </w:tcBorders>
            <w:vAlign w:val="center"/>
          </w:tcPr>
          <w:p w14:paraId="196D62CB">
            <w:pPr>
              <w:pBdr>
                <w:top w:val="none" w:color="auto" w:sz="0" w:space="1"/>
                <w:left w:val="none" w:color="auto" w:sz="0" w:space="4"/>
                <w:bottom w:val="none" w:color="auto" w:sz="0" w:space="1"/>
                <w:right w:val="none" w:color="auto" w:sz="0" w:space="4"/>
              </w:pBdr>
              <w:spacing w:line="400" w:lineRule="exact"/>
              <w:jc w:val="center"/>
              <w:rPr>
                <w:rFonts w:ascii="宋体" w:hAnsi="宋体" w:eastAsia="宋体" w:cs="宋体"/>
                <w:color w:val="FF0000"/>
                <w:szCs w:val="21"/>
              </w:rPr>
            </w:pPr>
            <w:r>
              <w:rPr>
                <w:rFonts w:hint="eastAsia" w:ascii="宋体" w:hAnsi="宋体" w:eastAsia="宋体" w:cs="宋体"/>
                <w:color w:val="FF0000"/>
                <w:szCs w:val="21"/>
              </w:rPr>
              <w:t>3</w:t>
            </w:r>
          </w:p>
        </w:tc>
        <w:tc>
          <w:tcPr>
            <w:tcW w:w="7711" w:type="dxa"/>
            <w:tcBorders>
              <w:tl2br w:val="nil"/>
              <w:tr2bl w:val="nil"/>
            </w:tcBorders>
            <w:vAlign w:val="center"/>
          </w:tcPr>
          <w:p w14:paraId="5F84AB70">
            <w:pPr>
              <w:pBdr>
                <w:top w:val="none" w:color="auto" w:sz="0" w:space="1"/>
                <w:left w:val="none" w:color="auto" w:sz="0" w:space="4"/>
                <w:bottom w:val="none" w:color="auto" w:sz="0" w:space="1"/>
                <w:right w:val="none" w:color="auto" w:sz="0" w:space="4"/>
              </w:pBdr>
              <w:spacing w:line="400" w:lineRule="exact"/>
              <w:jc w:val="left"/>
              <w:rPr>
                <w:rFonts w:ascii="宋体" w:hAnsi="宋体" w:eastAsia="宋体" w:cs="宋体"/>
                <w:color w:val="FF0000"/>
                <w:szCs w:val="21"/>
              </w:rPr>
            </w:pPr>
            <w:r>
              <w:rPr>
                <w:rFonts w:hint="eastAsia" w:ascii="宋体" w:hAnsi="宋体" w:eastAsia="宋体" w:cs="宋体"/>
                <w:color w:val="FF0000"/>
                <w:szCs w:val="21"/>
              </w:rPr>
              <w:t>与其他投标供应商的投标文件或部分投标文件</w:t>
            </w:r>
            <w:r>
              <w:rPr>
                <w:rFonts w:hint="eastAsia" w:ascii="宋体" w:hAnsi="宋体" w:eastAsia="宋体" w:cs="宋体"/>
                <w:b/>
                <w:bCs/>
                <w:color w:val="FF0000"/>
                <w:szCs w:val="21"/>
              </w:rPr>
              <w:t>相互混装或存在非正常一致</w:t>
            </w:r>
            <w:r>
              <w:rPr>
                <w:rFonts w:hint="eastAsia" w:ascii="宋体" w:hAnsi="宋体" w:eastAsia="宋体" w:cs="宋体"/>
                <w:color w:val="FF0000"/>
                <w:szCs w:val="21"/>
              </w:rPr>
              <w:t>。</w:t>
            </w:r>
          </w:p>
        </w:tc>
      </w:tr>
      <w:tr w14:paraId="51A68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11" w:type="dxa"/>
            <w:tcBorders>
              <w:tl2br w:val="nil"/>
              <w:tr2bl w:val="nil"/>
            </w:tcBorders>
            <w:vAlign w:val="center"/>
          </w:tcPr>
          <w:p w14:paraId="7A458FBD">
            <w:pPr>
              <w:pBdr>
                <w:top w:val="none" w:color="auto" w:sz="0" w:space="1"/>
                <w:left w:val="none" w:color="auto" w:sz="0" w:space="4"/>
                <w:bottom w:val="none" w:color="auto" w:sz="0" w:space="1"/>
                <w:right w:val="none" w:color="auto" w:sz="0" w:space="4"/>
              </w:pBdr>
              <w:spacing w:line="400" w:lineRule="exact"/>
              <w:jc w:val="center"/>
              <w:rPr>
                <w:rFonts w:ascii="宋体" w:hAnsi="宋体" w:eastAsia="宋体" w:cs="宋体"/>
                <w:color w:val="FF0000"/>
                <w:szCs w:val="21"/>
              </w:rPr>
            </w:pPr>
            <w:r>
              <w:rPr>
                <w:rFonts w:hint="eastAsia" w:ascii="宋体" w:hAnsi="宋体" w:eastAsia="宋体" w:cs="宋体"/>
                <w:color w:val="FF0000"/>
                <w:szCs w:val="21"/>
              </w:rPr>
              <w:t>4</w:t>
            </w:r>
          </w:p>
        </w:tc>
        <w:tc>
          <w:tcPr>
            <w:tcW w:w="7711" w:type="dxa"/>
            <w:tcBorders>
              <w:tl2br w:val="nil"/>
              <w:tr2bl w:val="nil"/>
            </w:tcBorders>
            <w:vAlign w:val="center"/>
          </w:tcPr>
          <w:p w14:paraId="581C88E5">
            <w:pPr>
              <w:pBdr>
                <w:top w:val="none" w:color="auto" w:sz="0" w:space="1"/>
                <w:left w:val="none" w:color="auto" w:sz="0" w:space="4"/>
                <w:bottom w:val="none" w:color="auto" w:sz="0" w:space="1"/>
                <w:right w:val="none" w:color="auto" w:sz="0" w:space="4"/>
              </w:pBdr>
              <w:spacing w:line="400" w:lineRule="exact"/>
              <w:jc w:val="left"/>
              <w:rPr>
                <w:rFonts w:ascii="宋体" w:hAnsi="宋体" w:eastAsia="宋体" w:cs="宋体"/>
                <w:color w:val="FF0000"/>
                <w:szCs w:val="21"/>
              </w:rPr>
            </w:pPr>
            <w:r>
              <w:rPr>
                <w:rFonts w:hint="eastAsia" w:ascii="宋体" w:hAnsi="宋体" w:eastAsia="宋体" w:cs="宋体"/>
                <w:color w:val="FF0000"/>
                <w:szCs w:val="21"/>
              </w:rPr>
              <w:t>与其他投标供应商的投标文件由</w:t>
            </w:r>
            <w:r>
              <w:rPr>
                <w:rFonts w:hint="eastAsia" w:ascii="宋体" w:hAnsi="宋体" w:eastAsia="宋体" w:cs="宋体"/>
                <w:b/>
                <w:bCs/>
                <w:color w:val="FF0000"/>
                <w:szCs w:val="21"/>
              </w:rPr>
              <w:t>同一单位或者同一人编制</w:t>
            </w:r>
            <w:r>
              <w:rPr>
                <w:rFonts w:hint="eastAsia" w:ascii="宋体" w:hAnsi="宋体" w:eastAsia="宋体" w:cs="宋体"/>
                <w:color w:val="FF0000"/>
                <w:szCs w:val="21"/>
              </w:rPr>
              <w:t>，或者使用</w:t>
            </w:r>
            <w:r>
              <w:rPr>
                <w:rFonts w:hint="eastAsia" w:ascii="宋体" w:hAnsi="宋体" w:eastAsia="宋体" w:cs="宋体"/>
                <w:b/>
                <w:bCs/>
                <w:color w:val="FF0000"/>
                <w:szCs w:val="21"/>
              </w:rPr>
              <w:t>同一设备编制</w:t>
            </w:r>
            <w:r>
              <w:rPr>
                <w:rFonts w:hint="eastAsia" w:ascii="宋体" w:hAnsi="宋体" w:eastAsia="宋体" w:cs="宋体"/>
                <w:color w:val="FF0000"/>
                <w:szCs w:val="21"/>
              </w:rPr>
              <w:t>（“文件制作机器码”“文件创建标识码”一致）。</w:t>
            </w:r>
          </w:p>
        </w:tc>
      </w:tr>
      <w:tr w14:paraId="4D2E5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811" w:type="dxa"/>
            <w:tcBorders>
              <w:tl2br w:val="nil"/>
              <w:tr2bl w:val="nil"/>
            </w:tcBorders>
            <w:vAlign w:val="center"/>
          </w:tcPr>
          <w:p w14:paraId="70B26E1D">
            <w:pPr>
              <w:pBdr>
                <w:top w:val="none" w:color="auto" w:sz="0" w:space="1"/>
                <w:left w:val="none" w:color="auto" w:sz="0" w:space="4"/>
                <w:bottom w:val="none" w:color="auto" w:sz="0" w:space="1"/>
                <w:right w:val="none" w:color="auto" w:sz="0" w:space="4"/>
              </w:pBdr>
              <w:spacing w:line="400" w:lineRule="exact"/>
              <w:jc w:val="center"/>
              <w:rPr>
                <w:rFonts w:ascii="宋体" w:hAnsi="宋体" w:eastAsia="宋体" w:cs="宋体"/>
                <w:color w:val="FF0000"/>
                <w:szCs w:val="21"/>
              </w:rPr>
            </w:pPr>
            <w:r>
              <w:rPr>
                <w:rFonts w:hint="eastAsia" w:ascii="宋体" w:hAnsi="宋体" w:eastAsia="宋体" w:cs="宋体"/>
                <w:color w:val="FF0000"/>
                <w:szCs w:val="21"/>
              </w:rPr>
              <w:t>5</w:t>
            </w:r>
          </w:p>
        </w:tc>
        <w:tc>
          <w:tcPr>
            <w:tcW w:w="7711" w:type="dxa"/>
            <w:tcBorders>
              <w:tl2br w:val="nil"/>
              <w:tr2bl w:val="nil"/>
            </w:tcBorders>
            <w:vAlign w:val="center"/>
          </w:tcPr>
          <w:p w14:paraId="6131C1FB">
            <w:pPr>
              <w:pBdr>
                <w:top w:val="none" w:color="auto" w:sz="0" w:space="1"/>
                <w:left w:val="none" w:color="auto" w:sz="0" w:space="4"/>
                <w:bottom w:val="none" w:color="auto" w:sz="0" w:space="1"/>
                <w:right w:val="none" w:color="auto" w:sz="0" w:space="4"/>
              </w:pBdr>
              <w:spacing w:line="400" w:lineRule="exact"/>
              <w:jc w:val="left"/>
              <w:rPr>
                <w:rFonts w:ascii="宋体" w:hAnsi="宋体" w:eastAsia="宋体" w:cs="宋体"/>
                <w:color w:val="FF0000"/>
                <w:szCs w:val="21"/>
              </w:rPr>
            </w:pPr>
            <w:r>
              <w:rPr>
                <w:rFonts w:hint="eastAsia" w:ascii="宋体" w:hAnsi="宋体" w:eastAsia="宋体" w:cs="宋体"/>
                <w:color w:val="FF0000"/>
                <w:szCs w:val="21"/>
              </w:rPr>
              <w:t>提供</w:t>
            </w:r>
            <w:r>
              <w:rPr>
                <w:rFonts w:hint="eastAsia" w:ascii="宋体" w:hAnsi="宋体" w:eastAsia="宋体" w:cs="宋体"/>
                <w:b/>
                <w:bCs/>
                <w:color w:val="FF0000"/>
                <w:szCs w:val="21"/>
              </w:rPr>
              <w:t>未经出具机构核实</w:t>
            </w:r>
            <w:r>
              <w:rPr>
                <w:rFonts w:hint="eastAsia" w:ascii="宋体" w:hAnsi="宋体" w:eastAsia="宋体" w:cs="宋体"/>
                <w:color w:val="FF0000"/>
                <w:szCs w:val="21"/>
              </w:rPr>
              <w:t>的虚假的检验检测报告、业绩材料、社保缴纳证明、学历学位证书、职称认证证书等材料。</w:t>
            </w:r>
          </w:p>
        </w:tc>
      </w:tr>
      <w:tr w14:paraId="37812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11" w:type="dxa"/>
            <w:tcBorders>
              <w:tl2br w:val="nil"/>
              <w:tr2bl w:val="nil"/>
            </w:tcBorders>
            <w:vAlign w:val="center"/>
          </w:tcPr>
          <w:p w14:paraId="27271435">
            <w:pPr>
              <w:pBdr>
                <w:top w:val="none" w:color="auto" w:sz="0" w:space="1"/>
                <w:left w:val="none" w:color="auto" w:sz="0" w:space="4"/>
                <w:bottom w:val="none" w:color="auto" w:sz="0" w:space="1"/>
                <w:right w:val="none" w:color="auto" w:sz="0" w:space="4"/>
              </w:pBdr>
              <w:spacing w:line="400" w:lineRule="exact"/>
              <w:jc w:val="center"/>
              <w:rPr>
                <w:rFonts w:ascii="宋体" w:hAnsi="宋体" w:eastAsia="宋体" w:cs="宋体"/>
                <w:color w:val="FF0000"/>
                <w:szCs w:val="21"/>
              </w:rPr>
            </w:pPr>
            <w:r>
              <w:rPr>
                <w:rFonts w:hint="eastAsia" w:ascii="宋体" w:hAnsi="宋体" w:eastAsia="宋体" w:cs="宋体"/>
                <w:color w:val="FF0000"/>
                <w:szCs w:val="21"/>
              </w:rPr>
              <w:t>6</w:t>
            </w:r>
          </w:p>
        </w:tc>
        <w:tc>
          <w:tcPr>
            <w:tcW w:w="7711" w:type="dxa"/>
            <w:tcBorders>
              <w:tl2br w:val="nil"/>
              <w:tr2bl w:val="nil"/>
            </w:tcBorders>
            <w:vAlign w:val="center"/>
          </w:tcPr>
          <w:p w14:paraId="07BCD125">
            <w:pPr>
              <w:pBdr>
                <w:top w:val="none" w:color="auto" w:sz="0" w:space="1"/>
                <w:left w:val="none" w:color="auto" w:sz="0" w:space="4"/>
                <w:bottom w:val="none" w:color="auto" w:sz="0" w:space="1"/>
                <w:right w:val="none" w:color="auto" w:sz="0" w:space="4"/>
              </w:pBdr>
              <w:spacing w:line="400" w:lineRule="exact"/>
              <w:jc w:val="left"/>
              <w:rPr>
                <w:rFonts w:ascii="宋体" w:hAnsi="宋体" w:eastAsia="宋体" w:cs="宋体"/>
                <w:color w:val="FF0000"/>
                <w:szCs w:val="21"/>
              </w:rPr>
            </w:pPr>
            <w:r>
              <w:rPr>
                <w:rFonts w:hint="eastAsia" w:ascii="宋体" w:hAnsi="宋体" w:eastAsia="宋体" w:cs="宋体"/>
                <w:color w:val="FF0000"/>
                <w:szCs w:val="21"/>
              </w:rPr>
              <w:t>擅自将投标密钥或电子营业执照出借他人使用或未妥善保管。</w:t>
            </w:r>
          </w:p>
        </w:tc>
      </w:tr>
    </w:tbl>
    <w:p w14:paraId="78308B51">
      <w:pPr>
        <w:pBdr>
          <w:top w:val="none" w:color="auto" w:sz="0" w:space="1"/>
          <w:left w:val="none" w:color="auto" w:sz="0" w:space="4"/>
          <w:bottom w:val="none" w:color="auto" w:sz="0" w:space="1"/>
          <w:right w:val="none" w:color="auto" w:sz="0" w:space="4"/>
        </w:pBdr>
        <w:ind w:firstLine="400" w:firstLineChars="200"/>
        <w:rPr>
          <w:rFonts w:ascii="宋体" w:hAnsi="宋体" w:eastAsia="宋体" w:cs="Times New Roman"/>
          <w:color w:val="FF0000"/>
          <w:sz w:val="20"/>
          <w:szCs w:val="20"/>
        </w:rPr>
      </w:pPr>
    </w:p>
    <w:p w14:paraId="07E1C20C">
      <w:pPr>
        <w:pBdr>
          <w:top w:val="none" w:color="auto" w:sz="0" w:space="1"/>
          <w:left w:val="none" w:color="auto" w:sz="0" w:space="4"/>
          <w:bottom w:val="none" w:color="auto" w:sz="0" w:space="1"/>
          <w:right w:val="none" w:color="auto" w:sz="0" w:space="4"/>
        </w:pBdr>
        <w:ind w:firstLine="400" w:firstLineChars="200"/>
        <w:rPr>
          <w:rFonts w:ascii="宋体" w:hAnsi="宋体" w:eastAsia="宋体" w:cs="Times New Roman"/>
          <w:color w:val="FF0000"/>
          <w:sz w:val="20"/>
          <w:szCs w:val="20"/>
        </w:rPr>
      </w:pPr>
      <w:r>
        <w:rPr>
          <w:rFonts w:hint="eastAsia" w:ascii="宋体" w:hAnsi="宋体" w:eastAsia="宋体" w:cs="Times New Roman"/>
          <w:color w:val="FF0000"/>
          <w:sz w:val="20"/>
          <w:szCs w:val="20"/>
        </w:rPr>
        <w:t>一、</w:t>
      </w:r>
      <w:r>
        <w:rPr>
          <w:rFonts w:hint="eastAsia" w:ascii="宋体" w:hAnsi="宋体" w:eastAsia="宋体" w:cs="Times New Roman"/>
          <w:b/>
          <w:bCs/>
          <w:color w:val="FF0000"/>
          <w:sz w:val="20"/>
          <w:szCs w:val="20"/>
        </w:rPr>
        <w:t>《深圳经济特区政府采购条例》第五十七条</w:t>
      </w:r>
      <w:r>
        <w:rPr>
          <w:rFonts w:hint="eastAsia" w:ascii="宋体" w:hAnsi="宋体" w:eastAsia="宋体" w:cs="Times New Roman"/>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6A496C10">
      <w:pPr>
        <w:pBdr>
          <w:top w:val="none" w:color="auto" w:sz="0" w:space="1"/>
          <w:left w:val="none" w:color="auto" w:sz="0" w:space="4"/>
          <w:bottom w:val="none" w:color="auto" w:sz="0" w:space="1"/>
          <w:right w:val="none" w:color="auto" w:sz="0" w:space="4"/>
        </w:pBdr>
        <w:ind w:firstLine="400" w:firstLineChars="200"/>
        <w:rPr>
          <w:rFonts w:ascii="宋体" w:hAnsi="宋体" w:eastAsia="宋体" w:cs="Times New Roman"/>
          <w:color w:val="FF0000"/>
          <w:sz w:val="20"/>
          <w:szCs w:val="20"/>
        </w:rPr>
      </w:pPr>
      <w:r>
        <w:rPr>
          <w:rFonts w:hint="eastAsia" w:ascii="宋体" w:hAnsi="宋体" w:eastAsia="宋体" w:cs="Times New Roman"/>
          <w:color w:val="FF0000"/>
          <w:sz w:val="20"/>
          <w:szCs w:val="20"/>
        </w:rPr>
        <w:t>（一）在采购活动中应当回避而未回避的；</w:t>
      </w:r>
    </w:p>
    <w:p w14:paraId="2625A5B8">
      <w:pPr>
        <w:pBdr>
          <w:top w:val="none" w:color="auto" w:sz="0" w:space="1"/>
          <w:left w:val="none" w:color="auto" w:sz="0" w:space="4"/>
          <w:bottom w:val="none" w:color="auto" w:sz="0" w:space="1"/>
          <w:right w:val="none" w:color="auto" w:sz="0" w:space="4"/>
        </w:pBdr>
        <w:ind w:firstLine="400" w:firstLineChars="200"/>
        <w:rPr>
          <w:rFonts w:ascii="宋体" w:hAnsi="宋体" w:eastAsia="宋体" w:cs="Times New Roman"/>
          <w:color w:val="FF0000"/>
          <w:sz w:val="20"/>
          <w:szCs w:val="20"/>
        </w:rPr>
      </w:pPr>
      <w:r>
        <w:rPr>
          <w:rFonts w:hint="eastAsia" w:ascii="宋体" w:hAnsi="宋体" w:eastAsia="宋体" w:cs="Times New Roman"/>
          <w:color w:val="FF0000"/>
          <w:sz w:val="20"/>
          <w:szCs w:val="20"/>
        </w:rPr>
        <w:t>（二）未按本条例规定签订、履行采购合同，造成严重后果的；</w:t>
      </w:r>
    </w:p>
    <w:p w14:paraId="48010ACE">
      <w:pPr>
        <w:pBdr>
          <w:top w:val="none" w:color="auto" w:sz="0" w:space="1"/>
          <w:left w:val="none" w:color="auto" w:sz="0" w:space="4"/>
          <w:bottom w:val="none" w:color="auto" w:sz="0" w:space="1"/>
          <w:right w:val="none" w:color="auto" w:sz="0" w:space="4"/>
        </w:pBdr>
        <w:ind w:firstLine="400" w:firstLineChars="200"/>
        <w:rPr>
          <w:rFonts w:ascii="宋体" w:hAnsi="宋体" w:eastAsia="宋体" w:cs="Times New Roman"/>
          <w:color w:val="FF0000"/>
          <w:sz w:val="20"/>
          <w:szCs w:val="20"/>
        </w:rPr>
      </w:pPr>
      <w:r>
        <w:rPr>
          <w:rFonts w:hint="eastAsia" w:ascii="宋体" w:hAnsi="宋体" w:eastAsia="宋体" w:cs="Times New Roman"/>
          <w:color w:val="FF0000"/>
          <w:sz w:val="20"/>
          <w:szCs w:val="20"/>
        </w:rPr>
        <w:t>（三）隐瞒真实情况，提供虚假资料的；</w:t>
      </w:r>
    </w:p>
    <w:p w14:paraId="59A8B5B6">
      <w:pPr>
        <w:pBdr>
          <w:top w:val="none" w:color="auto" w:sz="0" w:space="1"/>
          <w:left w:val="none" w:color="auto" w:sz="0" w:space="4"/>
          <w:bottom w:val="none" w:color="auto" w:sz="0" w:space="1"/>
          <w:right w:val="none" w:color="auto" w:sz="0" w:space="4"/>
        </w:pBdr>
        <w:ind w:firstLine="400" w:firstLineChars="200"/>
        <w:rPr>
          <w:rFonts w:ascii="宋体" w:hAnsi="宋体" w:eastAsia="宋体" w:cs="Times New Roman"/>
          <w:color w:val="FF0000"/>
          <w:sz w:val="20"/>
          <w:szCs w:val="20"/>
        </w:rPr>
      </w:pPr>
      <w:r>
        <w:rPr>
          <w:rFonts w:hint="eastAsia" w:ascii="宋体" w:hAnsi="宋体" w:eastAsia="宋体" w:cs="Times New Roman"/>
          <w:color w:val="FF0000"/>
          <w:sz w:val="20"/>
          <w:szCs w:val="20"/>
        </w:rPr>
        <w:t>（四）以非法手段排斥其他供应商参与竞争的；</w:t>
      </w:r>
    </w:p>
    <w:p w14:paraId="099C42BC">
      <w:pPr>
        <w:pBdr>
          <w:top w:val="none" w:color="auto" w:sz="0" w:space="1"/>
          <w:left w:val="none" w:color="auto" w:sz="0" w:space="4"/>
          <w:bottom w:val="none" w:color="auto" w:sz="0" w:space="1"/>
          <w:right w:val="none" w:color="auto" w:sz="0" w:space="4"/>
        </w:pBdr>
        <w:ind w:firstLine="400" w:firstLineChars="200"/>
        <w:rPr>
          <w:rFonts w:ascii="宋体" w:hAnsi="宋体" w:eastAsia="宋体" w:cs="Times New Roman"/>
          <w:color w:val="FF0000"/>
          <w:sz w:val="20"/>
          <w:szCs w:val="20"/>
        </w:rPr>
      </w:pPr>
      <w:r>
        <w:rPr>
          <w:rFonts w:hint="eastAsia" w:ascii="宋体" w:hAnsi="宋体" w:eastAsia="宋体" w:cs="Times New Roman"/>
          <w:color w:val="FF0000"/>
          <w:sz w:val="20"/>
          <w:szCs w:val="20"/>
        </w:rPr>
        <w:t>（五）与其他采购参加人串通投标的；</w:t>
      </w:r>
    </w:p>
    <w:p w14:paraId="6B7434A2">
      <w:pPr>
        <w:pBdr>
          <w:top w:val="none" w:color="auto" w:sz="0" w:space="1"/>
          <w:left w:val="none" w:color="auto" w:sz="0" w:space="4"/>
          <w:bottom w:val="none" w:color="auto" w:sz="0" w:space="1"/>
          <w:right w:val="none" w:color="auto" w:sz="0" w:space="4"/>
        </w:pBdr>
        <w:ind w:firstLine="400" w:firstLineChars="200"/>
        <w:rPr>
          <w:rFonts w:ascii="宋体" w:hAnsi="宋体" w:eastAsia="宋体" w:cs="Times New Roman"/>
          <w:color w:val="FF0000"/>
          <w:sz w:val="20"/>
          <w:szCs w:val="20"/>
        </w:rPr>
      </w:pPr>
      <w:r>
        <w:rPr>
          <w:rFonts w:hint="eastAsia" w:ascii="宋体" w:hAnsi="宋体" w:eastAsia="宋体" w:cs="Times New Roman"/>
          <w:color w:val="FF0000"/>
          <w:sz w:val="20"/>
          <w:szCs w:val="20"/>
        </w:rPr>
        <w:t>（六）恶意投诉的；</w:t>
      </w:r>
    </w:p>
    <w:p w14:paraId="5476408D">
      <w:pPr>
        <w:pBdr>
          <w:top w:val="none" w:color="auto" w:sz="0" w:space="1"/>
          <w:left w:val="none" w:color="auto" w:sz="0" w:space="4"/>
          <w:bottom w:val="none" w:color="auto" w:sz="0" w:space="1"/>
          <w:right w:val="none" w:color="auto" w:sz="0" w:space="4"/>
        </w:pBdr>
        <w:ind w:firstLine="400" w:firstLineChars="200"/>
        <w:rPr>
          <w:rFonts w:ascii="宋体" w:hAnsi="宋体" w:eastAsia="宋体" w:cs="Times New Roman"/>
          <w:color w:val="FF0000"/>
          <w:sz w:val="20"/>
          <w:szCs w:val="20"/>
        </w:rPr>
      </w:pPr>
      <w:r>
        <w:rPr>
          <w:rFonts w:hint="eastAsia" w:ascii="宋体" w:hAnsi="宋体" w:eastAsia="宋体" w:cs="Times New Roman"/>
          <w:color w:val="FF0000"/>
          <w:sz w:val="20"/>
          <w:szCs w:val="20"/>
        </w:rPr>
        <w:t>（七）向采购项目相关人行贿或者提供其他不当利益的；</w:t>
      </w:r>
    </w:p>
    <w:p w14:paraId="2F684F2C">
      <w:pPr>
        <w:pBdr>
          <w:top w:val="none" w:color="auto" w:sz="0" w:space="1"/>
          <w:left w:val="none" w:color="auto" w:sz="0" w:space="4"/>
          <w:bottom w:val="none" w:color="auto" w:sz="0" w:space="1"/>
          <w:right w:val="none" w:color="auto" w:sz="0" w:space="4"/>
        </w:pBdr>
        <w:ind w:firstLine="400" w:firstLineChars="200"/>
        <w:rPr>
          <w:rFonts w:ascii="宋体" w:hAnsi="宋体" w:eastAsia="宋体" w:cs="Times New Roman"/>
          <w:color w:val="FF0000"/>
          <w:sz w:val="20"/>
          <w:szCs w:val="20"/>
        </w:rPr>
      </w:pPr>
      <w:r>
        <w:rPr>
          <w:rFonts w:hint="eastAsia" w:ascii="宋体" w:hAnsi="宋体" w:eastAsia="宋体" w:cs="Times New Roman"/>
          <w:color w:val="FF0000"/>
          <w:sz w:val="20"/>
          <w:szCs w:val="20"/>
        </w:rPr>
        <w:t>（八）阻碍、抗拒主管部门监督检查的；</w:t>
      </w:r>
    </w:p>
    <w:p w14:paraId="118BFBA6">
      <w:pPr>
        <w:pBdr>
          <w:top w:val="none" w:color="auto" w:sz="0" w:space="1"/>
          <w:left w:val="none" w:color="auto" w:sz="0" w:space="4"/>
          <w:bottom w:val="none" w:color="auto" w:sz="0" w:space="1"/>
          <w:right w:val="none" w:color="auto" w:sz="0" w:space="4"/>
        </w:pBdr>
        <w:ind w:firstLine="400" w:firstLineChars="200"/>
        <w:rPr>
          <w:rFonts w:ascii="宋体" w:hAnsi="宋体" w:eastAsia="宋体" w:cs="Times New Roman"/>
          <w:color w:val="FF0000"/>
          <w:sz w:val="20"/>
          <w:szCs w:val="20"/>
        </w:rPr>
      </w:pPr>
      <w:r>
        <w:rPr>
          <w:rFonts w:hint="eastAsia" w:ascii="宋体" w:hAnsi="宋体" w:eastAsia="宋体" w:cs="Times New Roman"/>
          <w:color w:val="FF0000"/>
          <w:sz w:val="20"/>
          <w:szCs w:val="20"/>
        </w:rPr>
        <w:t>（九）其他违反本条例规定的行为。</w:t>
      </w:r>
    </w:p>
    <w:p w14:paraId="6FD7F586">
      <w:pPr>
        <w:pBdr>
          <w:top w:val="none" w:color="auto" w:sz="0" w:space="1"/>
          <w:left w:val="none" w:color="auto" w:sz="0" w:space="4"/>
          <w:bottom w:val="none" w:color="auto" w:sz="0" w:space="1"/>
          <w:right w:val="none" w:color="auto" w:sz="0" w:space="4"/>
        </w:pBdr>
        <w:ind w:firstLine="402" w:firstLineChars="200"/>
        <w:rPr>
          <w:rFonts w:ascii="宋体" w:hAnsi="宋体" w:eastAsia="宋体" w:cs="Times New Roman"/>
          <w:color w:val="FF0000"/>
          <w:sz w:val="20"/>
          <w:szCs w:val="20"/>
        </w:rPr>
      </w:pPr>
      <w:r>
        <w:rPr>
          <w:rFonts w:hint="eastAsia" w:ascii="宋体" w:hAnsi="宋体" w:eastAsia="宋体" w:cs="Times New Roman"/>
          <w:b/>
          <w:bCs/>
          <w:color w:val="FF0000"/>
          <w:sz w:val="20"/>
          <w:szCs w:val="20"/>
        </w:rPr>
        <w:t xml:space="preserve">二、《深圳经济特区政府采购条例实施细则》第七十五条 </w:t>
      </w:r>
      <w:r>
        <w:rPr>
          <w:rFonts w:hint="eastAsia" w:ascii="宋体" w:hAnsi="宋体" w:eastAsia="宋体" w:cs="Times New Roman"/>
          <w:color w:val="FF0000"/>
          <w:sz w:val="20"/>
          <w:szCs w:val="20"/>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417C9FF5">
      <w:pPr>
        <w:pBdr>
          <w:top w:val="none" w:color="auto" w:sz="0" w:space="1"/>
          <w:left w:val="none" w:color="auto" w:sz="0" w:space="4"/>
          <w:bottom w:val="none" w:color="auto" w:sz="0" w:space="1"/>
          <w:right w:val="none" w:color="auto" w:sz="0" w:space="4"/>
        </w:pBdr>
        <w:ind w:firstLine="402" w:firstLineChars="200"/>
        <w:rPr>
          <w:rFonts w:ascii="宋体" w:hAnsi="宋体" w:eastAsia="宋体" w:cs="Times New Roman"/>
          <w:color w:val="FF0000"/>
          <w:sz w:val="20"/>
          <w:szCs w:val="20"/>
        </w:rPr>
      </w:pPr>
      <w:r>
        <w:rPr>
          <w:rFonts w:hint="eastAsia" w:ascii="宋体" w:hAnsi="宋体" w:eastAsia="宋体" w:cs="Times New Roman"/>
          <w:b/>
          <w:bCs/>
          <w:color w:val="FF0000"/>
          <w:sz w:val="20"/>
          <w:szCs w:val="20"/>
        </w:rPr>
        <w:t xml:space="preserve">三、《深圳经济特区政府采购条例实施细则》第七十七条 </w:t>
      </w:r>
      <w:r>
        <w:rPr>
          <w:rFonts w:hint="eastAsia" w:ascii="宋体" w:hAnsi="宋体" w:eastAsia="宋体" w:cs="Times New Roman"/>
          <w:color w:val="FF0000"/>
          <w:sz w:val="20"/>
          <w:szCs w:val="20"/>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105DA5D7">
      <w:pPr>
        <w:pBdr>
          <w:top w:val="none" w:color="auto" w:sz="0" w:space="1"/>
          <w:left w:val="none" w:color="auto" w:sz="0" w:space="4"/>
          <w:bottom w:val="none" w:color="auto" w:sz="0" w:space="1"/>
          <w:right w:val="none" w:color="auto" w:sz="0" w:space="4"/>
        </w:pBdr>
        <w:ind w:firstLine="400" w:firstLineChars="200"/>
        <w:rPr>
          <w:rFonts w:ascii="宋体" w:hAnsi="宋体" w:eastAsia="宋体" w:cs="Times New Roman"/>
          <w:color w:val="FF0000"/>
          <w:sz w:val="20"/>
          <w:szCs w:val="20"/>
        </w:rPr>
      </w:pPr>
      <w:r>
        <w:rPr>
          <w:rFonts w:hint="eastAsia" w:ascii="宋体" w:hAnsi="宋体" w:eastAsia="宋体" w:cs="Times New Roman"/>
          <w:color w:val="FF0000"/>
          <w:sz w:val="20"/>
          <w:szCs w:val="20"/>
        </w:rPr>
        <w:t>投标供应商不能提供项目负责人或者主要技术人员的劳动合同、社会保险等劳动关系证明材料的，视为存在前款第（三）项规定的情形。</w:t>
      </w:r>
    </w:p>
    <w:p w14:paraId="1FF2BB94">
      <w:pPr>
        <w:pBdr>
          <w:top w:val="none" w:color="auto" w:sz="0" w:space="1"/>
          <w:left w:val="none" w:color="auto" w:sz="0" w:space="4"/>
          <w:bottom w:val="none" w:color="auto" w:sz="0" w:space="1"/>
          <w:right w:val="none" w:color="auto" w:sz="0" w:space="4"/>
        </w:pBdr>
        <w:ind w:firstLine="400" w:firstLineChars="200"/>
        <w:rPr>
          <w:rFonts w:ascii="Times New Roman" w:hAnsi="Times New Roman" w:eastAsia="宋体" w:cs="Times New Roman"/>
          <w:bCs/>
          <w:color w:val="FF0000"/>
          <w:sz w:val="20"/>
          <w:szCs w:val="20"/>
        </w:rPr>
      </w:pPr>
      <w:r>
        <w:rPr>
          <w:rFonts w:hint="eastAsia" w:ascii="Times New Roman" w:hAnsi="Times New Roman" w:eastAsia="宋体" w:cs="Times New Roman"/>
          <w:bCs/>
          <w:color w:val="FF0000"/>
          <w:sz w:val="20"/>
          <w:szCs w:val="20"/>
        </w:rPr>
        <w:t>四、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3F8A9CFB">
      <w:pPr>
        <w:pBdr>
          <w:top w:val="none" w:color="auto" w:sz="0" w:space="1"/>
          <w:left w:val="none" w:color="auto" w:sz="0" w:space="4"/>
          <w:bottom w:val="none" w:color="auto" w:sz="0" w:space="1"/>
          <w:right w:val="none" w:color="auto" w:sz="0" w:space="4"/>
        </w:pBdr>
        <w:ind w:firstLine="400" w:firstLineChars="200"/>
        <w:rPr>
          <w:rFonts w:ascii="Times New Roman" w:hAnsi="Times New Roman" w:eastAsia="宋体" w:cs="Times New Roman"/>
          <w:bCs/>
          <w:color w:val="FF0000"/>
          <w:sz w:val="20"/>
          <w:szCs w:val="20"/>
        </w:rPr>
      </w:pPr>
      <w:r>
        <w:rPr>
          <w:rFonts w:hint="eastAsia" w:ascii="Times New Roman" w:hAnsi="Times New Roman" w:eastAsia="宋体" w:cs="Times New Roman"/>
          <w:bCs/>
          <w:color w:val="FF0000"/>
          <w:sz w:val="20"/>
          <w:szCs w:val="20"/>
        </w:rPr>
        <w:t>为避免出现不同供应商投标文件的文件制作机器码、文件创建标识码、IP地址一致的异常情况，建议各供应商编制、上传投标文件时不要使用公共电脑设备或公共网络。</w:t>
      </w:r>
    </w:p>
    <w:p w14:paraId="75AF8C61">
      <w:pPr>
        <w:pBdr>
          <w:top w:val="none" w:color="auto" w:sz="0" w:space="1"/>
          <w:left w:val="none" w:color="auto" w:sz="0" w:space="4"/>
          <w:bottom w:val="none" w:color="auto" w:sz="0" w:space="1"/>
          <w:right w:val="none" w:color="auto" w:sz="0" w:space="4"/>
        </w:pBdr>
        <w:ind w:firstLine="400" w:firstLineChars="200"/>
        <w:rPr>
          <w:rFonts w:ascii="Times New Roman" w:hAnsi="Times New Roman" w:eastAsia="宋体" w:cs="Times New Roman"/>
          <w:bCs/>
          <w:color w:val="FF0000"/>
          <w:sz w:val="20"/>
          <w:szCs w:val="20"/>
        </w:rPr>
      </w:pPr>
      <w:r>
        <w:rPr>
          <w:rFonts w:hint="eastAsia" w:ascii="Times New Roman" w:hAnsi="Times New Roman" w:eastAsia="宋体" w:cs="Times New Roman"/>
          <w:bCs/>
          <w:color w:val="FF0000"/>
          <w:sz w:val="20"/>
          <w:szCs w:val="20"/>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宋体" w:hAnsi="宋体" w:eastAsia="宋体" w:cs="Times New Roman"/>
          <w:color w:val="FF0000"/>
          <w:sz w:val="20"/>
          <w:szCs w:val="20"/>
        </w:rPr>
        <w:t>取消参与本市政府采购资格</w:t>
      </w:r>
      <w:r>
        <w:rPr>
          <w:rFonts w:hint="eastAsia" w:ascii="Times New Roman" w:hAnsi="宋体" w:eastAsia="宋体" w:cs="Times New Roman"/>
          <w:color w:val="FF0000"/>
          <w:sz w:val="20"/>
          <w:szCs w:val="20"/>
        </w:rPr>
        <w:t>、</w:t>
      </w:r>
      <w:r>
        <w:rPr>
          <w:rFonts w:hint="eastAsia" w:ascii="宋体" w:hAnsi="宋体" w:eastAsia="宋体" w:cs="Times New Roman"/>
          <w:color w:val="FF0000"/>
          <w:sz w:val="20"/>
          <w:szCs w:val="20"/>
        </w:rPr>
        <w:t>依法吊销其营业</w:t>
      </w:r>
      <w:r>
        <w:rPr>
          <w:rFonts w:hint="eastAsia" w:ascii="Times New Roman" w:hAnsi="宋体" w:eastAsia="宋体" w:cs="Times New Roman"/>
          <w:color w:val="FF0000"/>
          <w:sz w:val="20"/>
          <w:szCs w:val="20"/>
        </w:rPr>
        <w:t>执照等行政处罚，</w:t>
      </w:r>
      <w:r>
        <w:rPr>
          <w:rFonts w:hint="eastAsia" w:ascii="宋体" w:hAnsi="宋体" w:eastAsia="宋体" w:cs="Times New Roman"/>
          <w:color w:val="FF0000"/>
          <w:sz w:val="20"/>
          <w:szCs w:val="20"/>
        </w:rPr>
        <w:t>构成犯罪的，依法追究刑事责任</w:t>
      </w:r>
      <w:r>
        <w:rPr>
          <w:rFonts w:hint="eastAsia" w:ascii="Times New Roman" w:hAnsi="Times New Roman" w:eastAsia="宋体" w:cs="Times New Roman"/>
          <w:bCs/>
          <w:color w:val="FF0000"/>
          <w:sz w:val="20"/>
          <w:szCs w:val="20"/>
        </w:rPr>
        <w:t>，请各供应商独立编制、上传投标文件，妥善保管和使用电子秘钥。</w:t>
      </w:r>
    </w:p>
    <w:p w14:paraId="2F91825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2" w:firstLineChars="200"/>
        <w:textAlignment w:val="auto"/>
        <w:rPr>
          <w:rFonts w:hint="eastAsia"/>
          <w:b/>
          <w:color w:val="FF0000"/>
          <w:lang w:val="en-US" w:eastAsia="zh-CN"/>
        </w:rPr>
      </w:pPr>
      <w:r>
        <w:rPr>
          <w:rFonts w:hint="eastAsia"/>
          <w:b/>
          <w:color w:val="FF0000"/>
          <w:lang w:val="en-US" w:eastAsia="zh-CN"/>
        </w:rPr>
        <w:t>五、</w:t>
      </w:r>
      <w:r>
        <w:rPr>
          <w:rFonts w:hint="eastAsia"/>
          <w:b/>
          <w:color w:val="FF0000"/>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r>
        <w:rPr>
          <w:rFonts w:hint="eastAsia"/>
          <w:b/>
          <w:color w:val="FF0000"/>
          <w:lang w:eastAsia="zh-CN"/>
        </w:rPr>
        <w:t>。</w:t>
      </w:r>
    </w:p>
    <w:p w14:paraId="40174BBF">
      <w:pPr>
        <w:pBdr>
          <w:top w:val="none" w:color="auto" w:sz="0" w:space="1"/>
          <w:left w:val="none" w:color="auto" w:sz="0" w:space="4"/>
          <w:bottom w:val="none" w:color="auto" w:sz="0" w:space="1"/>
          <w:right w:val="none" w:color="auto" w:sz="0" w:space="4"/>
        </w:pBdr>
        <w:ind w:firstLine="422" w:firstLineChars="200"/>
        <w:rPr>
          <w:rFonts w:ascii="Times New Roman" w:hAnsi="Times New Roman" w:eastAsia="宋体" w:cs="Times New Roman"/>
          <w:b/>
          <w:color w:val="FF0000"/>
          <w:szCs w:val="24"/>
        </w:rPr>
      </w:pPr>
      <w:r>
        <w:rPr>
          <w:rFonts w:hint="eastAsia" w:ascii="Times New Roman" w:hAnsi="Times New Roman" w:eastAsia="宋体" w:cs="Times New Roman"/>
          <w:b/>
          <w:color w:val="FF0000"/>
          <w:szCs w:val="24"/>
          <w:lang w:val="en-US" w:eastAsia="zh-CN"/>
        </w:rPr>
        <w:t>六</w:t>
      </w:r>
      <w:r>
        <w:rPr>
          <w:rFonts w:hint="eastAsia" w:ascii="Times New Roman" w:hAnsi="Times New Roman" w:eastAsia="宋体" w:cs="Times New Roman"/>
          <w:b/>
          <w:color w:val="FF0000"/>
          <w:szCs w:val="24"/>
        </w:rPr>
        <w:t>、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14:paraId="3009BC9F">
      <w:pPr>
        <w:rPr>
          <w:rFonts w:ascii="Calibri" w:hAnsi="Calibri" w:eastAsia="宋体" w:cs="Times New Roman"/>
        </w:rPr>
      </w:pPr>
    </w:p>
    <w:p w14:paraId="7E318BBC">
      <w:pPr>
        <w:widowControl/>
        <w:pBdr>
          <w:top w:val="none" w:color="auto" w:sz="0" w:space="1"/>
          <w:left w:val="none" w:color="auto" w:sz="0" w:space="4"/>
          <w:bottom w:val="none" w:color="auto" w:sz="0" w:space="1"/>
          <w:right w:val="none" w:color="auto" w:sz="0" w:space="4"/>
        </w:pBdr>
        <w:spacing w:beforeAutospacing="1" w:afterAutospacing="1"/>
        <w:outlineLvl w:val="1"/>
        <w:rPr>
          <w:rFonts w:ascii="Times New Roman" w:hAnsi="Times New Roman" w:eastAsia="宋体" w:cs="Times New Roman"/>
          <w:b/>
          <w:color w:val="FF0000"/>
          <w:szCs w:val="24"/>
        </w:rPr>
      </w:pPr>
      <w:r>
        <w:rPr>
          <w:rFonts w:hint="eastAsia" w:ascii="Times New Roman" w:hAnsi="Times New Roman" w:eastAsia="宋体" w:cs="Times New Roman"/>
          <w:b/>
          <w:color w:val="FF0000"/>
          <w:szCs w:val="24"/>
        </w:rPr>
        <w:t>注：“特别警示条款”和《政府采购违法行为风险知悉确认书》用于对供应商违法行为的提醒，不作为供应商资格性审查及符合性审查条件。</w:t>
      </w:r>
    </w:p>
    <w:p w14:paraId="6777B0A5">
      <w:pPr>
        <w:widowControl/>
        <w:jc w:val="left"/>
        <w:rPr>
          <w:rFonts w:ascii="Times New Roman" w:hAnsi="Times New Roman" w:eastAsia="宋体" w:cs="Times New Roman"/>
          <w:b/>
          <w:bCs/>
          <w:kern w:val="0"/>
          <w:sz w:val="40"/>
          <w:szCs w:val="40"/>
        </w:rPr>
      </w:pPr>
    </w:p>
    <w:p w14:paraId="2A17A8A4">
      <w:pPr>
        <w:widowControl/>
        <w:jc w:val="left"/>
        <w:rPr>
          <w:rFonts w:ascii="Times New Roman" w:hAnsi="Times New Roman" w:eastAsia="宋体" w:cs="Times New Roman"/>
          <w:b/>
          <w:bCs/>
          <w:kern w:val="0"/>
          <w:sz w:val="40"/>
          <w:szCs w:val="40"/>
        </w:rPr>
      </w:pPr>
      <w:r>
        <w:rPr>
          <w:rFonts w:ascii="Times New Roman" w:hAnsi="Times New Roman" w:eastAsia="宋体" w:cs="Times New Roman"/>
          <w:b/>
          <w:bCs/>
          <w:kern w:val="0"/>
          <w:sz w:val="40"/>
          <w:szCs w:val="40"/>
        </w:rPr>
        <w:br w:type="page"/>
      </w:r>
    </w:p>
    <w:p w14:paraId="6A525218">
      <w:pPr>
        <w:rPr>
          <w:rFonts w:ascii="Times New Roman" w:hAnsi="Times New Roman" w:eastAsia="宋体" w:cs="Times New Roman"/>
          <w:b/>
          <w:bCs/>
          <w:kern w:val="0"/>
          <w:sz w:val="40"/>
          <w:szCs w:val="40"/>
        </w:rPr>
      </w:pPr>
    </w:p>
    <w:p w14:paraId="29821910">
      <w:pPr>
        <w:widowControl/>
        <w:spacing w:before="454" w:after="454"/>
        <w:jc w:val="center"/>
        <w:outlineLvl w:val="0"/>
        <w:rPr>
          <w:rFonts w:hint="eastAsia" w:ascii="Times New Roman" w:hAnsi="Times New Roman" w:eastAsia="宋体" w:cs="Times New Roman"/>
          <w:b/>
          <w:bCs/>
          <w:kern w:val="0"/>
          <w:sz w:val="40"/>
          <w:szCs w:val="40"/>
        </w:rPr>
      </w:pPr>
      <w:r>
        <w:rPr>
          <w:rFonts w:hint="eastAsia" w:ascii="Times New Roman" w:hAnsi="Times New Roman" w:eastAsia="宋体" w:cs="Times New Roman"/>
          <w:b/>
          <w:bCs/>
          <w:kern w:val="0"/>
          <w:sz w:val="40"/>
          <w:szCs w:val="40"/>
        </w:rPr>
        <w:t>南山区创新大道综合提升项目（智慧部分）</w:t>
      </w:r>
    </w:p>
    <w:p w14:paraId="64B6658C">
      <w:pPr>
        <w:pStyle w:val="62"/>
        <w:rPr>
          <w:rFonts w:hint="eastAsia" w:ascii="Times New Roman" w:hAnsi="Times New Roman" w:eastAsia="宋体" w:cs="Times New Roman"/>
          <w:b/>
          <w:bCs/>
          <w:kern w:val="0"/>
          <w:sz w:val="40"/>
          <w:szCs w:val="40"/>
        </w:rPr>
      </w:pPr>
    </w:p>
    <w:p w14:paraId="4FBE365E">
      <w:pPr>
        <w:pStyle w:val="62"/>
        <w:rPr>
          <w:rFonts w:hint="eastAsia" w:ascii="Times New Roman" w:hAnsi="Times New Roman" w:eastAsia="宋体" w:cs="Times New Roman"/>
          <w:b/>
          <w:bCs/>
          <w:kern w:val="0"/>
          <w:sz w:val="40"/>
          <w:szCs w:val="40"/>
        </w:rPr>
      </w:pPr>
    </w:p>
    <w:p w14:paraId="69E92543">
      <w:pPr>
        <w:widowControl/>
        <w:spacing w:beforeAutospacing="1" w:afterAutospacing="1"/>
        <w:jc w:val="center"/>
        <w:outlineLvl w:val="1"/>
        <w:rPr>
          <w:rFonts w:ascii="Times New Roman" w:hAnsi="Times New Roman" w:eastAsia="黑体" w:cs="Times New Roman"/>
          <w:kern w:val="0"/>
          <w:sz w:val="40"/>
          <w:szCs w:val="40"/>
        </w:rPr>
      </w:pPr>
      <w:r>
        <w:rPr>
          <w:rFonts w:ascii="Times New Roman" w:hAnsi="Times New Roman" w:eastAsia="黑体" w:cs="Times New Roman"/>
          <w:kern w:val="0"/>
          <w:sz w:val="40"/>
          <w:szCs w:val="40"/>
        </w:rPr>
        <w:t>招标文件信息</w:t>
      </w:r>
    </w:p>
    <w:tbl>
      <w:tblPr>
        <w:tblStyle w:val="44"/>
        <w:tblW w:w="7943" w:type="dxa"/>
        <w:jc w:val="center"/>
        <w:tblCellSpacing w:w="0" w:type="dxa"/>
        <w:tblLayout w:type="fixed"/>
        <w:tblCellMar>
          <w:top w:w="45" w:type="dxa"/>
          <w:left w:w="45" w:type="dxa"/>
          <w:bottom w:w="45" w:type="dxa"/>
          <w:right w:w="45" w:type="dxa"/>
        </w:tblCellMar>
      </w:tblPr>
      <w:tblGrid>
        <w:gridCol w:w="2723"/>
        <w:gridCol w:w="5220"/>
      </w:tblGrid>
      <w:tr w14:paraId="79C5AA13">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2817B17">
            <w:pPr>
              <w:widowControl/>
              <w:jc w:val="right"/>
              <w:rPr>
                <w:rFonts w:ascii="Times New Roman" w:hAnsi="Times New Roman" w:eastAsia="宋体" w:cs="Times New Roman"/>
                <w:sz w:val="30"/>
                <w:szCs w:val="30"/>
              </w:rPr>
            </w:pPr>
            <w:r>
              <w:rPr>
                <w:rFonts w:ascii="Times New Roman" w:hAnsi="Times New Roman" w:eastAsia="宋体" w:cs="Times New Roman"/>
                <w:kern w:val="0"/>
                <w:sz w:val="30"/>
                <w:szCs w:val="30"/>
              </w:rPr>
              <w:t>项目编号：</w:t>
            </w:r>
          </w:p>
        </w:tc>
        <w:tc>
          <w:tcPr>
            <w:tcW w:w="5220" w:type="dxa"/>
            <w:shd w:val="clear" w:color="auto" w:fill="auto"/>
            <w:vAlign w:val="center"/>
          </w:tcPr>
          <w:p w14:paraId="457BF945">
            <w:pPr>
              <w:widowControl/>
              <w:jc w:val="left"/>
              <w:rPr>
                <w:rFonts w:ascii="Times New Roman" w:hAnsi="Times New Roman" w:eastAsia="宋体" w:cs="Times New Roman"/>
                <w:sz w:val="30"/>
                <w:szCs w:val="30"/>
              </w:rPr>
            </w:pPr>
            <w:r>
              <w:rPr>
                <w:rFonts w:hint="eastAsia" w:ascii="Times New Roman" w:hAnsi="Times New Roman" w:eastAsia="宋体" w:cs="Times New Roman"/>
                <w:sz w:val="30"/>
                <w:szCs w:val="30"/>
              </w:rPr>
              <w:t>NSCG2026000170</w:t>
            </w:r>
          </w:p>
        </w:tc>
      </w:tr>
      <w:tr w14:paraId="4BF8FDA5">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5C60F9DA">
            <w:pPr>
              <w:widowControl/>
              <w:jc w:val="right"/>
              <w:rPr>
                <w:rFonts w:ascii="Times New Roman" w:hAnsi="Times New Roman" w:eastAsia="宋体" w:cs="Times New Roman"/>
                <w:sz w:val="30"/>
                <w:szCs w:val="30"/>
              </w:rPr>
            </w:pPr>
            <w:r>
              <w:rPr>
                <w:rFonts w:ascii="Times New Roman" w:hAnsi="Times New Roman" w:eastAsia="宋体" w:cs="Times New Roman"/>
                <w:kern w:val="0"/>
                <w:sz w:val="30"/>
                <w:szCs w:val="30"/>
              </w:rPr>
              <w:t>项目名称：</w:t>
            </w:r>
          </w:p>
        </w:tc>
        <w:tc>
          <w:tcPr>
            <w:tcW w:w="5220" w:type="dxa"/>
            <w:shd w:val="clear" w:color="auto" w:fill="auto"/>
            <w:vAlign w:val="center"/>
          </w:tcPr>
          <w:p w14:paraId="40D530CB">
            <w:pPr>
              <w:widowControl/>
              <w:jc w:val="left"/>
              <w:rPr>
                <w:rFonts w:ascii="Times New Roman" w:hAnsi="Times New Roman" w:eastAsia="宋体" w:cs="Times New Roman"/>
                <w:sz w:val="30"/>
                <w:szCs w:val="30"/>
              </w:rPr>
            </w:pPr>
            <w:r>
              <w:rPr>
                <w:rFonts w:hint="eastAsia" w:ascii="Times New Roman" w:hAnsi="Times New Roman" w:eastAsia="宋体" w:cs="Times New Roman"/>
                <w:kern w:val="0"/>
                <w:sz w:val="30"/>
                <w:szCs w:val="30"/>
              </w:rPr>
              <w:t>南山区创新大道综合提升项目（智慧部分）</w:t>
            </w:r>
          </w:p>
        </w:tc>
      </w:tr>
      <w:tr w14:paraId="1F510140">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5504B728">
            <w:pPr>
              <w:widowControl/>
              <w:jc w:val="right"/>
              <w:rPr>
                <w:rFonts w:ascii="Times New Roman" w:hAnsi="Times New Roman" w:eastAsia="宋体" w:cs="Times New Roman"/>
                <w:sz w:val="30"/>
                <w:szCs w:val="30"/>
              </w:rPr>
            </w:pPr>
            <w:r>
              <w:rPr>
                <w:rFonts w:ascii="Times New Roman" w:hAnsi="Times New Roman" w:eastAsia="宋体" w:cs="Times New Roman"/>
                <w:kern w:val="0"/>
                <w:sz w:val="30"/>
                <w:szCs w:val="30"/>
              </w:rPr>
              <w:t>包 号：</w:t>
            </w:r>
          </w:p>
        </w:tc>
        <w:tc>
          <w:tcPr>
            <w:tcW w:w="5220" w:type="dxa"/>
            <w:shd w:val="clear" w:color="auto" w:fill="auto"/>
            <w:vAlign w:val="center"/>
          </w:tcPr>
          <w:p w14:paraId="3A0A6306">
            <w:pPr>
              <w:widowControl/>
              <w:jc w:val="left"/>
              <w:rPr>
                <w:rFonts w:ascii="Times New Roman" w:hAnsi="Times New Roman" w:eastAsia="宋体" w:cs="Times New Roman"/>
                <w:sz w:val="30"/>
                <w:szCs w:val="30"/>
              </w:rPr>
            </w:pPr>
            <w:r>
              <w:rPr>
                <w:rFonts w:ascii="Times New Roman" w:hAnsi="Times New Roman" w:eastAsia="宋体" w:cs="Times New Roman"/>
                <w:kern w:val="0"/>
                <w:sz w:val="30"/>
                <w:szCs w:val="30"/>
              </w:rPr>
              <w:t>A</w:t>
            </w:r>
          </w:p>
        </w:tc>
      </w:tr>
      <w:tr w14:paraId="08C17BEA">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382A758F">
            <w:pPr>
              <w:widowControl/>
              <w:jc w:val="right"/>
              <w:rPr>
                <w:rFonts w:ascii="Times New Roman" w:hAnsi="Times New Roman" w:eastAsia="宋体" w:cs="Times New Roman"/>
                <w:sz w:val="30"/>
                <w:szCs w:val="30"/>
              </w:rPr>
            </w:pPr>
            <w:r>
              <w:rPr>
                <w:rFonts w:ascii="Times New Roman" w:hAnsi="Times New Roman" w:eastAsia="宋体" w:cs="Times New Roman"/>
                <w:kern w:val="0"/>
                <w:sz w:val="30"/>
                <w:szCs w:val="30"/>
              </w:rPr>
              <w:t>项目类型：</w:t>
            </w:r>
          </w:p>
        </w:tc>
        <w:tc>
          <w:tcPr>
            <w:tcW w:w="5220" w:type="dxa"/>
            <w:shd w:val="clear" w:color="auto" w:fill="auto"/>
            <w:vAlign w:val="center"/>
          </w:tcPr>
          <w:p w14:paraId="257792C2">
            <w:pPr>
              <w:widowControl/>
              <w:jc w:val="left"/>
              <w:rPr>
                <w:rFonts w:ascii="Times New Roman" w:hAnsi="Times New Roman" w:eastAsia="宋体" w:cs="Times New Roman"/>
                <w:sz w:val="30"/>
                <w:szCs w:val="30"/>
              </w:rPr>
            </w:pPr>
            <w:r>
              <w:rPr>
                <w:rFonts w:ascii="Times New Roman" w:hAnsi="Times New Roman" w:eastAsia="宋体" w:cs="Times New Roman"/>
                <w:kern w:val="0"/>
                <w:sz w:val="30"/>
                <w:szCs w:val="30"/>
              </w:rPr>
              <w:t>货物类</w:t>
            </w:r>
          </w:p>
        </w:tc>
      </w:tr>
      <w:tr w14:paraId="50854199">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5E7BE27">
            <w:pPr>
              <w:widowControl/>
              <w:jc w:val="right"/>
              <w:rPr>
                <w:rFonts w:ascii="Times New Roman" w:hAnsi="Times New Roman" w:eastAsia="宋体" w:cs="Times New Roman"/>
                <w:sz w:val="30"/>
                <w:szCs w:val="30"/>
              </w:rPr>
            </w:pPr>
            <w:r>
              <w:rPr>
                <w:rFonts w:ascii="Times New Roman" w:hAnsi="Times New Roman" w:eastAsia="宋体" w:cs="Times New Roman"/>
                <w:kern w:val="0"/>
                <w:sz w:val="30"/>
                <w:szCs w:val="30"/>
              </w:rPr>
              <w:t>采购方式：</w:t>
            </w:r>
          </w:p>
        </w:tc>
        <w:tc>
          <w:tcPr>
            <w:tcW w:w="5220" w:type="dxa"/>
            <w:shd w:val="clear" w:color="auto" w:fill="auto"/>
            <w:vAlign w:val="center"/>
          </w:tcPr>
          <w:p w14:paraId="04111ED4">
            <w:pPr>
              <w:widowControl/>
              <w:jc w:val="left"/>
              <w:rPr>
                <w:rFonts w:ascii="Times New Roman" w:hAnsi="Times New Roman" w:eastAsia="宋体" w:cs="Times New Roman"/>
                <w:sz w:val="30"/>
                <w:szCs w:val="30"/>
              </w:rPr>
            </w:pPr>
            <w:r>
              <w:rPr>
                <w:rFonts w:ascii="Times New Roman" w:hAnsi="Times New Roman" w:eastAsia="宋体" w:cs="Times New Roman"/>
                <w:kern w:val="0"/>
                <w:sz w:val="30"/>
                <w:szCs w:val="30"/>
              </w:rPr>
              <w:t>公开招标</w:t>
            </w:r>
          </w:p>
        </w:tc>
      </w:tr>
      <w:tr w14:paraId="0CB10EA4">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2C8CF978">
            <w:pPr>
              <w:widowControl/>
              <w:jc w:val="right"/>
              <w:rPr>
                <w:rFonts w:ascii="Times New Roman" w:hAnsi="Times New Roman" w:eastAsia="宋体" w:cs="Times New Roman"/>
                <w:sz w:val="30"/>
                <w:szCs w:val="30"/>
              </w:rPr>
            </w:pPr>
            <w:r>
              <w:rPr>
                <w:rFonts w:ascii="Times New Roman" w:hAnsi="Times New Roman" w:eastAsia="宋体" w:cs="Times New Roman"/>
                <w:kern w:val="0"/>
                <w:sz w:val="30"/>
                <w:szCs w:val="30"/>
              </w:rPr>
              <w:t>货币类型：</w:t>
            </w:r>
          </w:p>
        </w:tc>
        <w:tc>
          <w:tcPr>
            <w:tcW w:w="5220" w:type="dxa"/>
            <w:shd w:val="clear" w:color="auto" w:fill="auto"/>
            <w:vAlign w:val="center"/>
          </w:tcPr>
          <w:p w14:paraId="5C7D6838">
            <w:pPr>
              <w:widowControl/>
              <w:jc w:val="left"/>
              <w:rPr>
                <w:rFonts w:ascii="Times New Roman" w:hAnsi="Times New Roman" w:eastAsia="宋体" w:cs="Times New Roman"/>
                <w:sz w:val="30"/>
                <w:szCs w:val="30"/>
              </w:rPr>
            </w:pPr>
            <w:r>
              <w:rPr>
                <w:rFonts w:ascii="Times New Roman" w:hAnsi="Times New Roman" w:eastAsia="宋体" w:cs="Times New Roman"/>
                <w:kern w:val="0"/>
                <w:sz w:val="30"/>
                <w:szCs w:val="30"/>
              </w:rPr>
              <w:t>人民币</w:t>
            </w:r>
          </w:p>
        </w:tc>
      </w:tr>
      <w:tr w14:paraId="528C3D3D">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2DC69DF9">
            <w:pPr>
              <w:widowControl/>
              <w:jc w:val="right"/>
              <w:rPr>
                <w:rFonts w:ascii="Times New Roman" w:hAnsi="Times New Roman" w:eastAsia="宋体" w:cs="Times New Roman"/>
                <w:sz w:val="30"/>
                <w:szCs w:val="30"/>
              </w:rPr>
            </w:pPr>
            <w:r>
              <w:rPr>
                <w:rFonts w:ascii="Times New Roman" w:hAnsi="Times New Roman" w:eastAsia="宋体" w:cs="Times New Roman"/>
                <w:kern w:val="0"/>
                <w:sz w:val="30"/>
                <w:szCs w:val="30"/>
              </w:rPr>
              <w:t>评标方法：</w:t>
            </w:r>
          </w:p>
        </w:tc>
        <w:tc>
          <w:tcPr>
            <w:tcW w:w="5220" w:type="dxa"/>
            <w:shd w:val="clear" w:color="auto" w:fill="auto"/>
            <w:vAlign w:val="center"/>
          </w:tcPr>
          <w:p w14:paraId="57B677C4">
            <w:pPr>
              <w:widowControl/>
              <w:jc w:val="left"/>
              <w:rPr>
                <w:rFonts w:ascii="Times New Roman" w:hAnsi="Times New Roman" w:eastAsia="宋体" w:cs="Times New Roman"/>
                <w:sz w:val="30"/>
                <w:szCs w:val="30"/>
                <w:highlight w:val="none"/>
              </w:rPr>
            </w:pPr>
            <w:r>
              <w:rPr>
                <w:rFonts w:ascii="Times New Roman" w:hAnsi="Times New Roman" w:eastAsia="宋体" w:cs="Times New Roman"/>
                <w:kern w:val="0"/>
                <w:sz w:val="30"/>
                <w:szCs w:val="30"/>
                <w:highlight w:val="none"/>
              </w:rPr>
              <w:t>综合评分法</w:t>
            </w:r>
          </w:p>
        </w:tc>
      </w:tr>
      <w:bookmarkEnd w:id="0"/>
    </w:tbl>
    <w:p w14:paraId="7D05F89C">
      <w:pPr>
        <w:rPr>
          <w:rFonts w:ascii="Times New Roman" w:hAnsi="Times New Roman" w:eastAsia="黑体" w:cs="Times New Roman"/>
          <w:kern w:val="0"/>
          <w:sz w:val="40"/>
          <w:szCs w:val="40"/>
        </w:rPr>
      </w:pPr>
      <w:r>
        <w:rPr>
          <w:rFonts w:ascii="Times New Roman" w:hAnsi="Times New Roman" w:eastAsia="黑体" w:cs="Times New Roman"/>
          <w:kern w:val="0"/>
          <w:sz w:val="40"/>
          <w:szCs w:val="40"/>
        </w:rPr>
        <w:br w:type="page"/>
      </w:r>
    </w:p>
    <w:p w14:paraId="10F80881">
      <w:pPr>
        <w:widowControl/>
        <w:spacing w:beforeAutospacing="1" w:afterAutospacing="1"/>
        <w:jc w:val="center"/>
        <w:outlineLvl w:val="1"/>
        <w:rPr>
          <w:rFonts w:ascii="Times New Roman" w:hAnsi="Times New Roman" w:eastAsia="黑体" w:cs="Times New Roman"/>
          <w:kern w:val="0"/>
          <w:sz w:val="40"/>
          <w:szCs w:val="40"/>
        </w:rPr>
      </w:pPr>
      <w:r>
        <w:rPr>
          <w:rFonts w:ascii="Times New Roman" w:hAnsi="Times New Roman" w:eastAsia="黑体" w:cs="Times New Roman"/>
          <w:kern w:val="0"/>
          <w:sz w:val="40"/>
          <w:szCs w:val="40"/>
        </w:rPr>
        <w:t>资格性审查表</w:t>
      </w:r>
    </w:p>
    <w:tbl>
      <w:tblPr>
        <w:tblStyle w:val="44"/>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2795B8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8AF0F41">
            <w:pPr>
              <w:widowControl/>
              <w:jc w:val="center"/>
              <w:rPr>
                <w:rFonts w:ascii="Times New Roman" w:hAnsi="Times New Roman" w:eastAsia="宋体" w:cs="Times New Roman"/>
                <w:sz w:val="28"/>
                <w:szCs w:val="28"/>
              </w:rPr>
            </w:pPr>
            <w:r>
              <w:rPr>
                <w:rFonts w:ascii="Times New Roman" w:hAnsi="Times New Roman" w:eastAsia="宋体" w:cs="Times New Roman"/>
                <w:kern w:val="0"/>
                <w:sz w:val="28"/>
                <w:szCs w:val="28"/>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D27EF99">
            <w:pPr>
              <w:widowControl/>
              <w:jc w:val="center"/>
              <w:rPr>
                <w:rFonts w:ascii="Times New Roman" w:hAnsi="Times New Roman" w:eastAsia="宋体" w:cs="Times New Roman"/>
                <w:sz w:val="28"/>
                <w:szCs w:val="28"/>
              </w:rPr>
            </w:pPr>
            <w:r>
              <w:rPr>
                <w:rFonts w:ascii="Times New Roman" w:hAnsi="Times New Roman" w:eastAsia="宋体" w:cs="Times New Roman"/>
                <w:kern w:val="0"/>
                <w:sz w:val="28"/>
                <w:szCs w:val="28"/>
              </w:rPr>
              <w:t>内容</w:t>
            </w:r>
          </w:p>
        </w:tc>
      </w:tr>
      <w:tr w14:paraId="3CF812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A927E6">
            <w:pPr>
              <w:widowControl/>
              <w:jc w:val="center"/>
              <w:textAlignment w:val="top"/>
              <w:rPr>
                <w:rFonts w:ascii="Times New Roman" w:hAnsi="Times New Roman" w:eastAsia="宋体" w:cs="Times New Roman"/>
                <w:szCs w:val="21"/>
              </w:rPr>
            </w:pPr>
            <w:r>
              <w:rPr>
                <w:rFonts w:hint="eastAsia" w:ascii="宋体" w:hAnsi="宋体" w:eastAsia="宋体" w:cs="宋体"/>
                <w:kern w:val="0"/>
                <w:szCs w:val="21"/>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6C074AEF">
            <w:pPr>
              <w:widowControl/>
              <w:jc w:val="left"/>
              <w:textAlignment w:val="top"/>
              <w:rPr>
                <w:rFonts w:ascii="Times New Roman" w:hAnsi="Times New Roman" w:eastAsia="宋体" w:cs="Times New Roman"/>
                <w:szCs w:val="21"/>
              </w:rPr>
            </w:pPr>
            <w:r>
              <w:rPr>
                <w:rFonts w:ascii="Times New Roman" w:hAnsi="Times New Roman" w:eastAsia="宋体" w:cs="Times New Roman"/>
                <w:kern w:val="0"/>
                <w:szCs w:val="21"/>
              </w:rPr>
              <w:t>投标人不符合资格要求，或未提交相应的资格证明资料（详见招标公告</w:t>
            </w:r>
            <w:r>
              <w:rPr>
                <w:rFonts w:ascii="Times New Roman" w:hAnsi="Times New Roman" w:eastAsia="宋体" w:cs="Times New Roman"/>
                <w:szCs w:val="21"/>
              </w:rPr>
              <w:t>投标人资格要求，即申请人的资格要求</w:t>
            </w:r>
            <w:r>
              <w:rPr>
                <w:rFonts w:ascii="Times New Roman" w:hAnsi="Times New Roman" w:eastAsia="宋体" w:cs="Times New Roman"/>
                <w:kern w:val="0"/>
                <w:szCs w:val="21"/>
              </w:rPr>
              <w:t>）</w:t>
            </w:r>
            <w:r>
              <w:rPr>
                <w:rFonts w:hint="eastAsia" w:ascii="Times New Roman" w:hAnsi="Times New Roman" w:eastAsia="宋体" w:cs="Times New Roman"/>
                <w:kern w:val="0"/>
                <w:szCs w:val="21"/>
              </w:rPr>
              <w:t>。</w:t>
            </w:r>
          </w:p>
        </w:tc>
      </w:tr>
    </w:tbl>
    <w:p w14:paraId="74824BBB">
      <w:pPr>
        <w:widowControl/>
        <w:spacing w:before="280" w:afterAutospacing="1"/>
        <w:jc w:val="center"/>
        <w:outlineLvl w:val="1"/>
        <w:rPr>
          <w:rFonts w:ascii="Times New Roman" w:hAnsi="Times New Roman" w:eastAsia="黑体" w:cs="Times New Roman"/>
          <w:kern w:val="0"/>
          <w:sz w:val="40"/>
          <w:szCs w:val="40"/>
        </w:rPr>
      </w:pPr>
      <w:r>
        <w:rPr>
          <w:rFonts w:ascii="Times New Roman" w:hAnsi="Times New Roman" w:eastAsia="黑体" w:cs="Times New Roman"/>
          <w:kern w:val="0"/>
          <w:sz w:val="40"/>
          <w:szCs w:val="40"/>
        </w:rPr>
        <w:t>符合性审查表</w:t>
      </w:r>
    </w:p>
    <w:tbl>
      <w:tblPr>
        <w:tblStyle w:val="44"/>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5917F7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64A4EAA">
            <w:pPr>
              <w:widowControl/>
              <w:jc w:val="center"/>
              <w:rPr>
                <w:rFonts w:ascii="Times New Roman" w:hAnsi="Times New Roman" w:eastAsia="宋体" w:cs="Times New Roman"/>
                <w:sz w:val="28"/>
                <w:szCs w:val="28"/>
              </w:rPr>
            </w:pPr>
            <w:r>
              <w:rPr>
                <w:rFonts w:ascii="Times New Roman" w:hAnsi="Times New Roman" w:eastAsia="宋体" w:cs="Times New Roman"/>
                <w:kern w:val="0"/>
                <w:sz w:val="28"/>
                <w:szCs w:val="28"/>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85AFADA">
            <w:pPr>
              <w:widowControl/>
              <w:jc w:val="center"/>
              <w:rPr>
                <w:rFonts w:ascii="Times New Roman" w:hAnsi="Times New Roman" w:eastAsia="宋体" w:cs="Times New Roman"/>
                <w:sz w:val="28"/>
                <w:szCs w:val="28"/>
              </w:rPr>
            </w:pPr>
            <w:r>
              <w:rPr>
                <w:rFonts w:ascii="Times New Roman" w:hAnsi="Times New Roman" w:eastAsia="宋体" w:cs="Times New Roman"/>
                <w:kern w:val="0"/>
                <w:sz w:val="28"/>
                <w:szCs w:val="28"/>
              </w:rPr>
              <w:t>内容</w:t>
            </w:r>
          </w:p>
        </w:tc>
      </w:tr>
      <w:tr w14:paraId="5D1CE1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14:paraId="38AFD9D3">
            <w:pPr>
              <w:widowControl/>
              <w:jc w:val="center"/>
              <w:textAlignment w:val="top"/>
              <w:rPr>
                <w:rFonts w:ascii="宋体" w:hAnsi="宋体" w:eastAsia="宋体" w:cs="宋体"/>
                <w:szCs w:val="21"/>
              </w:rPr>
            </w:pPr>
            <w:r>
              <w:rPr>
                <w:rFonts w:hint="eastAsia" w:ascii="宋体" w:hAnsi="宋体" w:eastAsia="宋体" w:cs="宋体"/>
                <w:kern w:val="0"/>
                <w:szCs w:val="21"/>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4C136506">
            <w:pPr>
              <w:widowControl/>
              <w:jc w:val="left"/>
              <w:textAlignment w:val="top"/>
              <w:rPr>
                <w:rFonts w:ascii="Times New Roman" w:hAnsi="Times New Roman" w:eastAsia="宋体" w:cs="Times New Roman"/>
                <w:szCs w:val="21"/>
              </w:rPr>
            </w:pPr>
            <w:r>
              <w:rPr>
                <w:rFonts w:ascii="Times New Roman" w:hAnsi="Times New Roman" w:eastAsia="宋体" w:cs="Times New Roman"/>
                <w:szCs w:val="24"/>
              </w:rPr>
              <w:t>不得将一个包的内容拆开投标；</w:t>
            </w:r>
          </w:p>
        </w:tc>
      </w:tr>
      <w:tr w14:paraId="6637EB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14:paraId="428E93EC">
            <w:pPr>
              <w:widowControl/>
              <w:jc w:val="center"/>
              <w:textAlignment w:val="top"/>
              <w:rPr>
                <w:rFonts w:ascii="宋体" w:hAnsi="宋体" w:eastAsia="宋体" w:cs="宋体"/>
                <w:szCs w:val="21"/>
              </w:rPr>
            </w:pPr>
            <w:r>
              <w:rPr>
                <w:rFonts w:hint="eastAsia" w:ascii="宋体" w:hAnsi="宋体" w:eastAsia="宋体" w:cs="宋体"/>
                <w:kern w:val="0"/>
                <w:szCs w:val="21"/>
              </w:rPr>
              <w:t>2</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005CA475">
            <w:pPr>
              <w:widowControl/>
              <w:jc w:val="left"/>
              <w:textAlignment w:val="top"/>
              <w:rPr>
                <w:rFonts w:ascii="Times New Roman" w:hAnsi="Times New Roman" w:eastAsia="宋体" w:cs="Times New Roman"/>
                <w:szCs w:val="21"/>
              </w:rPr>
            </w:pPr>
            <w:r>
              <w:rPr>
                <w:rFonts w:ascii="Times New Roman" w:hAnsi="Times New Roman" w:eastAsia="宋体" w:cs="Times New Roman"/>
                <w:szCs w:val="24"/>
              </w:rPr>
              <w:t>对同一项目投标时，不得提供两套以上的投标方案（招标文件另有规定的除外）；</w:t>
            </w:r>
          </w:p>
        </w:tc>
      </w:tr>
      <w:tr w14:paraId="576569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14:paraId="43D379AE">
            <w:pPr>
              <w:widowControl/>
              <w:jc w:val="center"/>
              <w:textAlignment w:val="top"/>
              <w:rPr>
                <w:rFonts w:ascii="宋体" w:hAnsi="宋体" w:eastAsia="宋体" w:cs="宋体"/>
                <w:szCs w:val="21"/>
              </w:rPr>
            </w:pPr>
            <w:r>
              <w:rPr>
                <w:rFonts w:hint="eastAsia" w:ascii="宋体" w:hAnsi="宋体" w:eastAsia="宋体" w:cs="宋体"/>
                <w:kern w:val="0"/>
                <w:szCs w:val="21"/>
              </w:rPr>
              <w:t>3</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2698615F">
            <w:pPr>
              <w:widowControl/>
              <w:jc w:val="left"/>
              <w:textAlignment w:val="top"/>
              <w:rPr>
                <w:rFonts w:ascii="Times New Roman" w:hAnsi="Times New Roman" w:eastAsia="宋体" w:cs="Times New Roman"/>
                <w:szCs w:val="21"/>
              </w:rPr>
            </w:pPr>
            <w:r>
              <w:rPr>
                <w:rFonts w:ascii="Times New Roman" w:hAnsi="Times New Roman" w:eastAsia="宋体" w:cs="Times New Roman"/>
                <w:szCs w:val="24"/>
              </w:rPr>
              <w:t>分项报价或投标总价不得高于</w:t>
            </w:r>
            <w:bookmarkStart w:id="1" w:name="_Hlk71832186"/>
            <w:r>
              <w:rPr>
                <w:rFonts w:ascii="Times New Roman" w:hAnsi="Times New Roman" w:eastAsia="宋体" w:cs="Times New Roman"/>
                <w:szCs w:val="24"/>
              </w:rPr>
              <w:t>相应预算金额（或设定的预算金额下的最高限价）</w:t>
            </w:r>
            <w:bookmarkEnd w:id="1"/>
            <w:r>
              <w:rPr>
                <w:rFonts w:ascii="Times New Roman" w:hAnsi="Times New Roman" w:eastAsia="宋体" w:cs="Times New Roman"/>
                <w:szCs w:val="24"/>
              </w:rPr>
              <w:t>；</w:t>
            </w:r>
          </w:p>
        </w:tc>
      </w:tr>
      <w:tr w14:paraId="600A50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14:paraId="7D2FBE02">
            <w:pPr>
              <w:widowControl/>
              <w:jc w:val="center"/>
              <w:textAlignment w:val="top"/>
              <w:rPr>
                <w:rFonts w:ascii="宋体" w:hAnsi="宋体" w:eastAsia="宋体" w:cs="宋体"/>
                <w:b/>
                <w:bCs/>
                <w:szCs w:val="21"/>
              </w:rPr>
            </w:pPr>
            <w:r>
              <w:rPr>
                <w:rFonts w:hint="eastAsia" w:ascii="宋体" w:hAnsi="宋体" w:eastAsia="宋体" w:cs="宋体"/>
                <w:b/>
                <w:bCs/>
                <w:kern w:val="0"/>
                <w:szCs w:val="21"/>
              </w:rPr>
              <w:t>4</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797609BF">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b/>
                <w:bCs/>
                <w:sz w:val="21"/>
                <w:szCs w:val="21"/>
              </w:rPr>
            </w:pPr>
            <w:r>
              <w:rPr>
                <w:rFonts w:hint="eastAsia" w:ascii="宋体" w:hAnsi="宋体" w:eastAsia="宋体" w:cs="宋体"/>
                <w:b/>
                <w:bCs/>
                <w:sz w:val="21"/>
                <w:szCs w:val="21"/>
              </w:rPr>
              <w:t>评审中出现下列情形之一的，评审委员会应当启动异常低价投标（响应）审查程序：</w:t>
            </w:r>
          </w:p>
          <w:p w14:paraId="604FC67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b/>
                <w:bCs/>
                <w:sz w:val="21"/>
                <w:szCs w:val="21"/>
              </w:rPr>
            </w:pPr>
            <w:r>
              <w:rPr>
                <w:rFonts w:hint="eastAsia" w:ascii="宋体" w:hAnsi="宋体" w:eastAsia="宋体" w:cs="宋体"/>
                <w:b/>
                <w:bCs/>
                <w:sz w:val="21"/>
                <w:szCs w:val="21"/>
              </w:rPr>
              <w:t>1.投标（响应）报价低于全部通过符合性审查供应商投标（响应）报价平均值</w:t>
            </w:r>
            <w:r>
              <w:rPr>
                <w:rFonts w:hint="eastAsia" w:ascii="宋体" w:hAnsi="宋体" w:eastAsia="宋体" w:cs="宋体"/>
                <w:b/>
                <w:bCs/>
                <w:sz w:val="21"/>
                <w:szCs w:val="21"/>
                <w:lang w:val="en-US" w:eastAsia="zh-CN"/>
              </w:rPr>
              <w:t>60</w:t>
            </w:r>
            <w:r>
              <w:rPr>
                <w:rFonts w:hint="eastAsia" w:ascii="宋体" w:hAnsi="宋体" w:eastAsia="宋体" w:cs="宋体"/>
                <w:b/>
                <w:bCs/>
                <w:sz w:val="21"/>
                <w:szCs w:val="21"/>
              </w:rPr>
              <w:t>%的，即投标（响应）报价&lt;全部通过符合性审查供应商投标（响应）报价平均值×</w:t>
            </w:r>
            <w:r>
              <w:rPr>
                <w:rFonts w:hint="eastAsia" w:ascii="宋体" w:hAnsi="宋体" w:eastAsia="宋体" w:cs="宋体"/>
                <w:b/>
                <w:bCs/>
                <w:sz w:val="21"/>
                <w:szCs w:val="21"/>
                <w:lang w:val="en-US" w:eastAsia="zh-CN"/>
              </w:rPr>
              <w:t>60</w:t>
            </w:r>
            <w:r>
              <w:rPr>
                <w:rFonts w:hint="eastAsia" w:ascii="宋体" w:hAnsi="宋体" w:eastAsia="宋体" w:cs="宋体"/>
                <w:b/>
                <w:bCs/>
                <w:sz w:val="21"/>
                <w:szCs w:val="21"/>
              </w:rPr>
              <w:t>%；</w:t>
            </w:r>
          </w:p>
          <w:p w14:paraId="7BFAA14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b/>
                <w:bCs/>
                <w:sz w:val="21"/>
                <w:szCs w:val="21"/>
              </w:rPr>
            </w:pPr>
            <w:r>
              <w:rPr>
                <w:rFonts w:hint="eastAsia" w:ascii="宋体" w:hAnsi="宋体" w:eastAsia="宋体" w:cs="宋体"/>
                <w:b/>
                <w:bCs/>
                <w:sz w:val="21"/>
                <w:szCs w:val="21"/>
              </w:rPr>
              <w:t>2.投标（响应）报价低于通过符合性审查的次低报价供应商投标（响应）报价</w:t>
            </w:r>
            <w:r>
              <w:rPr>
                <w:rFonts w:hint="eastAsia" w:ascii="宋体" w:hAnsi="宋体" w:eastAsia="宋体" w:cs="宋体"/>
                <w:b/>
                <w:bCs/>
                <w:sz w:val="21"/>
                <w:szCs w:val="21"/>
                <w:lang w:val="en-US" w:eastAsia="zh-CN"/>
              </w:rPr>
              <w:t>60</w:t>
            </w:r>
            <w:r>
              <w:rPr>
                <w:rFonts w:hint="eastAsia" w:ascii="宋体" w:hAnsi="宋体" w:eastAsia="宋体" w:cs="宋体"/>
                <w:b/>
                <w:bCs/>
                <w:sz w:val="21"/>
                <w:szCs w:val="21"/>
              </w:rPr>
              <w:t>%的，即投标（响应）报价&lt;通过符合性审查的次低报价供应商投标（响应）报价×</w:t>
            </w:r>
            <w:r>
              <w:rPr>
                <w:rFonts w:hint="eastAsia" w:ascii="宋体" w:hAnsi="宋体" w:eastAsia="宋体" w:cs="宋体"/>
                <w:b/>
                <w:bCs/>
                <w:sz w:val="21"/>
                <w:szCs w:val="21"/>
                <w:lang w:val="en-US" w:eastAsia="zh-CN"/>
              </w:rPr>
              <w:t>60</w:t>
            </w:r>
            <w:r>
              <w:rPr>
                <w:rFonts w:hint="eastAsia" w:ascii="宋体" w:hAnsi="宋体" w:eastAsia="宋体" w:cs="宋体"/>
                <w:b/>
                <w:bCs/>
                <w:sz w:val="21"/>
                <w:szCs w:val="21"/>
              </w:rPr>
              <w:t>%；</w:t>
            </w:r>
          </w:p>
          <w:p w14:paraId="3AAB99EE">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b/>
                <w:bCs/>
                <w:sz w:val="21"/>
                <w:szCs w:val="21"/>
              </w:rPr>
            </w:pPr>
            <w:r>
              <w:rPr>
                <w:rFonts w:hint="eastAsia" w:ascii="宋体" w:hAnsi="宋体" w:eastAsia="宋体" w:cs="宋体"/>
                <w:b/>
                <w:bCs/>
                <w:sz w:val="21"/>
                <w:szCs w:val="21"/>
              </w:rPr>
              <w:t>3.投标（响应）报价低于采购项目最高限价</w:t>
            </w:r>
            <w:r>
              <w:rPr>
                <w:rFonts w:hint="eastAsia" w:ascii="宋体" w:hAnsi="宋体" w:eastAsia="宋体" w:cs="宋体"/>
                <w:b/>
                <w:bCs/>
                <w:sz w:val="21"/>
                <w:szCs w:val="21"/>
                <w:lang w:val="en-US" w:eastAsia="zh-CN"/>
              </w:rPr>
              <w:t>60</w:t>
            </w:r>
            <w:r>
              <w:rPr>
                <w:rFonts w:hint="eastAsia" w:ascii="宋体" w:hAnsi="宋体" w:eastAsia="宋体" w:cs="宋体"/>
                <w:b/>
                <w:bCs/>
                <w:sz w:val="21"/>
                <w:szCs w:val="21"/>
              </w:rPr>
              <w:t>%的，即投标（响应）报价&lt;采购项目最高限价×</w:t>
            </w:r>
            <w:r>
              <w:rPr>
                <w:rFonts w:hint="eastAsia" w:ascii="宋体" w:hAnsi="宋体" w:eastAsia="宋体" w:cs="宋体"/>
                <w:b/>
                <w:bCs/>
                <w:sz w:val="21"/>
                <w:szCs w:val="21"/>
                <w:lang w:val="en-US" w:eastAsia="zh-CN"/>
              </w:rPr>
              <w:t>60</w:t>
            </w:r>
            <w:r>
              <w:rPr>
                <w:rFonts w:hint="eastAsia" w:ascii="宋体" w:hAnsi="宋体" w:eastAsia="宋体" w:cs="宋体"/>
                <w:b/>
                <w:bCs/>
                <w:sz w:val="21"/>
                <w:szCs w:val="21"/>
              </w:rPr>
              <w:t>%；</w:t>
            </w:r>
          </w:p>
          <w:p w14:paraId="237F3464">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b/>
                <w:bCs/>
                <w:sz w:val="21"/>
                <w:szCs w:val="21"/>
              </w:rPr>
            </w:pPr>
            <w:r>
              <w:rPr>
                <w:rFonts w:hint="eastAsia" w:ascii="宋体" w:hAnsi="宋体" w:eastAsia="宋体" w:cs="宋体"/>
                <w:b/>
                <w:bCs/>
                <w:sz w:val="21"/>
                <w:szCs w:val="21"/>
              </w:rPr>
              <w:t>4.评审委员会基于专业判断，认为供应商报价过低，有可能影响产品质量或者不能诚信履约的其他情形。</w:t>
            </w:r>
          </w:p>
          <w:p w14:paraId="2BA6D77C">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b/>
                <w:bCs/>
                <w:sz w:val="21"/>
                <w:szCs w:val="21"/>
              </w:rPr>
            </w:pPr>
            <w:r>
              <w:rPr>
                <w:rFonts w:hint="eastAsia" w:ascii="宋体" w:hAnsi="宋体" w:eastAsia="宋体" w:cs="宋体"/>
                <w:b/>
                <w:bCs/>
                <w:sz w:val="21"/>
                <w:szCs w:val="21"/>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5867D89">
            <w:pPr>
              <w:widowControl/>
              <w:jc w:val="left"/>
              <w:textAlignment w:val="top"/>
              <w:rPr>
                <w:rFonts w:ascii="Times New Roman" w:hAnsi="Times New Roman" w:eastAsia="宋体" w:cs="Times New Roman"/>
                <w:szCs w:val="21"/>
              </w:rPr>
            </w:pPr>
            <w:r>
              <w:rPr>
                <w:rFonts w:hint="eastAsia" w:ascii="宋体" w:hAnsi="宋体" w:eastAsia="宋体" w:cs="宋体"/>
                <w:b/>
                <w:bCs/>
                <w:sz w:val="21"/>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5CC07E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14:paraId="32103580">
            <w:pPr>
              <w:widowControl/>
              <w:jc w:val="center"/>
              <w:textAlignment w:val="top"/>
              <w:rPr>
                <w:rFonts w:ascii="宋体" w:hAnsi="宋体" w:eastAsia="宋体" w:cs="宋体"/>
                <w:szCs w:val="21"/>
              </w:rPr>
            </w:pPr>
            <w:r>
              <w:rPr>
                <w:rFonts w:hint="eastAsia" w:ascii="宋体" w:hAnsi="宋体" w:eastAsia="宋体" w:cs="宋体"/>
                <w:kern w:val="0"/>
                <w:szCs w:val="21"/>
              </w:rPr>
              <w:t>5</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7059BAF3">
            <w:pPr>
              <w:widowControl/>
              <w:jc w:val="left"/>
              <w:textAlignment w:val="top"/>
              <w:rPr>
                <w:rFonts w:ascii="Times New Roman" w:hAnsi="Times New Roman" w:eastAsia="宋体" w:cs="Times New Roman"/>
                <w:szCs w:val="21"/>
              </w:rPr>
            </w:pPr>
            <w:r>
              <w:rPr>
                <w:rFonts w:ascii="Times New Roman" w:hAnsi="Times New Roman" w:eastAsia="宋体" w:cs="Times New Roman"/>
                <w:szCs w:val="24"/>
              </w:rPr>
              <w:t>所投货物、服务在技术、商务等方面没有实质性满足招标文件要求的（是否实质性满足招标文件要求，由评审委员会根据实质性条款响应情况</w:t>
            </w:r>
            <w:r>
              <w:rPr>
                <w:rFonts w:hint="eastAsia" w:ascii="Times New Roman" w:hAnsi="Times New Roman" w:eastAsia="宋体" w:cs="Times New Roman"/>
                <w:szCs w:val="24"/>
                <w:lang w:val="en-US" w:eastAsia="zh-CN"/>
              </w:rPr>
              <w:t>做出</w:t>
            </w:r>
            <w:r>
              <w:rPr>
                <w:rFonts w:ascii="Times New Roman" w:hAnsi="Times New Roman" w:eastAsia="宋体" w:cs="Times New Roman"/>
                <w:szCs w:val="24"/>
              </w:rPr>
              <w:t>评判</w:t>
            </w:r>
            <w:r>
              <w:rPr>
                <w:rFonts w:hint="eastAsia"/>
              </w:rPr>
              <w:t>；若招标文件未设置实质性条款，不得据此做投标无效处理）</w:t>
            </w:r>
            <w:r>
              <w:rPr>
                <w:rFonts w:ascii="Times New Roman" w:hAnsi="Times New Roman" w:eastAsia="宋体" w:cs="Times New Roman"/>
                <w:szCs w:val="24"/>
              </w:rPr>
              <w:t>；</w:t>
            </w:r>
          </w:p>
        </w:tc>
      </w:tr>
      <w:tr w14:paraId="483AC7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14:paraId="0E7C4B57">
            <w:pPr>
              <w:widowControl/>
              <w:jc w:val="center"/>
              <w:textAlignment w:val="top"/>
              <w:rPr>
                <w:rFonts w:ascii="宋体" w:hAnsi="宋体" w:eastAsia="宋体" w:cs="宋体"/>
                <w:szCs w:val="21"/>
              </w:rPr>
            </w:pPr>
            <w:r>
              <w:rPr>
                <w:rFonts w:hint="eastAsia" w:ascii="宋体" w:hAnsi="宋体" w:eastAsia="宋体" w:cs="宋体"/>
                <w:kern w:val="0"/>
                <w:szCs w:val="21"/>
              </w:rPr>
              <w:t>6</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4082AFE6">
            <w:pPr>
              <w:widowControl/>
              <w:jc w:val="left"/>
              <w:textAlignment w:val="top"/>
              <w:rPr>
                <w:rFonts w:ascii="Times New Roman" w:hAnsi="Times New Roman" w:eastAsia="宋体" w:cs="Times New Roman"/>
                <w:szCs w:val="21"/>
              </w:rPr>
            </w:pPr>
            <w:r>
              <w:rPr>
                <w:rFonts w:ascii="Times New Roman" w:hAnsi="Times New Roman" w:eastAsia="宋体" w:cs="Times New Roman"/>
                <w:szCs w:val="24"/>
              </w:rPr>
              <w:t>未按招标文件所提供的样式填写《投标函》；未按招标文件所提供的《政府采购投标及履约承诺函》进行承诺或不符合承诺的；未按招标文件对投标文件组成的要求提供投标文件；</w:t>
            </w:r>
          </w:p>
        </w:tc>
      </w:tr>
      <w:tr w14:paraId="45A33C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90" w:hRule="atLeast"/>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14:paraId="00D8AFD4">
            <w:pPr>
              <w:widowControl/>
              <w:jc w:val="center"/>
              <w:textAlignment w:val="top"/>
              <w:rPr>
                <w:rFonts w:ascii="宋体" w:hAnsi="宋体" w:eastAsia="宋体" w:cs="宋体"/>
                <w:szCs w:val="21"/>
              </w:rPr>
            </w:pPr>
            <w:r>
              <w:rPr>
                <w:rFonts w:hint="eastAsia" w:ascii="宋体" w:hAnsi="宋体" w:eastAsia="宋体" w:cs="宋体"/>
                <w:kern w:val="0"/>
                <w:szCs w:val="21"/>
              </w:rPr>
              <w:t>7</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7511A2E9">
            <w:pPr>
              <w:widowControl/>
              <w:jc w:val="left"/>
              <w:textAlignment w:val="top"/>
              <w:rPr>
                <w:rFonts w:ascii="Times New Roman" w:hAnsi="Times New Roman" w:eastAsia="宋体" w:cs="Times New Roman"/>
                <w:szCs w:val="21"/>
              </w:rPr>
            </w:pPr>
            <w:r>
              <w:rPr>
                <w:rFonts w:hint="eastAsia" w:ascii="Times New Roman" w:hAnsi="Times New Roman" w:eastAsia="宋体" w:cs="Times New Roman"/>
                <w:szCs w:val="24"/>
              </w:rPr>
              <w:t>采购标的/所投产品/货物（服务）清单/报价等任意一类有缺漏项或响应不全，或者对招标文件规定的项目需求内容或者需求数量进行修改，评审委员会判定投标响应不满足采购需求；</w:t>
            </w:r>
          </w:p>
        </w:tc>
      </w:tr>
      <w:tr w14:paraId="2BEFDE0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14:paraId="7DA0F815">
            <w:pPr>
              <w:widowControl/>
              <w:jc w:val="center"/>
              <w:textAlignment w:val="top"/>
              <w:rPr>
                <w:rFonts w:ascii="宋体" w:hAnsi="宋体" w:eastAsia="宋体" w:cs="宋体"/>
                <w:szCs w:val="21"/>
              </w:rPr>
            </w:pPr>
            <w:r>
              <w:rPr>
                <w:rFonts w:hint="eastAsia" w:ascii="宋体" w:hAnsi="宋体" w:eastAsia="宋体" w:cs="宋体"/>
                <w:kern w:val="0"/>
                <w:szCs w:val="21"/>
              </w:rPr>
              <w:t>8</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76685310">
            <w:pPr>
              <w:widowControl/>
              <w:jc w:val="left"/>
              <w:textAlignment w:val="top"/>
              <w:rPr>
                <w:rFonts w:ascii="Times New Roman" w:hAnsi="Times New Roman" w:eastAsia="宋体" w:cs="Times New Roman"/>
                <w:szCs w:val="21"/>
              </w:rPr>
            </w:pPr>
            <w:r>
              <w:rPr>
                <w:rFonts w:ascii="Times New Roman" w:hAnsi="Times New Roman" w:eastAsia="宋体" w:cs="Times New Roman"/>
                <w:szCs w:val="24"/>
              </w:rPr>
              <w:t>投标文件存在列放位置错误，导致属于信息公开情形的没有被公开；</w:t>
            </w:r>
          </w:p>
        </w:tc>
      </w:tr>
      <w:tr w14:paraId="69A948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14:paraId="41C8AE3F">
            <w:pPr>
              <w:widowControl/>
              <w:jc w:val="center"/>
              <w:textAlignment w:val="top"/>
              <w:rPr>
                <w:rFonts w:ascii="宋体" w:hAnsi="宋体" w:eastAsia="宋体" w:cs="宋体"/>
                <w:szCs w:val="21"/>
              </w:rPr>
            </w:pPr>
            <w:r>
              <w:rPr>
                <w:rFonts w:hint="eastAsia" w:ascii="宋体" w:hAnsi="宋体" w:eastAsia="宋体" w:cs="宋体"/>
                <w:kern w:val="0"/>
                <w:szCs w:val="21"/>
              </w:rPr>
              <w:t>9</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2D553127">
            <w:pPr>
              <w:widowControl/>
              <w:jc w:val="left"/>
              <w:textAlignment w:val="top"/>
              <w:rPr>
                <w:rFonts w:ascii="Times New Roman" w:hAnsi="Times New Roman" w:eastAsia="宋体" w:cs="Times New Roman"/>
                <w:szCs w:val="21"/>
              </w:rPr>
            </w:pPr>
            <w:r>
              <w:rPr>
                <w:rFonts w:ascii="Times New Roman" w:hAnsi="Times New Roman" w:eastAsia="宋体" w:cs="Times New Roman"/>
                <w:szCs w:val="24"/>
              </w:rPr>
              <w:t>投标文件电子文档不得带病毒；</w:t>
            </w:r>
          </w:p>
        </w:tc>
      </w:tr>
      <w:tr w14:paraId="4B68F2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14:paraId="6B77AB69">
            <w:pPr>
              <w:widowControl/>
              <w:jc w:val="center"/>
              <w:textAlignment w:val="top"/>
              <w:rPr>
                <w:rFonts w:ascii="宋体" w:hAnsi="宋体" w:eastAsia="宋体" w:cs="宋体"/>
                <w:szCs w:val="21"/>
              </w:rPr>
            </w:pPr>
            <w:r>
              <w:rPr>
                <w:rFonts w:hint="eastAsia" w:ascii="宋体" w:hAnsi="宋体" w:eastAsia="宋体" w:cs="宋体"/>
                <w:kern w:val="0"/>
                <w:szCs w:val="21"/>
              </w:rPr>
              <w:t>10</w:t>
            </w:r>
          </w:p>
        </w:tc>
        <w:tc>
          <w:tcPr>
            <w:tcW w:w="8284" w:type="dxa"/>
            <w:tcBorders>
              <w:top w:val="single" w:color="000000" w:sz="8" w:space="0"/>
              <w:left w:val="single" w:color="000000" w:sz="8" w:space="0"/>
              <w:bottom w:val="single" w:color="000000" w:sz="8" w:space="0"/>
              <w:right w:val="single" w:color="000000" w:sz="8" w:space="0"/>
            </w:tcBorders>
            <w:shd w:val="clear" w:color="auto" w:fill="auto"/>
            <w:vAlign w:val="top"/>
          </w:tcPr>
          <w:p w14:paraId="3E72EF66">
            <w:pPr>
              <w:widowControl/>
              <w:jc w:val="left"/>
              <w:textAlignment w:val="top"/>
              <w:rPr>
                <w:rFonts w:ascii="Times New Roman" w:hAnsi="Times New Roman" w:eastAsia="宋体" w:cs="Times New Roman"/>
                <w:szCs w:val="21"/>
              </w:rPr>
            </w:pPr>
            <w:r>
              <w:rPr>
                <w:rFonts w:hint="eastAsia"/>
              </w:rPr>
              <w:t>投标文件</w:t>
            </w:r>
            <w:r>
              <w:rPr>
                <w:rFonts w:hint="eastAsia"/>
                <w:lang w:val="en-US" w:eastAsia="zh-CN"/>
              </w:rPr>
              <w:t>不得</w:t>
            </w:r>
            <w:r>
              <w:rPr>
                <w:rFonts w:hint="eastAsia"/>
              </w:rPr>
              <w:t>用不属于本公司的电子密钥或电子营业执照进行加密；</w:t>
            </w:r>
          </w:p>
        </w:tc>
      </w:tr>
      <w:tr w14:paraId="0E5FFB6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14:paraId="4872A8D2">
            <w:pPr>
              <w:widowControl/>
              <w:jc w:val="center"/>
              <w:textAlignment w:val="top"/>
              <w:rPr>
                <w:rFonts w:ascii="宋体" w:hAnsi="宋体" w:eastAsia="宋体" w:cs="宋体"/>
                <w:szCs w:val="21"/>
              </w:rPr>
            </w:pPr>
            <w:r>
              <w:rPr>
                <w:rFonts w:hint="eastAsia" w:ascii="宋体" w:hAnsi="宋体" w:eastAsia="宋体" w:cs="宋体"/>
                <w:kern w:val="0"/>
                <w:szCs w:val="21"/>
              </w:rPr>
              <w:t>11</w:t>
            </w:r>
          </w:p>
        </w:tc>
        <w:tc>
          <w:tcPr>
            <w:tcW w:w="8284" w:type="dxa"/>
            <w:tcBorders>
              <w:top w:val="single" w:color="000000" w:sz="8" w:space="0"/>
              <w:left w:val="single" w:color="000000" w:sz="8" w:space="0"/>
              <w:bottom w:val="single" w:color="000000" w:sz="8" w:space="0"/>
              <w:right w:val="single" w:color="000000" w:sz="8" w:space="0"/>
            </w:tcBorders>
            <w:shd w:val="clear" w:color="auto" w:fill="auto"/>
            <w:vAlign w:val="top"/>
          </w:tcPr>
          <w:p w14:paraId="613DB615">
            <w:pPr>
              <w:widowControl/>
              <w:jc w:val="left"/>
              <w:textAlignment w:val="top"/>
              <w:rPr>
                <w:rFonts w:ascii="Times New Roman" w:hAnsi="Times New Roman" w:eastAsia="宋体" w:cs="Times New Roman"/>
                <w:szCs w:val="21"/>
              </w:rPr>
            </w:pPr>
            <w:r>
              <w:rPr>
                <w:rFonts w:hint="eastAsia" w:cs="Times New Roman"/>
                <w:sz w:val="21"/>
                <w:szCs w:val="24"/>
                <w:lang w:val="en-US" w:eastAsia="zh-CN"/>
              </w:rPr>
              <w:t>不得与其他</w:t>
            </w:r>
            <w:r>
              <w:rPr>
                <w:rFonts w:hint="eastAsia" w:ascii="Times New Roman" w:hAnsi="Times New Roman" w:eastAsia="宋体" w:cs="Times New Roman"/>
                <w:sz w:val="21"/>
                <w:szCs w:val="24"/>
              </w:rPr>
              <w:t>投标供应商投标文件“文件制作机器码”一致</w:t>
            </w:r>
            <w:r>
              <w:rPr>
                <w:rFonts w:hint="eastAsia" w:ascii="Times New Roman" w:hAnsi="Times New Roman" w:eastAsia="宋体" w:cs="Times New Roman"/>
                <w:sz w:val="21"/>
                <w:szCs w:val="24"/>
                <w:lang w:eastAsia="zh-CN"/>
              </w:rPr>
              <w:t>；</w:t>
            </w:r>
          </w:p>
        </w:tc>
      </w:tr>
      <w:tr w14:paraId="29758A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14:paraId="1686621F">
            <w:pPr>
              <w:widowControl/>
              <w:jc w:val="center"/>
              <w:textAlignment w:val="top"/>
              <w:rPr>
                <w:rFonts w:ascii="宋体" w:hAnsi="宋体" w:eastAsia="宋体" w:cs="宋体"/>
                <w:kern w:val="0"/>
                <w:szCs w:val="21"/>
              </w:rPr>
            </w:pPr>
            <w:r>
              <w:rPr>
                <w:rFonts w:hint="eastAsia" w:ascii="宋体" w:hAnsi="宋体" w:eastAsia="宋体" w:cs="宋体"/>
                <w:kern w:val="0"/>
                <w:szCs w:val="21"/>
              </w:rPr>
              <w:t>12</w:t>
            </w:r>
          </w:p>
        </w:tc>
        <w:tc>
          <w:tcPr>
            <w:tcW w:w="8284" w:type="dxa"/>
            <w:tcBorders>
              <w:top w:val="single" w:color="000000" w:sz="8" w:space="0"/>
              <w:left w:val="single" w:color="000000" w:sz="8" w:space="0"/>
              <w:bottom w:val="single" w:color="000000" w:sz="8" w:space="0"/>
              <w:right w:val="single" w:color="000000" w:sz="8" w:space="0"/>
            </w:tcBorders>
            <w:shd w:val="clear" w:color="auto" w:fill="auto"/>
            <w:vAlign w:val="top"/>
          </w:tcPr>
          <w:p w14:paraId="53E94E12">
            <w:pPr>
              <w:widowControl/>
              <w:jc w:val="left"/>
              <w:textAlignment w:val="top"/>
              <w:rPr>
                <w:rFonts w:ascii="Times New Roman" w:hAnsi="Times New Roman" w:eastAsia="宋体" w:cs="Times New Roman"/>
                <w:szCs w:val="24"/>
              </w:rPr>
            </w:pPr>
            <w:r>
              <w:rPr>
                <w:rFonts w:hint="eastAsia" w:cs="Times New Roman"/>
                <w:sz w:val="21"/>
                <w:szCs w:val="24"/>
                <w:lang w:val="en-US" w:eastAsia="zh-CN"/>
              </w:rPr>
              <w:t>不得与其他</w:t>
            </w:r>
            <w:r>
              <w:rPr>
                <w:rFonts w:hint="eastAsia" w:ascii="Times New Roman" w:hAnsi="Times New Roman" w:eastAsia="宋体" w:cs="Times New Roman"/>
                <w:sz w:val="21"/>
                <w:szCs w:val="24"/>
              </w:rPr>
              <w:t>投标供应商投标文件“文件创建标识码”一致</w:t>
            </w:r>
            <w:r>
              <w:rPr>
                <w:rFonts w:hint="eastAsia" w:ascii="Times New Roman" w:hAnsi="Times New Roman" w:eastAsia="宋体" w:cs="Times New Roman"/>
                <w:sz w:val="21"/>
                <w:szCs w:val="24"/>
                <w:lang w:eastAsia="zh-CN"/>
              </w:rPr>
              <w:t>；</w:t>
            </w:r>
          </w:p>
        </w:tc>
      </w:tr>
      <w:tr w14:paraId="3A19172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14:paraId="093C8EE1">
            <w:pPr>
              <w:widowControl/>
              <w:jc w:val="center"/>
              <w:textAlignment w:val="top"/>
              <w:rPr>
                <w:rFonts w:ascii="宋体" w:hAnsi="宋体" w:eastAsia="宋体" w:cs="宋体"/>
                <w:kern w:val="0"/>
                <w:szCs w:val="21"/>
              </w:rPr>
            </w:pPr>
            <w:r>
              <w:rPr>
                <w:rFonts w:hint="eastAsia" w:ascii="宋体" w:hAnsi="宋体" w:eastAsia="宋体" w:cs="宋体"/>
                <w:kern w:val="0"/>
                <w:szCs w:val="21"/>
              </w:rPr>
              <w:t>13</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018426E8">
            <w:pPr>
              <w:widowControl/>
              <w:jc w:val="left"/>
              <w:textAlignment w:val="top"/>
              <w:rPr>
                <w:rFonts w:ascii="Times New Roman" w:hAnsi="Times New Roman" w:eastAsia="宋体" w:cs="Times New Roman"/>
                <w:szCs w:val="24"/>
              </w:rPr>
            </w:pPr>
            <w:r>
              <w:rPr>
                <w:rFonts w:ascii="Times New Roman" w:hAnsi="Times New Roman" w:eastAsia="宋体" w:cs="Times New Roman"/>
                <w:szCs w:val="24"/>
              </w:rPr>
              <w:t>法律、法规、规章、规范性文件规定的其他情形。</w:t>
            </w:r>
          </w:p>
        </w:tc>
      </w:tr>
    </w:tbl>
    <w:p w14:paraId="416CAAF1">
      <w:pPr>
        <w:rPr>
          <w:rFonts w:ascii="Times New Roman" w:hAnsi="Times New Roman" w:eastAsia="黑体" w:cs="Times New Roman"/>
          <w:kern w:val="0"/>
          <w:sz w:val="40"/>
          <w:szCs w:val="40"/>
        </w:rPr>
      </w:pPr>
      <w:r>
        <w:rPr>
          <w:rFonts w:ascii="Times New Roman" w:hAnsi="Times New Roman" w:eastAsia="黑体" w:cs="Times New Roman"/>
          <w:kern w:val="0"/>
          <w:sz w:val="40"/>
          <w:szCs w:val="40"/>
        </w:rPr>
        <w:br w:type="page"/>
      </w:r>
    </w:p>
    <w:p w14:paraId="57B04179">
      <w:pPr>
        <w:widowControl/>
        <w:spacing w:beforeAutospacing="1" w:afterAutospacing="1"/>
        <w:jc w:val="center"/>
        <w:outlineLvl w:val="1"/>
        <w:rPr>
          <w:rFonts w:ascii="Times New Roman" w:hAnsi="Times New Roman" w:eastAsia="黑体" w:cs="Times New Roman"/>
          <w:kern w:val="0"/>
          <w:sz w:val="40"/>
          <w:szCs w:val="40"/>
        </w:rPr>
      </w:pPr>
      <w:r>
        <w:rPr>
          <w:rFonts w:ascii="Times New Roman" w:hAnsi="Times New Roman" w:eastAsia="黑体" w:cs="Times New Roman"/>
          <w:kern w:val="0"/>
          <w:sz w:val="40"/>
          <w:szCs w:val="40"/>
        </w:rPr>
        <w:t>评标信息</w:t>
      </w:r>
    </w:p>
    <w:tbl>
      <w:tblPr>
        <w:tblStyle w:val="44"/>
        <w:tblW w:w="906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9069"/>
      </w:tblGrid>
      <w:tr w14:paraId="00FA7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jc w:val="center"/>
        </w:trPr>
        <w:tc>
          <w:tcPr>
            <w:tcW w:w="9069" w:type="dxa"/>
            <w:vAlign w:val="center"/>
          </w:tcPr>
          <w:p w14:paraId="337C6E8B">
            <w:pPr>
              <w:jc w:val="left"/>
              <w:rPr>
                <w:rFonts w:ascii="宋体" w:hAnsi="宋体" w:eastAsia="宋体" w:cs="宋体"/>
                <w:b/>
                <w:bCs/>
                <w:sz w:val="24"/>
                <w:szCs w:val="24"/>
                <w:highlight w:val="none"/>
              </w:rPr>
            </w:pPr>
            <w:r>
              <w:rPr>
                <w:rFonts w:ascii="Times New Roman" w:hAnsi="Times New Roman" w:eastAsia="宋体" w:cs="Times New Roman"/>
                <w:b/>
                <w:bCs/>
                <w:szCs w:val="24"/>
                <w:highlight w:val="none"/>
              </w:rPr>
              <w:t>评标方法：综合评分法</w:t>
            </w:r>
          </w:p>
        </w:tc>
      </w:tr>
      <w:tr w14:paraId="4BDDD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jc w:val="center"/>
        </w:trPr>
        <w:tc>
          <w:tcPr>
            <w:tcW w:w="9069" w:type="dxa"/>
            <w:vAlign w:val="center"/>
          </w:tcPr>
          <w:p w14:paraId="095CCD01">
            <w:pPr>
              <w:spacing w:line="276" w:lineRule="auto"/>
              <w:ind w:firstLine="420" w:firstLineChars="200"/>
              <w:rPr>
                <w:rFonts w:ascii="宋体" w:hAnsi="宋体" w:eastAsia="宋体" w:cs="宋体"/>
                <w:szCs w:val="21"/>
                <w:highlight w:val="yellow"/>
              </w:rPr>
            </w:pPr>
            <w:r>
              <w:rPr>
                <w:rFonts w:hint="eastAsia" w:ascii="宋体" w:hAnsi="宋体" w:eastAsia="宋体" w:cs="宋体"/>
                <w:szCs w:val="21"/>
              </w:rPr>
              <w:t>综合评分法。</w:t>
            </w:r>
            <w:r>
              <w:rPr>
                <w:rFonts w:hint="eastAsia"/>
                <w:szCs w:val="21"/>
              </w:rPr>
              <w:t>是指投标文件满足招标文件全部实质性要求，且按照评审因素的量化指标评审得分</w:t>
            </w:r>
            <w:r>
              <w:rPr>
                <w:rFonts w:hint="eastAsia"/>
                <w:szCs w:val="21"/>
                <w:lang w:val="en-US" w:eastAsia="zh-CN"/>
              </w:rPr>
              <w:t>排名前列</w:t>
            </w:r>
            <w:r>
              <w:rPr>
                <w:szCs w:val="21"/>
              </w:rPr>
              <w:t>的投标人为中标候选人的评标方法。</w:t>
            </w:r>
          </w:p>
          <w:p w14:paraId="5B03AD0A">
            <w:pPr>
              <w:spacing w:line="276" w:lineRule="auto"/>
              <w:ind w:firstLine="420"/>
              <w:rPr>
                <w:rFonts w:ascii="宋体" w:hAnsi="宋体" w:eastAsia="宋体" w:cs="宋体"/>
                <w:szCs w:val="21"/>
              </w:rPr>
            </w:pPr>
            <w:r>
              <w:rPr>
                <w:rFonts w:hint="eastAsia" w:ascii="宋体" w:hAnsi="宋体" w:eastAsia="宋体" w:cs="宋体"/>
                <w:szCs w:val="21"/>
              </w:rPr>
              <w:t>价格分计算方法：</w:t>
            </w:r>
          </w:p>
          <w:p w14:paraId="3BAB07B8">
            <w:pPr>
              <w:spacing w:line="276" w:lineRule="auto"/>
              <w:ind w:firstLine="420"/>
              <w:rPr>
                <w:rFonts w:ascii="宋体" w:hAnsi="宋体" w:eastAsia="宋体" w:cs="宋体"/>
                <w:szCs w:val="21"/>
              </w:rPr>
            </w:pPr>
            <w:r>
              <w:rPr>
                <w:rFonts w:hint="eastAsia" w:ascii="宋体" w:hAnsi="宋体" w:eastAsia="宋体" w:cs="宋体"/>
                <w:szCs w:val="21"/>
              </w:rPr>
              <w:t>采用低价优先法计算，即满足招标文件要求且投标价格最低的投标报价为评标基准价，其价格分为满分。其他投标人的价格分统一按照下列公式计算：</w:t>
            </w:r>
          </w:p>
          <w:p w14:paraId="2C27DE73">
            <w:pPr>
              <w:spacing w:line="276" w:lineRule="auto"/>
              <w:ind w:firstLine="420"/>
              <w:rPr>
                <w:rFonts w:ascii="宋体" w:hAnsi="宋体" w:eastAsia="宋体" w:cs="宋体"/>
                <w:szCs w:val="21"/>
              </w:rPr>
            </w:pPr>
            <w:r>
              <w:rPr>
                <w:rFonts w:hint="eastAsia" w:ascii="宋体" w:hAnsi="宋体" w:eastAsia="宋体" w:cs="宋体"/>
                <w:szCs w:val="21"/>
              </w:rPr>
              <w:t>投标报价得分=(评标基准价／投标报价)×100</w:t>
            </w:r>
          </w:p>
          <w:p w14:paraId="3F7D9C2F">
            <w:pPr>
              <w:spacing w:line="276" w:lineRule="auto"/>
              <w:ind w:firstLine="420"/>
              <w:rPr>
                <w:rFonts w:ascii="宋体" w:hAnsi="宋体" w:eastAsia="宋体" w:cs="宋体"/>
                <w:szCs w:val="21"/>
              </w:rPr>
            </w:pPr>
            <w:r>
              <w:rPr>
                <w:rFonts w:hint="eastAsia" w:ascii="宋体" w:hAnsi="宋体" w:eastAsia="宋体" w:cs="宋体"/>
                <w:szCs w:val="21"/>
              </w:rPr>
              <w:t>评标总得分＝F1×A1＋F2×A2＋……＋Fn×An</w:t>
            </w:r>
          </w:p>
          <w:p w14:paraId="2CE0C83C">
            <w:pPr>
              <w:spacing w:line="276" w:lineRule="auto"/>
              <w:ind w:firstLine="420"/>
              <w:rPr>
                <w:rFonts w:ascii="宋体" w:hAnsi="宋体" w:eastAsia="宋体" w:cs="宋体"/>
                <w:szCs w:val="21"/>
              </w:rPr>
            </w:pPr>
            <w:r>
              <w:rPr>
                <w:rFonts w:hint="eastAsia" w:ascii="宋体" w:hAnsi="宋体" w:eastAsia="宋体" w:cs="宋体"/>
                <w:szCs w:val="21"/>
              </w:rPr>
              <w:t>F1、F2……Fn分别为各项评审因素的得分；</w:t>
            </w:r>
          </w:p>
          <w:p w14:paraId="72902902">
            <w:pPr>
              <w:spacing w:line="276" w:lineRule="auto"/>
              <w:ind w:firstLine="420"/>
              <w:rPr>
                <w:rFonts w:ascii="宋体" w:hAnsi="宋体" w:eastAsia="宋体" w:cs="宋体"/>
                <w:szCs w:val="21"/>
              </w:rPr>
            </w:pPr>
            <w:r>
              <w:rPr>
                <w:rFonts w:hint="eastAsia" w:ascii="宋体" w:hAnsi="宋体" w:eastAsia="宋体" w:cs="宋体"/>
                <w:szCs w:val="21"/>
              </w:rPr>
              <w:t>A1、A2、……An 分别为各项评审因素所占的权重(A1＋A2＋……＋An＝1)。</w:t>
            </w:r>
          </w:p>
          <w:p w14:paraId="4F902601">
            <w:pPr>
              <w:keepNext w:val="0"/>
              <w:keepLines w:val="0"/>
              <w:pageBreakBefore w:val="0"/>
              <w:widowControl w:val="0"/>
              <w:kinsoku/>
              <w:wordWrap/>
              <w:overflowPunct/>
              <w:topLinePunct w:val="0"/>
              <w:autoSpaceDE/>
              <w:autoSpaceDN/>
              <w:bidi w:val="0"/>
              <w:adjustRightInd/>
              <w:snapToGrid/>
              <w:spacing w:line="276"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评标过程中，不得去掉报价中的最高报价和最低报价。</w:t>
            </w:r>
          </w:p>
          <w:p w14:paraId="5E36B9BD">
            <w:pPr>
              <w:keepNext w:val="0"/>
              <w:keepLines w:val="0"/>
              <w:pageBreakBefore w:val="0"/>
              <w:widowControl w:val="0"/>
              <w:kinsoku/>
              <w:wordWrap/>
              <w:overflowPunct/>
              <w:topLinePunct w:val="0"/>
              <w:autoSpaceDE/>
              <w:autoSpaceDN/>
              <w:bidi w:val="0"/>
              <w:adjustRightInd/>
              <w:snapToGrid/>
              <w:spacing w:line="276" w:lineRule="auto"/>
              <w:ind w:firstLine="420" w:firstLineChars="200"/>
              <w:textAlignment w:val="auto"/>
            </w:pPr>
            <w:r>
              <w:rPr>
                <w:rFonts w:hint="eastAsia"/>
                <w:sz w:val="21"/>
                <w:szCs w:val="21"/>
              </w:rPr>
              <w:t>因落实政府采购政策进行价格调整的，以调整后的价格计算评标基准价和投标报价。</w:t>
            </w:r>
          </w:p>
        </w:tc>
      </w:tr>
    </w:tbl>
    <w:p w14:paraId="6D6B739F">
      <w:pPr>
        <w:rPr>
          <w:rFonts w:ascii="Times New Roman" w:hAnsi="Times New Roman" w:eastAsia="宋体" w:cs="Times New Roman"/>
          <w:szCs w:val="24"/>
        </w:rPr>
      </w:pPr>
    </w:p>
    <w:tbl>
      <w:tblPr>
        <w:tblStyle w:val="44"/>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665"/>
        <w:gridCol w:w="665"/>
        <w:gridCol w:w="1399"/>
        <w:gridCol w:w="945"/>
        <w:gridCol w:w="5398"/>
      </w:tblGrid>
      <w:tr w14:paraId="08AC1D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548" w:hRule="atLeast"/>
          <w:jc w:val="center"/>
        </w:trPr>
        <w:tc>
          <w:tcPr>
            <w:tcW w:w="665"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605C8AF8">
            <w:pPr>
              <w:jc w:val="center"/>
              <w:rPr>
                <w:rFonts w:ascii="宋体" w:hAnsi="宋体" w:eastAsia="宋体" w:cs="宋体"/>
                <w:b/>
                <w:bCs/>
                <w:szCs w:val="21"/>
              </w:rPr>
            </w:pPr>
            <w:r>
              <w:rPr>
                <w:rFonts w:hint="eastAsia" w:ascii="宋体" w:hAnsi="宋体" w:eastAsia="宋体" w:cs="宋体"/>
                <w:b/>
                <w:bCs/>
                <w:szCs w:val="21"/>
              </w:rPr>
              <w:t>序号</w:t>
            </w:r>
          </w:p>
        </w:tc>
        <w:tc>
          <w:tcPr>
            <w:tcW w:w="3009" w:type="dxa"/>
            <w:gridSpan w:val="3"/>
            <w:tcBorders>
              <w:top w:val="single" w:color="000000" w:sz="8" w:space="0"/>
              <w:left w:val="single" w:color="000000" w:sz="8" w:space="0"/>
              <w:bottom w:val="single" w:color="000000" w:sz="8" w:space="0"/>
              <w:right w:val="single" w:color="000000" w:sz="8" w:space="0"/>
            </w:tcBorders>
            <w:shd w:val="clear" w:color="auto" w:fill="E6EFFA"/>
            <w:vAlign w:val="center"/>
          </w:tcPr>
          <w:p w14:paraId="79042C92">
            <w:pPr>
              <w:jc w:val="center"/>
              <w:rPr>
                <w:rFonts w:ascii="宋体" w:hAnsi="宋体" w:eastAsia="宋体" w:cs="宋体"/>
                <w:b/>
                <w:bCs/>
                <w:szCs w:val="21"/>
              </w:rPr>
            </w:pPr>
            <w:r>
              <w:rPr>
                <w:rFonts w:hint="eastAsia" w:ascii="宋体" w:hAnsi="宋体" w:eastAsia="宋体" w:cs="宋体"/>
                <w:b/>
                <w:bCs/>
                <w:szCs w:val="21"/>
              </w:rPr>
              <w:t>评分项</w:t>
            </w:r>
          </w:p>
        </w:tc>
        <w:tc>
          <w:tcPr>
            <w:tcW w:w="539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596DD4BD">
            <w:pPr>
              <w:jc w:val="center"/>
              <w:rPr>
                <w:rFonts w:ascii="宋体" w:hAnsi="宋体" w:eastAsia="宋体" w:cs="宋体"/>
                <w:b/>
                <w:bCs/>
                <w:szCs w:val="21"/>
              </w:rPr>
            </w:pPr>
            <w:r>
              <w:rPr>
                <w:rFonts w:hint="eastAsia" w:ascii="宋体" w:hAnsi="宋体" w:eastAsia="宋体" w:cs="宋体"/>
                <w:b/>
                <w:bCs/>
                <w:szCs w:val="21"/>
              </w:rPr>
              <w:t>权重(%)</w:t>
            </w:r>
          </w:p>
        </w:tc>
      </w:tr>
      <w:tr w14:paraId="30EA0FE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65" w:type="dxa"/>
            <w:vMerge w:val="restart"/>
            <w:tcBorders>
              <w:top w:val="single" w:color="000000" w:sz="8" w:space="0"/>
              <w:left w:val="single" w:color="000000" w:sz="8" w:space="0"/>
              <w:bottom w:val="single" w:color="000000" w:sz="8" w:space="0"/>
              <w:right w:val="single" w:color="000000" w:sz="8" w:space="0"/>
            </w:tcBorders>
          </w:tcPr>
          <w:p w14:paraId="462EF825">
            <w:pPr>
              <w:jc w:val="center"/>
              <w:rPr>
                <w:rFonts w:ascii="宋体" w:hAnsi="宋体" w:eastAsia="宋体" w:cs="宋体"/>
                <w:b/>
                <w:bCs/>
                <w:color w:val="0000FF"/>
                <w:szCs w:val="21"/>
              </w:rPr>
            </w:pPr>
            <w:r>
              <w:rPr>
                <w:rFonts w:hint="eastAsia" w:ascii="宋体" w:hAnsi="宋体" w:eastAsia="宋体" w:cs="宋体"/>
                <w:b/>
                <w:bCs/>
                <w:color w:val="0000FF"/>
                <w:szCs w:val="21"/>
              </w:rPr>
              <w:t>1</w:t>
            </w:r>
          </w:p>
        </w:tc>
        <w:tc>
          <w:tcPr>
            <w:tcW w:w="3009" w:type="dxa"/>
            <w:gridSpan w:val="3"/>
            <w:tcBorders>
              <w:top w:val="single" w:color="000000" w:sz="8" w:space="0"/>
              <w:left w:val="single" w:color="000000" w:sz="8" w:space="0"/>
              <w:bottom w:val="single" w:color="000000" w:sz="8" w:space="0"/>
              <w:right w:val="single" w:color="000000" w:sz="8" w:space="0"/>
            </w:tcBorders>
          </w:tcPr>
          <w:p w14:paraId="4641FDD8">
            <w:pPr>
              <w:jc w:val="center"/>
              <w:rPr>
                <w:rFonts w:ascii="宋体" w:hAnsi="宋体" w:eastAsia="宋体" w:cs="宋体"/>
                <w:b/>
                <w:bCs/>
                <w:color w:val="0000FF"/>
                <w:szCs w:val="21"/>
              </w:rPr>
            </w:pPr>
            <w:r>
              <w:rPr>
                <w:rFonts w:hint="eastAsia" w:ascii="宋体" w:hAnsi="宋体" w:eastAsia="宋体" w:cs="宋体"/>
                <w:b/>
                <w:bCs/>
                <w:color w:val="0000FF"/>
                <w:szCs w:val="21"/>
              </w:rPr>
              <w:t>价格</w:t>
            </w:r>
          </w:p>
        </w:tc>
        <w:tc>
          <w:tcPr>
            <w:tcW w:w="5398" w:type="dxa"/>
            <w:tcBorders>
              <w:top w:val="single" w:color="000000" w:sz="8" w:space="0"/>
              <w:left w:val="single" w:color="000000" w:sz="8" w:space="0"/>
              <w:bottom w:val="single" w:color="000000" w:sz="8" w:space="0"/>
              <w:right w:val="single" w:color="000000" w:sz="8" w:space="0"/>
            </w:tcBorders>
          </w:tcPr>
          <w:p w14:paraId="42CF6AE7">
            <w:pPr>
              <w:jc w:val="center"/>
              <w:rPr>
                <w:rFonts w:hint="default"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35</w:t>
            </w:r>
          </w:p>
        </w:tc>
      </w:tr>
      <w:tr w14:paraId="2C9812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65" w:type="dxa"/>
            <w:vMerge w:val="continue"/>
            <w:tcBorders>
              <w:top w:val="single" w:color="000000" w:sz="8" w:space="0"/>
              <w:left w:val="single" w:color="000000" w:sz="8" w:space="0"/>
              <w:bottom w:val="single" w:color="000000" w:sz="8" w:space="0"/>
              <w:right w:val="single" w:color="000000" w:sz="8" w:space="0"/>
            </w:tcBorders>
            <w:vAlign w:val="center"/>
          </w:tcPr>
          <w:p w14:paraId="40F1911C">
            <w:pPr>
              <w:rPr>
                <w:rFonts w:ascii="宋体" w:hAnsi="宋体" w:eastAsia="宋体" w:cs="宋体"/>
                <w:b/>
                <w:bCs/>
                <w:color w:val="0000FF"/>
                <w:szCs w:val="21"/>
              </w:rPr>
            </w:pPr>
          </w:p>
        </w:tc>
        <w:tc>
          <w:tcPr>
            <w:tcW w:w="8407" w:type="dxa"/>
            <w:gridSpan w:val="4"/>
            <w:tcBorders>
              <w:top w:val="single" w:color="000000" w:sz="8" w:space="0"/>
              <w:left w:val="single" w:color="000000" w:sz="8" w:space="0"/>
              <w:bottom w:val="single" w:color="000000" w:sz="8" w:space="0"/>
              <w:right w:val="single" w:color="000000" w:sz="8" w:space="0"/>
            </w:tcBorders>
          </w:tcPr>
          <w:p w14:paraId="2F0C95DE">
            <w:pPr>
              <w:rPr>
                <w:rFonts w:ascii="宋体" w:hAnsi="宋体" w:eastAsia="宋体" w:cs="宋体"/>
                <w:szCs w:val="21"/>
              </w:rPr>
            </w:pPr>
          </w:p>
        </w:tc>
      </w:tr>
      <w:tr w14:paraId="584D75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65" w:type="dxa"/>
            <w:vMerge w:val="restart"/>
            <w:tcBorders>
              <w:top w:val="single" w:color="000000" w:sz="8" w:space="0"/>
              <w:left w:val="single" w:color="000000" w:sz="8" w:space="0"/>
              <w:bottom w:val="single" w:color="000000" w:sz="8" w:space="0"/>
              <w:right w:val="single" w:color="000000" w:sz="8" w:space="0"/>
            </w:tcBorders>
          </w:tcPr>
          <w:p w14:paraId="22025DAF">
            <w:pPr>
              <w:jc w:val="center"/>
              <w:rPr>
                <w:rFonts w:ascii="宋体" w:hAnsi="宋体" w:eastAsia="宋体" w:cs="宋体"/>
                <w:b/>
                <w:bCs/>
                <w:color w:val="0000FF"/>
                <w:szCs w:val="21"/>
              </w:rPr>
            </w:pPr>
            <w:r>
              <w:rPr>
                <w:rFonts w:hint="eastAsia" w:ascii="宋体" w:hAnsi="宋体" w:eastAsia="宋体" w:cs="宋体"/>
                <w:b/>
                <w:bCs/>
                <w:color w:val="0000FF"/>
                <w:szCs w:val="21"/>
              </w:rPr>
              <w:t>2</w:t>
            </w:r>
          </w:p>
        </w:tc>
        <w:tc>
          <w:tcPr>
            <w:tcW w:w="3009" w:type="dxa"/>
            <w:gridSpan w:val="3"/>
            <w:tcBorders>
              <w:top w:val="single" w:color="000000" w:sz="8" w:space="0"/>
              <w:left w:val="single" w:color="000000" w:sz="8" w:space="0"/>
              <w:bottom w:val="single" w:color="000000" w:sz="8" w:space="0"/>
              <w:right w:val="single" w:color="000000" w:sz="8" w:space="0"/>
            </w:tcBorders>
          </w:tcPr>
          <w:p w14:paraId="1D4A5BC6">
            <w:pPr>
              <w:jc w:val="center"/>
              <w:rPr>
                <w:rFonts w:ascii="宋体" w:hAnsi="宋体" w:eastAsia="宋体" w:cs="宋体"/>
                <w:b/>
                <w:bCs/>
                <w:color w:val="0000FF"/>
                <w:szCs w:val="21"/>
              </w:rPr>
            </w:pPr>
            <w:r>
              <w:rPr>
                <w:rFonts w:hint="eastAsia" w:ascii="宋体" w:hAnsi="宋体" w:eastAsia="宋体" w:cs="宋体"/>
                <w:b/>
                <w:bCs/>
                <w:color w:val="0000FF"/>
                <w:szCs w:val="21"/>
              </w:rPr>
              <w:t>技术部分</w:t>
            </w:r>
          </w:p>
        </w:tc>
        <w:tc>
          <w:tcPr>
            <w:tcW w:w="5398" w:type="dxa"/>
            <w:tcBorders>
              <w:top w:val="single" w:color="000000" w:sz="8" w:space="0"/>
              <w:left w:val="single" w:color="000000" w:sz="8" w:space="0"/>
              <w:bottom w:val="single" w:color="000000" w:sz="8" w:space="0"/>
              <w:right w:val="single" w:color="000000" w:sz="8" w:space="0"/>
            </w:tcBorders>
          </w:tcPr>
          <w:p w14:paraId="43465ED4">
            <w:pPr>
              <w:jc w:val="center"/>
              <w:rPr>
                <w:rFonts w:hint="default" w:ascii="宋体" w:hAnsi="宋体" w:eastAsia="宋体" w:cs="宋体"/>
                <w:b/>
                <w:bCs/>
                <w:color w:val="0000FF"/>
                <w:szCs w:val="21"/>
                <w:lang w:val="en-US" w:eastAsia="zh-CN"/>
              </w:rPr>
            </w:pPr>
            <w:r>
              <w:rPr>
                <w:rFonts w:hint="eastAsia" w:ascii="宋体" w:hAnsi="宋体" w:eastAsia="宋体" w:cs="宋体"/>
                <w:b/>
                <w:bCs/>
                <w:color w:val="0000FF"/>
                <w:szCs w:val="21"/>
                <w:lang w:val="en-US" w:eastAsia="zh-CN"/>
              </w:rPr>
              <w:t>50</w:t>
            </w:r>
          </w:p>
        </w:tc>
      </w:tr>
      <w:tr w14:paraId="4842C8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65" w:type="dxa"/>
            <w:vMerge w:val="continue"/>
            <w:tcBorders>
              <w:top w:val="single" w:color="000000" w:sz="8" w:space="0"/>
              <w:left w:val="single" w:color="000000" w:sz="8" w:space="0"/>
              <w:bottom w:val="single" w:color="000000" w:sz="8" w:space="0"/>
              <w:right w:val="single" w:color="000000" w:sz="8" w:space="0"/>
            </w:tcBorders>
            <w:vAlign w:val="center"/>
          </w:tcPr>
          <w:p w14:paraId="2235AFF2">
            <w:pPr>
              <w:rPr>
                <w:rFonts w:ascii="宋体" w:hAnsi="宋体" w:eastAsia="宋体" w:cs="宋体"/>
                <w:b/>
                <w:bCs/>
                <w:color w:val="0000FF"/>
                <w:szCs w:val="21"/>
              </w:rPr>
            </w:pPr>
          </w:p>
        </w:tc>
        <w:tc>
          <w:tcPr>
            <w:tcW w:w="8407" w:type="dxa"/>
            <w:gridSpan w:val="4"/>
            <w:tcBorders>
              <w:top w:val="single" w:color="000000" w:sz="8" w:space="0"/>
              <w:left w:val="single" w:color="000000" w:sz="8" w:space="0"/>
              <w:bottom w:val="single" w:color="000000" w:sz="8" w:space="0"/>
              <w:right w:val="single" w:color="000000" w:sz="8" w:space="0"/>
            </w:tcBorders>
          </w:tcPr>
          <w:p w14:paraId="0194207A">
            <w:pPr>
              <w:rPr>
                <w:rFonts w:ascii="宋体" w:hAnsi="宋体" w:eastAsia="宋体" w:cs="宋体"/>
                <w:szCs w:val="21"/>
              </w:rPr>
            </w:pPr>
          </w:p>
        </w:tc>
      </w:tr>
      <w:tr w14:paraId="75302B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65" w:type="dxa"/>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74DF3CFF">
            <w:pPr>
              <w:rPr>
                <w:rFonts w:ascii="宋体" w:hAnsi="宋体" w:eastAsia="宋体" w:cs="宋体"/>
                <w:b/>
                <w:bCs/>
                <w:color w:val="0000FF"/>
                <w:szCs w:val="21"/>
              </w:rPr>
            </w:pPr>
          </w:p>
        </w:tc>
        <w:tc>
          <w:tcPr>
            <w:tcW w:w="665"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78638FC1">
            <w:pPr>
              <w:jc w:val="center"/>
              <w:rPr>
                <w:rFonts w:ascii="宋体" w:hAnsi="宋体" w:eastAsia="宋体" w:cs="宋体"/>
                <w:szCs w:val="21"/>
              </w:rPr>
            </w:pPr>
            <w:r>
              <w:rPr>
                <w:rFonts w:hint="eastAsia" w:ascii="宋体" w:hAnsi="宋体" w:eastAsia="宋体" w:cs="宋体"/>
                <w:szCs w:val="21"/>
              </w:rPr>
              <w:t>序号</w:t>
            </w:r>
          </w:p>
        </w:tc>
        <w:tc>
          <w:tcPr>
            <w:tcW w:w="1399"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6514FAD">
            <w:pPr>
              <w:jc w:val="center"/>
              <w:rPr>
                <w:rFonts w:ascii="宋体" w:hAnsi="宋体" w:eastAsia="宋体" w:cs="宋体"/>
                <w:szCs w:val="21"/>
              </w:rPr>
            </w:pPr>
            <w:r>
              <w:rPr>
                <w:rFonts w:hint="eastAsia" w:ascii="宋体" w:hAnsi="宋体" w:eastAsia="宋体" w:cs="宋体"/>
                <w:szCs w:val="21"/>
              </w:rPr>
              <w:t>评分因素</w:t>
            </w:r>
          </w:p>
        </w:tc>
        <w:tc>
          <w:tcPr>
            <w:tcW w:w="945"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6D30895A">
            <w:pPr>
              <w:jc w:val="center"/>
              <w:rPr>
                <w:rFonts w:ascii="宋体" w:hAnsi="宋体" w:eastAsia="宋体" w:cs="宋体"/>
                <w:szCs w:val="21"/>
              </w:rPr>
            </w:pPr>
            <w:r>
              <w:rPr>
                <w:rFonts w:hint="eastAsia" w:ascii="宋体" w:hAnsi="宋体" w:eastAsia="宋体" w:cs="宋体"/>
                <w:szCs w:val="21"/>
              </w:rPr>
              <w:t>权重(%)</w:t>
            </w:r>
          </w:p>
        </w:tc>
        <w:tc>
          <w:tcPr>
            <w:tcW w:w="5398"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6A5A802F">
            <w:pPr>
              <w:jc w:val="center"/>
              <w:rPr>
                <w:rFonts w:ascii="宋体" w:hAnsi="宋体" w:eastAsia="宋体" w:cs="宋体"/>
                <w:szCs w:val="21"/>
              </w:rPr>
            </w:pPr>
            <w:r>
              <w:rPr>
                <w:rFonts w:hint="eastAsia" w:ascii="宋体" w:hAnsi="宋体" w:eastAsia="宋体" w:cs="宋体"/>
                <w:szCs w:val="21"/>
              </w:rPr>
              <w:t>评分准则</w:t>
            </w:r>
          </w:p>
        </w:tc>
      </w:tr>
      <w:tr w14:paraId="63A9A4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65" w:type="dxa"/>
            <w:vMerge w:val="continue"/>
            <w:tcBorders>
              <w:top w:val="single" w:color="000000" w:sz="8" w:space="0"/>
              <w:left w:val="single" w:color="000000" w:sz="8" w:space="0"/>
              <w:bottom w:val="single" w:color="000000" w:sz="8" w:space="0"/>
              <w:right w:val="single" w:color="000000" w:sz="8" w:space="0"/>
            </w:tcBorders>
            <w:vAlign w:val="center"/>
          </w:tcPr>
          <w:p w14:paraId="15BEBB37">
            <w:pPr>
              <w:rPr>
                <w:rFonts w:ascii="宋体" w:hAnsi="宋体" w:eastAsia="宋体" w:cs="宋体"/>
                <w:b/>
                <w:bCs/>
                <w:color w:val="0000FF"/>
                <w:szCs w:val="21"/>
              </w:rPr>
            </w:pPr>
          </w:p>
        </w:tc>
        <w:tc>
          <w:tcPr>
            <w:tcW w:w="665" w:type="dxa"/>
            <w:tcBorders>
              <w:top w:val="single" w:color="000000" w:sz="8" w:space="0"/>
              <w:left w:val="single" w:color="000000" w:sz="8" w:space="0"/>
              <w:bottom w:val="single" w:color="000000" w:sz="8" w:space="0"/>
              <w:right w:val="single" w:color="000000" w:sz="8" w:space="0"/>
            </w:tcBorders>
            <w:vAlign w:val="center"/>
          </w:tcPr>
          <w:p w14:paraId="314F50D8">
            <w:pPr>
              <w:jc w:val="center"/>
              <w:rPr>
                <w:rFonts w:ascii="宋体" w:hAnsi="宋体" w:eastAsia="宋体" w:cs="宋体"/>
                <w:szCs w:val="21"/>
              </w:rPr>
            </w:pPr>
            <w:r>
              <w:rPr>
                <w:rFonts w:hint="eastAsia" w:ascii="宋体" w:hAnsi="宋体" w:eastAsia="宋体" w:cs="宋体"/>
                <w:szCs w:val="21"/>
              </w:rPr>
              <w:t>1</w:t>
            </w:r>
          </w:p>
        </w:tc>
        <w:tc>
          <w:tcPr>
            <w:tcW w:w="1399" w:type="dxa"/>
            <w:tcBorders>
              <w:top w:val="single" w:color="000000" w:sz="8" w:space="0"/>
              <w:left w:val="single" w:color="000000" w:sz="8" w:space="0"/>
              <w:bottom w:val="single" w:color="000000" w:sz="8" w:space="0"/>
              <w:right w:val="single" w:color="000000" w:sz="8" w:space="0"/>
            </w:tcBorders>
            <w:vAlign w:val="center"/>
          </w:tcPr>
          <w:p w14:paraId="51AA382C">
            <w:pPr>
              <w:jc w:val="center"/>
              <w:rPr>
                <w:rFonts w:ascii="宋体" w:hAnsi="宋体" w:eastAsia="宋体" w:cs="宋体"/>
                <w:szCs w:val="21"/>
              </w:rPr>
            </w:pPr>
            <w:bookmarkStart w:id="2" w:name="OLE_LINK1"/>
            <w:r>
              <w:rPr>
                <w:rFonts w:hint="eastAsia" w:ascii="宋体" w:hAnsi="宋体" w:eastAsia="宋体" w:cs="宋体"/>
                <w:szCs w:val="21"/>
              </w:rPr>
              <w:t>项目实施方案</w:t>
            </w:r>
            <w:bookmarkEnd w:id="2"/>
          </w:p>
        </w:tc>
        <w:tc>
          <w:tcPr>
            <w:tcW w:w="945" w:type="dxa"/>
            <w:tcBorders>
              <w:top w:val="single" w:color="000000" w:sz="8" w:space="0"/>
              <w:left w:val="single" w:color="000000" w:sz="8" w:space="0"/>
              <w:bottom w:val="single" w:color="000000" w:sz="8" w:space="0"/>
              <w:right w:val="single" w:color="000000" w:sz="8" w:space="0"/>
            </w:tcBorders>
            <w:vAlign w:val="center"/>
          </w:tcPr>
          <w:p w14:paraId="4F3A6966">
            <w:pPr>
              <w:jc w:val="center"/>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6</w:t>
            </w:r>
          </w:p>
        </w:tc>
        <w:tc>
          <w:tcPr>
            <w:tcW w:w="5398" w:type="dxa"/>
            <w:tcBorders>
              <w:top w:val="single" w:color="000000" w:sz="8" w:space="0"/>
              <w:left w:val="single" w:color="000000" w:sz="8" w:space="0"/>
              <w:bottom w:val="single" w:color="000000" w:sz="8" w:space="0"/>
              <w:right w:val="single" w:color="000000" w:sz="8" w:space="0"/>
            </w:tcBorders>
            <w:vAlign w:val="center"/>
          </w:tcPr>
          <w:p w14:paraId="7A821D36">
            <w:pPr>
              <w:rPr>
                <w:rFonts w:ascii="宋体" w:hAnsi="宋体" w:eastAsia="宋体" w:cs="宋体"/>
                <w:b/>
                <w:color w:val="auto"/>
                <w:szCs w:val="21"/>
              </w:rPr>
            </w:pPr>
            <w:r>
              <w:rPr>
                <w:rFonts w:hint="eastAsia" w:ascii="宋体" w:hAnsi="宋体" w:eastAsia="宋体" w:cs="宋体"/>
                <w:b/>
                <w:color w:val="auto"/>
                <w:szCs w:val="21"/>
              </w:rPr>
              <w:t>（一）评分内容</w:t>
            </w:r>
          </w:p>
          <w:p w14:paraId="7190AFAB">
            <w:pPr>
              <w:rPr>
                <w:rFonts w:ascii="宋体" w:hAnsi="宋体" w:eastAsia="宋体" w:cs="宋体"/>
                <w:color w:val="auto"/>
                <w:szCs w:val="21"/>
              </w:rPr>
            </w:pPr>
            <w:r>
              <w:rPr>
                <w:rFonts w:hint="eastAsia" w:ascii="宋体" w:hAnsi="宋体" w:eastAsia="宋体" w:cs="宋体"/>
                <w:color w:val="auto"/>
                <w:szCs w:val="21"/>
              </w:rPr>
              <w:t>投标人结合项目需求，提供项目实施方案，考察点包括：</w:t>
            </w:r>
          </w:p>
          <w:p w14:paraId="32F09DFE">
            <w:pPr>
              <w:rPr>
                <w:rFonts w:hint="eastAsia" w:ascii="宋体" w:hAnsi="宋体" w:eastAsia="宋体" w:cs="宋体"/>
                <w:color w:val="auto"/>
                <w:szCs w:val="21"/>
              </w:rPr>
            </w:pPr>
            <w:r>
              <w:rPr>
                <w:rFonts w:hint="eastAsia" w:ascii="宋体" w:hAnsi="宋体" w:eastAsia="宋体" w:cs="宋体"/>
                <w:color w:val="auto"/>
                <w:szCs w:val="21"/>
              </w:rPr>
              <w:t>1.投标人对本项目需求的理解等进行阐述，描述应能够展现投标人对项目建设认识与理解；</w:t>
            </w:r>
          </w:p>
          <w:p w14:paraId="1DCB5482">
            <w:pPr>
              <w:rPr>
                <w:rFonts w:hint="eastAsia" w:ascii="宋体" w:hAnsi="宋体" w:eastAsia="宋体" w:cs="宋体"/>
                <w:color w:val="auto"/>
                <w:szCs w:val="21"/>
              </w:rPr>
            </w:pPr>
            <w:r>
              <w:rPr>
                <w:rFonts w:hint="eastAsia" w:ascii="宋体" w:hAnsi="宋体" w:eastAsia="宋体" w:cs="宋体"/>
                <w:color w:val="auto"/>
                <w:szCs w:val="21"/>
                <w:lang w:val="en-US" w:eastAsia="zh-CN"/>
              </w:rPr>
              <w:t>2.</w:t>
            </w:r>
            <w:r>
              <w:rPr>
                <w:rFonts w:hint="eastAsia" w:ascii="宋体" w:hAnsi="宋体" w:eastAsia="宋体" w:cs="宋体"/>
                <w:color w:val="auto"/>
                <w:szCs w:val="21"/>
              </w:rPr>
              <w:t>总体建设方案：</w:t>
            </w:r>
            <w:r>
              <w:rPr>
                <w:rFonts w:hint="eastAsia" w:ascii="宋体" w:hAnsi="宋体" w:cs="宋体"/>
                <w:color w:val="auto"/>
                <w:kern w:val="0"/>
                <w:szCs w:val="21"/>
              </w:rPr>
              <w:t>要求体现项目定位、建设目标、项目重难点分析和项目时间进度安排</w:t>
            </w:r>
            <w:r>
              <w:rPr>
                <w:rFonts w:hint="eastAsia" w:ascii="宋体" w:hAnsi="宋体" w:eastAsia="宋体" w:cs="宋体"/>
                <w:color w:val="auto"/>
                <w:szCs w:val="21"/>
              </w:rPr>
              <w:t>；</w:t>
            </w:r>
          </w:p>
          <w:p w14:paraId="6131908C">
            <w:pPr>
              <w:rPr>
                <w:rFonts w:hint="eastAsia" w:ascii="宋体" w:hAnsi="宋体" w:eastAsia="宋体" w:cs="宋体"/>
                <w:color w:val="auto"/>
                <w:szCs w:val="21"/>
              </w:rPr>
            </w:pPr>
            <w:r>
              <w:rPr>
                <w:rFonts w:hint="eastAsia" w:ascii="宋体" w:hAnsi="宋体" w:eastAsia="宋体" w:cs="宋体"/>
                <w:color w:val="auto"/>
                <w:szCs w:val="21"/>
                <w:lang w:val="en-US" w:eastAsia="zh-CN"/>
              </w:rPr>
              <w:t>3.</w:t>
            </w:r>
            <w:r>
              <w:rPr>
                <w:rFonts w:hint="eastAsia" w:ascii="宋体" w:hAnsi="宋体" w:eastAsia="宋体" w:cs="宋体"/>
                <w:color w:val="auto"/>
                <w:szCs w:val="21"/>
              </w:rPr>
              <w:t>分项建设方案：</w:t>
            </w:r>
            <w:r>
              <w:rPr>
                <w:rFonts w:hint="eastAsia" w:ascii="宋体" w:hAnsi="宋体" w:eastAsia="宋体" w:cs="宋体"/>
                <w:color w:val="auto"/>
                <w:szCs w:val="21"/>
                <w:highlight w:val="none"/>
                <w:lang w:eastAsia="zh-CN"/>
              </w:rPr>
              <w:t>包括</w:t>
            </w:r>
            <w:r>
              <w:rPr>
                <w:rFonts w:hint="eastAsia" w:ascii="宋体" w:hAnsi="宋体" w:eastAsia="宋体" w:cs="宋体"/>
                <w:color w:val="auto"/>
                <w:szCs w:val="21"/>
                <w:highlight w:val="none"/>
                <w:lang w:val="en-US" w:eastAsia="zh-CN"/>
              </w:rPr>
              <w:t>但</w:t>
            </w:r>
            <w:r>
              <w:rPr>
                <w:rFonts w:hint="eastAsia" w:ascii="宋体" w:hAnsi="宋体" w:eastAsia="宋体" w:cs="宋体"/>
                <w:color w:val="auto"/>
                <w:szCs w:val="21"/>
                <w:highlight w:val="none"/>
                <w:lang w:eastAsia="zh-CN"/>
              </w:rPr>
              <w:t>不限于前端设施、圳智慧·创新大道数字道路专题及后台资源等模块</w:t>
            </w:r>
            <w:r>
              <w:rPr>
                <w:rFonts w:hint="eastAsia" w:ascii="宋体" w:hAnsi="宋体" w:eastAsia="宋体" w:cs="宋体"/>
                <w:color w:val="auto"/>
                <w:szCs w:val="21"/>
                <w:lang w:eastAsia="zh-CN"/>
              </w:rPr>
              <w:t>，</w:t>
            </w:r>
            <w:r>
              <w:rPr>
                <w:rFonts w:hint="eastAsia" w:ascii="宋体" w:hAnsi="宋体" w:cs="宋体"/>
                <w:bCs/>
                <w:color w:val="auto"/>
                <w:szCs w:val="21"/>
              </w:rPr>
              <w:t>描述本项目各项建设内容的业务流程、功能架构、系统功能</w:t>
            </w:r>
            <w:r>
              <w:rPr>
                <w:rFonts w:hint="eastAsia" w:ascii="宋体" w:hAnsi="宋体" w:eastAsia="宋体" w:cs="宋体"/>
                <w:color w:val="auto"/>
                <w:szCs w:val="21"/>
              </w:rPr>
              <w:t>；</w:t>
            </w:r>
          </w:p>
          <w:p w14:paraId="4337635C">
            <w:pPr>
              <w:rPr>
                <w:rFonts w:hint="eastAsia" w:ascii="宋体" w:hAnsi="宋体" w:eastAsia="宋体" w:cs="宋体"/>
                <w:color w:val="auto"/>
                <w:szCs w:val="21"/>
              </w:rPr>
            </w:pPr>
            <w:r>
              <w:rPr>
                <w:rFonts w:hint="eastAsia" w:ascii="宋体" w:hAnsi="宋体" w:eastAsia="宋体" w:cs="宋体"/>
                <w:color w:val="auto"/>
                <w:szCs w:val="21"/>
                <w:lang w:val="en-US" w:eastAsia="zh-CN"/>
              </w:rPr>
              <w:t>4.</w:t>
            </w:r>
            <w:r>
              <w:rPr>
                <w:rFonts w:hint="eastAsia" w:ascii="宋体" w:hAnsi="宋体" w:cs="宋体"/>
                <w:color w:val="auto"/>
                <w:kern w:val="0"/>
                <w:szCs w:val="21"/>
              </w:rPr>
              <w:t>项目质量保证措施、安全保障措施和售后服务保障措施</w:t>
            </w:r>
            <w:r>
              <w:rPr>
                <w:rFonts w:hint="eastAsia" w:ascii="宋体" w:hAnsi="宋体" w:eastAsia="宋体" w:cs="宋体"/>
                <w:color w:val="auto"/>
                <w:szCs w:val="21"/>
              </w:rPr>
              <w:t>。</w:t>
            </w:r>
          </w:p>
          <w:p w14:paraId="729744D1">
            <w:pPr>
              <w:rPr>
                <w:rFonts w:ascii="宋体" w:hAnsi="宋体" w:eastAsia="宋体" w:cs="宋体"/>
                <w:b/>
                <w:color w:val="auto"/>
                <w:szCs w:val="21"/>
              </w:rPr>
            </w:pPr>
            <w:r>
              <w:rPr>
                <w:rFonts w:hint="eastAsia" w:ascii="宋体" w:hAnsi="宋体" w:eastAsia="宋体" w:cs="宋体"/>
                <w:b/>
                <w:color w:val="auto"/>
                <w:szCs w:val="21"/>
              </w:rPr>
              <w:t>（二）评分依据</w:t>
            </w:r>
          </w:p>
          <w:p w14:paraId="3D69CB1D">
            <w:pPr>
              <w:rPr>
                <w:rFonts w:ascii="宋体" w:hAnsi="宋体" w:eastAsia="宋体" w:cs="宋体"/>
                <w:color w:val="auto"/>
                <w:szCs w:val="21"/>
              </w:rPr>
            </w:pPr>
            <w:r>
              <w:rPr>
                <w:rFonts w:hint="eastAsia" w:ascii="宋体" w:hAnsi="宋体" w:eastAsia="宋体" w:cs="宋体"/>
                <w:color w:val="auto"/>
                <w:szCs w:val="21"/>
              </w:rPr>
              <w:t>1.投标人提供的</w:t>
            </w:r>
            <w:r>
              <w:rPr>
                <w:rFonts w:hint="eastAsia" w:ascii="宋体" w:hAnsi="宋体" w:eastAsia="宋体" w:cs="宋体"/>
                <w:color w:val="auto"/>
                <w:szCs w:val="21"/>
                <w:lang w:eastAsia="zh-CN"/>
              </w:rPr>
              <w:t>项目实施</w:t>
            </w:r>
            <w:r>
              <w:rPr>
                <w:rFonts w:hint="eastAsia" w:ascii="宋体" w:hAnsi="宋体" w:eastAsia="宋体" w:cs="宋体"/>
                <w:color w:val="auto"/>
                <w:szCs w:val="21"/>
              </w:rPr>
              <w:t>方案每包含以上1项内容的，得</w:t>
            </w:r>
            <w:r>
              <w:rPr>
                <w:rFonts w:hint="eastAsia" w:ascii="宋体" w:hAnsi="宋体" w:eastAsia="宋体" w:cs="宋体"/>
                <w:color w:val="auto"/>
                <w:szCs w:val="21"/>
                <w:lang w:val="en-US" w:eastAsia="zh-CN"/>
              </w:rPr>
              <w:t>15</w:t>
            </w:r>
            <w:r>
              <w:rPr>
                <w:rFonts w:hint="eastAsia" w:ascii="宋体" w:hAnsi="宋体" w:eastAsia="宋体" w:cs="宋体"/>
                <w:color w:val="auto"/>
                <w:szCs w:val="21"/>
              </w:rPr>
              <w:t>分；其他情况不得分，本小项最高得</w:t>
            </w:r>
            <w:r>
              <w:rPr>
                <w:rFonts w:hint="eastAsia" w:ascii="宋体" w:hAnsi="宋体" w:eastAsia="宋体" w:cs="宋体"/>
                <w:color w:val="auto"/>
                <w:szCs w:val="21"/>
                <w:lang w:val="en-US" w:eastAsia="zh-CN"/>
              </w:rPr>
              <w:t>60</w:t>
            </w:r>
            <w:r>
              <w:rPr>
                <w:rFonts w:hint="eastAsia" w:ascii="宋体" w:hAnsi="宋体" w:eastAsia="宋体" w:cs="宋体"/>
                <w:color w:val="auto"/>
                <w:szCs w:val="21"/>
              </w:rPr>
              <w:t>分。</w:t>
            </w:r>
          </w:p>
          <w:p w14:paraId="699B5A55">
            <w:pPr>
              <w:rPr>
                <w:rFonts w:ascii="宋体" w:hAnsi="宋体" w:eastAsia="宋体" w:cs="宋体"/>
                <w:color w:val="auto"/>
                <w:szCs w:val="21"/>
              </w:rPr>
            </w:pPr>
            <w:r>
              <w:rPr>
                <w:rFonts w:hint="eastAsia" w:ascii="宋体" w:hAnsi="宋体" w:eastAsia="宋体" w:cs="宋体"/>
                <w:color w:val="auto"/>
                <w:szCs w:val="21"/>
              </w:rPr>
              <w:t>2.在满足第1项评分（即第1项得分）的基础上，根据以下标准进行评价评分：</w:t>
            </w:r>
          </w:p>
          <w:p w14:paraId="4B2F9984">
            <w:pPr>
              <w:rPr>
                <w:rFonts w:hint="eastAsia" w:ascii="宋体" w:hAnsi="宋体" w:eastAsia="宋体" w:cs="宋体"/>
                <w:color w:val="auto"/>
                <w:szCs w:val="21"/>
              </w:rPr>
            </w:pPr>
            <w:r>
              <w:rPr>
                <w:rFonts w:hint="eastAsia" w:ascii="宋体" w:hAnsi="宋体" w:eastAsia="宋体" w:cs="宋体"/>
                <w:color w:val="auto"/>
                <w:szCs w:val="21"/>
              </w:rPr>
              <w:t>（1）评价为优：</w:t>
            </w:r>
            <w:r>
              <w:rPr>
                <w:rFonts w:hint="eastAsia" w:ascii="宋体" w:hAnsi="宋体" w:eastAsia="宋体" w:cs="宋体"/>
                <w:color w:val="auto"/>
                <w:szCs w:val="21"/>
                <w:lang w:val="en-US" w:eastAsia="zh-CN"/>
              </w:rPr>
              <w:t>方案内容</w:t>
            </w:r>
            <w:r>
              <w:rPr>
                <w:rFonts w:hint="eastAsia" w:ascii="宋体" w:hAnsi="宋体" w:cs="宋体"/>
                <w:color w:val="auto"/>
                <w:szCs w:val="21"/>
              </w:rPr>
              <w:t>完全满足并优于项目服务需求</w:t>
            </w:r>
            <w:r>
              <w:rPr>
                <w:rFonts w:hint="eastAsia" w:ascii="宋体" w:hAnsi="宋体" w:cs="宋体"/>
                <w:color w:val="auto"/>
                <w:szCs w:val="21"/>
                <w:lang w:eastAsia="zh-CN"/>
              </w:rPr>
              <w:t>，</w:t>
            </w:r>
            <w:r>
              <w:rPr>
                <w:rFonts w:hint="eastAsia" w:ascii="宋体" w:hAnsi="宋体" w:eastAsia="宋体" w:cs="宋体"/>
                <w:color w:val="auto"/>
                <w:szCs w:val="21"/>
                <w:lang w:val="en-US" w:eastAsia="zh-CN"/>
              </w:rPr>
              <w:t>实施</w:t>
            </w:r>
            <w:r>
              <w:rPr>
                <w:rFonts w:hint="eastAsia" w:ascii="宋体" w:hAnsi="宋体" w:eastAsia="宋体" w:cs="宋体"/>
                <w:color w:val="auto"/>
                <w:szCs w:val="21"/>
              </w:rPr>
              <w:t xml:space="preserve">方案全面具体、科学合理、操作性强，得 </w:t>
            </w:r>
            <w:r>
              <w:rPr>
                <w:rFonts w:hint="eastAsia" w:ascii="宋体" w:hAnsi="宋体" w:eastAsia="宋体" w:cs="宋体"/>
                <w:color w:val="auto"/>
                <w:szCs w:val="21"/>
                <w:lang w:val="en-US" w:eastAsia="zh-CN"/>
              </w:rPr>
              <w:t>4</w:t>
            </w:r>
            <w:r>
              <w:rPr>
                <w:rFonts w:hint="eastAsia" w:ascii="宋体" w:hAnsi="宋体" w:eastAsia="宋体" w:cs="宋体"/>
                <w:color w:val="auto"/>
                <w:szCs w:val="21"/>
              </w:rPr>
              <w:t>0 分 ；</w:t>
            </w:r>
          </w:p>
          <w:p w14:paraId="7CACE23F">
            <w:pPr>
              <w:rPr>
                <w:rFonts w:hint="eastAsia" w:ascii="宋体" w:hAnsi="宋体" w:eastAsia="宋体" w:cs="宋体"/>
                <w:color w:val="auto"/>
                <w:szCs w:val="21"/>
              </w:rPr>
            </w:pPr>
            <w:r>
              <w:rPr>
                <w:rFonts w:hint="eastAsia" w:ascii="宋体" w:hAnsi="宋体" w:eastAsia="宋体" w:cs="宋体"/>
                <w:color w:val="auto"/>
                <w:szCs w:val="21"/>
              </w:rPr>
              <w:t>（2）评价为良：</w:t>
            </w:r>
            <w:r>
              <w:rPr>
                <w:rFonts w:hint="eastAsia" w:ascii="宋体" w:hAnsi="宋体" w:eastAsia="宋体" w:cs="宋体"/>
                <w:color w:val="auto"/>
                <w:szCs w:val="21"/>
                <w:lang w:val="en-US" w:eastAsia="zh-CN"/>
              </w:rPr>
              <w:t>方案内容</w:t>
            </w:r>
            <w:r>
              <w:rPr>
                <w:rFonts w:hint="eastAsia" w:ascii="宋体" w:hAnsi="宋体" w:cs="宋体"/>
                <w:color w:val="auto"/>
                <w:szCs w:val="21"/>
              </w:rPr>
              <w:t>满足项目服务需求</w:t>
            </w:r>
            <w:r>
              <w:rPr>
                <w:rFonts w:hint="eastAsia" w:ascii="宋体" w:hAnsi="宋体" w:cs="宋体"/>
                <w:color w:val="auto"/>
                <w:szCs w:val="21"/>
                <w:lang w:eastAsia="zh-CN"/>
              </w:rPr>
              <w:t>，</w:t>
            </w:r>
            <w:r>
              <w:rPr>
                <w:rFonts w:hint="eastAsia" w:ascii="宋体" w:hAnsi="宋体" w:eastAsia="宋体" w:cs="宋体"/>
                <w:color w:val="auto"/>
                <w:szCs w:val="21"/>
                <w:lang w:val="en-US" w:eastAsia="zh-CN"/>
              </w:rPr>
              <w:t>实施</w:t>
            </w:r>
            <w:r>
              <w:rPr>
                <w:rFonts w:hint="eastAsia" w:ascii="宋体" w:hAnsi="宋体" w:eastAsia="宋体" w:cs="宋体"/>
                <w:color w:val="auto"/>
                <w:szCs w:val="21"/>
              </w:rPr>
              <w:t xml:space="preserve">方案较全面，且方案基本合理、有可操作性，得 </w:t>
            </w:r>
            <w:r>
              <w:rPr>
                <w:rFonts w:hint="eastAsia" w:ascii="宋体" w:hAnsi="宋体" w:eastAsia="宋体" w:cs="宋体"/>
                <w:color w:val="auto"/>
                <w:szCs w:val="21"/>
                <w:lang w:val="en-US" w:eastAsia="zh-CN"/>
              </w:rPr>
              <w:t>2</w:t>
            </w:r>
            <w:r>
              <w:rPr>
                <w:rFonts w:hint="eastAsia" w:ascii="宋体" w:hAnsi="宋体" w:eastAsia="宋体" w:cs="宋体"/>
                <w:color w:val="auto"/>
                <w:szCs w:val="21"/>
              </w:rPr>
              <w:t>0 分；</w:t>
            </w:r>
          </w:p>
          <w:p w14:paraId="3AEA6B33">
            <w:pPr>
              <w:rPr>
                <w:rFonts w:hint="eastAsia" w:ascii="宋体" w:hAnsi="宋体" w:eastAsia="宋体" w:cs="宋体"/>
                <w:color w:val="auto"/>
                <w:szCs w:val="21"/>
              </w:rPr>
            </w:pPr>
            <w:r>
              <w:rPr>
                <w:rFonts w:hint="eastAsia" w:ascii="宋体" w:hAnsi="宋体" w:eastAsia="宋体" w:cs="宋体"/>
                <w:color w:val="auto"/>
                <w:szCs w:val="21"/>
              </w:rPr>
              <w:t>（3）评价为中：</w:t>
            </w:r>
            <w:r>
              <w:rPr>
                <w:rFonts w:hint="eastAsia" w:ascii="宋体" w:hAnsi="宋体" w:eastAsia="宋体" w:cs="宋体"/>
                <w:color w:val="auto"/>
                <w:szCs w:val="21"/>
                <w:lang w:val="en-US" w:eastAsia="zh-CN"/>
              </w:rPr>
              <w:t>方案内容</w:t>
            </w:r>
            <w:r>
              <w:rPr>
                <w:rFonts w:hint="eastAsia" w:ascii="宋体" w:hAnsi="宋体" w:cs="宋体"/>
                <w:color w:val="auto"/>
                <w:szCs w:val="21"/>
              </w:rPr>
              <w:t>基本满足项目服务需求，</w:t>
            </w:r>
            <w:r>
              <w:rPr>
                <w:rFonts w:hint="eastAsia" w:ascii="宋体" w:hAnsi="宋体" w:eastAsia="宋体" w:cs="宋体"/>
                <w:color w:val="auto"/>
                <w:szCs w:val="21"/>
                <w:lang w:val="en-US" w:eastAsia="zh-CN"/>
              </w:rPr>
              <w:t>实施</w:t>
            </w:r>
            <w:r>
              <w:rPr>
                <w:rFonts w:hint="eastAsia" w:ascii="宋体" w:hAnsi="宋体" w:eastAsia="宋体" w:cs="宋体"/>
                <w:color w:val="auto"/>
                <w:szCs w:val="21"/>
              </w:rPr>
              <w:t xml:space="preserve">方案有具体内容，且科学合理一般、操作性一般，得 </w:t>
            </w:r>
            <w:r>
              <w:rPr>
                <w:rFonts w:hint="eastAsia" w:ascii="宋体" w:hAnsi="宋体" w:eastAsia="宋体" w:cs="宋体"/>
                <w:color w:val="auto"/>
                <w:szCs w:val="21"/>
                <w:lang w:val="en-US" w:eastAsia="zh-CN"/>
              </w:rPr>
              <w:t>1</w:t>
            </w:r>
            <w:r>
              <w:rPr>
                <w:rFonts w:hint="eastAsia" w:ascii="宋体" w:hAnsi="宋体" w:eastAsia="宋体" w:cs="宋体"/>
                <w:color w:val="auto"/>
                <w:szCs w:val="21"/>
              </w:rPr>
              <w:t>0 分；</w:t>
            </w:r>
          </w:p>
          <w:p w14:paraId="7F904EFA">
            <w:pPr>
              <w:rPr>
                <w:rFonts w:hint="eastAsia" w:ascii="宋体" w:hAnsi="宋体" w:eastAsia="宋体" w:cs="宋体"/>
                <w:color w:val="auto"/>
                <w:szCs w:val="21"/>
              </w:rPr>
            </w:pPr>
            <w:r>
              <w:rPr>
                <w:rFonts w:hint="eastAsia" w:ascii="宋体" w:hAnsi="宋体" w:eastAsia="宋体" w:cs="宋体"/>
                <w:color w:val="auto"/>
                <w:szCs w:val="21"/>
              </w:rPr>
              <w:t>（4）评价为差：</w:t>
            </w:r>
            <w:r>
              <w:rPr>
                <w:rFonts w:hint="eastAsia" w:ascii="宋体" w:hAnsi="宋体" w:eastAsia="宋体" w:cs="宋体"/>
                <w:color w:val="auto"/>
                <w:szCs w:val="21"/>
                <w:lang w:val="en-US" w:eastAsia="zh-CN"/>
              </w:rPr>
              <w:t>方案内容</w:t>
            </w:r>
            <w:r>
              <w:rPr>
                <w:rFonts w:hint="eastAsia" w:ascii="宋体" w:hAnsi="宋体" w:cs="宋体"/>
                <w:color w:val="auto"/>
                <w:szCs w:val="21"/>
              </w:rPr>
              <w:t>不满足项目服务需求，</w:t>
            </w:r>
            <w:r>
              <w:rPr>
                <w:rFonts w:hint="eastAsia" w:ascii="宋体" w:hAnsi="宋体" w:eastAsia="宋体" w:cs="宋体"/>
                <w:color w:val="auto"/>
                <w:szCs w:val="21"/>
                <w:lang w:val="en-US" w:eastAsia="zh-CN"/>
              </w:rPr>
              <w:t>实施</w:t>
            </w:r>
            <w:r>
              <w:rPr>
                <w:rFonts w:hint="eastAsia" w:ascii="宋体" w:hAnsi="宋体" w:eastAsia="宋体" w:cs="宋体"/>
                <w:color w:val="auto"/>
                <w:szCs w:val="21"/>
              </w:rPr>
              <w:t>方案不够全面、合理性有明显缺陷，操作性不强，或未提供的，得0分。</w:t>
            </w:r>
          </w:p>
          <w:p w14:paraId="66787F0B">
            <w:pPr>
              <w:rPr>
                <w:color w:val="auto"/>
              </w:rPr>
            </w:pPr>
            <w:r>
              <w:rPr>
                <w:rFonts w:hint="eastAsia" w:ascii="宋体" w:hAnsi="宋体" w:eastAsia="宋体" w:cs="宋体"/>
                <w:b/>
                <w:bCs/>
                <w:color w:val="auto"/>
                <w:szCs w:val="21"/>
              </w:rPr>
              <w:t>以上2项得分累计，最高得100分。</w:t>
            </w:r>
          </w:p>
        </w:tc>
      </w:tr>
      <w:tr w14:paraId="6A6EAA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65" w:type="dxa"/>
            <w:vMerge w:val="continue"/>
            <w:tcBorders>
              <w:top w:val="single" w:color="000000" w:sz="8" w:space="0"/>
              <w:left w:val="single" w:color="000000" w:sz="8" w:space="0"/>
              <w:bottom w:val="single" w:color="000000" w:sz="8" w:space="0"/>
              <w:right w:val="single" w:color="000000" w:sz="8" w:space="0"/>
            </w:tcBorders>
            <w:vAlign w:val="center"/>
          </w:tcPr>
          <w:p w14:paraId="1C4B0E80">
            <w:pPr>
              <w:rPr>
                <w:rFonts w:ascii="宋体" w:hAnsi="宋体" w:eastAsia="宋体" w:cs="宋体"/>
                <w:b/>
                <w:bCs/>
                <w:color w:val="0000FF"/>
                <w:szCs w:val="21"/>
              </w:rPr>
            </w:pPr>
          </w:p>
        </w:tc>
        <w:tc>
          <w:tcPr>
            <w:tcW w:w="665" w:type="dxa"/>
            <w:tcBorders>
              <w:top w:val="single" w:color="000000" w:sz="8" w:space="0"/>
              <w:left w:val="single" w:color="000000" w:sz="8" w:space="0"/>
              <w:bottom w:val="single" w:color="000000" w:sz="8" w:space="0"/>
              <w:right w:val="single" w:color="000000" w:sz="8" w:space="0"/>
            </w:tcBorders>
            <w:vAlign w:val="center"/>
          </w:tcPr>
          <w:p w14:paraId="12CDB91D">
            <w:pPr>
              <w:jc w:val="center"/>
              <w:rPr>
                <w:rFonts w:ascii="宋体" w:hAnsi="宋体" w:eastAsia="宋体" w:cs="宋体"/>
                <w:szCs w:val="21"/>
              </w:rPr>
            </w:pPr>
            <w:r>
              <w:rPr>
                <w:rFonts w:hint="eastAsia" w:ascii="宋体" w:hAnsi="宋体" w:eastAsia="宋体" w:cs="宋体"/>
                <w:szCs w:val="21"/>
                <w:lang w:val="en-US" w:eastAsia="zh-CN"/>
              </w:rPr>
              <w:t>2</w:t>
            </w:r>
          </w:p>
        </w:tc>
        <w:tc>
          <w:tcPr>
            <w:tcW w:w="1399" w:type="dxa"/>
            <w:tcBorders>
              <w:top w:val="single" w:color="000000" w:sz="8" w:space="0"/>
              <w:left w:val="single" w:color="000000" w:sz="8" w:space="0"/>
              <w:bottom w:val="single" w:color="000000" w:sz="8" w:space="0"/>
              <w:right w:val="single" w:color="000000" w:sz="8" w:space="0"/>
            </w:tcBorders>
            <w:vAlign w:val="center"/>
          </w:tcPr>
          <w:p w14:paraId="7D4B4928">
            <w:pPr>
              <w:jc w:val="center"/>
              <w:rPr>
                <w:rFonts w:ascii="宋体" w:hAnsi="宋体" w:eastAsia="宋体" w:cs="宋体"/>
                <w:szCs w:val="21"/>
              </w:rPr>
            </w:pPr>
            <w:r>
              <w:rPr>
                <w:rFonts w:hint="eastAsia" w:ascii="宋体" w:hAnsi="宋体" w:cs="宋体"/>
                <w:color w:val="000000"/>
                <w:kern w:val="0"/>
                <w:szCs w:val="21"/>
              </w:rPr>
              <w:t>拟安排的项目负责人情况（仅限一人）</w:t>
            </w:r>
          </w:p>
        </w:tc>
        <w:tc>
          <w:tcPr>
            <w:tcW w:w="945" w:type="dxa"/>
            <w:tcBorders>
              <w:top w:val="single" w:color="000000" w:sz="8" w:space="0"/>
              <w:left w:val="single" w:color="000000" w:sz="8" w:space="0"/>
              <w:bottom w:val="single" w:color="000000" w:sz="8" w:space="0"/>
              <w:right w:val="single" w:color="000000" w:sz="8" w:space="0"/>
            </w:tcBorders>
            <w:vAlign w:val="center"/>
          </w:tcPr>
          <w:p w14:paraId="392AA26F">
            <w:pPr>
              <w:jc w:val="center"/>
              <w:rPr>
                <w:rFonts w:ascii="宋体" w:hAnsi="宋体" w:eastAsia="宋体" w:cs="宋体"/>
                <w:szCs w:val="21"/>
              </w:rPr>
            </w:pPr>
            <w:r>
              <w:rPr>
                <w:rFonts w:hint="eastAsia" w:ascii="宋体" w:hAnsi="宋体" w:eastAsia="宋体" w:cs="宋体"/>
                <w:szCs w:val="21"/>
                <w:lang w:val="en-US" w:eastAsia="zh-CN"/>
              </w:rPr>
              <w:t>3</w:t>
            </w:r>
          </w:p>
        </w:tc>
        <w:tc>
          <w:tcPr>
            <w:tcW w:w="5398" w:type="dxa"/>
            <w:tcBorders>
              <w:top w:val="single" w:color="000000" w:sz="8" w:space="0"/>
              <w:left w:val="single" w:color="000000" w:sz="8" w:space="0"/>
              <w:bottom w:val="single" w:color="000000" w:sz="8" w:space="0"/>
              <w:right w:val="single" w:color="000000" w:sz="8" w:space="0"/>
            </w:tcBorders>
            <w:vAlign w:val="center"/>
          </w:tcPr>
          <w:p w14:paraId="2CE270E8">
            <w:pPr>
              <w:widowControl/>
              <w:jc w:val="left"/>
              <w:rPr>
                <w:rFonts w:ascii="宋体" w:hAnsi="宋体" w:cs="宋体"/>
                <w:b/>
                <w:bCs/>
                <w:color w:val="000000"/>
                <w:kern w:val="0"/>
                <w:szCs w:val="21"/>
              </w:rPr>
            </w:pPr>
            <w:r>
              <w:rPr>
                <w:rFonts w:hint="eastAsia" w:ascii="宋体" w:hAnsi="宋体" w:cs="宋体"/>
                <w:b/>
                <w:bCs/>
                <w:color w:val="000000"/>
                <w:kern w:val="0"/>
                <w:szCs w:val="21"/>
              </w:rPr>
              <w:t>（一）评审内容</w:t>
            </w:r>
          </w:p>
          <w:p w14:paraId="73A15900">
            <w:pPr>
              <w:widowControl/>
              <w:rPr>
                <w:rFonts w:ascii="宋体" w:hAnsi="宋体" w:cs="宋体"/>
                <w:color w:val="000000"/>
                <w:kern w:val="0"/>
                <w:szCs w:val="21"/>
              </w:rPr>
            </w:pPr>
            <w:r>
              <w:rPr>
                <w:rFonts w:ascii="宋体" w:hAnsi="宋体" w:cs="宋体"/>
                <w:color w:val="000000"/>
                <w:kern w:val="0"/>
                <w:szCs w:val="21"/>
              </w:rPr>
              <w:t>拟安排的项目负责人（仅限一人）须为投标人自有员工</w:t>
            </w:r>
            <w:r>
              <w:rPr>
                <w:rFonts w:hint="eastAsia" w:ascii="宋体" w:hAnsi="宋体" w:cs="宋体"/>
                <w:color w:val="000000"/>
                <w:kern w:val="0"/>
                <w:szCs w:val="21"/>
                <w:lang w:eastAsia="zh-CN"/>
              </w:rPr>
              <w:t>，</w:t>
            </w:r>
            <w:r>
              <w:rPr>
                <w:spacing w:val="-1"/>
              </w:rPr>
              <w:t>否则投入的该人员作不得分处</w:t>
            </w:r>
            <w:r>
              <w:rPr>
                <w:spacing w:val="-2"/>
              </w:rPr>
              <w:t>理</w:t>
            </w:r>
            <w:r>
              <w:rPr>
                <w:rFonts w:ascii="宋体" w:hAnsi="宋体" w:cs="宋体"/>
                <w:color w:val="000000"/>
                <w:kern w:val="0"/>
                <w:szCs w:val="21"/>
              </w:rPr>
              <w:t>，</w:t>
            </w:r>
            <w:r>
              <w:rPr>
                <w:spacing w:val="-1"/>
              </w:rPr>
              <w:t>在此基础上</w:t>
            </w:r>
            <w:r>
              <w:rPr>
                <w:rFonts w:hint="eastAsia"/>
                <w:spacing w:val="-1"/>
                <w:lang w:eastAsia="zh-CN"/>
              </w:rPr>
              <w:t>，</w:t>
            </w:r>
            <w:r>
              <w:rPr>
                <w:rFonts w:ascii="宋体" w:hAnsi="宋体" w:cs="宋体"/>
                <w:color w:val="000000"/>
                <w:kern w:val="0"/>
                <w:szCs w:val="21"/>
              </w:rPr>
              <w:t>按照以下规则评分：</w:t>
            </w:r>
          </w:p>
          <w:p w14:paraId="0D93F1CD">
            <w:pPr>
              <w:widowControl/>
              <w:numPr>
                <w:ilvl w:val="-1"/>
                <w:numId w:val="0"/>
              </w:numPr>
              <w:jc w:val="left"/>
              <w:rPr>
                <w:rFonts w:ascii="宋体" w:hAnsi="宋体" w:cs="宋体"/>
                <w:color w:val="000000"/>
                <w:kern w:val="0"/>
                <w:szCs w:val="21"/>
              </w:rPr>
            </w:pPr>
            <w:r>
              <w:rPr>
                <w:rFonts w:hint="eastAsia"/>
                <w:spacing w:val="-4"/>
                <w:lang w:val="en-US" w:eastAsia="zh-CN"/>
              </w:rPr>
              <w:t>1.</w:t>
            </w:r>
            <w:r>
              <w:rPr>
                <w:spacing w:val="-4"/>
              </w:rPr>
              <w:t>具有本科（或以上）学历，得20</w:t>
            </w:r>
            <w:r>
              <w:rPr>
                <w:spacing w:val="-44"/>
              </w:rPr>
              <w:t xml:space="preserve"> </w:t>
            </w:r>
            <w:r>
              <w:rPr>
                <w:spacing w:val="-4"/>
              </w:rPr>
              <w:t>分</w:t>
            </w:r>
            <w:r>
              <w:rPr>
                <w:rFonts w:hint="eastAsia" w:ascii="宋体" w:hAnsi="宋体" w:cs="宋体"/>
                <w:color w:val="000000"/>
                <w:kern w:val="0"/>
                <w:szCs w:val="21"/>
              </w:rPr>
              <w:t>，本小项最高20分；</w:t>
            </w:r>
          </w:p>
          <w:p w14:paraId="007A1F15">
            <w:pPr>
              <w:widowControl/>
              <w:numPr>
                <w:ilvl w:val="-1"/>
                <w:numId w:val="0"/>
              </w:numPr>
              <w:jc w:val="left"/>
              <w:rPr>
                <w:rFonts w:ascii="宋体" w:hAnsi="宋体" w:cs="宋体"/>
                <w:color w:val="auto"/>
                <w:kern w:val="0"/>
                <w:szCs w:val="21"/>
              </w:rPr>
            </w:pPr>
            <w:r>
              <w:rPr>
                <w:rFonts w:hint="eastAsia" w:ascii="宋体" w:hAnsi="宋体" w:cs="宋体"/>
                <w:color w:val="000000"/>
                <w:kern w:val="0"/>
                <w:szCs w:val="21"/>
                <w:lang w:val="en-US" w:eastAsia="zh-CN"/>
              </w:rPr>
              <w:t>2.</w:t>
            </w:r>
            <w:r>
              <w:rPr>
                <w:rFonts w:hint="eastAsia" w:ascii="宋体" w:hAnsi="宋体" w:cs="宋体"/>
                <w:color w:val="000000"/>
                <w:kern w:val="0"/>
                <w:szCs w:val="21"/>
              </w:rPr>
              <w:t>具有人力资源和社</w:t>
            </w:r>
            <w:r>
              <w:rPr>
                <w:rFonts w:hint="eastAsia" w:ascii="宋体" w:hAnsi="宋体" w:cs="宋体"/>
                <w:color w:val="auto"/>
                <w:kern w:val="0"/>
                <w:szCs w:val="21"/>
              </w:rPr>
              <w:t>会保障部门颁发的高级</w:t>
            </w:r>
            <w:r>
              <w:rPr>
                <w:rFonts w:hint="eastAsia" w:ascii="宋体" w:hAnsi="宋体" w:cs="宋体"/>
                <w:color w:val="auto"/>
                <w:kern w:val="0"/>
                <w:szCs w:val="21"/>
                <w:lang w:eastAsia="zh-CN"/>
              </w:rPr>
              <w:t>机电</w:t>
            </w:r>
            <w:r>
              <w:rPr>
                <w:rFonts w:hint="eastAsia" w:ascii="宋体" w:hAnsi="宋体" w:cs="宋体"/>
                <w:color w:val="auto"/>
                <w:kern w:val="0"/>
                <w:szCs w:val="21"/>
              </w:rPr>
              <w:t>类工程师证书的得</w:t>
            </w:r>
            <w:r>
              <w:rPr>
                <w:rFonts w:hint="eastAsia" w:ascii="宋体" w:hAnsi="宋体" w:cs="宋体"/>
                <w:color w:val="auto"/>
                <w:kern w:val="0"/>
                <w:szCs w:val="21"/>
                <w:lang w:val="en-US" w:eastAsia="zh-CN"/>
              </w:rPr>
              <w:t>20</w:t>
            </w:r>
            <w:r>
              <w:rPr>
                <w:rFonts w:hint="eastAsia" w:ascii="宋体" w:hAnsi="宋体" w:cs="宋体"/>
                <w:color w:val="auto"/>
                <w:kern w:val="0"/>
                <w:szCs w:val="21"/>
              </w:rPr>
              <w:t>分，其它情况不得分,本小项最高</w:t>
            </w:r>
            <w:r>
              <w:rPr>
                <w:rFonts w:hint="eastAsia" w:ascii="宋体" w:hAnsi="宋体" w:cs="宋体"/>
                <w:color w:val="auto"/>
                <w:kern w:val="0"/>
                <w:szCs w:val="21"/>
                <w:lang w:val="en-US" w:eastAsia="zh-CN"/>
              </w:rPr>
              <w:t>20</w:t>
            </w:r>
            <w:r>
              <w:rPr>
                <w:rFonts w:hint="eastAsia" w:ascii="宋体" w:hAnsi="宋体" w:cs="宋体"/>
                <w:color w:val="auto"/>
                <w:kern w:val="0"/>
                <w:szCs w:val="21"/>
              </w:rPr>
              <w:t>分；</w:t>
            </w:r>
          </w:p>
          <w:p w14:paraId="790B3F29">
            <w:pPr>
              <w:widowControl/>
              <w:jc w:val="left"/>
              <w:rPr>
                <w:rFonts w:ascii="宋体" w:hAnsi="宋体" w:cs="宋体"/>
                <w:color w:val="auto"/>
                <w:kern w:val="0"/>
                <w:szCs w:val="21"/>
              </w:rPr>
            </w:pPr>
            <w:r>
              <w:rPr>
                <w:rFonts w:hint="eastAsia" w:ascii="宋体" w:hAnsi="宋体" w:cs="宋体"/>
                <w:color w:val="auto"/>
                <w:kern w:val="0"/>
                <w:szCs w:val="21"/>
                <w:lang w:val="en-US" w:eastAsia="zh-CN"/>
              </w:rPr>
              <w:t>3</w:t>
            </w:r>
            <w:r>
              <w:rPr>
                <w:rFonts w:hint="eastAsia" w:ascii="宋体" w:hAnsi="宋体" w:cs="宋体"/>
                <w:color w:val="auto"/>
                <w:kern w:val="0"/>
                <w:szCs w:val="21"/>
              </w:rPr>
              <w:t>.具有人力资源和社会保障部和工业和信息化部颁发的信息系统项目管理师证书的得</w:t>
            </w:r>
            <w:r>
              <w:rPr>
                <w:rFonts w:hint="eastAsia" w:ascii="宋体" w:hAnsi="宋体" w:cs="宋体"/>
                <w:color w:val="auto"/>
                <w:kern w:val="0"/>
                <w:szCs w:val="21"/>
                <w:lang w:val="en-US" w:eastAsia="zh-CN"/>
              </w:rPr>
              <w:t>20</w:t>
            </w:r>
            <w:r>
              <w:rPr>
                <w:rFonts w:hint="eastAsia" w:ascii="宋体" w:hAnsi="宋体" w:cs="宋体"/>
                <w:color w:val="auto"/>
                <w:kern w:val="0"/>
                <w:szCs w:val="21"/>
              </w:rPr>
              <w:t>分，其它情况不得分,本小项最高</w:t>
            </w:r>
            <w:r>
              <w:rPr>
                <w:rFonts w:hint="eastAsia" w:ascii="宋体" w:hAnsi="宋体" w:cs="宋体"/>
                <w:color w:val="auto"/>
                <w:kern w:val="0"/>
                <w:szCs w:val="21"/>
                <w:lang w:val="en-US" w:eastAsia="zh-CN"/>
              </w:rPr>
              <w:t>20</w:t>
            </w:r>
            <w:r>
              <w:rPr>
                <w:rFonts w:hint="eastAsia" w:ascii="宋体" w:hAnsi="宋体" w:cs="宋体"/>
                <w:color w:val="auto"/>
                <w:kern w:val="0"/>
                <w:szCs w:val="21"/>
              </w:rPr>
              <w:t>分；</w:t>
            </w:r>
          </w:p>
          <w:p w14:paraId="1610E09F">
            <w:pPr>
              <w:widowControl/>
              <w:jc w:val="left"/>
              <w:rPr>
                <w:rFonts w:ascii="宋体" w:hAnsi="宋体" w:cs="宋体"/>
                <w:color w:val="auto"/>
                <w:kern w:val="0"/>
                <w:szCs w:val="21"/>
              </w:rPr>
            </w:pPr>
            <w:r>
              <w:rPr>
                <w:rFonts w:hint="eastAsia" w:ascii="宋体" w:hAnsi="宋体" w:cs="宋体"/>
                <w:color w:val="auto"/>
                <w:kern w:val="0"/>
                <w:szCs w:val="21"/>
                <w:lang w:val="en-US" w:eastAsia="zh-CN"/>
              </w:rPr>
              <w:t>4</w:t>
            </w:r>
            <w:r>
              <w:rPr>
                <w:rFonts w:ascii="宋体" w:hAnsi="宋体" w:cs="宋体"/>
                <w:color w:val="auto"/>
                <w:kern w:val="0"/>
                <w:szCs w:val="21"/>
              </w:rPr>
              <w:t>.自202</w:t>
            </w:r>
            <w:r>
              <w:rPr>
                <w:rFonts w:hint="eastAsia" w:ascii="宋体" w:hAnsi="宋体" w:cs="宋体"/>
                <w:color w:val="auto"/>
                <w:kern w:val="0"/>
                <w:szCs w:val="21"/>
                <w:lang w:val="en-US" w:eastAsia="zh-CN"/>
              </w:rPr>
              <w:t>3</w:t>
            </w:r>
            <w:r>
              <w:rPr>
                <w:rFonts w:ascii="宋体" w:hAnsi="宋体" w:cs="宋体"/>
                <w:color w:val="auto"/>
                <w:kern w:val="0"/>
                <w:szCs w:val="21"/>
              </w:rPr>
              <w:t>年1月1日至本项目投标截止日</w:t>
            </w:r>
            <w:r>
              <w:rPr>
                <w:rFonts w:hint="eastAsia" w:ascii="宋体" w:hAnsi="宋体" w:eastAsia="宋体" w:cs="宋体"/>
                <w:color w:val="auto"/>
                <w:szCs w:val="21"/>
                <w:highlight w:val="none"/>
              </w:rPr>
              <w:t>（以合同签订日期为准）</w:t>
            </w:r>
            <w:r>
              <w:rPr>
                <w:rFonts w:ascii="宋体" w:hAnsi="宋体" w:cs="宋体"/>
                <w:color w:val="auto"/>
                <w:kern w:val="0"/>
                <w:szCs w:val="21"/>
                <w:highlight w:val="none"/>
              </w:rPr>
              <w:t>具有</w:t>
            </w:r>
            <w:r>
              <w:rPr>
                <w:rFonts w:hint="eastAsia" w:ascii="宋体" w:hAnsi="宋体" w:cs="宋体"/>
                <w:color w:val="auto"/>
                <w:kern w:val="0"/>
                <w:szCs w:val="21"/>
                <w:highlight w:val="none"/>
                <w:lang w:eastAsia="zh-CN"/>
              </w:rPr>
              <w:t>相关</w:t>
            </w:r>
            <w:r>
              <w:rPr>
                <w:rFonts w:ascii="宋体" w:hAnsi="宋体" w:cs="宋体"/>
                <w:color w:val="auto"/>
                <w:kern w:val="0"/>
                <w:szCs w:val="21"/>
                <w:highlight w:val="none"/>
              </w:rPr>
              <w:t>项目工作经验</w:t>
            </w:r>
            <w:r>
              <w:rPr>
                <w:rFonts w:hint="eastAsia" w:ascii="宋体" w:hAnsi="宋体" w:cs="宋体"/>
                <w:color w:val="auto"/>
                <w:kern w:val="0"/>
                <w:szCs w:val="21"/>
                <w:highlight w:val="none"/>
              </w:rPr>
              <w:t>（要求</w:t>
            </w:r>
            <w:r>
              <w:rPr>
                <w:rFonts w:hint="eastAsia" w:ascii="宋体" w:hAnsi="宋体" w:cs="宋体"/>
                <w:color w:val="auto"/>
                <w:kern w:val="0"/>
                <w:szCs w:val="21"/>
                <w:highlight w:val="none"/>
                <w:lang w:val="en-US" w:eastAsia="zh-CN"/>
              </w:rPr>
              <w:t>同一</w:t>
            </w:r>
            <w:r>
              <w:rPr>
                <w:rFonts w:hint="eastAsia" w:ascii="宋体" w:hAnsi="宋体" w:cs="宋体"/>
                <w:color w:val="auto"/>
                <w:kern w:val="0"/>
                <w:szCs w:val="21"/>
                <w:highlight w:val="none"/>
              </w:rPr>
              <w:t>合同内容包含①</w:t>
            </w:r>
            <w:r>
              <w:rPr>
                <w:rFonts w:hint="eastAsia" w:ascii="宋体" w:hAnsi="宋体" w:cs="宋体"/>
                <w:color w:val="auto"/>
                <w:kern w:val="0"/>
                <w:szCs w:val="21"/>
                <w:highlight w:val="none"/>
                <w:lang w:eastAsia="zh-CN"/>
              </w:rPr>
              <w:t>多功能智能杆类、</w:t>
            </w:r>
            <w:r>
              <w:rPr>
                <w:rFonts w:hint="eastAsia" w:ascii="宋体" w:hAnsi="宋体" w:cs="宋体"/>
                <w:color w:val="auto"/>
                <w:kern w:val="0"/>
                <w:szCs w:val="21"/>
                <w:highlight w:val="none"/>
              </w:rPr>
              <w:t>②</w:t>
            </w:r>
            <w:r>
              <w:rPr>
                <w:rFonts w:hint="eastAsia" w:ascii="宋体" w:hAnsi="宋体" w:cs="宋体"/>
                <w:color w:val="auto"/>
                <w:kern w:val="0"/>
                <w:szCs w:val="21"/>
                <w:highlight w:val="none"/>
                <w:lang w:eastAsia="zh-CN"/>
              </w:rPr>
              <w:t>照明类</w:t>
            </w:r>
            <w:r>
              <w:rPr>
                <w:rFonts w:hint="eastAsia" w:ascii="宋体" w:hAnsi="宋体" w:cs="宋体"/>
                <w:color w:val="auto"/>
                <w:kern w:val="0"/>
                <w:szCs w:val="21"/>
                <w:highlight w:val="none"/>
              </w:rPr>
              <w:t>、③</w:t>
            </w:r>
            <w:r>
              <w:rPr>
                <w:rFonts w:hint="eastAsia" w:ascii="宋体" w:hAnsi="宋体" w:cs="宋体"/>
                <w:color w:val="auto"/>
                <w:kern w:val="0"/>
                <w:szCs w:val="21"/>
                <w:highlight w:val="none"/>
                <w:lang w:eastAsia="zh-CN"/>
              </w:rPr>
              <w:t>安防类</w:t>
            </w:r>
            <w:r>
              <w:rPr>
                <w:rFonts w:hint="eastAsia" w:ascii="宋体" w:hAnsi="宋体" w:cs="宋体"/>
                <w:color w:val="auto"/>
                <w:kern w:val="0"/>
                <w:szCs w:val="21"/>
                <w:highlight w:val="none"/>
              </w:rPr>
              <w:t>、④</w:t>
            </w:r>
            <w:r>
              <w:rPr>
                <w:rFonts w:hint="eastAsia" w:ascii="宋体" w:hAnsi="宋体" w:cs="宋体"/>
                <w:color w:val="auto"/>
                <w:kern w:val="0"/>
                <w:szCs w:val="21"/>
                <w:highlight w:val="none"/>
                <w:lang w:eastAsia="zh-CN"/>
              </w:rPr>
              <w:t>数字孪生类、</w:t>
            </w:r>
            <w:r>
              <w:rPr>
                <w:rFonts w:hint="eastAsia" w:ascii="宋体" w:hAnsi="宋体" w:cs="宋体"/>
                <w:color w:val="auto"/>
                <w:kern w:val="0"/>
                <w:szCs w:val="21"/>
                <w:highlight w:val="none"/>
              </w:rPr>
              <w:t>⑤</w:t>
            </w:r>
            <w:r>
              <w:rPr>
                <w:rFonts w:hint="eastAsia" w:ascii="宋体" w:hAnsi="宋体" w:cs="宋体"/>
                <w:color w:val="auto"/>
                <w:kern w:val="0"/>
                <w:szCs w:val="21"/>
                <w:highlight w:val="none"/>
                <w:lang w:eastAsia="zh-CN"/>
              </w:rPr>
              <w:t>软件开发类</w:t>
            </w:r>
            <w:r>
              <w:rPr>
                <w:rFonts w:hint="eastAsia" w:ascii="宋体" w:hAnsi="宋体" w:cs="宋体"/>
                <w:color w:val="auto"/>
                <w:kern w:val="0"/>
                <w:szCs w:val="21"/>
                <w:highlight w:val="none"/>
              </w:rPr>
              <w:t>中任意3个及以上服务内容）的</w:t>
            </w:r>
            <w:r>
              <w:rPr>
                <w:rFonts w:hint="eastAsia" w:ascii="宋体" w:hAnsi="宋体" w:cs="宋体"/>
                <w:color w:val="auto"/>
                <w:kern w:val="0"/>
                <w:szCs w:val="21"/>
              </w:rPr>
              <w:t>，有一个</w:t>
            </w:r>
            <w:r>
              <w:rPr>
                <w:rFonts w:hint="eastAsia" w:ascii="宋体" w:hAnsi="宋体" w:cs="宋体"/>
                <w:color w:val="auto"/>
                <w:kern w:val="0"/>
                <w:szCs w:val="21"/>
                <w:lang w:eastAsia="zh-CN"/>
              </w:rPr>
              <w:t>相关</w:t>
            </w:r>
            <w:r>
              <w:rPr>
                <w:rFonts w:hint="eastAsia" w:ascii="宋体" w:hAnsi="宋体" w:cs="宋体"/>
                <w:color w:val="auto"/>
                <w:kern w:val="0"/>
                <w:szCs w:val="21"/>
              </w:rPr>
              <w:t>项目工作经验得</w:t>
            </w:r>
            <w:r>
              <w:rPr>
                <w:rFonts w:hint="eastAsia" w:ascii="宋体" w:hAnsi="宋体" w:cs="宋体"/>
                <w:color w:val="auto"/>
                <w:kern w:val="0"/>
                <w:szCs w:val="21"/>
                <w:lang w:val="en-US" w:eastAsia="zh-CN"/>
              </w:rPr>
              <w:t>40</w:t>
            </w:r>
            <w:r>
              <w:rPr>
                <w:rFonts w:hint="eastAsia" w:ascii="宋体" w:hAnsi="宋体" w:cs="宋体"/>
                <w:color w:val="auto"/>
                <w:kern w:val="0"/>
                <w:szCs w:val="21"/>
              </w:rPr>
              <w:t>分，其它情况不得分，本小项最高得分</w:t>
            </w:r>
            <w:r>
              <w:rPr>
                <w:rFonts w:hint="eastAsia" w:ascii="宋体" w:hAnsi="宋体" w:cs="宋体"/>
                <w:color w:val="auto"/>
                <w:kern w:val="0"/>
                <w:szCs w:val="21"/>
                <w:lang w:val="en-US" w:eastAsia="zh-CN"/>
              </w:rPr>
              <w:t>4</w:t>
            </w:r>
            <w:r>
              <w:rPr>
                <w:rFonts w:hint="eastAsia" w:ascii="宋体" w:hAnsi="宋体" w:cs="宋体"/>
                <w:color w:val="auto"/>
                <w:kern w:val="0"/>
                <w:szCs w:val="21"/>
              </w:rPr>
              <w:t>0分。</w:t>
            </w:r>
          </w:p>
          <w:p w14:paraId="08145AA4">
            <w:pPr>
              <w:widowControl/>
              <w:jc w:val="left"/>
              <w:rPr>
                <w:rFonts w:ascii="宋体" w:hAnsi="宋体" w:cs="宋体"/>
                <w:b/>
                <w:bCs/>
                <w:color w:val="auto"/>
                <w:kern w:val="0"/>
                <w:szCs w:val="21"/>
              </w:rPr>
            </w:pPr>
            <w:r>
              <w:rPr>
                <w:rFonts w:hint="eastAsia" w:ascii="宋体" w:hAnsi="宋体" w:cs="宋体"/>
                <w:b/>
                <w:bCs/>
                <w:color w:val="auto"/>
                <w:kern w:val="0"/>
                <w:szCs w:val="21"/>
              </w:rPr>
              <w:t>以上</w:t>
            </w:r>
            <w:r>
              <w:rPr>
                <w:rFonts w:hint="eastAsia" w:ascii="宋体" w:hAnsi="宋体" w:cs="宋体"/>
                <w:b/>
                <w:bCs/>
                <w:color w:val="auto"/>
                <w:kern w:val="0"/>
                <w:szCs w:val="21"/>
                <w:lang w:val="en-US" w:eastAsia="zh-CN"/>
              </w:rPr>
              <w:t>4</w:t>
            </w:r>
            <w:r>
              <w:rPr>
                <w:rFonts w:hint="eastAsia" w:ascii="宋体" w:hAnsi="宋体" w:cs="宋体"/>
                <w:b/>
                <w:bCs/>
                <w:color w:val="auto"/>
                <w:kern w:val="0"/>
                <w:szCs w:val="21"/>
              </w:rPr>
              <w:t>项得分累计，满分100分。</w:t>
            </w:r>
          </w:p>
          <w:p w14:paraId="0B2EB831">
            <w:pPr>
              <w:widowControl/>
              <w:jc w:val="left"/>
              <w:rPr>
                <w:rFonts w:ascii="宋体" w:hAnsi="宋体" w:cs="宋体"/>
                <w:b/>
                <w:bCs/>
                <w:color w:val="000000"/>
                <w:kern w:val="0"/>
                <w:szCs w:val="21"/>
              </w:rPr>
            </w:pPr>
            <w:r>
              <w:rPr>
                <w:rFonts w:hint="eastAsia" w:ascii="宋体" w:hAnsi="宋体" w:cs="宋体"/>
                <w:b/>
                <w:bCs/>
                <w:color w:val="000000"/>
                <w:kern w:val="0"/>
                <w:szCs w:val="21"/>
              </w:rPr>
              <w:t>（二）评审依据</w:t>
            </w:r>
          </w:p>
          <w:p w14:paraId="77C18F79">
            <w:pPr>
              <w:widowControl/>
              <w:rPr>
                <w:rFonts w:ascii="宋体" w:hAnsi="宋体" w:cs="宋体"/>
                <w:color w:val="auto"/>
                <w:kern w:val="0"/>
                <w:szCs w:val="21"/>
              </w:rPr>
            </w:pPr>
            <w:r>
              <w:rPr>
                <w:rFonts w:hint="eastAsia" w:ascii="宋体" w:hAnsi="宋体" w:eastAsia="宋体" w:cs="宋体"/>
                <w:b w:val="0"/>
                <w:bCs w:val="0"/>
                <w:color w:val="auto"/>
                <w:kern w:val="0"/>
                <w:sz w:val="21"/>
                <w:szCs w:val="21"/>
              </w:rPr>
              <w:t>1.</w:t>
            </w:r>
            <w:r>
              <w:rPr>
                <w:rFonts w:hint="eastAsia" w:ascii="宋体" w:hAnsi="宋体" w:eastAsia="宋体" w:cs="宋体"/>
                <w:color w:val="auto"/>
                <w:szCs w:val="21"/>
              </w:rPr>
              <w:t>【自有员工证明】提供投标人为</w:t>
            </w:r>
            <w:r>
              <w:rPr>
                <w:rFonts w:hint="eastAsia" w:ascii="宋体" w:hAnsi="宋体" w:eastAsia="宋体" w:cs="宋体"/>
                <w:color w:val="auto"/>
                <w:sz w:val="21"/>
                <w:szCs w:val="21"/>
              </w:rPr>
              <w:t>项目</w:t>
            </w:r>
            <w:r>
              <w:rPr>
                <w:rFonts w:hint="eastAsia" w:ascii="宋体" w:hAnsi="宋体" w:eastAsia="宋体" w:cs="宋体"/>
                <w:color w:val="auto"/>
                <w:sz w:val="21"/>
                <w:szCs w:val="21"/>
                <w:lang w:val="en-US" w:eastAsia="zh-CN"/>
              </w:rPr>
              <w:t>负责人</w:t>
            </w:r>
            <w:r>
              <w:rPr>
                <w:rFonts w:hint="eastAsia" w:ascii="宋体" w:hAnsi="宋体" w:eastAsia="宋体" w:cs="宋体"/>
                <w:color w:val="auto"/>
                <w:szCs w:val="21"/>
              </w:rPr>
              <w:t>缴交的近三个月（具体指投标截止日所在月的上一个月起倒算）中任意一个月社保缴交证明材料（证明资料可为社保收缴部门盖章证明资料、社保窗口打印资料或社保官网截图）扫描件。如社保材料因社保部门原因暂时无法取得，则可以往前顺延一个月。如投标人注册成立时间不足1个月的，可提供承诺函证明拟投入的</w:t>
            </w:r>
            <w:r>
              <w:rPr>
                <w:rFonts w:hint="eastAsia" w:ascii="宋体" w:hAnsi="宋体" w:eastAsia="宋体" w:cs="宋体"/>
                <w:color w:val="auto"/>
                <w:sz w:val="21"/>
                <w:szCs w:val="21"/>
              </w:rPr>
              <w:t>项目</w:t>
            </w:r>
            <w:r>
              <w:rPr>
                <w:rFonts w:hint="eastAsia" w:ascii="宋体" w:hAnsi="宋体" w:eastAsia="宋体" w:cs="宋体"/>
                <w:color w:val="auto"/>
                <w:sz w:val="21"/>
                <w:szCs w:val="21"/>
                <w:lang w:val="en-US" w:eastAsia="zh-CN"/>
              </w:rPr>
              <w:t>负责人</w:t>
            </w:r>
            <w:r>
              <w:rPr>
                <w:rFonts w:hint="eastAsia" w:ascii="宋体" w:hAnsi="宋体" w:eastAsia="宋体" w:cs="宋体"/>
                <w:color w:val="auto"/>
                <w:szCs w:val="21"/>
              </w:rPr>
              <w:t>为其自有员工（格式自拟）</w:t>
            </w:r>
            <w:r>
              <w:rPr>
                <w:rFonts w:hint="eastAsia" w:ascii="宋体" w:hAnsi="宋体" w:eastAsia="宋体" w:cs="宋体"/>
                <w:color w:val="auto"/>
                <w:szCs w:val="21"/>
                <w:lang w:eastAsia="zh-CN"/>
              </w:rPr>
              <w:t>。</w:t>
            </w:r>
          </w:p>
          <w:p w14:paraId="190A6E6D">
            <w:pPr>
              <w:widowControl/>
              <w:rPr>
                <w:rFonts w:hint="eastAsia" w:ascii="宋体" w:hAnsi="宋体" w:cs="宋体" w:eastAsiaTheme="minorEastAsia"/>
                <w:color w:val="000000"/>
                <w:kern w:val="0"/>
                <w:szCs w:val="21"/>
                <w:lang w:eastAsia="zh-CN"/>
              </w:rPr>
            </w:pPr>
            <w:r>
              <w:rPr>
                <w:rFonts w:hint="eastAsia" w:ascii="宋体" w:hAnsi="宋体" w:cs="宋体"/>
                <w:color w:val="000000"/>
                <w:kern w:val="0"/>
                <w:szCs w:val="21"/>
                <w:lang w:val="en-US" w:eastAsia="zh-CN"/>
              </w:rPr>
              <w:t>2</w:t>
            </w:r>
            <w:r>
              <w:rPr>
                <w:rFonts w:hint="eastAsia" w:ascii="宋体" w:hAnsi="宋体" w:cs="宋体"/>
                <w:color w:val="000000"/>
                <w:kern w:val="0"/>
                <w:szCs w:val="21"/>
              </w:rPr>
              <w:t>.</w:t>
            </w:r>
            <w:r>
              <w:rPr>
                <w:rFonts w:ascii="宋体" w:hAnsi="宋体" w:cs="宋体"/>
                <w:color w:val="000000"/>
                <w:kern w:val="0"/>
                <w:szCs w:val="21"/>
              </w:rPr>
              <w:t>【</w:t>
            </w:r>
            <w:r>
              <w:rPr>
                <w:rFonts w:hint="eastAsia" w:ascii="宋体" w:hAnsi="宋体" w:cs="宋体"/>
                <w:color w:val="000000"/>
                <w:kern w:val="0"/>
                <w:szCs w:val="21"/>
              </w:rPr>
              <w:t>学历</w:t>
            </w:r>
            <w:r>
              <w:rPr>
                <w:rFonts w:ascii="宋体" w:hAnsi="宋体" w:cs="宋体"/>
                <w:color w:val="000000"/>
                <w:kern w:val="0"/>
                <w:szCs w:val="21"/>
              </w:rPr>
              <w:t>证明】</w:t>
            </w:r>
            <w:r>
              <w:rPr>
                <w:rFonts w:hint="eastAsia" w:ascii="宋体" w:hAnsi="宋体" w:cs="宋体"/>
                <w:color w:val="000000"/>
                <w:kern w:val="0"/>
                <w:szCs w:val="21"/>
              </w:rPr>
              <w:t>同时提供学历证书扫描件和中国高等教育学生信息网（学信网https://www.chsi.com.cn）查询截图（对于较早颁发的学历证书学信网无法查询的，可提供毕业院校或者人社部门等颁发机构或监管机构等单位出具的证明；在境外留学并取得学历的，学信网无法查询的，可提供教育部留学服务中心出具的国外学历学位认证书扫描件以及教育部留学服务中心官网查询截图）</w:t>
            </w:r>
            <w:r>
              <w:rPr>
                <w:rFonts w:hint="eastAsia" w:ascii="宋体" w:hAnsi="宋体" w:cs="宋体"/>
                <w:color w:val="000000"/>
                <w:kern w:val="0"/>
                <w:szCs w:val="21"/>
                <w:lang w:eastAsia="zh-CN"/>
              </w:rPr>
              <w:t>。</w:t>
            </w:r>
          </w:p>
          <w:p w14:paraId="35483C8F">
            <w:pPr>
              <w:widowControl/>
              <w:rPr>
                <w:rFonts w:hint="eastAsia" w:ascii="宋体" w:hAnsi="宋体" w:cs="宋体" w:eastAsiaTheme="minorEastAsia"/>
                <w:color w:val="000000"/>
                <w:kern w:val="0"/>
                <w:szCs w:val="21"/>
                <w:lang w:eastAsia="zh-CN"/>
              </w:rPr>
            </w:pPr>
            <w:r>
              <w:rPr>
                <w:rFonts w:hint="eastAsia" w:ascii="宋体" w:hAnsi="宋体" w:cs="宋体"/>
                <w:color w:val="000000"/>
                <w:kern w:val="0"/>
                <w:szCs w:val="21"/>
                <w:lang w:val="en-US" w:eastAsia="zh-CN"/>
              </w:rPr>
              <w:t>3</w:t>
            </w:r>
            <w:r>
              <w:rPr>
                <w:rFonts w:hint="eastAsia" w:ascii="宋体" w:hAnsi="宋体" w:cs="宋体"/>
                <w:color w:val="000000"/>
                <w:kern w:val="0"/>
                <w:szCs w:val="21"/>
              </w:rPr>
              <w:t>.【其他证书证明】提供证书扫描件</w:t>
            </w:r>
            <w:r>
              <w:rPr>
                <w:rFonts w:hint="eastAsia" w:ascii="宋体" w:hAnsi="宋体" w:cs="宋体"/>
                <w:color w:val="000000"/>
                <w:kern w:val="0"/>
                <w:szCs w:val="21"/>
                <w:lang w:eastAsia="zh-CN"/>
              </w:rPr>
              <w:t>。</w:t>
            </w:r>
          </w:p>
          <w:p w14:paraId="50D80B63">
            <w:pPr>
              <w:widowControl/>
              <w:rPr>
                <w:rFonts w:hint="eastAsia" w:ascii="宋体" w:hAnsi="宋体" w:cs="宋体" w:eastAsiaTheme="minorEastAsia"/>
                <w:color w:val="000000"/>
                <w:kern w:val="0"/>
                <w:szCs w:val="21"/>
                <w:lang w:eastAsia="zh-CN"/>
              </w:rPr>
            </w:pPr>
            <w:r>
              <w:rPr>
                <w:rFonts w:hint="eastAsia" w:ascii="宋体" w:hAnsi="宋体" w:cs="宋体"/>
                <w:color w:val="000000"/>
                <w:kern w:val="0"/>
                <w:szCs w:val="21"/>
                <w:lang w:val="en-US" w:eastAsia="zh-CN"/>
              </w:rPr>
              <w:t>4</w:t>
            </w:r>
            <w:r>
              <w:rPr>
                <w:rFonts w:hint="eastAsia" w:ascii="宋体" w:hAnsi="宋体" w:cs="宋体"/>
                <w:color w:val="000000"/>
                <w:kern w:val="0"/>
                <w:szCs w:val="21"/>
              </w:rPr>
              <w:t>.【经验证明】提供合同关键页（需体现合同名称页、合同主要内容页、合同双方签字盖章页、合同签订时间)扫描件，如项目合同无法体现项</w:t>
            </w:r>
            <w:r>
              <w:rPr>
                <w:rFonts w:hint="eastAsia" w:ascii="宋体" w:hAnsi="宋体" w:cs="宋体"/>
                <w:color w:val="000000"/>
                <w:kern w:val="0"/>
                <w:szCs w:val="21"/>
                <w:lang w:eastAsia="zh-CN"/>
              </w:rPr>
              <w:t>目人员</w:t>
            </w:r>
            <w:r>
              <w:rPr>
                <w:rFonts w:hint="eastAsia" w:ascii="宋体" w:hAnsi="宋体" w:cs="宋体"/>
                <w:color w:val="000000"/>
                <w:kern w:val="0"/>
                <w:szCs w:val="21"/>
              </w:rPr>
              <w:t>信息的，须提供合同方出具的项目</w:t>
            </w:r>
            <w:r>
              <w:rPr>
                <w:rFonts w:hint="eastAsia" w:ascii="宋体" w:hAnsi="宋体" w:cs="宋体"/>
                <w:color w:val="000000"/>
                <w:kern w:val="0"/>
                <w:szCs w:val="21"/>
                <w:lang w:eastAsia="zh-CN"/>
              </w:rPr>
              <w:t>人员</w:t>
            </w:r>
            <w:r>
              <w:rPr>
                <w:rFonts w:hint="eastAsia" w:ascii="宋体" w:hAnsi="宋体" w:cs="宋体"/>
                <w:color w:val="000000"/>
                <w:kern w:val="0"/>
                <w:szCs w:val="21"/>
              </w:rPr>
              <w:t>工作经验证明</w:t>
            </w:r>
            <w:r>
              <w:rPr>
                <w:rFonts w:hint="eastAsia" w:ascii="宋体" w:hAnsi="宋体" w:cs="宋体"/>
                <w:color w:val="000000"/>
                <w:kern w:val="0"/>
                <w:szCs w:val="21"/>
                <w:lang w:eastAsia="zh-CN"/>
              </w:rPr>
              <w:t>。</w:t>
            </w:r>
          </w:p>
          <w:p w14:paraId="1F140DBE">
            <w:pPr>
              <w:widowControl/>
            </w:pPr>
            <w:r>
              <w:rPr>
                <w:rFonts w:hint="eastAsia" w:ascii="宋体" w:hAnsi="宋体" w:cs="宋体"/>
                <w:color w:val="auto"/>
                <w:kern w:val="0"/>
                <w:szCs w:val="21"/>
                <w:lang w:val="en-US" w:eastAsia="zh-CN"/>
              </w:rPr>
              <w:t>5.</w:t>
            </w:r>
            <w:r>
              <w:rPr>
                <w:rFonts w:hint="eastAsia" w:ascii="宋体" w:hAnsi="宋体" w:cs="宋体"/>
                <w:color w:val="auto"/>
                <w:kern w:val="0"/>
                <w:szCs w:val="21"/>
              </w:rPr>
              <w:t>如未</w:t>
            </w:r>
            <w:r>
              <w:rPr>
                <w:rFonts w:hint="eastAsia" w:ascii="宋体" w:hAnsi="宋体" w:cs="宋体"/>
                <w:color w:val="000000"/>
                <w:kern w:val="0"/>
                <w:szCs w:val="21"/>
              </w:rPr>
              <w:t>按要求提供证明材料，或所提供的证明材料未能体现上述评分内容的，视为该证明材料无效。</w:t>
            </w:r>
          </w:p>
        </w:tc>
      </w:tr>
      <w:tr w14:paraId="75ACA2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65" w:type="dxa"/>
            <w:vMerge w:val="continue"/>
            <w:tcBorders>
              <w:top w:val="single" w:color="000000" w:sz="8" w:space="0"/>
              <w:left w:val="single" w:color="000000" w:sz="8" w:space="0"/>
              <w:bottom w:val="single" w:color="000000" w:sz="8" w:space="0"/>
              <w:right w:val="single" w:color="000000" w:sz="8" w:space="0"/>
            </w:tcBorders>
            <w:vAlign w:val="center"/>
          </w:tcPr>
          <w:p w14:paraId="087A84B5">
            <w:pPr>
              <w:rPr>
                <w:rFonts w:ascii="宋体" w:hAnsi="宋体" w:eastAsia="宋体" w:cs="宋体"/>
                <w:b/>
                <w:bCs/>
                <w:color w:val="0000FF"/>
                <w:szCs w:val="21"/>
              </w:rPr>
            </w:pPr>
          </w:p>
        </w:tc>
        <w:tc>
          <w:tcPr>
            <w:tcW w:w="66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98E855">
            <w:pPr>
              <w:jc w:val="center"/>
              <w:rPr>
                <w:rFonts w:hint="eastAsia" w:ascii="宋体" w:hAnsi="宋体" w:eastAsia="宋体" w:cs="宋体"/>
                <w:kern w:val="2"/>
                <w:sz w:val="21"/>
                <w:szCs w:val="21"/>
                <w:lang w:val="en-US" w:eastAsia="zh-CN" w:bidi="ar-SA"/>
              </w:rPr>
            </w:pPr>
            <w:r>
              <w:rPr>
                <w:rFonts w:hint="eastAsia" w:ascii="宋体" w:hAnsi="宋体" w:eastAsia="宋体" w:cs="宋体"/>
                <w:szCs w:val="21"/>
                <w:lang w:val="en-US" w:eastAsia="zh-CN"/>
              </w:rPr>
              <w:t>3</w:t>
            </w:r>
          </w:p>
        </w:tc>
        <w:tc>
          <w:tcPr>
            <w:tcW w:w="139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EF9199">
            <w:pPr>
              <w:jc w:val="center"/>
              <w:rPr>
                <w:rFonts w:hint="eastAsia" w:ascii="宋体" w:hAnsi="宋体" w:eastAsia="宋体" w:cs="宋体"/>
                <w:kern w:val="2"/>
                <w:sz w:val="21"/>
                <w:szCs w:val="21"/>
                <w:lang w:val="en-US" w:eastAsia="zh-CN" w:bidi="ar-SA"/>
              </w:rPr>
            </w:pPr>
            <w:r>
              <w:rPr>
                <w:rFonts w:hint="eastAsia" w:ascii="宋体" w:hAnsi="宋体" w:cs="宋体"/>
                <w:color w:val="000000"/>
                <w:kern w:val="0"/>
                <w:szCs w:val="21"/>
              </w:rPr>
              <w:t>拟安排的项目团队成员情况（项目负责人除外）</w:t>
            </w:r>
          </w:p>
        </w:tc>
        <w:tc>
          <w:tcPr>
            <w:tcW w:w="9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A5278E">
            <w:pPr>
              <w:jc w:val="center"/>
              <w:rPr>
                <w:rFonts w:hint="eastAsia" w:ascii="宋体" w:hAnsi="宋体" w:eastAsia="宋体" w:cs="宋体"/>
                <w:kern w:val="2"/>
                <w:sz w:val="21"/>
                <w:szCs w:val="21"/>
                <w:lang w:val="en-US" w:eastAsia="zh-CN" w:bidi="ar-SA"/>
              </w:rPr>
            </w:pPr>
            <w:r>
              <w:rPr>
                <w:rFonts w:hint="eastAsia" w:ascii="宋体" w:hAnsi="宋体" w:eastAsia="宋体" w:cs="宋体"/>
                <w:szCs w:val="21"/>
                <w:lang w:val="en-US" w:eastAsia="zh-CN"/>
              </w:rPr>
              <w:t>3</w:t>
            </w:r>
          </w:p>
        </w:tc>
        <w:tc>
          <w:tcPr>
            <w:tcW w:w="53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91A2E4">
            <w:pPr>
              <w:widowControl/>
              <w:jc w:val="left"/>
              <w:rPr>
                <w:rFonts w:ascii="宋体" w:hAnsi="宋体" w:cs="宋体"/>
                <w:b/>
                <w:bCs/>
                <w:color w:val="000000"/>
                <w:kern w:val="0"/>
                <w:szCs w:val="21"/>
              </w:rPr>
            </w:pPr>
            <w:r>
              <w:rPr>
                <w:rFonts w:hint="eastAsia" w:ascii="宋体" w:hAnsi="宋体" w:cs="宋体"/>
                <w:b/>
                <w:bCs/>
                <w:color w:val="000000"/>
                <w:kern w:val="0"/>
                <w:szCs w:val="21"/>
              </w:rPr>
              <w:t>（一）评审内容</w:t>
            </w:r>
          </w:p>
          <w:p w14:paraId="0FD5C538">
            <w:pPr>
              <w:widowControl/>
              <w:jc w:val="left"/>
              <w:rPr>
                <w:rFonts w:ascii="宋体" w:hAnsi="宋体" w:cs="宋体"/>
                <w:b/>
                <w:color w:val="000000"/>
                <w:kern w:val="0"/>
                <w:szCs w:val="21"/>
              </w:rPr>
            </w:pPr>
            <w:r>
              <w:rPr>
                <w:rFonts w:ascii="宋体" w:hAnsi="宋体" w:cs="宋体"/>
                <w:color w:val="000000"/>
                <w:kern w:val="0"/>
                <w:szCs w:val="21"/>
              </w:rPr>
              <w:t>拟安排的项目团队成员（项目负责人除外）人数要求</w:t>
            </w:r>
            <w:r>
              <w:rPr>
                <w:rFonts w:hint="eastAsia" w:ascii="宋体" w:hAnsi="宋体" w:cs="宋体"/>
                <w:color w:val="000000"/>
                <w:kern w:val="0"/>
                <w:szCs w:val="21"/>
              </w:rPr>
              <w:t>15</w:t>
            </w:r>
            <w:r>
              <w:rPr>
                <w:rFonts w:ascii="宋体" w:hAnsi="宋体" w:cs="宋体"/>
                <w:color w:val="000000"/>
                <w:kern w:val="0"/>
                <w:szCs w:val="21"/>
              </w:rPr>
              <w:t>人（或以上），且均为投标人自有员工，在此基础上，按照以下规则评分：</w:t>
            </w:r>
          </w:p>
          <w:p w14:paraId="18F71C76">
            <w:pPr>
              <w:widowControl/>
              <w:numPr>
                <w:ilvl w:val="0"/>
                <w:numId w:val="0"/>
              </w:numPr>
              <w:jc w:val="left"/>
              <w:rPr>
                <w:rFonts w:hint="eastAsia" w:ascii="宋体" w:hAnsi="宋体" w:cs="宋体"/>
                <w:color w:val="auto"/>
                <w:kern w:val="0"/>
                <w:szCs w:val="21"/>
              </w:rPr>
            </w:pPr>
            <w:r>
              <w:rPr>
                <w:rFonts w:hint="eastAsia" w:ascii="宋体" w:hAnsi="宋体" w:cs="宋体"/>
                <w:color w:val="000000"/>
                <w:kern w:val="0"/>
                <w:szCs w:val="21"/>
                <w:lang w:val="en-US" w:eastAsia="zh-CN"/>
              </w:rPr>
              <w:t>1</w:t>
            </w:r>
            <w:r>
              <w:rPr>
                <w:rFonts w:hint="eastAsia" w:ascii="宋体" w:hAnsi="宋体" w:cs="宋体"/>
                <w:color w:val="auto"/>
                <w:kern w:val="0"/>
                <w:szCs w:val="21"/>
                <w:lang w:val="en-US" w:eastAsia="zh-CN"/>
              </w:rPr>
              <w:t>.</w:t>
            </w:r>
            <w:r>
              <w:rPr>
                <w:rFonts w:hint="eastAsia" w:ascii="宋体" w:hAnsi="宋体" w:cs="宋体"/>
                <w:color w:val="auto"/>
                <w:kern w:val="0"/>
                <w:szCs w:val="21"/>
              </w:rPr>
              <w:t>具有</w:t>
            </w:r>
            <w:r>
              <w:rPr>
                <w:rFonts w:hint="eastAsia" w:ascii="宋体" w:hAnsi="宋体" w:cs="宋体"/>
                <w:color w:val="auto"/>
                <w:kern w:val="0"/>
                <w:szCs w:val="21"/>
                <w:lang w:eastAsia="zh-CN"/>
              </w:rPr>
              <w:t>本科</w:t>
            </w:r>
            <w:r>
              <w:rPr>
                <w:color w:val="auto"/>
                <w:spacing w:val="-4"/>
              </w:rPr>
              <w:t>（或以上）学历</w:t>
            </w:r>
            <w:r>
              <w:rPr>
                <w:rFonts w:hint="eastAsia" w:ascii="宋体" w:hAnsi="宋体" w:cs="宋体"/>
                <w:color w:val="auto"/>
                <w:kern w:val="0"/>
                <w:szCs w:val="21"/>
              </w:rPr>
              <w:t>，每提供1人得</w:t>
            </w:r>
            <w:r>
              <w:rPr>
                <w:rFonts w:hint="eastAsia" w:ascii="宋体" w:hAnsi="宋体" w:cs="宋体"/>
                <w:color w:val="auto"/>
                <w:kern w:val="0"/>
                <w:szCs w:val="21"/>
                <w:lang w:val="en-US" w:eastAsia="zh-CN"/>
              </w:rPr>
              <w:t>2</w:t>
            </w:r>
            <w:r>
              <w:rPr>
                <w:rFonts w:hint="eastAsia" w:ascii="宋体" w:hAnsi="宋体" w:cs="宋体"/>
                <w:color w:val="auto"/>
                <w:kern w:val="0"/>
                <w:szCs w:val="21"/>
              </w:rPr>
              <w:t>分</w:t>
            </w:r>
            <w:r>
              <w:rPr>
                <w:rFonts w:hint="eastAsia" w:ascii="宋体" w:hAnsi="宋体" w:cs="宋体"/>
                <w:color w:val="auto"/>
                <w:kern w:val="0"/>
                <w:szCs w:val="21"/>
                <w:lang w:eastAsia="zh-CN"/>
              </w:rPr>
              <w:t>，</w:t>
            </w:r>
            <w:r>
              <w:rPr>
                <w:rFonts w:hint="eastAsia" w:ascii="宋体" w:hAnsi="宋体" w:cs="宋体"/>
                <w:color w:val="auto"/>
                <w:kern w:val="0"/>
                <w:szCs w:val="21"/>
                <w:lang w:val="en-US" w:eastAsia="zh-CN"/>
              </w:rPr>
              <w:t>累计得分，</w:t>
            </w:r>
            <w:r>
              <w:rPr>
                <w:rFonts w:hint="eastAsia" w:ascii="宋体" w:hAnsi="宋体" w:cs="宋体"/>
                <w:color w:val="auto"/>
                <w:kern w:val="0"/>
                <w:szCs w:val="21"/>
              </w:rPr>
              <w:t>本</w:t>
            </w:r>
            <w:r>
              <w:rPr>
                <w:rFonts w:hint="eastAsia" w:ascii="宋体" w:hAnsi="宋体" w:cs="宋体"/>
                <w:color w:val="auto"/>
                <w:kern w:val="0"/>
                <w:szCs w:val="21"/>
                <w:lang w:val="en-US" w:eastAsia="zh-CN"/>
              </w:rPr>
              <w:t>小</w:t>
            </w:r>
            <w:r>
              <w:rPr>
                <w:rFonts w:hint="eastAsia" w:ascii="宋体" w:hAnsi="宋体" w:cs="宋体"/>
                <w:color w:val="auto"/>
                <w:kern w:val="0"/>
                <w:szCs w:val="21"/>
              </w:rPr>
              <w:t>项最高得</w:t>
            </w:r>
            <w:r>
              <w:rPr>
                <w:rFonts w:hint="eastAsia" w:ascii="宋体" w:hAnsi="宋体" w:cs="宋体"/>
                <w:color w:val="auto"/>
                <w:kern w:val="0"/>
                <w:szCs w:val="21"/>
                <w:lang w:val="en-US" w:eastAsia="zh-CN"/>
              </w:rPr>
              <w:t>2</w:t>
            </w:r>
            <w:r>
              <w:rPr>
                <w:rFonts w:hint="eastAsia" w:ascii="宋体" w:hAnsi="宋体" w:cs="宋体"/>
                <w:color w:val="auto"/>
                <w:kern w:val="0"/>
                <w:szCs w:val="21"/>
              </w:rPr>
              <w:t>0分；</w:t>
            </w:r>
            <w:r>
              <w:rPr>
                <w:rFonts w:hint="eastAsia"/>
                <w:b w:val="0"/>
                <w:bCs w:val="0"/>
                <w:color w:val="auto"/>
                <w:lang w:val="en-US" w:eastAsia="zh-CN"/>
              </w:rPr>
              <w:t>同1人同时提供多项证书的，不可累计得分，仅按最优情况计算1次分值；</w:t>
            </w:r>
          </w:p>
          <w:p w14:paraId="28067224">
            <w:pPr>
              <w:widowControl/>
              <w:numPr>
                <w:ilvl w:val="0"/>
                <w:numId w:val="0"/>
              </w:numPr>
              <w:jc w:val="left"/>
              <w:rPr>
                <w:rFonts w:hint="eastAsia" w:ascii="宋体" w:hAnsi="宋体" w:cs="宋体"/>
                <w:color w:val="auto"/>
                <w:kern w:val="0"/>
                <w:szCs w:val="21"/>
              </w:rPr>
            </w:pPr>
            <w:r>
              <w:rPr>
                <w:rFonts w:hint="eastAsia" w:ascii="宋体" w:hAnsi="宋体" w:cs="宋体"/>
                <w:color w:val="auto"/>
                <w:kern w:val="0"/>
                <w:szCs w:val="21"/>
                <w:lang w:val="en-US" w:eastAsia="zh-CN"/>
              </w:rPr>
              <w:t>2</w:t>
            </w:r>
            <w:r>
              <w:rPr>
                <w:rFonts w:hint="eastAsia" w:ascii="宋体" w:hAnsi="宋体" w:cs="宋体"/>
                <w:color w:val="auto"/>
                <w:kern w:val="0"/>
                <w:szCs w:val="21"/>
              </w:rPr>
              <w:t>.</w:t>
            </w:r>
            <w:r>
              <w:rPr>
                <w:rFonts w:ascii="宋体" w:hAnsi="宋体" w:cs="宋体"/>
                <w:color w:val="auto"/>
                <w:kern w:val="0"/>
                <w:szCs w:val="21"/>
              </w:rPr>
              <w:t>每有一人</w:t>
            </w:r>
            <w:r>
              <w:rPr>
                <w:rFonts w:hint="eastAsia" w:ascii="宋体" w:hAnsi="宋体" w:cs="宋体"/>
                <w:color w:val="auto"/>
                <w:kern w:val="0"/>
                <w:szCs w:val="21"/>
              </w:rPr>
              <w:t>具有人力资源和社会保障部门颁发的高级信息通信网络工程师，每提供1人得</w:t>
            </w:r>
            <w:r>
              <w:rPr>
                <w:rFonts w:hint="eastAsia" w:ascii="宋体" w:hAnsi="宋体" w:cs="宋体"/>
                <w:color w:val="auto"/>
                <w:kern w:val="0"/>
                <w:szCs w:val="21"/>
                <w:lang w:val="en-US" w:eastAsia="zh-CN"/>
              </w:rPr>
              <w:t>2</w:t>
            </w:r>
            <w:r>
              <w:rPr>
                <w:rFonts w:hint="eastAsia" w:ascii="宋体" w:hAnsi="宋体" w:cs="宋体"/>
                <w:color w:val="auto"/>
                <w:kern w:val="0"/>
                <w:szCs w:val="21"/>
              </w:rPr>
              <w:t>0分，本</w:t>
            </w:r>
            <w:r>
              <w:rPr>
                <w:rFonts w:hint="eastAsia" w:ascii="宋体" w:hAnsi="宋体" w:cs="宋体"/>
                <w:color w:val="auto"/>
                <w:kern w:val="0"/>
                <w:szCs w:val="21"/>
                <w:lang w:val="en-US" w:eastAsia="zh-CN"/>
              </w:rPr>
              <w:t>小</w:t>
            </w:r>
            <w:r>
              <w:rPr>
                <w:rFonts w:hint="eastAsia" w:ascii="宋体" w:hAnsi="宋体" w:cs="宋体"/>
                <w:color w:val="auto"/>
                <w:kern w:val="0"/>
                <w:szCs w:val="21"/>
              </w:rPr>
              <w:t>项最高得</w:t>
            </w:r>
            <w:r>
              <w:rPr>
                <w:rFonts w:hint="eastAsia" w:ascii="宋体" w:hAnsi="宋体" w:cs="宋体"/>
                <w:color w:val="auto"/>
                <w:kern w:val="0"/>
                <w:szCs w:val="21"/>
                <w:lang w:val="en-US" w:eastAsia="zh-CN"/>
              </w:rPr>
              <w:t>2</w:t>
            </w:r>
            <w:r>
              <w:rPr>
                <w:rFonts w:hint="eastAsia" w:ascii="宋体" w:hAnsi="宋体" w:cs="宋体"/>
                <w:color w:val="auto"/>
                <w:kern w:val="0"/>
                <w:szCs w:val="21"/>
              </w:rPr>
              <w:t>0分；</w:t>
            </w:r>
          </w:p>
          <w:p w14:paraId="0572F855">
            <w:pPr>
              <w:widowControl/>
              <w:numPr>
                <w:ilvl w:val="0"/>
                <w:numId w:val="0"/>
              </w:numPr>
              <w:jc w:val="left"/>
              <w:rPr>
                <w:rFonts w:hint="eastAsia" w:ascii="宋体" w:hAnsi="宋体" w:cs="宋体"/>
                <w:color w:val="auto"/>
                <w:kern w:val="0"/>
                <w:szCs w:val="21"/>
              </w:rPr>
            </w:pPr>
            <w:r>
              <w:rPr>
                <w:rFonts w:hint="eastAsia" w:ascii="宋体" w:hAnsi="宋体" w:cs="宋体"/>
                <w:color w:val="auto"/>
                <w:kern w:val="0"/>
                <w:szCs w:val="21"/>
                <w:lang w:val="en-US" w:eastAsia="zh-CN"/>
              </w:rPr>
              <w:t>3</w:t>
            </w:r>
            <w:r>
              <w:rPr>
                <w:rFonts w:hint="eastAsia" w:ascii="宋体" w:hAnsi="宋体" w:cs="宋体"/>
                <w:color w:val="auto"/>
                <w:kern w:val="0"/>
                <w:szCs w:val="21"/>
              </w:rPr>
              <w:t>.</w:t>
            </w:r>
            <w:r>
              <w:rPr>
                <w:rFonts w:ascii="宋体" w:hAnsi="宋体" w:cs="宋体"/>
                <w:color w:val="auto"/>
                <w:kern w:val="0"/>
                <w:szCs w:val="21"/>
              </w:rPr>
              <w:t>每有一人</w:t>
            </w:r>
            <w:r>
              <w:rPr>
                <w:rFonts w:hint="eastAsia" w:ascii="宋体" w:hAnsi="宋体" w:cs="宋体"/>
                <w:color w:val="auto"/>
                <w:kern w:val="0"/>
                <w:szCs w:val="21"/>
              </w:rPr>
              <w:t>具有人力资源和社会保障部门颁发的高级机电</w:t>
            </w:r>
            <w:r>
              <w:rPr>
                <w:rFonts w:hint="eastAsia" w:ascii="宋体" w:hAnsi="宋体" w:cs="宋体"/>
                <w:color w:val="auto"/>
                <w:kern w:val="0"/>
                <w:szCs w:val="21"/>
                <w:lang w:eastAsia="zh-CN"/>
              </w:rPr>
              <w:t>类（</w:t>
            </w:r>
            <w:r>
              <w:rPr>
                <w:rFonts w:hint="eastAsia" w:ascii="宋体" w:hAnsi="宋体" w:cs="宋体"/>
                <w:color w:val="auto"/>
                <w:kern w:val="0"/>
                <w:szCs w:val="21"/>
              </w:rPr>
              <w:t>或</w:t>
            </w:r>
            <w:r>
              <w:rPr>
                <w:rFonts w:hint="eastAsia" w:ascii="宋体" w:hAnsi="宋体" w:cs="宋体"/>
                <w:color w:val="auto"/>
                <w:kern w:val="0"/>
                <w:szCs w:val="21"/>
                <w:lang w:eastAsia="zh-CN"/>
              </w:rPr>
              <w:t>高级</w:t>
            </w:r>
            <w:r>
              <w:rPr>
                <w:rFonts w:hint="eastAsia" w:ascii="宋体" w:hAnsi="宋体" w:cs="宋体"/>
                <w:color w:val="auto"/>
                <w:kern w:val="0"/>
                <w:szCs w:val="21"/>
              </w:rPr>
              <w:t>电气</w:t>
            </w:r>
            <w:r>
              <w:rPr>
                <w:rFonts w:hint="eastAsia" w:ascii="宋体" w:hAnsi="宋体" w:cs="宋体"/>
                <w:color w:val="auto"/>
                <w:kern w:val="0"/>
                <w:szCs w:val="21"/>
                <w:lang w:eastAsia="zh-CN"/>
              </w:rPr>
              <w:t>类</w:t>
            </w:r>
            <w:r>
              <w:rPr>
                <w:rFonts w:hint="eastAsia" w:ascii="宋体" w:hAnsi="宋体" w:cs="宋体"/>
                <w:color w:val="auto"/>
                <w:kern w:val="0"/>
                <w:szCs w:val="21"/>
              </w:rPr>
              <w:t>工程师</w:t>
            </w:r>
            <w:r>
              <w:rPr>
                <w:rFonts w:hint="eastAsia" w:ascii="宋体" w:hAnsi="宋体" w:cs="宋体"/>
                <w:color w:val="auto"/>
                <w:kern w:val="0"/>
                <w:szCs w:val="21"/>
                <w:lang w:eastAsia="zh-CN"/>
              </w:rPr>
              <w:t>）</w:t>
            </w:r>
            <w:r>
              <w:rPr>
                <w:rFonts w:hint="eastAsia" w:ascii="宋体" w:hAnsi="宋体" w:cs="宋体"/>
                <w:color w:val="auto"/>
                <w:kern w:val="0"/>
                <w:szCs w:val="21"/>
              </w:rPr>
              <w:t>，每提供1人得</w:t>
            </w:r>
            <w:r>
              <w:rPr>
                <w:rFonts w:hint="eastAsia" w:ascii="宋体" w:hAnsi="宋体" w:cs="宋体"/>
                <w:color w:val="auto"/>
                <w:kern w:val="0"/>
                <w:szCs w:val="21"/>
                <w:lang w:val="en-US" w:eastAsia="zh-CN"/>
              </w:rPr>
              <w:t>2</w:t>
            </w:r>
            <w:r>
              <w:rPr>
                <w:rFonts w:hint="eastAsia" w:ascii="宋体" w:hAnsi="宋体" w:cs="宋体"/>
                <w:color w:val="auto"/>
                <w:kern w:val="0"/>
                <w:szCs w:val="21"/>
              </w:rPr>
              <w:t>0分，本</w:t>
            </w:r>
            <w:r>
              <w:rPr>
                <w:rFonts w:hint="eastAsia" w:ascii="宋体" w:hAnsi="宋体" w:cs="宋体"/>
                <w:color w:val="auto"/>
                <w:kern w:val="0"/>
                <w:szCs w:val="21"/>
                <w:lang w:val="en-US" w:eastAsia="zh-CN"/>
              </w:rPr>
              <w:t>小</w:t>
            </w:r>
            <w:r>
              <w:rPr>
                <w:rFonts w:hint="eastAsia" w:ascii="宋体" w:hAnsi="宋体" w:cs="宋体"/>
                <w:color w:val="auto"/>
                <w:kern w:val="0"/>
                <w:szCs w:val="21"/>
              </w:rPr>
              <w:t>项最高得</w:t>
            </w:r>
            <w:r>
              <w:rPr>
                <w:rFonts w:hint="eastAsia" w:ascii="宋体" w:hAnsi="宋体" w:cs="宋体"/>
                <w:color w:val="auto"/>
                <w:kern w:val="0"/>
                <w:szCs w:val="21"/>
                <w:lang w:val="en-US" w:eastAsia="zh-CN"/>
              </w:rPr>
              <w:t>2</w:t>
            </w:r>
            <w:r>
              <w:rPr>
                <w:rFonts w:hint="eastAsia" w:ascii="宋体" w:hAnsi="宋体" w:cs="宋体"/>
                <w:color w:val="auto"/>
                <w:kern w:val="0"/>
                <w:szCs w:val="21"/>
              </w:rPr>
              <w:t>0分；</w:t>
            </w:r>
          </w:p>
          <w:p w14:paraId="5563FACB">
            <w:pPr>
              <w:widowControl/>
              <w:numPr>
                <w:ilvl w:val="0"/>
                <w:numId w:val="0"/>
              </w:numPr>
              <w:jc w:val="left"/>
              <w:rPr>
                <w:rFonts w:hint="eastAsia" w:ascii="宋体" w:hAnsi="宋体" w:cs="宋体"/>
                <w:color w:val="auto"/>
                <w:kern w:val="0"/>
                <w:szCs w:val="21"/>
              </w:rPr>
            </w:pPr>
            <w:r>
              <w:rPr>
                <w:rFonts w:hint="eastAsia" w:ascii="宋体" w:hAnsi="宋体" w:cs="宋体"/>
                <w:color w:val="auto"/>
                <w:kern w:val="0"/>
                <w:szCs w:val="21"/>
                <w:lang w:val="en-US" w:eastAsia="zh-CN"/>
              </w:rPr>
              <w:t>4</w:t>
            </w:r>
            <w:r>
              <w:rPr>
                <w:rFonts w:hint="eastAsia" w:ascii="宋体" w:hAnsi="宋体" w:cs="宋体"/>
                <w:color w:val="auto"/>
                <w:kern w:val="0"/>
                <w:szCs w:val="21"/>
              </w:rPr>
              <w:t>.</w:t>
            </w:r>
            <w:r>
              <w:rPr>
                <w:rFonts w:ascii="宋体" w:hAnsi="宋体" w:cs="宋体"/>
                <w:color w:val="auto"/>
                <w:kern w:val="0"/>
                <w:szCs w:val="21"/>
              </w:rPr>
              <w:t>每有一人</w:t>
            </w:r>
            <w:r>
              <w:rPr>
                <w:rFonts w:hint="eastAsia" w:ascii="宋体" w:hAnsi="宋体" w:cs="宋体"/>
                <w:color w:val="auto"/>
                <w:kern w:val="0"/>
                <w:szCs w:val="21"/>
              </w:rPr>
              <w:t>具有人力资源和社会保障部门颁发的中级</w:t>
            </w:r>
            <w:r>
              <w:rPr>
                <w:rFonts w:hint="eastAsia" w:ascii="宋体" w:hAnsi="宋体" w:cs="宋体"/>
                <w:color w:val="auto"/>
                <w:kern w:val="0"/>
                <w:szCs w:val="21"/>
                <w:lang w:eastAsia="zh-CN"/>
              </w:rPr>
              <w:t>或以上电子信息类</w:t>
            </w:r>
            <w:r>
              <w:rPr>
                <w:rFonts w:hint="eastAsia" w:ascii="宋体" w:hAnsi="宋体" w:cs="宋体"/>
                <w:color w:val="auto"/>
                <w:kern w:val="0"/>
                <w:szCs w:val="21"/>
              </w:rPr>
              <w:t>工程师</w:t>
            </w:r>
            <w:r>
              <w:rPr>
                <w:rFonts w:hint="eastAsia" w:ascii="宋体" w:hAnsi="宋体" w:cs="宋体"/>
                <w:color w:val="auto"/>
                <w:kern w:val="0"/>
                <w:szCs w:val="21"/>
                <w:lang w:eastAsia="zh-CN"/>
              </w:rPr>
              <w:t>（</w:t>
            </w:r>
            <w:r>
              <w:rPr>
                <w:rFonts w:hint="eastAsia" w:ascii="宋体" w:hAnsi="宋体" w:cs="宋体"/>
                <w:color w:val="auto"/>
                <w:kern w:val="0"/>
                <w:szCs w:val="21"/>
              </w:rPr>
              <w:t>或</w:t>
            </w:r>
            <w:r>
              <w:rPr>
                <w:rFonts w:hint="eastAsia" w:ascii="宋体" w:hAnsi="宋体" w:cs="宋体"/>
                <w:color w:val="auto"/>
                <w:kern w:val="0"/>
                <w:szCs w:val="21"/>
                <w:lang w:eastAsia="zh-CN"/>
              </w:rPr>
              <w:t>中级或以上通信工程类</w:t>
            </w:r>
            <w:r>
              <w:rPr>
                <w:rFonts w:hint="eastAsia" w:ascii="宋体" w:hAnsi="宋体" w:cs="宋体"/>
                <w:color w:val="auto"/>
                <w:kern w:val="0"/>
                <w:szCs w:val="21"/>
              </w:rPr>
              <w:t>工程师</w:t>
            </w:r>
            <w:r>
              <w:rPr>
                <w:rFonts w:hint="eastAsia" w:ascii="宋体" w:hAnsi="宋体" w:cs="宋体"/>
                <w:color w:val="auto"/>
                <w:kern w:val="0"/>
                <w:szCs w:val="21"/>
                <w:lang w:eastAsia="zh-CN"/>
              </w:rPr>
              <w:t>）</w:t>
            </w:r>
            <w:r>
              <w:rPr>
                <w:rFonts w:hint="eastAsia" w:ascii="宋体" w:hAnsi="宋体" w:cs="宋体"/>
                <w:color w:val="auto"/>
                <w:kern w:val="0"/>
                <w:szCs w:val="21"/>
              </w:rPr>
              <w:t>，每提供1人得</w:t>
            </w:r>
            <w:r>
              <w:rPr>
                <w:rFonts w:hint="eastAsia" w:ascii="宋体" w:hAnsi="宋体" w:cs="宋体"/>
                <w:color w:val="auto"/>
                <w:kern w:val="0"/>
                <w:szCs w:val="21"/>
                <w:lang w:val="en-US" w:eastAsia="zh-CN"/>
              </w:rPr>
              <w:t>1</w:t>
            </w:r>
            <w:r>
              <w:rPr>
                <w:rFonts w:hint="eastAsia" w:ascii="宋体" w:hAnsi="宋体" w:cs="宋体"/>
                <w:color w:val="auto"/>
                <w:kern w:val="0"/>
                <w:szCs w:val="21"/>
              </w:rPr>
              <w:t>0分，</w:t>
            </w:r>
            <w:r>
              <w:rPr>
                <w:rFonts w:hint="eastAsia"/>
                <w:b w:val="0"/>
                <w:bCs w:val="0"/>
                <w:color w:val="auto"/>
                <w:lang w:val="en-US" w:eastAsia="zh-CN"/>
              </w:rPr>
              <w:t>同1人同时提供多项证书的，不可累计得分，仅按最优情况计算1次分值</w:t>
            </w:r>
            <w:r>
              <w:rPr>
                <w:rFonts w:hint="eastAsia" w:ascii="宋体" w:hAnsi="宋体" w:cs="宋体"/>
                <w:color w:val="auto"/>
                <w:kern w:val="0"/>
                <w:szCs w:val="21"/>
                <w:lang w:val="en-US" w:eastAsia="zh-CN"/>
              </w:rPr>
              <w:t>，</w:t>
            </w:r>
            <w:r>
              <w:rPr>
                <w:rFonts w:hint="eastAsia" w:ascii="宋体" w:hAnsi="宋体" w:cs="宋体"/>
                <w:color w:val="auto"/>
                <w:kern w:val="0"/>
                <w:szCs w:val="21"/>
              </w:rPr>
              <w:t>本项最高得</w:t>
            </w:r>
            <w:r>
              <w:rPr>
                <w:rFonts w:hint="eastAsia" w:ascii="宋体" w:hAnsi="宋体" w:cs="宋体"/>
                <w:color w:val="auto"/>
                <w:kern w:val="0"/>
                <w:szCs w:val="21"/>
                <w:lang w:val="en-US" w:eastAsia="zh-CN"/>
              </w:rPr>
              <w:t>2</w:t>
            </w:r>
            <w:r>
              <w:rPr>
                <w:rFonts w:hint="eastAsia" w:ascii="宋体" w:hAnsi="宋体" w:cs="宋体"/>
                <w:color w:val="auto"/>
                <w:kern w:val="0"/>
                <w:szCs w:val="21"/>
              </w:rPr>
              <w:t>0分；</w:t>
            </w:r>
          </w:p>
          <w:p w14:paraId="36B1ABD9">
            <w:pPr>
              <w:widowControl/>
              <w:numPr>
                <w:ilvl w:val="0"/>
                <w:numId w:val="0"/>
              </w:numPr>
              <w:jc w:val="left"/>
              <w:rPr>
                <w:rFonts w:hint="eastAsia" w:ascii="宋体" w:hAnsi="宋体" w:cs="宋体"/>
                <w:color w:val="auto"/>
                <w:kern w:val="0"/>
                <w:szCs w:val="21"/>
              </w:rPr>
            </w:pPr>
            <w:r>
              <w:rPr>
                <w:rFonts w:hint="eastAsia" w:ascii="宋体" w:hAnsi="宋体" w:cs="宋体"/>
                <w:color w:val="auto"/>
                <w:kern w:val="0"/>
                <w:szCs w:val="21"/>
                <w:lang w:val="en-US" w:eastAsia="zh-CN"/>
              </w:rPr>
              <w:t>5</w:t>
            </w:r>
            <w:r>
              <w:rPr>
                <w:rFonts w:hint="eastAsia" w:ascii="宋体" w:hAnsi="宋体" w:cs="宋体"/>
                <w:color w:val="auto"/>
                <w:kern w:val="0"/>
                <w:szCs w:val="21"/>
              </w:rPr>
              <w:t>.</w:t>
            </w:r>
            <w:r>
              <w:rPr>
                <w:rFonts w:ascii="宋体" w:hAnsi="宋体" w:cs="宋体"/>
                <w:color w:val="auto"/>
                <w:kern w:val="0"/>
                <w:szCs w:val="21"/>
              </w:rPr>
              <w:t>每有一人</w:t>
            </w:r>
            <w:r>
              <w:rPr>
                <w:rFonts w:hint="eastAsia" w:ascii="宋体" w:hAnsi="宋体" w:cs="宋体"/>
                <w:color w:val="auto"/>
                <w:kern w:val="0"/>
                <w:szCs w:val="21"/>
              </w:rPr>
              <w:t>具有人力资源和社会保障部门颁发的</w:t>
            </w:r>
            <w:r>
              <w:rPr>
                <w:rFonts w:hint="eastAsia" w:ascii="宋体" w:hAnsi="宋体" w:cs="宋体"/>
                <w:color w:val="auto"/>
                <w:kern w:val="0"/>
                <w:szCs w:val="21"/>
                <w:lang w:eastAsia="zh-CN"/>
              </w:rPr>
              <w:t>中</w:t>
            </w:r>
            <w:r>
              <w:rPr>
                <w:rFonts w:hint="eastAsia" w:ascii="宋体" w:hAnsi="宋体" w:cs="宋体"/>
                <w:color w:val="auto"/>
                <w:kern w:val="0"/>
                <w:szCs w:val="21"/>
              </w:rPr>
              <w:t>级</w:t>
            </w:r>
            <w:r>
              <w:rPr>
                <w:rFonts w:hint="eastAsia" w:ascii="宋体" w:hAnsi="宋体" w:cs="宋体"/>
                <w:color w:val="auto"/>
                <w:kern w:val="0"/>
                <w:szCs w:val="21"/>
                <w:lang w:eastAsia="zh-CN"/>
              </w:rPr>
              <w:t>或以上软件设计开发类</w:t>
            </w:r>
            <w:r>
              <w:rPr>
                <w:rFonts w:hint="eastAsia" w:ascii="宋体" w:hAnsi="宋体" w:cs="宋体"/>
                <w:color w:val="auto"/>
                <w:kern w:val="0"/>
                <w:szCs w:val="21"/>
              </w:rPr>
              <w:t>工程师</w:t>
            </w:r>
            <w:r>
              <w:rPr>
                <w:rFonts w:hint="eastAsia" w:ascii="宋体" w:hAnsi="宋体" w:cs="宋体"/>
                <w:color w:val="auto"/>
                <w:kern w:val="0"/>
                <w:szCs w:val="21"/>
                <w:lang w:eastAsia="zh-CN"/>
              </w:rPr>
              <w:t>（</w:t>
            </w:r>
            <w:r>
              <w:rPr>
                <w:rFonts w:hint="eastAsia" w:ascii="宋体" w:hAnsi="宋体" w:cs="宋体"/>
                <w:color w:val="auto"/>
                <w:kern w:val="0"/>
                <w:szCs w:val="21"/>
              </w:rPr>
              <w:t>或</w:t>
            </w:r>
            <w:r>
              <w:rPr>
                <w:rFonts w:hint="eastAsia" w:ascii="宋体" w:hAnsi="宋体" w:cs="宋体"/>
                <w:color w:val="auto"/>
                <w:kern w:val="0"/>
                <w:szCs w:val="21"/>
                <w:lang w:eastAsia="zh-CN"/>
              </w:rPr>
              <w:t>中级或以上网络工程类</w:t>
            </w:r>
            <w:r>
              <w:rPr>
                <w:rFonts w:hint="eastAsia" w:ascii="宋体" w:hAnsi="宋体" w:cs="宋体"/>
                <w:color w:val="auto"/>
                <w:kern w:val="0"/>
                <w:szCs w:val="21"/>
              </w:rPr>
              <w:t>工程师</w:t>
            </w:r>
            <w:r>
              <w:rPr>
                <w:rFonts w:hint="eastAsia" w:ascii="宋体" w:hAnsi="宋体" w:cs="宋体"/>
                <w:color w:val="auto"/>
                <w:kern w:val="0"/>
                <w:szCs w:val="21"/>
                <w:lang w:eastAsia="zh-CN"/>
              </w:rPr>
              <w:t>）</w:t>
            </w:r>
            <w:r>
              <w:rPr>
                <w:rFonts w:hint="eastAsia" w:ascii="宋体" w:hAnsi="宋体" w:cs="宋体"/>
                <w:color w:val="auto"/>
                <w:kern w:val="0"/>
                <w:szCs w:val="21"/>
              </w:rPr>
              <w:t>，每提供1人得</w:t>
            </w:r>
            <w:r>
              <w:rPr>
                <w:rFonts w:hint="eastAsia" w:ascii="宋体" w:hAnsi="宋体" w:cs="宋体"/>
                <w:color w:val="auto"/>
                <w:kern w:val="0"/>
                <w:szCs w:val="21"/>
                <w:lang w:val="en-US" w:eastAsia="zh-CN"/>
              </w:rPr>
              <w:t>1</w:t>
            </w:r>
            <w:r>
              <w:rPr>
                <w:rFonts w:hint="eastAsia" w:ascii="宋体" w:hAnsi="宋体" w:cs="宋体"/>
                <w:color w:val="auto"/>
                <w:kern w:val="0"/>
                <w:szCs w:val="21"/>
              </w:rPr>
              <w:t>0分，</w:t>
            </w:r>
            <w:r>
              <w:rPr>
                <w:rFonts w:hint="eastAsia"/>
                <w:b w:val="0"/>
                <w:bCs w:val="0"/>
                <w:color w:val="auto"/>
                <w:lang w:val="en-US" w:eastAsia="zh-CN"/>
              </w:rPr>
              <w:t>同1人同时提供多项证书的，不可累计得分，仅按最优情况计算1次分值</w:t>
            </w:r>
            <w:r>
              <w:rPr>
                <w:rFonts w:hint="eastAsia" w:ascii="宋体" w:hAnsi="宋体" w:cs="宋体"/>
                <w:color w:val="auto"/>
                <w:kern w:val="0"/>
                <w:szCs w:val="21"/>
                <w:lang w:val="en-US" w:eastAsia="zh-CN"/>
              </w:rPr>
              <w:t>，</w:t>
            </w:r>
            <w:r>
              <w:rPr>
                <w:rFonts w:hint="eastAsia" w:ascii="宋体" w:hAnsi="宋体" w:cs="宋体"/>
                <w:color w:val="auto"/>
                <w:kern w:val="0"/>
                <w:szCs w:val="21"/>
              </w:rPr>
              <w:t>本项最高得</w:t>
            </w:r>
            <w:r>
              <w:rPr>
                <w:rFonts w:hint="eastAsia" w:ascii="宋体" w:hAnsi="宋体" w:cs="宋体"/>
                <w:color w:val="auto"/>
                <w:kern w:val="0"/>
                <w:szCs w:val="21"/>
                <w:lang w:val="en-US" w:eastAsia="zh-CN"/>
              </w:rPr>
              <w:t>2</w:t>
            </w:r>
            <w:r>
              <w:rPr>
                <w:rFonts w:hint="eastAsia" w:ascii="宋体" w:hAnsi="宋体" w:cs="宋体"/>
                <w:color w:val="auto"/>
                <w:kern w:val="0"/>
                <w:szCs w:val="21"/>
              </w:rPr>
              <w:t>0分；</w:t>
            </w:r>
          </w:p>
          <w:p w14:paraId="56A1AFEB">
            <w:pPr>
              <w:widowControl/>
              <w:jc w:val="left"/>
              <w:rPr>
                <w:rFonts w:ascii="宋体" w:hAnsi="宋体" w:cs="宋体"/>
                <w:b/>
                <w:bCs/>
                <w:color w:val="auto"/>
                <w:kern w:val="0"/>
                <w:szCs w:val="21"/>
              </w:rPr>
            </w:pPr>
            <w:r>
              <w:rPr>
                <w:rFonts w:hint="eastAsia" w:ascii="宋体" w:hAnsi="宋体" w:cs="宋体"/>
                <w:b/>
                <w:bCs/>
                <w:color w:val="auto"/>
                <w:kern w:val="0"/>
                <w:szCs w:val="21"/>
              </w:rPr>
              <w:t>以上</w:t>
            </w:r>
            <w:r>
              <w:rPr>
                <w:rFonts w:hint="eastAsia" w:ascii="宋体" w:hAnsi="宋体" w:cs="宋体"/>
                <w:b/>
                <w:bCs/>
                <w:color w:val="auto"/>
                <w:kern w:val="0"/>
                <w:szCs w:val="21"/>
                <w:lang w:val="en-US" w:eastAsia="zh-CN"/>
              </w:rPr>
              <w:t>1-</w:t>
            </w:r>
            <w:r>
              <w:rPr>
                <w:rFonts w:hint="eastAsia" w:ascii="宋体" w:hAnsi="宋体" w:cs="宋体"/>
                <w:b/>
                <w:bCs/>
                <w:color w:val="auto"/>
                <w:kern w:val="0"/>
                <w:szCs w:val="21"/>
              </w:rPr>
              <w:t>5项得分</w:t>
            </w:r>
            <w:r>
              <w:rPr>
                <w:rFonts w:hint="eastAsia" w:ascii="宋体" w:hAnsi="宋体" w:cs="宋体"/>
                <w:b/>
                <w:bCs/>
                <w:color w:val="auto"/>
                <w:kern w:val="0"/>
                <w:szCs w:val="21"/>
                <w:lang w:eastAsia="zh-CN"/>
              </w:rPr>
              <w:t>，</w:t>
            </w:r>
            <w:r>
              <w:rPr>
                <w:rFonts w:hint="eastAsia"/>
                <w:b/>
                <w:bCs/>
                <w:color w:val="auto"/>
                <w:lang w:val="en-US" w:eastAsia="zh-CN"/>
              </w:rPr>
              <w:t>如同1人同时满足多项要求的，不可累计得分，仅按最优情况计算1次分值</w:t>
            </w:r>
            <w:r>
              <w:rPr>
                <w:rFonts w:hint="eastAsia" w:ascii="宋体" w:hAnsi="宋体" w:cs="宋体"/>
                <w:b/>
                <w:bCs/>
                <w:color w:val="auto"/>
                <w:kern w:val="0"/>
                <w:szCs w:val="21"/>
              </w:rPr>
              <w:t>，满分100分。</w:t>
            </w:r>
          </w:p>
          <w:p w14:paraId="2C06093A">
            <w:pPr>
              <w:widowControl/>
              <w:jc w:val="left"/>
              <w:rPr>
                <w:rFonts w:ascii="宋体" w:hAnsi="宋体" w:cs="宋体"/>
                <w:b/>
                <w:bCs/>
                <w:color w:val="auto"/>
                <w:kern w:val="0"/>
                <w:szCs w:val="21"/>
              </w:rPr>
            </w:pPr>
            <w:r>
              <w:rPr>
                <w:rFonts w:hint="eastAsia" w:ascii="宋体" w:hAnsi="宋体" w:cs="宋体"/>
                <w:b/>
                <w:bCs/>
                <w:color w:val="auto"/>
                <w:kern w:val="0"/>
                <w:szCs w:val="21"/>
              </w:rPr>
              <w:t>（二）评审依据</w:t>
            </w:r>
          </w:p>
          <w:p w14:paraId="00F00B4C">
            <w:pPr>
              <w:jc w:val="left"/>
              <w:rPr>
                <w:rFonts w:ascii="宋体" w:hAnsi="宋体" w:cs="宋体"/>
                <w:color w:val="auto"/>
                <w:kern w:val="0"/>
                <w:szCs w:val="21"/>
              </w:rPr>
            </w:pPr>
            <w:r>
              <w:rPr>
                <w:rFonts w:hint="eastAsia" w:ascii="宋体" w:hAnsi="宋体" w:eastAsia="宋体" w:cs="宋体"/>
                <w:b w:val="0"/>
                <w:bCs w:val="0"/>
                <w:color w:val="auto"/>
                <w:kern w:val="0"/>
                <w:sz w:val="21"/>
                <w:szCs w:val="21"/>
              </w:rPr>
              <w:t>1.</w:t>
            </w:r>
            <w:r>
              <w:rPr>
                <w:rFonts w:hint="eastAsia" w:ascii="宋体" w:hAnsi="宋体" w:eastAsia="宋体" w:cs="宋体"/>
                <w:color w:val="auto"/>
                <w:szCs w:val="21"/>
              </w:rPr>
              <w:t>【自有员工证明】提供投标人为</w:t>
            </w:r>
            <w:r>
              <w:rPr>
                <w:rFonts w:hint="eastAsia" w:ascii="宋体" w:hAnsi="宋体" w:eastAsia="宋体" w:cs="宋体"/>
                <w:color w:val="auto"/>
                <w:sz w:val="21"/>
                <w:szCs w:val="21"/>
              </w:rPr>
              <w:t>项目</w:t>
            </w:r>
            <w:r>
              <w:rPr>
                <w:rFonts w:hint="eastAsia" w:ascii="宋体" w:hAnsi="宋体" w:eastAsia="宋体" w:cs="宋体"/>
                <w:color w:val="auto"/>
                <w:sz w:val="21"/>
                <w:szCs w:val="21"/>
                <w:lang w:val="en-US" w:eastAsia="zh-CN"/>
              </w:rPr>
              <w:t>团队成员</w:t>
            </w:r>
            <w:r>
              <w:rPr>
                <w:rFonts w:hint="eastAsia" w:ascii="宋体" w:hAnsi="宋体" w:eastAsia="宋体" w:cs="宋体"/>
                <w:color w:val="auto"/>
                <w:szCs w:val="21"/>
              </w:rPr>
              <w:t>缴交的近三个月（具体指投标截止日所在月的上一个月起倒算）中任意一个月社保缴交证明材料（证明资料可为社保收缴部门盖章证明资料、社保窗口打印资料或社保官网截图）扫描件。如社保材料因社保部门原因暂时无法取得，则可以往前顺延一个月。如投标人注册成立时间不足1个月的，可提供承诺函证明拟投入的</w:t>
            </w:r>
            <w:r>
              <w:rPr>
                <w:rFonts w:hint="eastAsia" w:ascii="宋体" w:hAnsi="宋体" w:eastAsia="宋体" w:cs="宋体"/>
                <w:color w:val="auto"/>
                <w:sz w:val="21"/>
                <w:szCs w:val="21"/>
              </w:rPr>
              <w:t>项目</w:t>
            </w:r>
            <w:r>
              <w:rPr>
                <w:rFonts w:hint="eastAsia" w:ascii="宋体" w:hAnsi="宋体" w:eastAsia="宋体" w:cs="宋体"/>
                <w:color w:val="auto"/>
                <w:sz w:val="21"/>
                <w:szCs w:val="21"/>
                <w:lang w:val="en-US" w:eastAsia="zh-CN"/>
              </w:rPr>
              <w:t>团队成员</w:t>
            </w:r>
            <w:r>
              <w:rPr>
                <w:rFonts w:hint="eastAsia" w:ascii="宋体" w:hAnsi="宋体" w:eastAsia="宋体" w:cs="宋体"/>
                <w:color w:val="auto"/>
                <w:szCs w:val="21"/>
              </w:rPr>
              <w:t>为其自有员工（格式自拟）</w:t>
            </w:r>
            <w:r>
              <w:rPr>
                <w:rFonts w:ascii="宋体" w:hAnsi="宋体" w:cs="宋体"/>
                <w:color w:val="auto"/>
                <w:kern w:val="0"/>
                <w:szCs w:val="21"/>
              </w:rPr>
              <w:t>。</w:t>
            </w:r>
          </w:p>
          <w:p w14:paraId="48514E8A">
            <w:pPr>
              <w:jc w:val="left"/>
              <w:rPr>
                <w:rFonts w:ascii="宋体" w:hAnsi="宋体" w:cs="宋体"/>
                <w:color w:val="000000"/>
                <w:kern w:val="0"/>
                <w:szCs w:val="21"/>
              </w:rPr>
            </w:pPr>
            <w:r>
              <w:rPr>
                <w:rFonts w:hint="eastAsia" w:ascii="宋体" w:hAnsi="宋体" w:cs="宋体"/>
                <w:color w:val="000000"/>
                <w:kern w:val="0"/>
                <w:szCs w:val="21"/>
              </w:rPr>
              <w:t>2</w:t>
            </w:r>
            <w:r>
              <w:rPr>
                <w:rFonts w:ascii="宋体" w:hAnsi="宋体" w:cs="宋体"/>
                <w:color w:val="000000"/>
                <w:kern w:val="0"/>
                <w:szCs w:val="21"/>
              </w:rPr>
              <w:t>.【</w:t>
            </w:r>
            <w:r>
              <w:rPr>
                <w:rFonts w:hint="eastAsia" w:ascii="宋体" w:hAnsi="宋体" w:cs="宋体"/>
                <w:color w:val="000000"/>
                <w:kern w:val="0"/>
                <w:szCs w:val="21"/>
              </w:rPr>
              <w:t>学历</w:t>
            </w:r>
            <w:r>
              <w:rPr>
                <w:rFonts w:ascii="宋体" w:hAnsi="宋体" w:cs="宋体"/>
                <w:color w:val="000000"/>
                <w:kern w:val="0"/>
                <w:szCs w:val="21"/>
              </w:rPr>
              <w:t>证明】</w:t>
            </w:r>
            <w:r>
              <w:rPr>
                <w:rFonts w:hint="eastAsia" w:ascii="宋体" w:hAnsi="宋体" w:cs="宋体"/>
                <w:color w:val="000000"/>
                <w:kern w:val="0"/>
                <w:szCs w:val="21"/>
              </w:rPr>
              <w:t>同时提供学历证书扫描件和中国高等教育学生信息网（学信网https://www.chsi.com.cn）查询截图（对于较早颁发的学历证书学信网无法查询的，可提供毕业院校或者人社部门等颁发机构或监管机构等单位出具的证明；在境外留学并取得学历的，学信网无法查询的，可提供教育部留学服务中心出具的国外学历学位认证书扫描件以及教育部留学服务中心官网查询截图）；</w:t>
            </w:r>
          </w:p>
          <w:p w14:paraId="7439BA14">
            <w:pPr>
              <w:jc w:val="left"/>
              <w:rPr>
                <w:rFonts w:ascii="宋体" w:hAnsi="宋体" w:cs="宋体"/>
                <w:color w:val="000000"/>
                <w:kern w:val="0"/>
                <w:szCs w:val="21"/>
              </w:rPr>
            </w:pPr>
            <w:r>
              <w:rPr>
                <w:rFonts w:ascii="宋体" w:hAnsi="宋体" w:cs="宋体"/>
                <w:color w:val="000000"/>
                <w:kern w:val="0"/>
                <w:szCs w:val="21"/>
              </w:rPr>
              <w:t>3.</w:t>
            </w:r>
            <w:r>
              <w:rPr>
                <w:rFonts w:hint="eastAsia" w:ascii="宋体" w:hAnsi="宋体" w:cs="宋体"/>
                <w:color w:val="000000"/>
                <w:kern w:val="0"/>
                <w:szCs w:val="21"/>
              </w:rPr>
              <w:t>【其他证书证明】</w:t>
            </w:r>
            <w:r>
              <w:rPr>
                <w:rFonts w:ascii="宋体" w:hAnsi="宋体" w:cs="宋体"/>
                <w:color w:val="000000"/>
                <w:kern w:val="0"/>
                <w:szCs w:val="21"/>
              </w:rPr>
              <w:t>提供相关证书扫描件；</w:t>
            </w:r>
          </w:p>
          <w:p w14:paraId="32FF874A">
            <w:pPr>
              <w:jc w:val="left"/>
              <w:rPr>
                <w:rFonts w:hint="eastAsia" w:ascii="宋体" w:hAnsi="宋体" w:eastAsia="宋体" w:cs="宋体"/>
                <w:kern w:val="2"/>
                <w:sz w:val="21"/>
                <w:szCs w:val="21"/>
                <w:lang w:val="en-US" w:eastAsia="zh-CN" w:bidi="ar-SA"/>
              </w:rPr>
            </w:pPr>
            <w:r>
              <w:rPr>
                <w:rFonts w:hint="eastAsia" w:ascii="宋体" w:hAnsi="宋体" w:cs="宋体"/>
                <w:color w:val="000000"/>
                <w:kern w:val="0"/>
                <w:szCs w:val="21"/>
                <w:lang w:val="en-US" w:eastAsia="zh-CN"/>
              </w:rPr>
              <w:t>4.</w:t>
            </w:r>
            <w:r>
              <w:rPr>
                <w:rFonts w:ascii="宋体" w:hAnsi="宋体" w:cs="宋体"/>
                <w:color w:val="000000"/>
                <w:kern w:val="0"/>
                <w:szCs w:val="21"/>
              </w:rPr>
              <w:t>如未按要求提供证明材料，或所提供的证明材料未能体现上述评分内容的，视为该证明材料无效。</w:t>
            </w:r>
          </w:p>
        </w:tc>
      </w:tr>
      <w:tr w14:paraId="4603A0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65" w:type="dxa"/>
            <w:vMerge w:val="continue"/>
            <w:tcBorders>
              <w:top w:val="single" w:color="000000" w:sz="8" w:space="0"/>
              <w:left w:val="single" w:color="000000" w:sz="8" w:space="0"/>
              <w:bottom w:val="single" w:color="000000" w:sz="8" w:space="0"/>
              <w:right w:val="single" w:color="000000" w:sz="8" w:space="0"/>
            </w:tcBorders>
            <w:vAlign w:val="center"/>
          </w:tcPr>
          <w:p w14:paraId="41605051">
            <w:pPr>
              <w:rPr>
                <w:rFonts w:ascii="宋体" w:hAnsi="宋体" w:eastAsia="宋体" w:cs="宋体"/>
                <w:b/>
                <w:bCs/>
                <w:color w:val="0000FF"/>
                <w:szCs w:val="21"/>
              </w:rPr>
            </w:pPr>
          </w:p>
        </w:tc>
        <w:tc>
          <w:tcPr>
            <w:tcW w:w="665" w:type="dxa"/>
            <w:tcBorders>
              <w:top w:val="single" w:color="000000" w:sz="8" w:space="0"/>
              <w:left w:val="single" w:color="000000" w:sz="8" w:space="0"/>
              <w:bottom w:val="single" w:color="000000" w:sz="8" w:space="0"/>
              <w:right w:val="single" w:color="000000" w:sz="8" w:space="0"/>
            </w:tcBorders>
            <w:vAlign w:val="center"/>
          </w:tcPr>
          <w:p w14:paraId="1FE8B7A9">
            <w:pPr>
              <w:jc w:val="center"/>
              <w:rPr>
                <w:rFonts w:hint="eastAsia" w:ascii="宋体" w:hAnsi="宋体" w:eastAsia="宋体" w:cs="宋体"/>
                <w:szCs w:val="21"/>
                <w:lang w:eastAsia="zh-CN"/>
              </w:rPr>
            </w:pPr>
            <w:r>
              <w:rPr>
                <w:rFonts w:hint="eastAsia" w:ascii="宋体" w:hAnsi="宋体" w:eastAsia="宋体" w:cs="宋体"/>
                <w:szCs w:val="21"/>
                <w:lang w:val="en-US" w:eastAsia="zh-CN"/>
              </w:rPr>
              <w:t>4</w:t>
            </w:r>
          </w:p>
        </w:tc>
        <w:tc>
          <w:tcPr>
            <w:tcW w:w="1399" w:type="dxa"/>
            <w:tcBorders>
              <w:top w:val="single" w:color="000000" w:sz="8" w:space="0"/>
              <w:left w:val="single" w:color="000000" w:sz="8" w:space="0"/>
              <w:bottom w:val="single" w:color="000000" w:sz="8" w:space="0"/>
              <w:right w:val="single" w:color="000000" w:sz="8" w:space="0"/>
            </w:tcBorders>
            <w:vAlign w:val="center"/>
          </w:tcPr>
          <w:p w14:paraId="581092FD">
            <w:pPr>
              <w:jc w:val="center"/>
              <w:rPr>
                <w:rFonts w:ascii="宋体" w:hAnsi="宋体" w:eastAsia="宋体" w:cs="宋体"/>
                <w:szCs w:val="21"/>
              </w:rPr>
            </w:pPr>
            <w:r>
              <w:rPr>
                <w:rFonts w:hint="eastAsia" w:ascii="宋体" w:hAnsi="宋体" w:eastAsia="宋体" w:cs="宋体"/>
                <w:szCs w:val="21"/>
              </w:rPr>
              <w:t>技术要求响应情况</w:t>
            </w:r>
          </w:p>
        </w:tc>
        <w:tc>
          <w:tcPr>
            <w:tcW w:w="945" w:type="dxa"/>
            <w:tcBorders>
              <w:top w:val="single" w:color="000000" w:sz="8" w:space="0"/>
              <w:left w:val="single" w:color="000000" w:sz="8" w:space="0"/>
              <w:bottom w:val="single" w:color="000000" w:sz="8" w:space="0"/>
              <w:right w:val="single" w:color="000000" w:sz="8" w:space="0"/>
            </w:tcBorders>
            <w:vAlign w:val="center"/>
          </w:tcPr>
          <w:p w14:paraId="1DAEA8EA">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30</w:t>
            </w:r>
          </w:p>
        </w:tc>
        <w:tc>
          <w:tcPr>
            <w:tcW w:w="5398" w:type="dxa"/>
            <w:tcBorders>
              <w:top w:val="single" w:color="000000" w:sz="8" w:space="0"/>
              <w:left w:val="single" w:color="000000" w:sz="8" w:space="0"/>
              <w:bottom w:val="single" w:color="000000" w:sz="8" w:space="0"/>
              <w:right w:val="single" w:color="000000" w:sz="8" w:space="0"/>
            </w:tcBorders>
            <w:vAlign w:val="center"/>
          </w:tcPr>
          <w:p w14:paraId="6FBC3636">
            <w:pPr>
              <w:rPr>
                <w:rFonts w:ascii="宋体" w:hAnsi="宋体" w:eastAsia="宋体" w:cs="宋体"/>
                <w:b/>
                <w:szCs w:val="21"/>
              </w:rPr>
            </w:pPr>
            <w:r>
              <w:rPr>
                <w:rFonts w:hint="eastAsia" w:ascii="宋体" w:hAnsi="宋体" w:eastAsia="宋体" w:cs="宋体"/>
                <w:b/>
                <w:szCs w:val="21"/>
              </w:rPr>
              <w:t>（一）评分内容</w:t>
            </w:r>
          </w:p>
          <w:p w14:paraId="6EA8BE74">
            <w:pPr>
              <w:rPr>
                <w:rFonts w:ascii="宋体" w:hAnsi="宋体" w:eastAsia="宋体" w:cs="宋体"/>
                <w:szCs w:val="21"/>
              </w:rPr>
            </w:pPr>
            <w:r>
              <w:rPr>
                <w:rFonts w:hint="eastAsia" w:ascii="宋体" w:hAnsi="宋体" w:eastAsia="宋体" w:cs="宋体"/>
                <w:szCs w:val="21"/>
              </w:rPr>
              <w:t>根据项目需求中产品技术要求的满足程度进行评价，评审委员会以投标文件《技术要求偏离表》响应情况进行打分。</w:t>
            </w:r>
          </w:p>
          <w:p w14:paraId="3B65886F">
            <w:pPr>
              <w:rPr>
                <w:rFonts w:ascii="宋体" w:hAnsi="宋体" w:eastAsia="宋体" w:cs="宋体"/>
                <w:b/>
                <w:szCs w:val="21"/>
              </w:rPr>
            </w:pPr>
            <w:r>
              <w:rPr>
                <w:rFonts w:hint="eastAsia" w:ascii="宋体" w:hAnsi="宋体" w:eastAsia="宋体" w:cs="宋体"/>
                <w:b/>
                <w:szCs w:val="21"/>
              </w:rPr>
              <w:t>（二）评分依据</w:t>
            </w:r>
          </w:p>
          <w:p w14:paraId="4C576C95">
            <w:pPr>
              <w:rPr>
                <w:rFonts w:ascii="宋体" w:hAnsi="宋体" w:eastAsia="宋体" w:cs="宋体"/>
                <w:szCs w:val="21"/>
              </w:rPr>
            </w:pPr>
            <w:r>
              <w:rPr>
                <w:rFonts w:hint="eastAsia" w:ascii="宋体" w:hAnsi="宋体" w:eastAsia="宋体" w:cs="宋体"/>
                <w:szCs w:val="21"/>
              </w:rPr>
              <w:t>带“▲”号重要技术要求，每有一项负偏离的扣</w:t>
            </w:r>
            <w:r>
              <w:rPr>
                <w:rFonts w:hint="eastAsia" w:ascii="宋体" w:hAnsi="宋体" w:eastAsia="宋体" w:cs="宋体"/>
                <w:szCs w:val="21"/>
                <w:lang w:val="en-US" w:eastAsia="zh-CN"/>
              </w:rPr>
              <w:t>8.08</w:t>
            </w:r>
            <w:r>
              <w:rPr>
                <w:rFonts w:hint="eastAsia" w:ascii="宋体" w:hAnsi="宋体" w:eastAsia="宋体" w:cs="宋体"/>
                <w:szCs w:val="21"/>
              </w:rPr>
              <w:t>分；除带“★”号不可偏离技术要求和“▲”号重要技术要求以外的普通技术要求每有一项负偏离的扣</w:t>
            </w:r>
            <w:r>
              <w:rPr>
                <w:rFonts w:hint="eastAsia" w:ascii="宋体" w:hAnsi="宋体" w:eastAsia="宋体" w:cs="宋体"/>
                <w:szCs w:val="21"/>
                <w:lang w:val="en-US" w:eastAsia="zh-CN"/>
              </w:rPr>
              <w:t>0.1</w:t>
            </w:r>
            <w:r>
              <w:rPr>
                <w:rFonts w:hint="eastAsia" w:ascii="宋体" w:hAnsi="宋体" w:eastAsia="宋体" w:cs="宋体"/>
                <w:szCs w:val="21"/>
              </w:rPr>
              <w:t>分，扣完为止；本项最高100分，最低得0分。</w:t>
            </w:r>
          </w:p>
          <w:p w14:paraId="307A7CD8">
            <w:pPr>
              <w:rPr>
                <w:rFonts w:ascii="宋体" w:hAnsi="宋体" w:eastAsia="宋体" w:cs="宋体"/>
                <w:szCs w:val="21"/>
              </w:rPr>
            </w:pPr>
            <w:r>
              <w:rPr>
                <w:rFonts w:hint="eastAsia" w:ascii="宋体" w:hAnsi="宋体" w:eastAsia="宋体" w:cs="宋体"/>
                <w:szCs w:val="21"/>
              </w:rPr>
              <w:t>如技术要求中载明提供证明材料的，需提供对应的证明材料。</w:t>
            </w:r>
          </w:p>
        </w:tc>
      </w:tr>
      <w:tr w14:paraId="2B60C0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65" w:type="dxa"/>
            <w:vMerge w:val="continue"/>
            <w:tcBorders>
              <w:top w:val="single" w:color="000000" w:sz="8" w:space="0"/>
              <w:left w:val="single" w:color="000000" w:sz="8" w:space="0"/>
              <w:bottom w:val="single" w:color="000000" w:sz="8" w:space="0"/>
              <w:right w:val="single" w:color="000000" w:sz="8" w:space="0"/>
            </w:tcBorders>
            <w:vAlign w:val="center"/>
          </w:tcPr>
          <w:p w14:paraId="2FC4AF66">
            <w:pPr>
              <w:rPr>
                <w:rFonts w:ascii="宋体" w:hAnsi="宋体" w:eastAsia="宋体" w:cs="宋体"/>
                <w:b/>
                <w:bCs/>
                <w:color w:val="0000FF"/>
                <w:szCs w:val="21"/>
              </w:rPr>
            </w:pPr>
          </w:p>
        </w:tc>
        <w:tc>
          <w:tcPr>
            <w:tcW w:w="665" w:type="dxa"/>
            <w:tcBorders>
              <w:top w:val="single" w:color="000000" w:sz="8" w:space="0"/>
              <w:left w:val="single" w:color="000000" w:sz="8" w:space="0"/>
              <w:bottom w:val="single" w:color="000000" w:sz="8" w:space="0"/>
              <w:right w:val="single" w:color="000000" w:sz="8" w:space="0"/>
            </w:tcBorders>
            <w:vAlign w:val="center"/>
          </w:tcPr>
          <w:p w14:paraId="0E798903">
            <w:pPr>
              <w:jc w:val="center"/>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5</w:t>
            </w:r>
          </w:p>
        </w:tc>
        <w:tc>
          <w:tcPr>
            <w:tcW w:w="1399" w:type="dxa"/>
            <w:tcBorders>
              <w:top w:val="single" w:color="000000" w:sz="8" w:space="0"/>
              <w:left w:val="single" w:color="000000" w:sz="8" w:space="0"/>
              <w:bottom w:val="single" w:color="000000" w:sz="8" w:space="0"/>
              <w:right w:val="single" w:color="000000" w:sz="8" w:space="0"/>
            </w:tcBorders>
            <w:vAlign w:val="center"/>
          </w:tcPr>
          <w:p w14:paraId="27481075">
            <w:pPr>
              <w:jc w:val="center"/>
              <w:rPr>
                <w:rFonts w:ascii="宋体" w:hAnsi="宋体" w:eastAsia="宋体" w:cs="宋体"/>
                <w:color w:val="auto"/>
                <w:szCs w:val="21"/>
              </w:rPr>
            </w:pPr>
            <w:r>
              <w:rPr>
                <w:rFonts w:hint="eastAsia" w:ascii="宋体" w:hAnsi="宋体" w:eastAsia="宋体" w:cs="宋体"/>
                <w:color w:val="auto"/>
                <w:szCs w:val="21"/>
                <w:lang w:eastAsia="zh-CN"/>
              </w:rPr>
              <w:t>项目演示</w:t>
            </w:r>
          </w:p>
        </w:tc>
        <w:tc>
          <w:tcPr>
            <w:tcW w:w="945" w:type="dxa"/>
            <w:tcBorders>
              <w:top w:val="single" w:color="000000" w:sz="8" w:space="0"/>
              <w:left w:val="single" w:color="000000" w:sz="8" w:space="0"/>
              <w:bottom w:val="single" w:color="000000" w:sz="8" w:space="0"/>
              <w:right w:val="single" w:color="000000" w:sz="8" w:space="0"/>
            </w:tcBorders>
            <w:vAlign w:val="center"/>
          </w:tcPr>
          <w:p w14:paraId="1F6C6B26">
            <w:pPr>
              <w:jc w:val="center"/>
              <w:rPr>
                <w:rFonts w:ascii="宋体" w:hAnsi="宋体" w:eastAsia="宋体" w:cs="宋体"/>
                <w:color w:val="auto"/>
                <w:szCs w:val="21"/>
              </w:rPr>
            </w:pPr>
            <w:r>
              <w:rPr>
                <w:rFonts w:hint="eastAsia" w:ascii="宋体" w:hAnsi="宋体" w:eastAsia="宋体" w:cs="宋体"/>
                <w:color w:val="auto"/>
                <w:szCs w:val="21"/>
                <w:lang w:val="en-US" w:eastAsia="zh-CN"/>
              </w:rPr>
              <w:t>8</w:t>
            </w:r>
          </w:p>
        </w:tc>
        <w:tc>
          <w:tcPr>
            <w:tcW w:w="5398" w:type="dxa"/>
            <w:tcBorders>
              <w:top w:val="single" w:color="000000" w:sz="8" w:space="0"/>
              <w:left w:val="single" w:color="000000" w:sz="8" w:space="0"/>
              <w:bottom w:val="single" w:color="000000" w:sz="8" w:space="0"/>
              <w:right w:val="single" w:color="000000" w:sz="8" w:space="0"/>
            </w:tcBorders>
            <w:vAlign w:val="center"/>
          </w:tcPr>
          <w:p w14:paraId="1FF1D661">
            <w:pPr>
              <w:widowControl/>
              <w:rPr>
                <w:rFonts w:ascii="宋体" w:hAnsi="宋体" w:cs="宋体"/>
                <w:b/>
                <w:bCs/>
                <w:color w:val="auto"/>
                <w:kern w:val="0"/>
                <w:szCs w:val="21"/>
              </w:rPr>
            </w:pPr>
            <w:r>
              <w:rPr>
                <w:rFonts w:hint="eastAsia" w:ascii="宋体" w:hAnsi="宋体" w:cs="宋体"/>
                <w:b/>
                <w:bCs/>
                <w:color w:val="auto"/>
                <w:kern w:val="0"/>
                <w:szCs w:val="21"/>
              </w:rPr>
              <w:t>（一）评审内容：</w:t>
            </w:r>
          </w:p>
          <w:p w14:paraId="070B7B40">
            <w:pPr>
              <w:rPr>
                <w:rFonts w:ascii="宋体" w:hAnsi="宋体" w:cs="宋体"/>
                <w:color w:val="auto"/>
                <w:szCs w:val="21"/>
              </w:rPr>
            </w:pPr>
            <w:r>
              <w:rPr>
                <w:rFonts w:hint="eastAsia" w:ascii="宋体" w:hAnsi="宋体" w:cs="宋体"/>
                <w:color w:val="auto"/>
                <w:szCs w:val="21"/>
              </w:rPr>
              <w:t>项目演示内容及具体要求见招标文件</w:t>
            </w:r>
            <w:r>
              <w:rPr>
                <w:rFonts w:hint="eastAsia" w:ascii="宋体" w:hAnsi="宋体" w:cs="宋体"/>
                <w:b/>
                <w:bCs/>
                <w:color w:val="auto"/>
                <w:szCs w:val="21"/>
              </w:rPr>
              <w:t>“第三章 用户需求书-</w:t>
            </w:r>
            <w:r>
              <w:rPr>
                <w:rFonts w:hint="eastAsia" w:ascii="宋体" w:hAnsi="宋体" w:cs="宋体"/>
                <w:b/>
                <w:bCs/>
                <w:color w:val="auto"/>
                <w:szCs w:val="21"/>
                <w:lang w:val="en-US" w:eastAsia="zh-CN"/>
              </w:rPr>
              <w:t>十</w:t>
            </w:r>
            <w:r>
              <w:rPr>
                <w:rFonts w:hint="eastAsia" w:ascii="宋体" w:hAnsi="宋体" w:cs="宋体"/>
                <w:b/>
                <w:bCs/>
                <w:color w:val="auto"/>
                <w:szCs w:val="21"/>
              </w:rPr>
              <w:t>、演示要求-（二）演示内容及要求表”中的“序号1至序号</w:t>
            </w:r>
            <w:r>
              <w:rPr>
                <w:rFonts w:hint="eastAsia" w:ascii="宋体" w:hAnsi="宋体" w:cs="宋体"/>
                <w:b/>
                <w:bCs/>
                <w:color w:val="auto"/>
                <w:szCs w:val="21"/>
                <w:lang w:val="en-US" w:eastAsia="zh-CN"/>
              </w:rPr>
              <w:t>3</w:t>
            </w:r>
            <w:r>
              <w:rPr>
                <w:rFonts w:hint="eastAsia" w:ascii="宋体" w:hAnsi="宋体" w:cs="宋体"/>
                <w:b/>
                <w:bCs/>
                <w:color w:val="auto"/>
                <w:szCs w:val="21"/>
              </w:rPr>
              <w:t>”</w:t>
            </w:r>
            <w:r>
              <w:rPr>
                <w:rFonts w:hint="eastAsia" w:ascii="宋体" w:hAnsi="宋体" w:cs="宋体"/>
                <w:color w:val="auto"/>
                <w:szCs w:val="21"/>
              </w:rPr>
              <w:t>，共</w:t>
            </w:r>
            <w:r>
              <w:rPr>
                <w:rFonts w:hint="eastAsia" w:ascii="宋体" w:hAnsi="宋体" w:cs="宋体"/>
                <w:color w:val="auto"/>
                <w:szCs w:val="21"/>
                <w:lang w:val="en-US" w:eastAsia="zh-CN"/>
              </w:rPr>
              <w:t>3</w:t>
            </w:r>
            <w:r>
              <w:rPr>
                <w:rFonts w:hint="eastAsia" w:ascii="宋体" w:hAnsi="宋体" w:cs="宋体"/>
                <w:color w:val="auto"/>
                <w:szCs w:val="21"/>
              </w:rPr>
              <w:t>个演示项目。</w:t>
            </w:r>
          </w:p>
          <w:p w14:paraId="30DCD7E0">
            <w:pPr>
              <w:rPr>
                <w:b/>
                <w:color w:val="auto"/>
                <w:szCs w:val="21"/>
              </w:rPr>
            </w:pPr>
            <w:r>
              <w:rPr>
                <w:rFonts w:hint="eastAsia"/>
                <w:b/>
                <w:color w:val="auto"/>
                <w:szCs w:val="21"/>
              </w:rPr>
              <w:t>（二）评分依据：</w:t>
            </w:r>
          </w:p>
          <w:p w14:paraId="15563054">
            <w:pPr>
              <w:rPr>
                <w:color w:val="auto"/>
              </w:rPr>
            </w:pPr>
            <w:r>
              <w:rPr>
                <w:rFonts w:hint="eastAsia"/>
                <w:color w:val="auto"/>
              </w:rPr>
              <w:t>1.演示要求的</w:t>
            </w:r>
            <w:r>
              <w:rPr>
                <w:rFonts w:hint="eastAsia"/>
                <w:color w:val="auto"/>
                <w:lang w:val="en-US" w:eastAsia="zh-CN"/>
              </w:rPr>
              <w:t>3</w:t>
            </w:r>
            <w:r>
              <w:rPr>
                <w:rFonts w:hint="eastAsia"/>
                <w:color w:val="auto"/>
              </w:rPr>
              <w:t>个演示项目，</w:t>
            </w:r>
            <w:r>
              <w:rPr>
                <w:rFonts w:hint="eastAsia" w:ascii="宋体" w:hAnsi="宋体" w:eastAsia="宋体" w:cs="宋体"/>
                <w:color w:val="auto"/>
                <w:kern w:val="0"/>
                <w:szCs w:val="21"/>
              </w:rPr>
              <w:t>每</w:t>
            </w:r>
            <w:r>
              <w:rPr>
                <w:rFonts w:hint="eastAsia" w:ascii="宋体" w:hAnsi="宋体" w:eastAsia="宋体" w:cs="宋体"/>
                <w:color w:val="auto"/>
                <w:szCs w:val="21"/>
                <w:lang w:val="en-US" w:eastAsia="zh-CN"/>
              </w:rPr>
              <w:t>满足</w:t>
            </w:r>
            <w:r>
              <w:rPr>
                <w:rFonts w:hint="eastAsia" w:ascii="宋体" w:hAnsi="宋体" w:eastAsia="宋体" w:cs="宋体"/>
                <w:color w:val="auto"/>
                <w:kern w:val="0"/>
                <w:szCs w:val="21"/>
              </w:rPr>
              <w:t>任意一项</w:t>
            </w:r>
            <w:r>
              <w:rPr>
                <w:rFonts w:hint="eastAsia" w:ascii="宋体" w:hAnsi="宋体" w:eastAsia="宋体" w:cs="宋体"/>
                <w:color w:val="auto"/>
                <w:kern w:val="0"/>
                <w:szCs w:val="21"/>
                <w:lang w:val="en-US" w:eastAsia="zh-CN"/>
              </w:rPr>
              <w:t>演示项目</w:t>
            </w:r>
            <w:r>
              <w:rPr>
                <w:rFonts w:hint="eastAsia" w:ascii="宋体" w:hAnsi="宋体" w:eastAsia="宋体" w:cs="宋体"/>
                <w:color w:val="auto"/>
                <w:kern w:val="0"/>
                <w:szCs w:val="21"/>
              </w:rPr>
              <w:t>要求</w:t>
            </w:r>
            <w:r>
              <w:rPr>
                <w:rFonts w:hint="eastAsia" w:ascii="宋体" w:hAnsi="宋体" w:eastAsia="宋体" w:cs="宋体"/>
                <w:color w:val="auto"/>
                <w:kern w:val="0"/>
                <w:szCs w:val="21"/>
                <w:lang w:val="en-US" w:eastAsia="zh-CN"/>
              </w:rPr>
              <w:t>的</w:t>
            </w:r>
            <w:r>
              <w:rPr>
                <w:rFonts w:hint="eastAsia" w:ascii="宋体" w:hAnsi="宋体" w:eastAsia="宋体" w:cs="宋体"/>
                <w:color w:val="auto"/>
                <w:kern w:val="0"/>
                <w:szCs w:val="21"/>
              </w:rPr>
              <w:t>得</w:t>
            </w:r>
            <w:r>
              <w:rPr>
                <w:rFonts w:hint="eastAsia" w:ascii="宋体" w:hAnsi="宋体" w:eastAsia="宋体" w:cs="宋体"/>
                <w:color w:val="auto"/>
                <w:kern w:val="0"/>
                <w:szCs w:val="21"/>
                <w:lang w:val="en-US" w:eastAsia="zh-CN"/>
              </w:rPr>
              <w:t>2</w:t>
            </w:r>
            <w:r>
              <w:rPr>
                <w:rFonts w:hint="eastAsia" w:ascii="宋体" w:hAnsi="宋体" w:eastAsia="宋体" w:cs="宋体"/>
                <w:color w:val="auto"/>
                <w:kern w:val="0"/>
                <w:szCs w:val="21"/>
              </w:rPr>
              <w:t>0分，累计得分，全部满足得</w:t>
            </w:r>
            <w:r>
              <w:rPr>
                <w:rFonts w:hint="eastAsia" w:ascii="宋体" w:hAnsi="宋体" w:eastAsia="宋体" w:cs="宋体"/>
                <w:color w:val="auto"/>
                <w:kern w:val="0"/>
                <w:szCs w:val="21"/>
                <w:lang w:val="en-US" w:eastAsia="zh-CN"/>
              </w:rPr>
              <w:t>6</w:t>
            </w:r>
            <w:r>
              <w:rPr>
                <w:rFonts w:hint="eastAsia" w:ascii="宋体" w:hAnsi="宋体" w:eastAsia="宋体" w:cs="宋体"/>
                <w:color w:val="auto"/>
                <w:kern w:val="0"/>
                <w:szCs w:val="21"/>
              </w:rPr>
              <w:t>0分</w:t>
            </w:r>
            <w:r>
              <w:rPr>
                <w:rFonts w:hint="eastAsia" w:ascii="宋体" w:hAnsi="宋体" w:eastAsia="宋体" w:cs="宋体"/>
                <w:color w:val="auto"/>
                <w:szCs w:val="21"/>
              </w:rPr>
              <w:t>。</w:t>
            </w:r>
          </w:p>
          <w:p w14:paraId="70900E8D">
            <w:pPr>
              <w:rPr>
                <w:color w:val="auto"/>
              </w:rPr>
            </w:pPr>
            <w:r>
              <w:rPr>
                <w:rFonts w:hint="eastAsia"/>
                <w:color w:val="auto"/>
              </w:rPr>
              <w:t>2.在第1项得分基础上，</w:t>
            </w:r>
            <w:r>
              <w:rPr>
                <w:rFonts w:hint="eastAsia" w:ascii="宋体" w:hAnsi="宋体" w:eastAsia="宋体" w:cs="宋体"/>
                <w:color w:val="auto"/>
                <w:szCs w:val="21"/>
              </w:rPr>
              <w:t>专家根据各投标人提供的具体内容按照量化的评审因素指标进一步评审</w:t>
            </w:r>
            <w:r>
              <w:rPr>
                <w:rFonts w:hint="eastAsia"/>
                <w:color w:val="auto"/>
              </w:rPr>
              <w:t>：</w:t>
            </w:r>
          </w:p>
          <w:p w14:paraId="3BF2FFF4">
            <w:pPr>
              <w:rPr>
                <w:color w:val="auto"/>
              </w:rPr>
            </w:pPr>
            <w:r>
              <w:rPr>
                <w:rFonts w:hint="eastAsia"/>
                <w:color w:val="auto"/>
              </w:rPr>
              <w:t>（1）评审为优：</w:t>
            </w:r>
            <w:r>
              <w:rPr>
                <w:rFonts w:hint="eastAsia" w:ascii="宋体" w:hAnsi="宋体" w:cs="宋体"/>
                <w:color w:val="auto"/>
                <w:kern w:val="0"/>
                <w:szCs w:val="21"/>
              </w:rPr>
              <w:t>演示内容完全满足采购需求，内容完整详细，符合项目实际，可操作性强，得</w:t>
            </w:r>
            <w:r>
              <w:rPr>
                <w:rFonts w:hint="eastAsia" w:ascii="宋体" w:hAnsi="宋体" w:cs="宋体"/>
                <w:color w:val="auto"/>
                <w:kern w:val="0"/>
                <w:szCs w:val="21"/>
                <w:lang w:val="en-US" w:eastAsia="zh-CN"/>
              </w:rPr>
              <w:t>4</w:t>
            </w:r>
            <w:r>
              <w:rPr>
                <w:rFonts w:hint="eastAsia" w:ascii="宋体" w:hAnsi="宋体" w:cs="宋体"/>
                <w:color w:val="auto"/>
                <w:kern w:val="0"/>
                <w:szCs w:val="21"/>
              </w:rPr>
              <w:t>0分</w:t>
            </w:r>
            <w:r>
              <w:rPr>
                <w:rFonts w:hint="eastAsia"/>
                <w:color w:val="auto"/>
              </w:rPr>
              <w:t>；</w:t>
            </w:r>
          </w:p>
          <w:p w14:paraId="290E078D">
            <w:pPr>
              <w:rPr>
                <w:color w:val="auto"/>
              </w:rPr>
            </w:pPr>
            <w:r>
              <w:rPr>
                <w:rFonts w:hint="eastAsia"/>
                <w:color w:val="auto"/>
              </w:rPr>
              <w:t>（2）评审为良：</w:t>
            </w:r>
            <w:r>
              <w:rPr>
                <w:rFonts w:hint="eastAsia" w:ascii="宋体" w:hAnsi="宋体" w:cs="宋体"/>
                <w:color w:val="auto"/>
                <w:kern w:val="0"/>
                <w:szCs w:val="21"/>
              </w:rPr>
              <w:t>演示内容满足采购需求，内容比较完整，基本符合项目实际，可操作性一般，得</w:t>
            </w:r>
            <w:r>
              <w:rPr>
                <w:rFonts w:hint="eastAsia" w:ascii="宋体" w:hAnsi="宋体" w:cs="宋体"/>
                <w:color w:val="auto"/>
                <w:kern w:val="0"/>
                <w:szCs w:val="21"/>
                <w:lang w:val="en-US" w:eastAsia="zh-CN"/>
              </w:rPr>
              <w:t>2</w:t>
            </w:r>
            <w:r>
              <w:rPr>
                <w:rFonts w:hint="eastAsia" w:ascii="宋体" w:hAnsi="宋体" w:cs="宋体"/>
                <w:color w:val="auto"/>
                <w:kern w:val="0"/>
                <w:szCs w:val="21"/>
              </w:rPr>
              <w:t>0分</w:t>
            </w:r>
            <w:r>
              <w:rPr>
                <w:rFonts w:hint="eastAsia"/>
                <w:color w:val="auto"/>
              </w:rPr>
              <w:t>；</w:t>
            </w:r>
          </w:p>
          <w:p w14:paraId="4880FA6D">
            <w:pPr>
              <w:rPr>
                <w:color w:val="auto"/>
              </w:rPr>
            </w:pPr>
            <w:r>
              <w:rPr>
                <w:rFonts w:hint="eastAsia"/>
                <w:color w:val="auto"/>
              </w:rPr>
              <w:t>（3）评审为中：</w:t>
            </w:r>
            <w:r>
              <w:rPr>
                <w:rFonts w:hint="eastAsia" w:ascii="宋体" w:hAnsi="宋体" w:cs="宋体"/>
                <w:color w:val="auto"/>
                <w:kern w:val="0"/>
                <w:szCs w:val="21"/>
              </w:rPr>
              <w:t>演示内容部分满足采购需求，内容一般，部分符合项目实际，可操作性差，得</w:t>
            </w:r>
            <w:r>
              <w:rPr>
                <w:rFonts w:hint="eastAsia" w:ascii="宋体" w:hAnsi="宋体" w:cs="宋体"/>
                <w:color w:val="auto"/>
                <w:kern w:val="0"/>
                <w:szCs w:val="21"/>
                <w:lang w:val="en-US" w:eastAsia="zh-CN"/>
              </w:rPr>
              <w:t>1</w:t>
            </w:r>
            <w:r>
              <w:rPr>
                <w:rFonts w:hint="eastAsia" w:ascii="宋体" w:hAnsi="宋体" w:cs="宋体"/>
                <w:color w:val="auto"/>
                <w:kern w:val="0"/>
                <w:szCs w:val="21"/>
              </w:rPr>
              <w:t>0分</w:t>
            </w:r>
            <w:r>
              <w:rPr>
                <w:rFonts w:hint="eastAsia"/>
                <w:color w:val="auto"/>
              </w:rPr>
              <w:t>；</w:t>
            </w:r>
          </w:p>
          <w:p w14:paraId="3AAAC42D">
            <w:pPr>
              <w:rPr>
                <w:color w:val="auto"/>
              </w:rPr>
            </w:pPr>
            <w:r>
              <w:rPr>
                <w:rFonts w:hint="eastAsia"/>
                <w:color w:val="auto"/>
              </w:rPr>
              <w:t>（4）评审为差：</w:t>
            </w:r>
            <w:r>
              <w:rPr>
                <w:rFonts w:hint="eastAsia" w:ascii="宋体" w:hAnsi="宋体" w:cs="宋体"/>
                <w:color w:val="auto"/>
                <w:kern w:val="0"/>
                <w:szCs w:val="21"/>
              </w:rPr>
              <w:t>未提供或提供的演示内容不科学，或者内容空泛不完整，不切合项目实际，得0分</w:t>
            </w:r>
            <w:r>
              <w:rPr>
                <w:rFonts w:hint="eastAsia"/>
                <w:color w:val="auto"/>
              </w:rPr>
              <w:t>。</w:t>
            </w:r>
          </w:p>
          <w:p w14:paraId="42511F0F">
            <w:pPr>
              <w:widowControl/>
              <w:rPr>
                <w:rFonts w:hint="eastAsia" w:ascii="宋体" w:hAnsi="宋体" w:eastAsia="宋体" w:cs="宋体"/>
                <w:b/>
                <w:bCs/>
                <w:color w:val="auto"/>
                <w:kern w:val="0"/>
                <w:szCs w:val="21"/>
              </w:rPr>
            </w:pPr>
            <w:r>
              <w:rPr>
                <w:rFonts w:hint="eastAsia" w:ascii="宋体" w:hAnsi="宋体" w:eastAsia="宋体" w:cs="宋体"/>
                <w:b/>
                <w:bCs/>
                <w:color w:val="auto"/>
                <w:kern w:val="0"/>
                <w:szCs w:val="21"/>
              </w:rPr>
              <w:t>以上2项得分累计，最高得100分。</w:t>
            </w:r>
          </w:p>
          <w:p w14:paraId="68CC65C1">
            <w:pPr>
              <w:widowControl/>
              <w:rPr>
                <w:rFonts w:ascii="宋体" w:hAnsi="宋体" w:eastAsia="宋体" w:cs="宋体"/>
                <w:color w:val="auto"/>
                <w:szCs w:val="21"/>
              </w:rPr>
            </w:pPr>
            <w:r>
              <w:rPr>
                <w:rFonts w:hint="eastAsia" w:ascii="宋体" w:hAnsi="宋体" w:cs="宋体"/>
                <w:b/>
                <w:bCs/>
                <w:color w:val="auto"/>
                <w:kern w:val="0"/>
                <w:szCs w:val="21"/>
                <w:lang w:val="en-US" w:eastAsia="zh-CN"/>
              </w:rPr>
              <w:t>要求</w:t>
            </w:r>
            <w:r>
              <w:rPr>
                <w:rFonts w:hint="eastAsia" w:ascii="宋体" w:hAnsi="宋体" w:cs="宋体"/>
                <w:b/>
                <w:bCs/>
                <w:color w:val="auto"/>
                <w:kern w:val="0"/>
                <w:szCs w:val="21"/>
              </w:rPr>
              <w:t>提供项目演示光盘（或U盘）（短片播放时间≤10分钟），总体以光盘（或U盘）形式演示。评审专家自行观看方案演示，演示形式为录屏方式的系统原型或demo演示。未提供演示光盘（或U盘），或演示光盘（或U盘）无法演示，或演示方式只包含PPT讲解、演示的，或演示光盘（或U盘）时长超过规定时间的，得0分。</w:t>
            </w:r>
          </w:p>
        </w:tc>
      </w:tr>
      <w:tr w14:paraId="5AD5F1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65" w:type="dxa"/>
            <w:vMerge w:val="restart"/>
            <w:tcBorders>
              <w:top w:val="single" w:color="000000" w:sz="8" w:space="0"/>
              <w:left w:val="single" w:color="000000" w:sz="8" w:space="0"/>
              <w:right w:val="single" w:color="000000" w:sz="8" w:space="0"/>
            </w:tcBorders>
          </w:tcPr>
          <w:p w14:paraId="78F61C0B">
            <w:pPr>
              <w:jc w:val="center"/>
              <w:rPr>
                <w:rFonts w:hint="eastAsia" w:ascii="宋体" w:hAnsi="宋体" w:eastAsia="宋体" w:cs="宋体"/>
                <w:b/>
                <w:bCs/>
                <w:color w:val="0000FF"/>
                <w:szCs w:val="21"/>
                <w:lang w:eastAsia="zh-CN"/>
              </w:rPr>
            </w:pPr>
            <w:r>
              <w:rPr>
                <w:rFonts w:hint="eastAsia" w:ascii="宋体" w:hAnsi="宋体" w:eastAsia="宋体" w:cs="宋体"/>
                <w:b/>
                <w:bCs/>
                <w:color w:val="0000FF"/>
                <w:szCs w:val="21"/>
                <w:lang w:val="en-US" w:eastAsia="zh-CN"/>
              </w:rPr>
              <w:t>3</w:t>
            </w:r>
          </w:p>
        </w:tc>
        <w:tc>
          <w:tcPr>
            <w:tcW w:w="3009" w:type="dxa"/>
            <w:gridSpan w:val="3"/>
            <w:tcBorders>
              <w:top w:val="single" w:color="000000" w:sz="8" w:space="0"/>
              <w:left w:val="single" w:color="000000" w:sz="8" w:space="0"/>
              <w:bottom w:val="single" w:color="000000" w:sz="8" w:space="0"/>
              <w:right w:val="single" w:color="000000" w:sz="8" w:space="0"/>
            </w:tcBorders>
          </w:tcPr>
          <w:p w14:paraId="60D4E464">
            <w:pPr>
              <w:jc w:val="center"/>
              <w:rPr>
                <w:rFonts w:ascii="宋体" w:hAnsi="宋体" w:eastAsia="宋体" w:cs="宋体"/>
                <w:b/>
                <w:bCs/>
                <w:color w:val="0000FF"/>
                <w:szCs w:val="21"/>
              </w:rPr>
            </w:pPr>
            <w:r>
              <w:rPr>
                <w:rFonts w:hint="eastAsia" w:ascii="宋体" w:hAnsi="宋体" w:eastAsia="宋体" w:cs="宋体"/>
                <w:b/>
                <w:bCs/>
                <w:color w:val="0000FF"/>
                <w:szCs w:val="21"/>
              </w:rPr>
              <w:t>综合实力部分</w:t>
            </w:r>
          </w:p>
        </w:tc>
        <w:tc>
          <w:tcPr>
            <w:tcW w:w="5398" w:type="dxa"/>
            <w:tcBorders>
              <w:top w:val="single" w:color="000000" w:sz="8" w:space="0"/>
              <w:left w:val="single" w:color="000000" w:sz="8" w:space="0"/>
              <w:bottom w:val="single" w:color="000000" w:sz="8" w:space="0"/>
              <w:right w:val="single" w:color="000000" w:sz="8" w:space="0"/>
            </w:tcBorders>
          </w:tcPr>
          <w:p w14:paraId="1EE77257">
            <w:pPr>
              <w:jc w:val="center"/>
              <w:rPr>
                <w:rFonts w:hint="default" w:ascii="宋体" w:hAnsi="宋体" w:eastAsia="宋体" w:cs="宋体"/>
                <w:b/>
                <w:bCs/>
                <w:color w:val="0000FF"/>
                <w:szCs w:val="21"/>
                <w:lang w:val="en-US" w:eastAsia="zh-CN"/>
              </w:rPr>
            </w:pPr>
            <w:r>
              <w:rPr>
                <w:rFonts w:hint="eastAsia" w:ascii="宋体" w:hAnsi="宋体" w:eastAsia="宋体" w:cs="宋体"/>
                <w:b/>
                <w:bCs/>
                <w:color w:val="0000FF"/>
                <w:szCs w:val="21"/>
                <w:lang w:val="en-US" w:eastAsia="zh-CN"/>
              </w:rPr>
              <w:t>10</w:t>
            </w:r>
          </w:p>
        </w:tc>
      </w:tr>
      <w:tr w14:paraId="077C309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65" w:type="dxa"/>
            <w:vMerge w:val="continue"/>
            <w:tcBorders>
              <w:left w:val="single" w:color="000000" w:sz="8" w:space="0"/>
              <w:right w:val="single" w:color="000000" w:sz="8" w:space="0"/>
            </w:tcBorders>
            <w:vAlign w:val="center"/>
          </w:tcPr>
          <w:p w14:paraId="6AB27F73">
            <w:pPr>
              <w:rPr>
                <w:rFonts w:ascii="宋体" w:hAnsi="宋体" w:eastAsia="宋体" w:cs="宋体"/>
                <w:b/>
                <w:bCs/>
                <w:color w:val="0000FF"/>
                <w:szCs w:val="21"/>
              </w:rPr>
            </w:pPr>
          </w:p>
        </w:tc>
        <w:tc>
          <w:tcPr>
            <w:tcW w:w="8407" w:type="dxa"/>
            <w:gridSpan w:val="4"/>
            <w:tcBorders>
              <w:top w:val="single" w:color="000000" w:sz="8" w:space="0"/>
              <w:left w:val="single" w:color="000000" w:sz="8" w:space="0"/>
              <w:bottom w:val="single" w:color="000000" w:sz="8" w:space="0"/>
              <w:right w:val="single" w:color="000000" w:sz="8" w:space="0"/>
            </w:tcBorders>
          </w:tcPr>
          <w:p w14:paraId="79441842">
            <w:pPr>
              <w:rPr>
                <w:rFonts w:ascii="宋体" w:hAnsi="宋体" w:eastAsia="宋体" w:cs="宋体"/>
                <w:szCs w:val="21"/>
              </w:rPr>
            </w:pPr>
          </w:p>
        </w:tc>
      </w:tr>
      <w:tr w14:paraId="5170B1A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65" w:type="dxa"/>
            <w:vMerge w:val="continue"/>
            <w:tcBorders>
              <w:left w:val="single" w:color="000000" w:sz="8" w:space="0"/>
              <w:right w:val="single" w:color="000000" w:sz="8" w:space="0"/>
            </w:tcBorders>
            <w:shd w:val="clear" w:color="auto" w:fill="E6EFFA"/>
            <w:vAlign w:val="center"/>
          </w:tcPr>
          <w:p w14:paraId="743D1838">
            <w:pPr>
              <w:rPr>
                <w:rFonts w:ascii="宋体" w:hAnsi="宋体" w:eastAsia="宋体" w:cs="宋体"/>
                <w:b/>
                <w:bCs/>
                <w:color w:val="0000FF"/>
                <w:szCs w:val="21"/>
              </w:rPr>
            </w:pPr>
          </w:p>
        </w:tc>
        <w:tc>
          <w:tcPr>
            <w:tcW w:w="665"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65BCA3F3">
            <w:pPr>
              <w:jc w:val="center"/>
              <w:rPr>
                <w:rFonts w:ascii="宋体" w:hAnsi="宋体" w:eastAsia="宋体" w:cs="宋体"/>
                <w:szCs w:val="21"/>
              </w:rPr>
            </w:pPr>
            <w:r>
              <w:rPr>
                <w:rFonts w:hint="eastAsia" w:ascii="宋体" w:hAnsi="宋体" w:eastAsia="宋体" w:cs="宋体"/>
                <w:szCs w:val="21"/>
              </w:rPr>
              <w:t>序号</w:t>
            </w:r>
          </w:p>
        </w:tc>
        <w:tc>
          <w:tcPr>
            <w:tcW w:w="1399"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00E1285E">
            <w:pPr>
              <w:jc w:val="center"/>
              <w:rPr>
                <w:rFonts w:ascii="宋体" w:hAnsi="宋体" w:eastAsia="宋体" w:cs="宋体"/>
                <w:szCs w:val="21"/>
              </w:rPr>
            </w:pPr>
            <w:r>
              <w:rPr>
                <w:rFonts w:hint="eastAsia" w:ascii="宋体" w:hAnsi="宋体" w:eastAsia="宋体" w:cs="宋体"/>
                <w:szCs w:val="21"/>
              </w:rPr>
              <w:t>评分因素</w:t>
            </w:r>
          </w:p>
        </w:tc>
        <w:tc>
          <w:tcPr>
            <w:tcW w:w="945"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4E04D5AE">
            <w:pPr>
              <w:jc w:val="center"/>
              <w:rPr>
                <w:rFonts w:ascii="宋体" w:hAnsi="宋体" w:eastAsia="宋体" w:cs="宋体"/>
                <w:szCs w:val="21"/>
              </w:rPr>
            </w:pPr>
            <w:r>
              <w:rPr>
                <w:rFonts w:hint="eastAsia" w:ascii="宋体" w:hAnsi="宋体" w:eastAsia="宋体" w:cs="宋体"/>
                <w:szCs w:val="21"/>
              </w:rPr>
              <w:t>权重(%)</w:t>
            </w:r>
          </w:p>
        </w:tc>
        <w:tc>
          <w:tcPr>
            <w:tcW w:w="5398"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5263CC64">
            <w:pPr>
              <w:jc w:val="center"/>
              <w:rPr>
                <w:rFonts w:ascii="宋体" w:hAnsi="宋体" w:eastAsia="宋体" w:cs="宋体"/>
                <w:szCs w:val="21"/>
              </w:rPr>
            </w:pPr>
            <w:r>
              <w:rPr>
                <w:rFonts w:hint="eastAsia" w:ascii="宋体" w:hAnsi="宋体" w:eastAsia="宋体" w:cs="宋体"/>
                <w:szCs w:val="21"/>
              </w:rPr>
              <w:t>评分准则</w:t>
            </w:r>
          </w:p>
        </w:tc>
      </w:tr>
      <w:tr w14:paraId="4745F8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65" w:type="dxa"/>
            <w:vMerge w:val="continue"/>
            <w:tcBorders>
              <w:left w:val="single" w:color="000000" w:sz="8" w:space="0"/>
              <w:right w:val="single" w:color="000000" w:sz="8" w:space="0"/>
            </w:tcBorders>
            <w:vAlign w:val="center"/>
          </w:tcPr>
          <w:p w14:paraId="2011D0D1">
            <w:pPr>
              <w:rPr>
                <w:rFonts w:ascii="宋体" w:hAnsi="宋体" w:eastAsia="宋体" w:cs="宋体"/>
                <w:b/>
                <w:bCs/>
                <w:color w:val="0000FF"/>
                <w:szCs w:val="21"/>
              </w:rPr>
            </w:pPr>
          </w:p>
        </w:tc>
        <w:tc>
          <w:tcPr>
            <w:tcW w:w="665" w:type="dxa"/>
            <w:tcBorders>
              <w:top w:val="single" w:color="000000" w:sz="8" w:space="0"/>
              <w:left w:val="single" w:color="000000" w:sz="8" w:space="0"/>
              <w:bottom w:val="single" w:color="000000" w:sz="8" w:space="0"/>
              <w:right w:val="single" w:color="000000" w:sz="8" w:space="0"/>
            </w:tcBorders>
            <w:vAlign w:val="center"/>
          </w:tcPr>
          <w:p w14:paraId="1E742CE1">
            <w:pPr>
              <w:jc w:val="center"/>
              <w:rPr>
                <w:rFonts w:ascii="宋体" w:hAnsi="宋体" w:eastAsia="宋体" w:cs="宋体"/>
                <w:color w:val="auto"/>
                <w:szCs w:val="21"/>
              </w:rPr>
            </w:pPr>
            <w:r>
              <w:rPr>
                <w:rFonts w:hint="eastAsia" w:ascii="宋体" w:hAnsi="宋体" w:eastAsia="宋体" w:cs="宋体"/>
                <w:color w:val="auto"/>
                <w:szCs w:val="21"/>
              </w:rPr>
              <w:t>1</w:t>
            </w:r>
          </w:p>
        </w:tc>
        <w:tc>
          <w:tcPr>
            <w:tcW w:w="1399" w:type="dxa"/>
            <w:tcBorders>
              <w:top w:val="single" w:color="000000" w:sz="8" w:space="0"/>
              <w:left w:val="single" w:color="000000" w:sz="8" w:space="0"/>
              <w:bottom w:val="single" w:color="000000" w:sz="8" w:space="0"/>
              <w:right w:val="single" w:color="000000" w:sz="8" w:space="0"/>
            </w:tcBorders>
            <w:vAlign w:val="center"/>
          </w:tcPr>
          <w:p w14:paraId="5E11C101">
            <w:pPr>
              <w:jc w:val="center"/>
              <w:rPr>
                <w:rFonts w:ascii="宋体" w:hAnsi="宋体" w:eastAsia="宋体" w:cs="宋体"/>
                <w:color w:val="auto"/>
                <w:szCs w:val="21"/>
              </w:rPr>
            </w:pPr>
            <w:r>
              <w:rPr>
                <w:rFonts w:hint="eastAsia" w:ascii="宋体" w:hAnsi="宋体" w:eastAsia="宋体" w:cs="宋体"/>
                <w:color w:val="auto"/>
                <w:szCs w:val="21"/>
              </w:rPr>
              <w:t>类似项目业绩</w:t>
            </w:r>
          </w:p>
        </w:tc>
        <w:tc>
          <w:tcPr>
            <w:tcW w:w="945" w:type="dxa"/>
            <w:tcBorders>
              <w:top w:val="single" w:color="000000" w:sz="8" w:space="0"/>
              <w:left w:val="single" w:color="000000" w:sz="8" w:space="0"/>
              <w:bottom w:val="single" w:color="000000" w:sz="8" w:space="0"/>
              <w:right w:val="single" w:color="000000" w:sz="8" w:space="0"/>
            </w:tcBorders>
            <w:vAlign w:val="center"/>
          </w:tcPr>
          <w:p w14:paraId="6C55CC77">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4</w:t>
            </w:r>
          </w:p>
        </w:tc>
        <w:tc>
          <w:tcPr>
            <w:tcW w:w="5398" w:type="dxa"/>
            <w:tcBorders>
              <w:top w:val="single" w:color="000000" w:sz="8" w:space="0"/>
              <w:left w:val="single" w:color="000000" w:sz="8" w:space="0"/>
              <w:bottom w:val="single" w:color="000000" w:sz="8" w:space="0"/>
              <w:right w:val="single" w:color="000000" w:sz="8" w:space="0"/>
            </w:tcBorders>
            <w:vAlign w:val="center"/>
          </w:tcPr>
          <w:p w14:paraId="0C02DAF5">
            <w:pPr>
              <w:rPr>
                <w:rFonts w:ascii="宋体" w:hAnsi="宋体" w:eastAsia="宋体" w:cs="宋体"/>
                <w:b/>
                <w:color w:val="auto"/>
                <w:szCs w:val="21"/>
              </w:rPr>
            </w:pPr>
            <w:r>
              <w:rPr>
                <w:rFonts w:hint="eastAsia" w:ascii="宋体" w:hAnsi="宋体" w:eastAsia="宋体" w:cs="宋体"/>
                <w:b/>
                <w:color w:val="auto"/>
                <w:szCs w:val="21"/>
              </w:rPr>
              <w:t>（一）评分内容</w:t>
            </w:r>
          </w:p>
          <w:p w14:paraId="7A317D93">
            <w:pPr>
              <w:rPr>
                <w:rFonts w:hint="eastAsia" w:ascii="宋体" w:hAnsi="宋体" w:eastAsia="宋体" w:cs="宋体"/>
                <w:color w:val="auto"/>
                <w:szCs w:val="21"/>
                <w:lang w:eastAsia="zh-CN"/>
              </w:rPr>
            </w:pPr>
            <w:r>
              <w:rPr>
                <w:rFonts w:hint="eastAsia" w:ascii="宋体" w:hAnsi="宋体" w:eastAsia="宋体" w:cs="宋体"/>
                <w:color w:val="auto"/>
                <w:szCs w:val="21"/>
              </w:rPr>
              <w:t>提供投标人</w:t>
            </w:r>
            <w:r>
              <w:rPr>
                <w:rFonts w:hint="eastAsia" w:ascii="宋体" w:hAnsi="宋体" w:eastAsia="宋体" w:cs="宋体"/>
                <w:color w:val="auto"/>
                <w:szCs w:val="21"/>
                <w:lang w:val="en-US" w:eastAsia="zh-CN"/>
              </w:rPr>
              <w:t>自</w:t>
            </w:r>
            <w:r>
              <w:rPr>
                <w:rFonts w:hint="eastAsia" w:ascii="宋体" w:hAnsi="宋体" w:eastAsia="宋体" w:cs="宋体"/>
                <w:color w:val="auto"/>
                <w:szCs w:val="21"/>
                <w:highlight w:val="none"/>
              </w:rPr>
              <w:t>20</w:t>
            </w:r>
            <w:r>
              <w:rPr>
                <w:rFonts w:hint="eastAsia" w:ascii="宋体" w:hAnsi="宋体" w:eastAsia="宋体" w:cs="宋体"/>
                <w:color w:val="auto"/>
                <w:szCs w:val="21"/>
                <w:highlight w:val="none"/>
                <w:lang w:val="en-US" w:eastAsia="zh-CN"/>
              </w:rPr>
              <w:t>21</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月至本项目投标截止日（以合同签订日期为准）</w:t>
            </w:r>
            <w:r>
              <w:rPr>
                <w:rFonts w:hint="eastAsia" w:ascii="宋体" w:hAnsi="宋体" w:eastAsia="宋体" w:cs="宋体"/>
                <w:color w:val="auto"/>
                <w:szCs w:val="21"/>
                <w:highlight w:val="none"/>
                <w:lang w:eastAsia="zh-CN"/>
              </w:rPr>
              <w:t>承接</w:t>
            </w:r>
            <w:r>
              <w:rPr>
                <w:rFonts w:hint="eastAsia" w:ascii="宋体" w:hAnsi="宋体" w:eastAsia="宋体" w:cs="宋体"/>
                <w:color w:val="auto"/>
                <w:szCs w:val="21"/>
                <w:lang w:val="en-US" w:eastAsia="zh-CN"/>
              </w:rPr>
              <w:t>的以下业绩</w:t>
            </w:r>
            <w:r>
              <w:rPr>
                <w:rFonts w:hint="eastAsia" w:ascii="宋体" w:hAnsi="宋体" w:eastAsia="宋体" w:cs="宋体"/>
                <w:color w:val="auto"/>
                <w:szCs w:val="21"/>
                <w:highlight w:val="none"/>
                <w:lang w:eastAsia="zh-CN"/>
              </w:rPr>
              <w:t>：</w:t>
            </w:r>
          </w:p>
          <w:p w14:paraId="12E524A4">
            <w:pPr>
              <w:numPr>
                <w:ilvl w:val="0"/>
                <w:numId w:val="0"/>
              </w:numPr>
              <w:rPr>
                <w:rFonts w:hint="eastAsia" w:ascii="宋体" w:hAnsi="宋体" w:eastAsia="宋体" w:cs="宋体"/>
                <w:color w:val="auto"/>
                <w:szCs w:val="21"/>
              </w:rPr>
            </w:pPr>
            <w:r>
              <w:rPr>
                <w:rFonts w:hint="eastAsia" w:ascii="宋体" w:hAnsi="宋体" w:eastAsia="宋体" w:cs="宋体"/>
                <w:color w:val="auto"/>
                <w:szCs w:val="21"/>
                <w:lang w:val="en-US" w:eastAsia="zh-CN"/>
              </w:rPr>
              <w:t>1.</w:t>
            </w:r>
            <w:r>
              <w:rPr>
                <w:rFonts w:hint="eastAsia" w:ascii="宋体" w:hAnsi="宋体" w:eastAsia="宋体" w:cs="宋体"/>
                <w:color w:val="auto"/>
                <w:szCs w:val="21"/>
              </w:rPr>
              <w:t>提供</w:t>
            </w:r>
            <w:r>
              <w:rPr>
                <w:rFonts w:hint="eastAsia" w:ascii="宋体" w:hAnsi="宋体" w:eastAsia="宋体" w:cs="宋体"/>
                <w:color w:val="auto"/>
                <w:szCs w:val="21"/>
                <w:lang w:eastAsia="zh-CN"/>
              </w:rPr>
              <w:t>数字孪生</w:t>
            </w:r>
            <w:r>
              <w:rPr>
                <w:rFonts w:hint="eastAsia" w:ascii="宋体" w:hAnsi="宋体" w:eastAsia="宋体" w:cs="宋体"/>
                <w:color w:val="auto"/>
                <w:szCs w:val="21"/>
              </w:rPr>
              <w:t>类项目案例</w:t>
            </w:r>
            <w:r>
              <w:rPr>
                <w:rFonts w:hint="eastAsia" w:ascii="宋体" w:hAnsi="宋体" w:eastAsia="宋体" w:cs="宋体"/>
                <w:color w:val="auto"/>
                <w:szCs w:val="21"/>
                <w:lang w:val="en-US" w:eastAsia="zh-CN"/>
              </w:rPr>
              <w:t>的</w:t>
            </w:r>
            <w:r>
              <w:rPr>
                <w:rFonts w:hint="eastAsia" w:ascii="宋体" w:hAnsi="宋体" w:eastAsia="宋体" w:cs="宋体"/>
                <w:color w:val="auto"/>
                <w:szCs w:val="21"/>
              </w:rPr>
              <w:t>，每提供1项</w:t>
            </w:r>
            <w:r>
              <w:rPr>
                <w:rFonts w:hint="eastAsia" w:ascii="宋体" w:hAnsi="宋体" w:eastAsia="宋体" w:cs="宋体"/>
                <w:color w:val="auto"/>
                <w:szCs w:val="21"/>
                <w:lang w:val="en-US" w:eastAsia="zh-CN"/>
              </w:rPr>
              <w:t>有效业绩</w:t>
            </w:r>
            <w:r>
              <w:rPr>
                <w:rFonts w:hint="eastAsia" w:ascii="宋体" w:hAnsi="宋体" w:eastAsia="宋体" w:cs="宋体"/>
                <w:color w:val="auto"/>
                <w:szCs w:val="21"/>
              </w:rPr>
              <w:t>得得</w:t>
            </w:r>
            <w:r>
              <w:rPr>
                <w:rFonts w:hint="eastAsia" w:ascii="宋体" w:hAnsi="宋体" w:eastAsia="宋体" w:cs="宋体"/>
                <w:color w:val="auto"/>
                <w:szCs w:val="21"/>
                <w:lang w:val="en-US" w:eastAsia="zh-CN"/>
              </w:rPr>
              <w:t>4</w:t>
            </w:r>
            <w:r>
              <w:rPr>
                <w:rFonts w:hint="eastAsia" w:ascii="宋体" w:hAnsi="宋体" w:eastAsia="宋体" w:cs="宋体"/>
                <w:color w:val="auto"/>
                <w:szCs w:val="21"/>
              </w:rPr>
              <w:t>0分</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本小项</w:t>
            </w:r>
            <w:r>
              <w:rPr>
                <w:rFonts w:hint="eastAsia" w:ascii="宋体" w:hAnsi="宋体" w:eastAsia="宋体" w:cs="宋体"/>
                <w:color w:val="auto"/>
                <w:szCs w:val="21"/>
                <w:lang w:eastAsia="zh-CN"/>
              </w:rPr>
              <w:t>最高得</w:t>
            </w:r>
            <w:r>
              <w:rPr>
                <w:rFonts w:hint="eastAsia" w:ascii="宋体" w:hAnsi="宋体" w:eastAsia="宋体" w:cs="宋体"/>
                <w:color w:val="auto"/>
                <w:szCs w:val="21"/>
                <w:lang w:val="en-US" w:eastAsia="zh-CN"/>
              </w:rPr>
              <w:t>40分</w:t>
            </w:r>
            <w:r>
              <w:rPr>
                <w:rFonts w:hint="eastAsia" w:ascii="宋体" w:hAnsi="宋体" w:eastAsia="宋体" w:cs="宋体"/>
                <w:color w:val="auto"/>
                <w:szCs w:val="21"/>
              </w:rPr>
              <w:t>；</w:t>
            </w:r>
          </w:p>
          <w:p w14:paraId="662F1AA3">
            <w:pPr>
              <w:rPr>
                <w:rFonts w:hint="eastAsia" w:ascii="宋体" w:hAnsi="宋体" w:eastAsia="宋体" w:cs="宋体"/>
                <w:color w:val="auto"/>
                <w:szCs w:val="21"/>
              </w:rPr>
            </w:pPr>
            <w:r>
              <w:rPr>
                <w:rFonts w:hint="eastAsia" w:ascii="宋体" w:hAnsi="宋体" w:eastAsia="宋体" w:cs="宋体"/>
                <w:color w:val="auto"/>
                <w:szCs w:val="21"/>
                <w:lang w:val="en-US" w:eastAsia="zh-CN"/>
              </w:rPr>
              <w:t>2</w:t>
            </w:r>
            <w:r>
              <w:rPr>
                <w:rFonts w:hint="eastAsia" w:ascii="宋体" w:hAnsi="宋体" w:eastAsia="宋体" w:cs="宋体"/>
                <w:color w:val="auto"/>
                <w:szCs w:val="21"/>
                <w:lang w:eastAsia="zh-CN"/>
              </w:rPr>
              <w:t>.</w:t>
            </w:r>
            <w:r>
              <w:rPr>
                <w:rFonts w:hint="eastAsia" w:ascii="宋体" w:hAnsi="宋体" w:eastAsia="宋体" w:cs="宋体"/>
                <w:color w:val="auto"/>
                <w:szCs w:val="21"/>
              </w:rPr>
              <w:t>提供</w:t>
            </w:r>
            <w:r>
              <w:rPr>
                <w:rFonts w:hint="eastAsia" w:ascii="宋体" w:hAnsi="宋体" w:eastAsia="宋体" w:cs="宋体"/>
                <w:color w:val="auto"/>
                <w:szCs w:val="21"/>
                <w:lang w:eastAsia="zh-CN"/>
              </w:rPr>
              <w:t>存储设备</w:t>
            </w:r>
            <w:r>
              <w:rPr>
                <w:rFonts w:hint="eastAsia" w:ascii="宋体" w:hAnsi="宋体" w:eastAsia="宋体" w:cs="宋体"/>
                <w:color w:val="auto"/>
                <w:szCs w:val="21"/>
              </w:rPr>
              <w:t>类项目案例</w:t>
            </w:r>
            <w:r>
              <w:rPr>
                <w:rFonts w:hint="eastAsia" w:ascii="宋体" w:hAnsi="宋体" w:eastAsia="宋体" w:cs="宋体"/>
                <w:color w:val="auto"/>
                <w:szCs w:val="21"/>
                <w:lang w:val="en-US" w:eastAsia="zh-CN"/>
              </w:rPr>
              <w:t>的</w:t>
            </w:r>
            <w:r>
              <w:rPr>
                <w:rFonts w:hint="eastAsia" w:ascii="宋体" w:hAnsi="宋体" w:eastAsia="宋体" w:cs="宋体"/>
                <w:color w:val="auto"/>
                <w:szCs w:val="21"/>
              </w:rPr>
              <w:t>，每提供1项</w:t>
            </w:r>
            <w:r>
              <w:rPr>
                <w:rFonts w:hint="eastAsia" w:ascii="宋体" w:hAnsi="宋体" w:eastAsia="宋体" w:cs="宋体"/>
                <w:color w:val="auto"/>
                <w:szCs w:val="21"/>
                <w:lang w:val="en-US" w:eastAsia="zh-CN"/>
              </w:rPr>
              <w:t>有效业绩</w:t>
            </w:r>
            <w:r>
              <w:rPr>
                <w:rFonts w:hint="eastAsia" w:ascii="宋体" w:hAnsi="宋体" w:eastAsia="宋体" w:cs="宋体"/>
                <w:color w:val="auto"/>
                <w:szCs w:val="21"/>
              </w:rPr>
              <w:t>得</w:t>
            </w:r>
            <w:r>
              <w:rPr>
                <w:rFonts w:hint="eastAsia" w:ascii="宋体" w:hAnsi="宋体" w:eastAsia="宋体" w:cs="宋体"/>
                <w:color w:val="auto"/>
                <w:szCs w:val="21"/>
                <w:lang w:val="en-US" w:eastAsia="zh-CN"/>
              </w:rPr>
              <w:t>3</w:t>
            </w:r>
            <w:r>
              <w:rPr>
                <w:rFonts w:hint="eastAsia" w:ascii="宋体" w:hAnsi="宋体" w:eastAsia="宋体" w:cs="宋体"/>
                <w:color w:val="auto"/>
                <w:szCs w:val="21"/>
              </w:rPr>
              <w:t>0分</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本小项</w:t>
            </w:r>
            <w:r>
              <w:rPr>
                <w:rFonts w:hint="eastAsia" w:ascii="宋体" w:hAnsi="宋体" w:eastAsia="宋体" w:cs="宋体"/>
                <w:color w:val="auto"/>
                <w:szCs w:val="21"/>
                <w:lang w:eastAsia="zh-CN"/>
              </w:rPr>
              <w:t>最高得</w:t>
            </w:r>
            <w:r>
              <w:rPr>
                <w:rFonts w:hint="eastAsia" w:ascii="宋体" w:hAnsi="宋体" w:eastAsia="宋体" w:cs="宋体"/>
                <w:color w:val="auto"/>
                <w:szCs w:val="21"/>
                <w:lang w:val="en-US" w:eastAsia="zh-CN"/>
              </w:rPr>
              <w:t>30分</w:t>
            </w:r>
            <w:r>
              <w:rPr>
                <w:rFonts w:hint="eastAsia" w:ascii="宋体" w:hAnsi="宋体" w:eastAsia="宋体" w:cs="宋体"/>
                <w:color w:val="auto"/>
                <w:szCs w:val="21"/>
              </w:rPr>
              <w:t>；</w:t>
            </w:r>
          </w:p>
          <w:p w14:paraId="638AB4DF">
            <w:pPr>
              <w:rPr>
                <w:rFonts w:hint="eastAsia" w:eastAsia="宋体"/>
                <w:color w:val="auto"/>
                <w:lang w:eastAsia="zh-CN"/>
              </w:rPr>
            </w:pPr>
            <w:r>
              <w:rPr>
                <w:rFonts w:hint="eastAsia" w:ascii="宋体" w:hAnsi="宋体" w:eastAsia="宋体" w:cs="宋体"/>
                <w:color w:val="auto"/>
                <w:szCs w:val="21"/>
                <w:lang w:val="en-US" w:eastAsia="zh-CN"/>
              </w:rPr>
              <w:t>3</w:t>
            </w:r>
            <w:r>
              <w:rPr>
                <w:rFonts w:hint="eastAsia" w:ascii="宋体" w:hAnsi="宋体" w:eastAsia="宋体" w:cs="宋体"/>
                <w:color w:val="auto"/>
                <w:szCs w:val="21"/>
                <w:lang w:eastAsia="zh-CN"/>
              </w:rPr>
              <w:t>.</w:t>
            </w:r>
            <w:r>
              <w:rPr>
                <w:rFonts w:hint="eastAsia" w:ascii="宋体" w:hAnsi="宋体" w:eastAsia="宋体" w:cs="宋体"/>
                <w:color w:val="auto"/>
                <w:szCs w:val="21"/>
              </w:rPr>
              <w:t>提供</w:t>
            </w:r>
            <w:r>
              <w:rPr>
                <w:rFonts w:hint="eastAsia" w:ascii="宋体" w:hAnsi="宋体" w:eastAsia="宋体" w:cs="宋体"/>
                <w:color w:val="auto"/>
                <w:szCs w:val="21"/>
                <w:lang w:eastAsia="zh-CN"/>
              </w:rPr>
              <w:t>信息安全</w:t>
            </w:r>
            <w:r>
              <w:rPr>
                <w:rFonts w:hint="eastAsia" w:ascii="宋体" w:hAnsi="宋体" w:eastAsia="宋体" w:cs="宋体"/>
                <w:color w:val="auto"/>
                <w:szCs w:val="21"/>
              </w:rPr>
              <w:t>类项目案例</w:t>
            </w:r>
            <w:r>
              <w:rPr>
                <w:rFonts w:hint="eastAsia" w:ascii="宋体" w:hAnsi="宋体" w:eastAsia="宋体" w:cs="宋体"/>
                <w:color w:val="auto"/>
                <w:szCs w:val="21"/>
                <w:lang w:val="en-US" w:eastAsia="zh-CN"/>
              </w:rPr>
              <w:t>的</w:t>
            </w:r>
            <w:r>
              <w:rPr>
                <w:rFonts w:hint="eastAsia" w:ascii="宋体" w:hAnsi="宋体" w:eastAsia="宋体" w:cs="宋体"/>
                <w:color w:val="auto"/>
                <w:szCs w:val="21"/>
              </w:rPr>
              <w:t>，每提供1项</w:t>
            </w:r>
            <w:r>
              <w:rPr>
                <w:rFonts w:hint="eastAsia" w:ascii="宋体" w:hAnsi="宋体" w:eastAsia="宋体" w:cs="宋体"/>
                <w:color w:val="auto"/>
                <w:szCs w:val="21"/>
                <w:lang w:val="en-US" w:eastAsia="zh-CN"/>
              </w:rPr>
              <w:t>有效业绩</w:t>
            </w:r>
            <w:r>
              <w:rPr>
                <w:rFonts w:hint="eastAsia" w:ascii="宋体" w:hAnsi="宋体" w:eastAsia="宋体" w:cs="宋体"/>
                <w:color w:val="auto"/>
                <w:szCs w:val="21"/>
              </w:rPr>
              <w:t>得</w:t>
            </w:r>
            <w:r>
              <w:rPr>
                <w:rFonts w:hint="eastAsia" w:ascii="宋体" w:hAnsi="宋体" w:eastAsia="宋体" w:cs="宋体"/>
                <w:color w:val="auto"/>
                <w:szCs w:val="21"/>
                <w:lang w:val="en-US" w:eastAsia="zh-CN"/>
              </w:rPr>
              <w:t>3</w:t>
            </w:r>
            <w:r>
              <w:rPr>
                <w:rFonts w:hint="eastAsia" w:ascii="宋体" w:hAnsi="宋体" w:eastAsia="宋体" w:cs="宋体"/>
                <w:color w:val="auto"/>
                <w:szCs w:val="21"/>
              </w:rPr>
              <w:t>0分</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本小项</w:t>
            </w:r>
            <w:r>
              <w:rPr>
                <w:rFonts w:hint="eastAsia" w:ascii="宋体" w:hAnsi="宋体" w:eastAsia="宋体" w:cs="宋体"/>
                <w:color w:val="auto"/>
                <w:szCs w:val="21"/>
                <w:lang w:eastAsia="zh-CN"/>
              </w:rPr>
              <w:t>最高得</w:t>
            </w:r>
            <w:r>
              <w:rPr>
                <w:rFonts w:hint="eastAsia" w:ascii="宋体" w:hAnsi="宋体" w:eastAsia="宋体" w:cs="宋体"/>
                <w:color w:val="auto"/>
                <w:szCs w:val="21"/>
                <w:lang w:val="en-US" w:eastAsia="zh-CN"/>
              </w:rPr>
              <w:t>30分</w:t>
            </w:r>
            <w:r>
              <w:rPr>
                <w:rFonts w:hint="eastAsia" w:ascii="宋体" w:hAnsi="宋体" w:eastAsia="宋体" w:cs="宋体"/>
                <w:color w:val="auto"/>
                <w:szCs w:val="21"/>
                <w:lang w:eastAsia="zh-CN"/>
              </w:rPr>
              <w:t>；</w:t>
            </w:r>
          </w:p>
          <w:p w14:paraId="58F482BE">
            <w:pPr>
              <w:rPr>
                <w:rFonts w:hint="eastAsia" w:ascii="宋体" w:hAnsi="宋体" w:eastAsia="宋体" w:cs="宋体"/>
                <w:color w:val="auto"/>
                <w:szCs w:val="21"/>
              </w:rPr>
            </w:pPr>
            <w:r>
              <w:rPr>
                <w:rFonts w:hint="eastAsia" w:ascii="宋体" w:hAnsi="宋体" w:eastAsia="宋体" w:cs="宋体"/>
                <w:b/>
                <w:bCs/>
                <w:color w:val="auto"/>
                <w:szCs w:val="21"/>
              </w:rPr>
              <w:t>以上</w:t>
            </w:r>
            <w:r>
              <w:rPr>
                <w:rFonts w:hint="eastAsia" w:ascii="宋体" w:hAnsi="宋体" w:eastAsia="宋体" w:cs="宋体"/>
                <w:b/>
                <w:bCs/>
                <w:color w:val="auto"/>
                <w:szCs w:val="21"/>
                <w:lang w:val="en-US" w:eastAsia="zh-CN"/>
              </w:rPr>
              <w:t>3</w:t>
            </w:r>
            <w:r>
              <w:rPr>
                <w:rFonts w:hint="eastAsia" w:ascii="宋体" w:hAnsi="宋体" w:eastAsia="宋体" w:cs="宋体"/>
                <w:b/>
                <w:bCs/>
                <w:color w:val="auto"/>
                <w:szCs w:val="21"/>
              </w:rPr>
              <w:t>项得分累计，最高100分。</w:t>
            </w:r>
          </w:p>
          <w:p w14:paraId="22AA3E02">
            <w:pPr>
              <w:rPr>
                <w:rFonts w:ascii="宋体" w:hAnsi="宋体" w:eastAsia="宋体" w:cs="宋体"/>
                <w:b/>
                <w:color w:val="auto"/>
                <w:szCs w:val="21"/>
              </w:rPr>
            </w:pPr>
            <w:r>
              <w:rPr>
                <w:rFonts w:hint="eastAsia" w:ascii="宋体" w:hAnsi="宋体" w:eastAsia="宋体" w:cs="宋体"/>
                <w:b/>
                <w:color w:val="auto"/>
                <w:szCs w:val="21"/>
              </w:rPr>
              <w:t>（二）评分依据</w:t>
            </w:r>
          </w:p>
          <w:p w14:paraId="31F3BFFA">
            <w:pPr>
              <w:rPr>
                <w:rFonts w:hint="eastAsia" w:ascii="宋体" w:hAnsi="宋体" w:cs="宋体" w:eastAsiaTheme="minorEastAsia"/>
                <w:color w:val="auto"/>
                <w:szCs w:val="21"/>
                <w:lang w:eastAsia="zh-CN"/>
              </w:rPr>
            </w:pPr>
            <w:r>
              <w:rPr>
                <w:rFonts w:hint="eastAsia" w:ascii="宋体" w:hAnsi="宋体" w:eastAsia="宋体" w:cs="宋体"/>
                <w:color w:val="auto"/>
                <w:szCs w:val="21"/>
              </w:rPr>
              <w:t>提供合同关键页</w:t>
            </w:r>
            <w:r>
              <w:rPr>
                <w:rFonts w:hint="eastAsia" w:ascii="宋体" w:hAnsi="宋体" w:eastAsia="宋体" w:cs="宋体"/>
                <w:color w:val="auto"/>
                <w:sz w:val="21"/>
                <w:szCs w:val="21"/>
              </w:rPr>
              <w:t>（包括但不限于合同首页、</w:t>
            </w:r>
            <w:r>
              <w:rPr>
                <w:rFonts w:hint="eastAsia" w:ascii="宋体" w:hAnsi="宋体" w:eastAsia="宋体" w:cs="宋体"/>
                <w:color w:val="auto"/>
                <w:sz w:val="21"/>
                <w:szCs w:val="21"/>
                <w:lang w:val="en-US" w:eastAsia="zh-CN"/>
              </w:rPr>
              <w:t>建设</w:t>
            </w:r>
            <w:r>
              <w:rPr>
                <w:rFonts w:hint="eastAsia" w:ascii="宋体" w:hAnsi="宋体" w:eastAsia="宋体" w:cs="宋体"/>
                <w:color w:val="auto"/>
                <w:sz w:val="21"/>
                <w:szCs w:val="21"/>
              </w:rPr>
              <w:t>内容、</w:t>
            </w:r>
            <w:r>
              <w:rPr>
                <w:rFonts w:hint="eastAsia" w:ascii="宋体" w:hAnsi="宋体" w:eastAsia="宋体" w:cs="宋体"/>
                <w:color w:val="auto"/>
                <w:sz w:val="21"/>
                <w:szCs w:val="21"/>
                <w:lang w:eastAsia="zh-CN"/>
              </w:rPr>
              <w:t>合同金额页、</w:t>
            </w:r>
            <w:r>
              <w:rPr>
                <w:rFonts w:hint="eastAsia" w:ascii="宋体" w:hAnsi="宋体" w:eastAsia="宋体" w:cs="宋体"/>
                <w:color w:val="auto"/>
                <w:sz w:val="21"/>
                <w:szCs w:val="21"/>
              </w:rPr>
              <w:t>签订时间和盖章页）</w:t>
            </w:r>
            <w:r>
              <w:rPr>
                <w:rFonts w:hint="eastAsia" w:ascii="宋体" w:hAnsi="宋体" w:eastAsia="宋体" w:cs="宋体"/>
                <w:color w:val="auto"/>
                <w:szCs w:val="21"/>
              </w:rPr>
              <w:t>扫描件</w:t>
            </w:r>
            <w:r>
              <w:rPr>
                <w:rFonts w:hint="eastAsia" w:ascii="宋体" w:hAnsi="宋体" w:eastAsia="宋体" w:cs="宋体"/>
                <w:color w:val="auto"/>
                <w:szCs w:val="21"/>
                <w:lang w:val="en-US" w:eastAsia="zh-CN"/>
              </w:rPr>
              <w:t>作为得分的依据。</w:t>
            </w:r>
            <w:r>
              <w:rPr>
                <w:rFonts w:hint="eastAsia" w:ascii="宋体" w:hAnsi="宋体" w:eastAsia="宋体" w:cs="宋体"/>
                <w:color w:val="auto"/>
                <w:szCs w:val="21"/>
              </w:rPr>
              <w:t>如同一</w:t>
            </w:r>
            <w:r>
              <w:rPr>
                <w:rFonts w:hint="eastAsia" w:ascii="宋体" w:hAnsi="宋体" w:eastAsia="宋体" w:cs="宋体"/>
                <w:color w:val="auto"/>
                <w:szCs w:val="21"/>
                <w:lang w:eastAsia="zh-CN"/>
              </w:rPr>
              <w:t>项目案例</w:t>
            </w:r>
            <w:r>
              <w:rPr>
                <w:rFonts w:hint="eastAsia" w:ascii="宋体" w:hAnsi="宋体" w:eastAsia="宋体" w:cs="宋体"/>
                <w:color w:val="auto"/>
                <w:szCs w:val="21"/>
              </w:rPr>
              <w:t>满足以上多项</w:t>
            </w:r>
            <w:r>
              <w:rPr>
                <w:rFonts w:hint="eastAsia" w:ascii="宋体" w:hAnsi="宋体" w:eastAsia="宋体" w:cs="宋体"/>
                <w:color w:val="auto"/>
                <w:szCs w:val="21"/>
                <w:lang w:eastAsia="zh-CN"/>
              </w:rPr>
              <w:t>类别</w:t>
            </w:r>
            <w:r>
              <w:rPr>
                <w:rFonts w:hint="eastAsia" w:ascii="宋体" w:hAnsi="宋体" w:eastAsia="宋体" w:cs="宋体"/>
                <w:color w:val="auto"/>
                <w:szCs w:val="21"/>
              </w:rPr>
              <w:t>的，</w:t>
            </w:r>
            <w:r>
              <w:rPr>
                <w:rFonts w:hint="eastAsia" w:ascii="宋体" w:hAnsi="宋体" w:eastAsia="宋体" w:cs="宋体"/>
                <w:color w:val="auto"/>
                <w:szCs w:val="21"/>
                <w:lang w:eastAsia="zh-CN"/>
              </w:rPr>
              <w:t>不</w:t>
            </w:r>
            <w:r>
              <w:rPr>
                <w:rFonts w:hint="eastAsia" w:ascii="宋体" w:hAnsi="宋体" w:eastAsia="宋体" w:cs="宋体"/>
                <w:color w:val="auto"/>
                <w:szCs w:val="21"/>
              </w:rPr>
              <w:t>可以累计得分</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仅按最优情况计算1次分值；</w:t>
            </w:r>
            <w:r>
              <w:rPr>
                <w:rFonts w:hint="eastAsia" w:ascii="宋体" w:hAnsi="宋体" w:eastAsia="宋体" w:cs="宋体"/>
                <w:color w:val="auto"/>
                <w:kern w:val="0"/>
                <w:szCs w:val="21"/>
              </w:rPr>
              <w:t>续签合同不可累计得分，仅按1份业绩计算1次分值</w:t>
            </w:r>
            <w:r>
              <w:rPr>
                <w:rFonts w:hint="eastAsia" w:ascii="宋体" w:hAnsi="宋体" w:eastAsia="宋体" w:cs="宋体"/>
                <w:color w:val="auto"/>
                <w:szCs w:val="21"/>
                <w:lang w:eastAsia="zh-CN"/>
              </w:rPr>
              <w:t>。</w:t>
            </w:r>
            <w:r>
              <w:rPr>
                <w:rFonts w:hint="eastAsia" w:ascii="宋体" w:hAnsi="宋体" w:cs="宋体"/>
                <w:color w:val="auto"/>
                <w:szCs w:val="21"/>
              </w:rPr>
              <w:t>若通过合同关键信息无法判断是否得分的，还须同时提供能证明得分的其它证明资料，如项目报告或合同方出具的证明文件等</w:t>
            </w:r>
            <w:r>
              <w:rPr>
                <w:rFonts w:hint="eastAsia"/>
                <w:color w:val="auto"/>
                <w:lang w:eastAsia="zh-CN"/>
              </w:rPr>
              <w:t>。</w:t>
            </w:r>
          </w:p>
          <w:p w14:paraId="61E27650">
            <w:pPr>
              <w:rPr>
                <w:color w:val="auto"/>
              </w:rPr>
            </w:pPr>
            <w:r>
              <w:rPr>
                <w:rFonts w:hint="eastAsia" w:ascii="宋体" w:hAnsi="宋体" w:eastAsia="宋体" w:cs="宋体"/>
                <w:color w:val="auto"/>
                <w:szCs w:val="21"/>
                <w:lang w:val="en-US" w:eastAsia="zh-CN"/>
              </w:rPr>
              <w:t>2.</w:t>
            </w:r>
            <w:r>
              <w:rPr>
                <w:rFonts w:hint="eastAsia" w:ascii="宋体" w:hAnsi="宋体" w:eastAsia="宋体" w:cs="宋体"/>
                <w:color w:val="auto"/>
                <w:szCs w:val="21"/>
              </w:rPr>
              <w:t>如未按要求提供证明材料，或所提供的证明材料未能体现上述评分内容的，视为该证明材料无效。</w:t>
            </w:r>
          </w:p>
        </w:tc>
      </w:tr>
      <w:tr w14:paraId="28C52E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65" w:type="dxa"/>
            <w:vMerge w:val="continue"/>
            <w:tcBorders>
              <w:left w:val="single" w:color="000000" w:sz="8" w:space="0"/>
              <w:right w:val="single" w:color="000000" w:sz="8" w:space="0"/>
            </w:tcBorders>
            <w:vAlign w:val="center"/>
          </w:tcPr>
          <w:p w14:paraId="6D762BB4">
            <w:pPr>
              <w:rPr>
                <w:rFonts w:ascii="宋体" w:hAnsi="宋体" w:eastAsia="宋体" w:cs="宋体"/>
                <w:b/>
                <w:bCs/>
                <w:color w:val="0000FF"/>
                <w:szCs w:val="21"/>
              </w:rPr>
            </w:pPr>
          </w:p>
        </w:tc>
        <w:tc>
          <w:tcPr>
            <w:tcW w:w="665" w:type="dxa"/>
            <w:tcBorders>
              <w:top w:val="single" w:color="000000" w:sz="8" w:space="0"/>
              <w:left w:val="single" w:color="000000" w:sz="8" w:space="0"/>
              <w:bottom w:val="single" w:color="000000" w:sz="8" w:space="0"/>
              <w:right w:val="single" w:color="000000" w:sz="8" w:space="0"/>
            </w:tcBorders>
            <w:vAlign w:val="center"/>
          </w:tcPr>
          <w:p w14:paraId="13E1D8F2">
            <w:pPr>
              <w:jc w:val="center"/>
              <w:rPr>
                <w:rFonts w:ascii="宋体" w:hAnsi="宋体" w:eastAsia="宋体" w:cs="宋体"/>
                <w:szCs w:val="21"/>
              </w:rPr>
            </w:pPr>
            <w:r>
              <w:rPr>
                <w:rFonts w:hint="eastAsia" w:ascii="宋体" w:hAnsi="宋体" w:eastAsia="宋体" w:cs="宋体"/>
                <w:szCs w:val="21"/>
              </w:rPr>
              <w:t>2</w:t>
            </w:r>
          </w:p>
        </w:tc>
        <w:tc>
          <w:tcPr>
            <w:tcW w:w="1399" w:type="dxa"/>
            <w:tcBorders>
              <w:top w:val="single" w:color="000000" w:sz="8" w:space="0"/>
              <w:left w:val="single" w:color="000000" w:sz="8" w:space="0"/>
              <w:bottom w:val="single" w:color="000000" w:sz="8" w:space="0"/>
              <w:right w:val="single" w:color="000000" w:sz="8" w:space="0"/>
            </w:tcBorders>
            <w:vAlign w:val="center"/>
          </w:tcPr>
          <w:p w14:paraId="41FEEEC7">
            <w:pPr>
              <w:jc w:val="center"/>
              <w:rPr>
                <w:rFonts w:ascii="宋体" w:hAnsi="宋体" w:eastAsia="宋体" w:cs="宋体"/>
                <w:szCs w:val="21"/>
              </w:rPr>
            </w:pPr>
            <w:r>
              <w:rPr>
                <w:rFonts w:hint="eastAsia" w:ascii="宋体" w:hAnsi="宋体" w:eastAsia="宋体" w:cs="宋体"/>
                <w:szCs w:val="21"/>
              </w:rPr>
              <w:t>投标人认证情况</w:t>
            </w:r>
          </w:p>
        </w:tc>
        <w:tc>
          <w:tcPr>
            <w:tcW w:w="945" w:type="dxa"/>
            <w:tcBorders>
              <w:top w:val="single" w:color="000000" w:sz="8" w:space="0"/>
              <w:left w:val="single" w:color="000000" w:sz="8" w:space="0"/>
              <w:bottom w:val="single" w:color="000000" w:sz="8" w:space="0"/>
              <w:right w:val="single" w:color="000000" w:sz="8" w:space="0"/>
            </w:tcBorders>
            <w:vAlign w:val="center"/>
          </w:tcPr>
          <w:p w14:paraId="2513412D">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3</w:t>
            </w:r>
          </w:p>
        </w:tc>
        <w:tc>
          <w:tcPr>
            <w:tcW w:w="5398" w:type="dxa"/>
            <w:tcBorders>
              <w:top w:val="single" w:color="000000" w:sz="8" w:space="0"/>
              <w:left w:val="single" w:color="000000" w:sz="8" w:space="0"/>
              <w:bottom w:val="single" w:color="000000" w:sz="8" w:space="0"/>
              <w:right w:val="single" w:color="000000" w:sz="8" w:space="0"/>
            </w:tcBorders>
            <w:vAlign w:val="center"/>
          </w:tcPr>
          <w:p w14:paraId="5A6BF741">
            <w:pPr>
              <w:keepNext w:val="0"/>
              <w:keepLines w:val="0"/>
              <w:pageBreakBefore w:val="0"/>
              <w:kinsoku/>
              <w:overflowPunct/>
              <w:topLinePunct w:val="0"/>
              <w:bidi w:val="0"/>
              <w:spacing w:line="240" w:lineRule="auto"/>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t>（一）评分内容：</w:t>
            </w:r>
          </w:p>
          <w:p w14:paraId="7796AC9D">
            <w:pPr>
              <w:keepNext w:val="0"/>
              <w:keepLines w:val="0"/>
              <w:pageBreakBefore w:val="0"/>
              <w:kinsoku/>
              <w:overflowPunct/>
              <w:topLinePunct w:val="0"/>
              <w:bidi w:val="0"/>
              <w:spacing w:line="240" w:lineRule="auto"/>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考察投标人的相关认证情况：</w:t>
            </w:r>
          </w:p>
          <w:p w14:paraId="543CDD1C">
            <w:pPr>
              <w:keepNext w:val="0"/>
              <w:keepLines w:val="0"/>
              <w:pageBreakBefore w:val="0"/>
              <w:kinsoku/>
              <w:overflowPunct/>
              <w:topLinePunct w:val="0"/>
              <w:bidi w:val="0"/>
              <w:spacing w:line="240" w:lineRule="auto"/>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1</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质量管理体系认证证书</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lang w:val="en-US" w:eastAsia="zh-CN"/>
              </w:rPr>
              <w:t>ISO9000，</w:t>
            </w:r>
            <w:r>
              <w:rPr>
                <w:rFonts w:hint="eastAsia" w:ascii="宋体" w:hAnsi="宋体" w:eastAsia="宋体" w:cs="宋体"/>
                <w:b w:val="0"/>
                <w:bCs w:val="0"/>
                <w:color w:val="auto"/>
                <w:sz w:val="21"/>
                <w:szCs w:val="21"/>
                <w:lang w:eastAsia="zh-CN"/>
              </w:rPr>
              <w:t>认证范围</w:t>
            </w:r>
            <w:r>
              <w:rPr>
                <w:rFonts w:hint="eastAsia" w:ascii="宋体" w:hAnsi="宋体" w:eastAsia="宋体" w:cs="宋体"/>
                <w:b w:val="0"/>
                <w:bCs w:val="0"/>
                <w:color w:val="auto"/>
                <w:sz w:val="21"/>
                <w:szCs w:val="21"/>
                <w:lang w:val="en-US" w:eastAsia="zh-CN"/>
              </w:rPr>
              <w:t>需同时</w:t>
            </w:r>
            <w:r>
              <w:rPr>
                <w:rFonts w:hint="eastAsia" w:ascii="宋体" w:hAnsi="宋体" w:eastAsia="宋体" w:cs="宋体"/>
                <w:b w:val="0"/>
                <w:bCs w:val="0"/>
                <w:color w:val="auto"/>
                <w:sz w:val="21"/>
                <w:szCs w:val="21"/>
                <w:lang w:eastAsia="zh-CN"/>
              </w:rPr>
              <w:t>包含集成及运维类和软件开发类）</w:t>
            </w:r>
            <w:r>
              <w:rPr>
                <w:rFonts w:hint="eastAsia" w:ascii="宋体" w:hAnsi="宋体" w:eastAsia="宋体" w:cs="宋体"/>
                <w:b w:val="0"/>
                <w:bCs w:val="0"/>
                <w:color w:val="auto"/>
                <w:sz w:val="21"/>
                <w:szCs w:val="21"/>
              </w:rPr>
              <w:t>；</w:t>
            </w:r>
          </w:p>
          <w:p w14:paraId="5D9F1896">
            <w:pPr>
              <w:keepNext w:val="0"/>
              <w:keepLines w:val="0"/>
              <w:pageBreakBefore w:val="0"/>
              <w:kinsoku/>
              <w:overflowPunct/>
              <w:topLinePunct w:val="0"/>
              <w:bidi w:val="0"/>
              <w:spacing w:line="240" w:lineRule="auto"/>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2</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信息技术服务管理体系认证证书</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lang w:val="en-US" w:eastAsia="zh-CN"/>
              </w:rPr>
              <w:t>ISO20000</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w:t>
            </w:r>
          </w:p>
          <w:p w14:paraId="307000EE">
            <w:pPr>
              <w:keepNext w:val="0"/>
              <w:keepLines w:val="0"/>
              <w:pageBreakBefore w:val="0"/>
              <w:kinsoku/>
              <w:overflowPunct/>
              <w:topLinePunct w:val="0"/>
              <w:bidi w:val="0"/>
              <w:spacing w:line="240" w:lineRule="auto"/>
              <w:jc w:val="left"/>
              <w:rPr>
                <w:rFonts w:hint="eastAsia" w:ascii="宋体" w:hAnsi="宋体" w:cs="宋体" w:eastAsiaTheme="minorEastAsia"/>
                <w:b w:val="0"/>
                <w:bCs w:val="0"/>
                <w:color w:val="auto"/>
                <w:sz w:val="21"/>
                <w:szCs w:val="21"/>
                <w:lang w:eastAsia="zh-CN"/>
              </w:rPr>
            </w:pPr>
            <w:r>
              <w:rPr>
                <w:rFonts w:hint="eastAsia" w:ascii="宋体" w:hAnsi="宋体" w:eastAsia="宋体" w:cs="宋体"/>
                <w:b w:val="0"/>
                <w:bCs w:val="0"/>
                <w:color w:val="auto"/>
                <w:sz w:val="21"/>
                <w:szCs w:val="21"/>
              </w:rPr>
              <w:t>3</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环境管理体系认证证书</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lang w:val="en-US" w:eastAsia="zh-CN"/>
              </w:rPr>
              <w:t>ISO14001</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w:t>
            </w:r>
          </w:p>
          <w:p w14:paraId="7D6A5E92">
            <w:pPr>
              <w:keepNext w:val="0"/>
              <w:keepLines w:val="0"/>
              <w:pageBreakBefore w:val="0"/>
              <w:kinsoku/>
              <w:overflowPunct/>
              <w:topLinePunct w:val="0"/>
              <w:bidi w:val="0"/>
              <w:spacing w:line="240" w:lineRule="auto"/>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4</w:t>
            </w:r>
            <w:r>
              <w:rPr>
                <w:rFonts w:hint="eastAsia" w:ascii="宋体" w:hAnsi="宋体" w:eastAsia="宋体" w:cs="宋体"/>
                <w:b w:val="0"/>
                <w:bCs w:val="0"/>
                <w:color w:val="auto"/>
                <w:sz w:val="21"/>
                <w:szCs w:val="21"/>
                <w:lang w:eastAsia="zh-CN"/>
              </w:rPr>
              <w:t>.信息安全服务资质认证证书（</w:t>
            </w:r>
            <w:r>
              <w:rPr>
                <w:rFonts w:hint="eastAsia" w:ascii="宋体" w:hAnsi="宋体" w:eastAsia="宋体" w:cs="宋体"/>
                <w:b w:val="0"/>
                <w:bCs w:val="0"/>
                <w:color w:val="auto"/>
                <w:sz w:val="21"/>
                <w:szCs w:val="21"/>
                <w:lang w:val="en-US" w:eastAsia="zh-CN"/>
              </w:rPr>
              <w:t>CCRC</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w:t>
            </w:r>
          </w:p>
          <w:p w14:paraId="257A3A00">
            <w:pPr>
              <w:keepNext w:val="0"/>
              <w:keepLines w:val="0"/>
              <w:pageBreakBefore w:val="0"/>
              <w:kinsoku/>
              <w:overflowPunct/>
              <w:topLinePunct w:val="0"/>
              <w:bidi w:val="0"/>
              <w:spacing w:line="240" w:lineRule="auto"/>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t>以上</w:t>
            </w: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4项，每提供一项得25分，累计100分。</w:t>
            </w:r>
          </w:p>
          <w:p w14:paraId="5CA05647">
            <w:pPr>
              <w:keepNext w:val="0"/>
              <w:keepLines w:val="0"/>
              <w:pageBreakBefore w:val="0"/>
              <w:kinsoku/>
              <w:overflowPunct/>
              <w:topLinePunct w:val="0"/>
              <w:bidi w:val="0"/>
              <w:spacing w:line="240" w:lineRule="auto"/>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t>（二）评分依据：</w:t>
            </w:r>
          </w:p>
          <w:p w14:paraId="4ED64E7C">
            <w:pPr>
              <w:keepNext w:val="0"/>
              <w:keepLines w:val="0"/>
              <w:pageBreakBefore w:val="0"/>
              <w:kinsoku/>
              <w:overflowPunct/>
              <w:topLinePunct w:val="0"/>
              <w:bidi w:val="0"/>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1.第1-3项证书，</w:t>
            </w:r>
            <w:r>
              <w:rPr>
                <w:rFonts w:hint="eastAsia" w:ascii="宋体" w:hAnsi="宋体" w:eastAsia="宋体" w:cs="宋体"/>
                <w:color w:val="auto"/>
                <w:sz w:val="21"/>
                <w:szCs w:val="21"/>
              </w:rPr>
              <w:t>投标人提供有效期内的认证证书扫描件以及全国认证认可信息公共服务平台（认e云）（http://cx.cnca.cn/）的认证信息截图（包括但不限于证书编号、证书状态为“有效”、证书到期日期、组织名称、发证机构名称）并体现网站信息（即网站网址或查询平台名称）。若认证证书无法通过全国认证认可信息公共服务平台（认e云）查询的，投标人仍需提供颁发机构官网查询截图或由颁发机构出具的证明材料（加盖颁发机构公章），证明证书真实有效。</w:t>
            </w:r>
          </w:p>
          <w:p w14:paraId="493CF7A7">
            <w:pPr>
              <w:keepNext w:val="0"/>
              <w:keepLines w:val="0"/>
              <w:pageBreakBefore w:val="0"/>
              <w:kinsoku/>
              <w:overflowPunct/>
              <w:topLinePunct w:val="0"/>
              <w:bidi w:val="0"/>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2.第4项证书，</w:t>
            </w:r>
            <w:r>
              <w:rPr>
                <w:rFonts w:hint="eastAsia" w:ascii="宋体" w:hAnsi="宋体" w:eastAsia="宋体" w:cs="宋体"/>
                <w:color w:val="auto"/>
                <w:sz w:val="21"/>
                <w:szCs w:val="21"/>
              </w:rPr>
              <w:t>投标人提供有效期内的认证证书扫描件以及中国网络安全审查认证和市场监管大数据中心（http://www.isccc.gov.cn/）的认证信息截图（包括但不限于证书编号、证书状态为“有效”、证书到期日期</w:t>
            </w:r>
            <w:r>
              <w:rPr>
                <w:rFonts w:hint="eastAsia" w:ascii="宋体" w:hAnsi="宋体" w:eastAsia="宋体" w:cs="宋体"/>
                <w:color w:val="auto"/>
                <w:sz w:val="21"/>
                <w:szCs w:val="21"/>
                <w:lang w:eastAsia="zh-CN"/>
              </w:rPr>
              <w:t>等</w:t>
            </w:r>
            <w:r>
              <w:rPr>
                <w:rFonts w:hint="eastAsia" w:ascii="宋体" w:hAnsi="宋体" w:eastAsia="宋体" w:cs="宋体"/>
                <w:color w:val="auto"/>
                <w:sz w:val="21"/>
                <w:szCs w:val="21"/>
              </w:rPr>
              <w:t>）并体现网站信息（即网站网址或查询平台名称）。若认证证书无法通过中国网络安全审查认证和市场监管大数据中心查询的，投标人仍需提供颁发机构官网查询截图或由颁发机构出具的证明材料（加盖颁发机构公章），证明证书真实有效。</w:t>
            </w:r>
          </w:p>
          <w:p w14:paraId="49E9A855">
            <w:pPr>
              <w:keepNext w:val="0"/>
              <w:keepLines w:val="0"/>
              <w:pageBreakBefore w:val="0"/>
              <w:kinsoku/>
              <w:overflowPunct/>
              <w:topLinePunct w:val="0"/>
              <w:bidi w:val="0"/>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如投标人因成立时间不足三个月无法办理以上证书的（或投标人处于以上证书申请阶段尚未过试运行的），可提供情况说明【加盖投标人公章，格式自拟】作为佐证材料，无需提供证书和认证信息查询截图亦视为满足评分要求。</w:t>
            </w:r>
          </w:p>
          <w:p w14:paraId="16E34DFA">
            <w:pPr>
              <w:keepNext w:val="0"/>
              <w:keepLines w:val="0"/>
              <w:pageBreakBefore w:val="0"/>
              <w:kinsoku/>
              <w:overflowPunct/>
              <w:topLinePunct w:val="0"/>
              <w:bidi w:val="0"/>
              <w:spacing w:line="240" w:lineRule="auto"/>
              <w:jc w:val="left"/>
              <w:rPr>
                <w:rFonts w:hint="eastAsia" w:ascii="宋体" w:hAnsi="宋体" w:eastAsia="宋体" w:cs="宋体"/>
                <w:color w:val="auto"/>
                <w:sz w:val="21"/>
                <w:szCs w:val="21"/>
              </w:rPr>
            </w:pPr>
            <w:r>
              <w:rPr>
                <w:rFonts w:hint="eastAsia" w:ascii="宋体" w:hAnsi="宋体" w:cs="宋体"/>
                <w:color w:val="auto"/>
                <w:szCs w:val="21"/>
                <w:highlight w:val="none"/>
                <w:lang w:val="en-US" w:eastAsia="zh-CN"/>
              </w:rPr>
              <w:t>4.相关证明材料的认证范围与招标文件要求的认证范围不完全一致的，需提供为同种范围的说明；若认证范围不完全一致又未提供说明的，由评审委员会判定是否符合文件要求。</w:t>
            </w:r>
          </w:p>
        </w:tc>
      </w:tr>
      <w:tr w14:paraId="05508A6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65" w:type="dxa"/>
            <w:vMerge w:val="continue"/>
            <w:tcBorders>
              <w:left w:val="single" w:color="000000" w:sz="8" w:space="0"/>
              <w:right w:val="single" w:color="000000" w:sz="8" w:space="0"/>
            </w:tcBorders>
            <w:vAlign w:val="center"/>
          </w:tcPr>
          <w:p w14:paraId="786BDC6A">
            <w:pPr>
              <w:rPr>
                <w:rFonts w:ascii="宋体" w:hAnsi="宋体" w:eastAsia="宋体" w:cs="宋体"/>
                <w:b/>
                <w:bCs/>
                <w:color w:val="0000FF"/>
                <w:szCs w:val="21"/>
              </w:rPr>
            </w:pPr>
          </w:p>
        </w:tc>
        <w:tc>
          <w:tcPr>
            <w:tcW w:w="665" w:type="dxa"/>
            <w:tcBorders>
              <w:top w:val="single" w:color="000000" w:sz="8" w:space="0"/>
              <w:left w:val="single" w:color="000000" w:sz="8" w:space="0"/>
              <w:bottom w:val="single" w:color="000000" w:sz="8" w:space="0"/>
              <w:right w:val="single" w:color="000000" w:sz="8" w:space="0"/>
            </w:tcBorders>
            <w:vAlign w:val="center"/>
          </w:tcPr>
          <w:p w14:paraId="6ED62776">
            <w:pPr>
              <w:jc w:val="center"/>
              <w:rPr>
                <w:rFonts w:ascii="宋体" w:hAnsi="宋体" w:eastAsia="宋体" w:cs="宋体"/>
                <w:szCs w:val="21"/>
              </w:rPr>
            </w:pPr>
            <w:r>
              <w:rPr>
                <w:rFonts w:hint="eastAsia" w:ascii="宋体" w:hAnsi="宋体" w:eastAsia="宋体" w:cs="宋体"/>
                <w:szCs w:val="21"/>
              </w:rPr>
              <w:t>3</w:t>
            </w:r>
          </w:p>
        </w:tc>
        <w:tc>
          <w:tcPr>
            <w:tcW w:w="1399" w:type="dxa"/>
            <w:tcBorders>
              <w:top w:val="single" w:color="000000" w:sz="8" w:space="0"/>
              <w:left w:val="single" w:color="000000" w:sz="8" w:space="0"/>
              <w:bottom w:val="single" w:color="000000" w:sz="8" w:space="0"/>
              <w:right w:val="single" w:color="000000" w:sz="8" w:space="0"/>
            </w:tcBorders>
            <w:vAlign w:val="center"/>
          </w:tcPr>
          <w:p w14:paraId="170DD93E">
            <w:pPr>
              <w:jc w:val="center"/>
              <w:rPr>
                <w:rFonts w:ascii="宋体" w:hAnsi="宋体" w:eastAsia="宋体" w:cs="宋体"/>
                <w:szCs w:val="21"/>
              </w:rPr>
            </w:pPr>
            <w:r>
              <w:rPr>
                <w:rFonts w:hint="eastAsia" w:ascii="宋体" w:hAnsi="宋体" w:eastAsia="宋体" w:cs="宋体"/>
                <w:szCs w:val="21"/>
              </w:rPr>
              <w:t>自主知识产权产品（创新、设计）情况</w:t>
            </w:r>
          </w:p>
        </w:tc>
        <w:tc>
          <w:tcPr>
            <w:tcW w:w="945" w:type="dxa"/>
            <w:tcBorders>
              <w:top w:val="single" w:color="000000" w:sz="8" w:space="0"/>
              <w:left w:val="single" w:color="000000" w:sz="8" w:space="0"/>
              <w:bottom w:val="single" w:color="000000" w:sz="8" w:space="0"/>
              <w:right w:val="single" w:color="000000" w:sz="8" w:space="0"/>
            </w:tcBorders>
            <w:vAlign w:val="center"/>
          </w:tcPr>
          <w:p w14:paraId="13F6358B">
            <w:pPr>
              <w:jc w:val="center"/>
              <w:rPr>
                <w:rFonts w:ascii="宋体" w:hAnsi="宋体" w:eastAsia="宋体" w:cs="宋体"/>
                <w:szCs w:val="21"/>
              </w:rPr>
            </w:pPr>
            <w:r>
              <w:rPr>
                <w:rFonts w:hint="eastAsia" w:ascii="宋体" w:hAnsi="宋体" w:eastAsia="宋体" w:cs="宋体"/>
                <w:szCs w:val="21"/>
                <w:lang w:val="en-US" w:eastAsia="zh-CN"/>
              </w:rPr>
              <w:t>3</w:t>
            </w:r>
          </w:p>
        </w:tc>
        <w:tc>
          <w:tcPr>
            <w:tcW w:w="5398" w:type="dxa"/>
            <w:tcBorders>
              <w:top w:val="single" w:color="000000" w:sz="8" w:space="0"/>
              <w:left w:val="single" w:color="000000" w:sz="8" w:space="0"/>
              <w:bottom w:val="single" w:color="000000" w:sz="8" w:space="0"/>
              <w:right w:val="single" w:color="000000" w:sz="8" w:space="0"/>
            </w:tcBorders>
            <w:vAlign w:val="center"/>
          </w:tcPr>
          <w:p w14:paraId="44754FFD">
            <w:pPr>
              <w:rPr>
                <w:rFonts w:ascii="宋体" w:hAnsi="宋体" w:eastAsia="宋体" w:cs="宋体"/>
                <w:b/>
                <w:color w:val="auto"/>
                <w:szCs w:val="21"/>
              </w:rPr>
            </w:pPr>
            <w:r>
              <w:rPr>
                <w:rFonts w:hint="eastAsia" w:ascii="宋体" w:hAnsi="宋体" w:eastAsia="宋体" w:cs="宋体"/>
                <w:b/>
                <w:color w:val="auto"/>
                <w:szCs w:val="21"/>
              </w:rPr>
              <w:t>（一）评审内容</w:t>
            </w:r>
          </w:p>
          <w:p w14:paraId="1F2104FF">
            <w:pPr>
              <w:rPr>
                <w:rFonts w:ascii="宋体" w:hAnsi="宋体" w:eastAsia="宋体" w:cs="宋体"/>
                <w:color w:val="auto"/>
                <w:szCs w:val="21"/>
              </w:rPr>
            </w:pPr>
            <w:r>
              <w:rPr>
                <w:rFonts w:hint="eastAsia" w:ascii="宋体" w:hAnsi="宋体" w:eastAsia="宋体" w:cs="宋体"/>
                <w:color w:val="auto"/>
                <w:szCs w:val="21"/>
              </w:rPr>
              <w:t>考察投标人的计算机件著作权登记证书</w:t>
            </w:r>
            <w:r>
              <w:rPr>
                <w:rFonts w:hint="eastAsia" w:ascii="宋体" w:hAnsi="宋体" w:eastAsia="宋体" w:cs="宋体"/>
                <w:color w:val="auto"/>
                <w:szCs w:val="21"/>
                <w:lang w:val="en-US" w:eastAsia="zh-CN"/>
              </w:rPr>
              <w:t>或</w:t>
            </w:r>
            <w:r>
              <w:rPr>
                <w:rFonts w:hint="eastAsia" w:ascii="宋体" w:hAnsi="宋体" w:eastAsia="宋体" w:cs="宋体"/>
                <w:color w:val="auto"/>
                <w:szCs w:val="21"/>
              </w:rPr>
              <w:t>专利证书情况：</w:t>
            </w:r>
          </w:p>
          <w:p w14:paraId="7731B4E6">
            <w:pPr>
              <w:numPr>
                <w:ilvl w:val="0"/>
                <w:numId w:val="0"/>
              </w:numPr>
              <w:ind w:leftChars="0"/>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监控类，</w:t>
            </w:r>
            <w:r>
              <w:rPr>
                <w:rFonts w:hint="eastAsia" w:ascii="宋体" w:hAnsi="宋体" w:eastAsia="宋体" w:cs="宋体"/>
                <w:color w:val="auto"/>
                <w:szCs w:val="21"/>
                <w:highlight w:val="none"/>
              </w:rPr>
              <w:t>每提供1项</w:t>
            </w:r>
            <w:r>
              <w:rPr>
                <w:rFonts w:hint="eastAsia" w:ascii="宋体" w:hAnsi="宋体" w:eastAsia="宋体" w:cs="宋体"/>
                <w:color w:val="auto"/>
                <w:szCs w:val="21"/>
                <w:highlight w:val="none"/>
                <w:lang w:eastAsia="zh-CN"/>
              </w:rPr>
              <w:t>软著或专利</w:t>
            </w:r>
            <w:r>
              <w:rPr>
                <w:rFonts w:hint="eastAsia" w:ascii="宋体" w:hAnsi="宋体" w:eastAsia="宋体" w:cs="宋体"/>
                <w:color w:val="auto"/>
                <w:szCs w:val="21"/>
                <w:highlight w:val="none"/>
              </w:rPr>
              <w:t>的得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0分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累计得分，本小项</w:t>
            </w:r>
            <w:r>
              <w:rPr>
                <w:rFonts w:hint="eastAsia" w:ascii="宋体" w:hAnsi="宋体" w:eastAsia="宋体" w:cs="宋体"/>
                <w:color w:val="auto"/>
                <w:szCs w:val="21"/>
                <w:highlight w:val="none"/>
                <w:lang w:eastAsia="zh-CN"/>
              </w:rPr>
              <w:t>最高得</w:t>
            </w:r>
            <w:r>
              <w:rPr>
                <w:rFonts w:hint="eastAsia" w:ascii="宋体" w:hAnsi="宋体" w:eastAsia="宋体" w:cs="宋体"/>
                <w:color w:val="auto"/>
                <w:szCs w:val="21"/>
                <w:highlight w:val="none"/>
                <w:lang w:val="en-US" w:eastAsia="zh-CN"/>
              </w:rPr>
              <w:t>40分</w:t>
            </w:r>
            <w:r>
              <w:rPr>
                <w:rFonts w:hint="eastAsia" w:ascii="宋体" w:hAnsi="宋体" w:eastAsia="宋体" w:cs="宋体"/>
                <w:color w:val="auto"/>
                <w:szCs w:val="21"/>
                <w:highlight w:val="none"/>
              </w:rPr>
              <w:t>；</w:t>
            </w:r>
          </w:p>
          <w:p w14:paraId="6EE71388">
            <w:pPr>
              <w:numPr>
                <w:ilvl w:val="0"/>
                <w:numId w:val="0"/>
              </w:numPr>
              <w:ind w:leftChars="0"/>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智慧灯杆类，</w:t>
            </w:r>
            <w:r>
              <w:rPr>
                <w:rFonts w:hint="eastAsia" w:ascii="宋体" w:hAnsi="宋体" w:eastAsia="宋体" w:cs="宋体"/>
                <w:color w:val="auto"/>
                <w:szCs w:val="21"/>
                <w:highlight w:val="none"/>
              </w:rPr>
              <w:t>每提供1项</w:t>
            </w:r>
            <w:r>
              <w:rPr>
                <w:rFonts w:hint="eastAsia" w:ascii="宋体" w:hAnsi="宋体" w:eastAsia="宋体" w:cs="宋体"/>
                <w:color w:val="auto"/>
                <w:szCs w:val="21"/>
                <w:highlight w:val="none"/>
                <w:lang w:eastAsia="zh-CN"/>
              </w:rPr>
              <w:t>软著或专利</w:t>
            </w:r>
            <w:r>
              <w:rPr>
                <w:rFonts w:hint="eastAsia" w:ascii="宋体" w:hAnsi="宋体" w:eastAsia="宋体" w:cs="宋体"/>
                <w:color w:val="auto"/>
                <w:szCs w:val="21"/>
                <w:highlight w:val="none"/>
              </w:rPr>
              <w:t>的得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0分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累计得分，本小项</w:t>
            </w:r>
            <w:r>
              <w:rPr>
                <w:rFonts w:hint="eastAsia" w:ascii="宋体" w:hAnsi="宋体" w:eastAsia="宋体" w:cs="宋体"/>
                <w:color w:val="auto"/>
                <w:szCs w:val="21"/>
                <w:highlight w:val="none"/>
                <w:lang w:eastAsia="zh-CN"/>
              </w:rPr>
              <w:t>最高得</w:t>
            </w:r>
            <w:r>
              <w:rPr>
                <w:rFonts w:hint="eastAsia" w:ascii="宋体" w:hAnsi="宋体" w:eastAsia="宋体" w:cs="宋体"/>
                <w:color w:val="auto"/>
                <w:szCs w:val="21"/>
                <w:highlight w:val="none"/>
                <w:lang w:val="en-US" w:eastAsia="zh-CN"/>
              </w:rPr>
              <w:t>40分</w:t>
            </w:r>
            <w:r>
              <w:rPr>
                <w:rFonts w:hint="eastAsia" w:ascii="宋体" w:hAnsi="宋体" w:eastAsia="宋体" w:cs="宋体"/>
                <w:color w:val="auto"/>
                <w:szCs w:val="21"/>
                <w:highlight w:val="none"/>
              </w:rPr>
              <w:t>；</w:t>
            </w:r>
          </w:p>
          <w:p w14:paraId="7BE47B6D">
            <w:pPr>
              <w:numPr>
                <w:ilvl w:val="0"/>
                <w:numId w:val="0"/>
              </w:numPr>
              <w:ind w:leftChars="0"/>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智慧照明类，</w:t>
            </w:r>
            <w:r>
              <w:rPr>
                <w:rFonts w:hint="eastAsia" w:ascii="宋体" w:hAnsi="宋体" w:eastAsia="宋体" w:cs="宋体"/>
                <w:color w:val="auto"/>
                <w:szCs w:val="21"/>
                <w:highlight w:val="none"/>
              </w:rPr>
              <w:t>每提供1项</w:t>
            </w:r>
            <w:r>
              <w:rPr>
                <w:rFonts w:hint="eastAsia" w:ascii="宋体" w:hAnsi="宋体" w:eastAsia="宋体" w:cs="宋体"/>
                <w:color w:val="auto"/>
                <w:szCs w:val="21"/>
                <w:highlight w:val="none"/>
                <w:lang w:eastAsia="zh-CN"/>
              </w:rPr>
              <w:t>软著或专利</w:t>
            </w:r>
            <w:r>
              <w:rPr>
                <w:rFonts w:hint="eastAsia" w:ascii="宋体" w:hAnsi="宋体" w:eastAsia="宋体" w:cs="宋体"/>
                <w:color w:val="auto"/>
                <w:szCs w:val="21"/>
                <w:highlight w:val="none"/>
              </w:rPr>
              <w:t>的得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0分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累计得分，本小项</w:t>
            </w:r>
            <w:r>
              <w:rPr>
                <w:rFonts w:hint="eastAsia" w:ascii="宋体" w:hAnsi="宋体" w:eastAsia="宋体" w:cs="宋体"/>
                <w:color w:val="auto"/>
                <w:szCs w:val="21"/>
                <w:highlight w:val="none"/>
                <w:lang w:eastAsia="zh-CN"/>
              </w:rPr>
              <w:t>最高得</w:t>
            </w:r>
            <w:r>
              <w:rPr>
                <w:rFonts w:hint="eastAsia" w:ascii="宋体" w:hAnsi="宋体" w:eastAsia="宋体" w:cs="宋体"/>
                <w:color w:val="auto"/>
                <w:szCs w:val="21"/>
                <w:highlight w:val="none"/>
                <w:lang w:val="en-US" w:eastAsia="zh-CN"/>
              </w:rPr>
              <w:t>20分</w:t>
            </w:r>
            <w:r>
              <w:rPr>
                <w:rFonts w:hint="eastAsia" w:ascii="宋体" w:hAnsi="宋体" w:eastAsia="宋体" w:cs="宋体"/>
                <w:color w:val="auto"/>
                <w:szCs w:val="21"/>
                <w:highlight w:val="none"/>
                <w:lang w:eastAsia="zh-CN"/>
              </w:rPr>
              <w:t>；</w:t>
            </w:r>
          </w:p>
          <w:p w14:paraId="02655D0F">
            <w:pPr>
              <w:pStyle w:val="491"/>
              <w:spacing w:before="19" w:line="240" w:lineRule="auto"/>
              <w:ind w:left="110" w:right="99" w:firstLine="15"/>
              <w:rPr>
                <w:b/>
                <w:bCs/>
                <w:color w:val="auto"/>
              </w:rPr>
            </w:pPr>
            <w:r>
              <w:rPr>
                <w:rFonts w:hint="eastAsia" w:ascii="宋体" w:hAnsi="宋体" w:eastAsia="宋体" w:cs="宋体"/>
                <w:b/>
                <w:bCs/>
                <w:color w:val="auto"/>
                <w:szCs w:val="21"/>
              </w:rPr>
              <w:t>以上</w:t>
            </w:r>
            <w:r>
              <w:rPr>
                <w:rFonts w:hint="eastAsia" w:cs="宋体"/>
                <w:b/>
                <w:bCs/>
                <w:color w:val="auto"/>
                <w:szCs w:val="21"/>
                <w:lang w:val="en-US" w:eastAsia="zh-CN"/>
              </w:rPr>
              <w:t>1-</w:t>
            </w:r>
            <w:r>
              <w:rPr>
                <w:rFonts w:hint="eastAsia" w:ascii="宋体" w:hAnsi="宋体" w:eastAsia="宋体" w:cs="宋体"/>
                <w:b/>
                <w:bCs/>
                <w:color w:val="auto"/>
                <w:szCs w:val="21"/>
                <w:lang w:val="en-US" w:eastAsia="zh-CN"/>
              </w:rPr>
              <w:t>3</w:t>
            </w:r>
            <w:r>
              <w:rPr>
                <w:rFonts w:hint="eastAsia" w:ascii="宋体" w:hAnsi="宋体" w:eastAsia="宋体" w:cs="宋体"/>
                <w:b/>
                <w:bCs/>
                <w:color w:val="auto"/>
                <w:szCs w:val="21"/>
              </w:rPr>
              <w:t>项得分累计，如同一</w:t>
            </w:r>
            <w:r>
              <w:rPr>
                <w:rFonts w:hint="eastAsia" w:hAnsi="宋体" w:cs="宋体"/>
                <w:b/>
                <w:bCs/>
                <w:color w:val="auto"/>
                <w:szCs w:val="21"/>
                <w:lang w:val="en-US" w:eastAsia="zh-CN"/>
              </w:rPr>
              <w:t>软著或专利证书，同时</w:t>
            </w:r>
            <w:r>
              <w:rPr>
                <w:rFonts w:hint="eastAsia" w:ascii="宋体" w:hAnsi="宋体" w:eastAsia="宋体" w:cs="宋体"/>
                <w:b/>
                <w:bCs/>
                <w:color w:val="auto"/>
                <w:szCs w:val="21"/>
              </w:rPr>
              <w:t>满足以上多项功能的，不可以累计得分，</w:t>
            </w:r>
            <w:r>
              <w:rPr>
                <w:rFonts w:hint="eastAsia" w:hAnsi="宋体" w:cs="宋体"/>
                <w:b/>
                <w:bCs/>
                <w:color w:val="auto"/>
                <w:szCs w:val="21"/>
                <w:lang w:val="en-US" w:eastAsia="zh-CN"/>
              </w:rPr>
              <w:t>以按</w:t>
            </w:r>
            <w:r>
              <w:rPr>
                <w:rFonts w:hint="eastAsia" w:ascii="宋体" w:hAnsi="宋体" w:eastAsia="宋体" w:cs="宋体"/>
                <w:b/>
                <w:bCs/>
                <w:color w:val="auto"/>
                <w:szCs w:val="21"/>
              </w:rPr>
              <w:t>得分最优情况</w:t>
            </w:r>
            <w:r>
              <w:rPr>
                <w:rFonts w:hint="eastAsia" w:hAnsi="宋体" w:cs="宋体"/>
                <w:b/>
                <w:bCs/>
                <w:color w:val="auto"/>
                <w:szCs w:val="21"/>
                <w:lang w:val="en-US" w:eastAsia="zh-CN"/>
              </w:rPr>
              <w:t>计算1次分值</w:t>
            </w:r>
            <w:r>
              <w:rPr>
                <w:rFonts w:hint="eastAsia" w:cs="宋体"/>
                <w:b/>
                <w:bCs/>
                <w:color w:val="auto"/>
                <w:szCs w:val="21"/>
                <w:lang w:val="en-US" w:eastAsia="zh-CN"/>
              </w:rPr>
              <w:t>，</w:t>
            </w:r>
            <w:r>
              <w:rPr>
                <w:rFonts w:hint="eastAsia" w:ascii="宋体" w:hAnsi="宋体" w:eastAsia="宋体" w:cs="宋体"/>
                <w:b/>
                <w:bCs/>
                <w:color w:val="auto"/>
                <w:szCs w:val="21"/>
              </w:rPr>
              <w:t>满分100分。</w:t>
            </w:r>
          </w:p>
          <w:p w14:paraId="470237DA">
            <w:pPr>
              <w:rPr>
                <w:rFonts w:ascii="宋体" w:hAnsi="宋体" w:eastAsia="宋体" w:cs="宋体"/>
                <w:b/>
                <w:bCs/>
                <w:color w:val="auto"/>
                <w:szCs w:val="21"/>
              </w:rPr>
            </w:pPr>
            <w:r>
              <w:rPr>
                <w:rFonts w:hint="eastAsia" w:ascii="宋体" w:hAnsi="宋体" w:eastAsia="宋体" w:cs="宋体"/>
                <w:b/>
                <w:bCs/>
                <w:color w:val="auto"/>
                <w:szCs w:val="21"/>
              </w:rPr>
              <w:t>（二）评审依据</w:t>
            </w:r>
          </w:p>
          <w:p w14:paraId="50335516">
            <w:pPr>
              <w:rPr>
                <w:rFonts w:ascii="宋体" w:hAnsi="宋体" w:eastAsia="宋体" w:cs="宋体"/>
                <w:szCs w:val="21"/>
              </w:rPr>
            </w:pPr>
            <w:r>
              <w:rPr>
                <w:rFonts w:hint="eastAsia" w:ascii="宋体" w:hAnsi="宋体" w:eastAsia="宋体" w:cs="宋体"/>
                <w:szCs w:val="21"/>
              </w:rPr>
              <w:t>按照以下要求提供证明材料：</w:t>
            </w:r>
          </w:p>
          <w:p w14:paraId="320DFF2E">
            <w:pPr>
              <w:rPr>
                <w:rFonts w:ascii="宋体" w:hAnsi="宋体" w:eastAsia="宋体" w:cs="宋体"/>
                <w:szCs w:val="21"/>
              </w:rPr>
            </w:pPr>
            <w:r>
              <w:rPr>
                <w:rFonts w:hint="eastAsia" w:ascii="宋体" w:hAnsi="宋体" w:eastAsia="宋体" w:cs="宋体"/>
                <w:szCs w:val="21"/>
              </w:rPr>
              <w:t>1.自主开发的提供计算机软件著作权登记证书</w:t>
            </w:r>
            <w:r>
              <w:rPr>
                <w:rFonts w:hint="eastAsia" w:ascii="宋体" w:hAnsi="宋体" w:eastAsia="宋体" w:cs="宋体"/>
                <w:szCs w:val="21"/>
                <w:lang w:val="en-US" w:eastAsia="zh-CN"/>
              </w:rPr>
              <w:t>或</w:t>
            </w:r>
            <w:r>
              <w:rPr>
                <w:rFonts w:hint="eastAsia" w:ascii="宋体" w:hAnsi="宋体" w:eastAsia="宋体" w:cs="宋体"/>
                <w:szCs w:val="21"/>
              </w:rPr>
              <w:t>专利证书扫描件（著作权人</w:t>
            </w:r>
            <w:r>
              <w:rPr>
                <w:rFonts w:hint="eastAsia" w:ascii="宋体" w:hAnsi="宋体" w:eastAsia="宋体" w:cs="宋体"/>
                <w:szCs w:val="21"/>
                <w:lang w:val="en-US" w:eastAsia="zh-CN"/>
              </w:rPr>
              <w:t>或</w:t>
            </w:r>
            <w:r>
              <w:rPr>
                <w:rFonts w:hint="eastAsia" w:ascii="宋体" w:hAnsi="宋体" w:eastAsia="宋体" w:cs="宋体"/>
                <w:szCs w:val="21"/>
              </w:rPr>
              <w:t>专利权人须为投标人）；</w:t>
            </w:r>
          </w:p>
          <w:p w14:paraId="6141083D">
            <w:pPr>
              <w:rPr>
                <w:rFonts w:ascii="宋体" w:hAnsi="宋体" w:eastAsia="宋体" w:cs="宋体"/>
                <w:szCs w:val="21"/>
              </w:rPr>
            </w:pPr>
            <w:r>
              <w:rPr>
                <w:rFonts w:hint="eastAsia" w:ascii="宋体" w:hAnsi="宋体" w:eastAsia="宋体" w:cs="宋体"/>
                <w:szCs w:val="21"/>
              </w:rPr>
              <w:t>2.购买或租赁的提供计算机软件著作权登记证书</w:t>
            </w:r>
            <w:r>
              <w:rPr>
                <w:rFonts w:hint="eastAsia" w:ascii="宋体" w:hAnsi="宋体" w:eastAsia="宋体" w:cs="宋体"/>
                <w:szCs w:val="21"/>
                <w:lang w:val="en-US" w:eastAsia="zh-CN"/>
              </w:rPr>
              <w:t>或</w:t>
            </w:r>
            <w:r>
              <w:rPr>
                <w:rFonts w:hint="eastAsia" w:ascii="宋体" w:hAnsi="宋体" w:eastAsia="宋体" w:cs="宋体"/>
                <w:szCs w:val="21"/>
              </w:rPr>
              <w:t>专利证书（著作权人</w:t>
            </w:r>
            <w:r>
              <w:rPr>
                <w:rFonts w:hint="eastAsia" w:ascii="宋体" w:hAnsi="宋体" w:eastAsia="宋体" w:cs="宋体"/>
                <w:szCs w:val="21"/>
                <w:lang w:val="en-US" w:eastAsia="zh-CN"/>
              </w:rPr>
              <w:t>或</w:t>
            </w:r>
            <w:r>
              <w:rPr>
                <w:rFonts w:hint="eastAsia" w:ascii="宋体" w:hAnsi="宋体" w:eastAsia="宋体" w:cs="宋体"/>
                <w:szCs w:val="21"/>
              </w:rPr>
              <w:t>专利权人须为出售/出租方）和购买合同（或租赁合同）关键页（包括但不限于合同首页、合同标的、签订时间、盖章页等）扫描件。</w:t>
            </w:r>
          </w:p>
          <w:p w14:paraId="0E98F447">
            <w:pPr>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如未按要求提供证明材料，或所提供的证明材料未能体现上述评分内容的，视为该证明材料无效。</w:t>
            </w:r>
          </w:p>
          <w:p w14:paraId="386A2B84">
            <w:pPr>
              <w:rPr>
                <w:rFonts w:hint="default" w:ascii="宋体" w:hAnsi="宋体" w:eastAsia="宋体" w:cs="宋体"/>
                <w:szCs w:val="21"/>
                <w:lang w:val="en-US" w:eastAsia="zh-CN"/>
              </w:rPr>
            </w:pPr>
            <w:r>
              <w:rPr>
                <w:rFonts w:hint="eastAsia" w:ascii="宋体" w:hAnsi="宋体" w:eastAsia="宋体" w:cs="宋体"/>
                <w:szCs w:val="21"/>
                <w:lang w:val="en-US" w:eastAsia="zh-CN"/>
              </w:rPr>
              <w:t>4.若计算机软件著作权登记证书无法直接体现评分标准要求具体类别的，需提供为同种类别的说明或证明材料，由评审委员会判定是否符合文件要求。</w:t>
            </w:r>
          </w:p>
        </w:tc>
      </w:tr>
      <w:tr w14:paraId="0EB16A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65" w:type="dxa"/>
            <w:vMerge w:val="restart"/>
            <w:tcBorders>
              <w:top w:val="single" w:color="000000" w:sz="8" w:space="0"/>
              <w:left w:val="single" w:color="000000" w:sz="8" w:space="0"/>
              <w:bottom w:val="single" w:color="000000" w:sz="8" w:space="0"/>
              <w:right w:val="single" w:color="000000" w:sz="8" w:space="0"/>
            </w:tcBorders>
          </w:tcPr>
          <w:p w14:paraId="6F8ACB0C">
            <w:pPr>
              <w:jc w:val="center"/>
              <w:rPr>
                <w:rFonts w:ascii="宋体" w:hAnsi="宋体" w:eastAsia="宋体" w:cs="宋体"/>
                <w:b/>
                <w:bCs/>
                <w:color w:val="0000FF"/>
                <w:szCs w:val="21"/>
              </w:rPr>
            </w:pPr>
            <w:r>
              <w:rPr>
                <w:rFonts w:hint="eastAsia" w:ascii="宋体" w:hAnsi="宋体" w:eastAsia="宋体" w:cs="宋体"/>
                <w:b/>
                <w:bCs/>
                <w:color w:val="0000FF"/>
                <w:szCs w:val="21"/>
              </w:rPr>
              <w:t>5</w:t>
            </w:r>
          </w:p>
        </w:tc>
        <w:tc>
          <w:tcPr>
            <w:tcW w:w="3009" w:type="dxa"/>
            <w:gridSpan w:val="3"/>
            <w:tcBorders>
              <w:top w:val="single" w:color="000000" w:sz="8" w:space="0"/>
              <w:left w:val="single" w:color="000000" w:sz="8" w:space="0"/>
              <w:bottom w:val="single" w:color="000000" w:sz="8" w:space="0"/>
              <w:right w:val="single" w:color="000000" w:sz="8" w:space="0"/>
            </w:tcBorders>
          </w:tcPr>
          <w:p w14:paraId="43E1FABC">
            <w:pPr>
              <w:jc w:val="center"/>
              <w:rPr>
                <w:rFonts w:ascii="宋体" w:hAnsi="宋体" w:eastAsia="宋体" w:cs="宋体"/>
                <w:b/>
                <w:bCs/>
                <w:color w:val="0000FF"/>
                <w:szCs w:val="21"/>
              </w:rPr>
            </w:pPr>
            <w:r>
              <w:rPr>
                <w:rFonts w:hint="eastAsia" w:ascii="宋体" w:hAnsi="宋体" w:eastAsia="宋体" w:cs="宋体"/>
                <w:b/>
                <w:bCs/>
                <w:color w:val="0000FF"/>
                <w:szCs w:val="21"/>
              </w:rPr>
              <w:t>诚信情况</w:t>
            </w:r>
          </w:p>
        </w:tc>
        <w:tc>
          <w:tcPr>
            <w:tcW w:w="5398" w:type="dxa"/>
            <w:tcBorders>
              <w:top w:val="single" w:color="000000" w:sz="8" w:space="0"/>
              <w:left w:val="single" w:color="000000" w:sz="8" w:space="0"/>
              <w:bottom w:val="single" w:color="000000" w:sz="8" w:space="0"/>
              <w:right w:val="single" w:color="000000" w:sz="8" w:space="0"/>
            </w:tcBorders>
          </w:tcPr>
          <w:p w14:paraId="569A1343">
            <w:pPr>
              <w:jc w:val="center"/>
              <w:rPr>
                <w:rFonts w:ascii="宋体" w:hAnsi="宋体" w:eastAsia="宋体" w:cs="宋体"/>
                <w:b/>
                <w:bCs/>
                <w:color w:val="0000FF"/>
                <w:szCs w:val="21"/>
              </w:rPr>
            </w:pPr>
            <w:r>
              <w:rPr>
                <w:rFonts w:hint="eastAsia" w:ascii="宋体" w:hAnsi="宋体" w:eastAsia="宋体" w:cs="宋体"/>
                <w:b/>
                <w:bCs/>
                <w:color w:val="0000FF"/>
                <w:szCs w:val="21"/>
              </w:rPr>
              <w:t>5</w:t>
            </w:r>
          </w:p>
        </w:tc>
      </w:tr>
      <w:tr w14:paraId="23E4F5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65" w:type="dxa"/>
            <w:vMerge w:val="continue"/>
            <w:tcBorders>
              <w:top w:val="single" w:color="000000" w:sz="8" w:space="0"/>
              <w:left w:val="single" w:color="000000" w:sz="8" w:space="0"/>
              <w:bottom w:val="single" w:color="000000" w:sz="8" w:space="0"/>
              <w:right w:val="single" w:color="000000" w:sz="8" w:space="0"/>
            </w:tcBorders>
            <w:vAlign w:val="center"/>
          </w:tcPr>
          <w:p w14:paraId="22C730E9">
            <w:pPr>
              <w:rPr>
                <w:rFonts w:ascii="宋体" w:hAnsi="宋体" w:eastAsia="宋体" w:cs="宋体"/>
                <w:b/>
                <w:bCs/>
                <w:color w:val="0000FF"/>
                <w:szCs w:val="21"/>
              </w:rPr>
            </w:pPr>
          </w:p>
        </w:tc>
        <w:tc>
          <w:tcPr>
            <w:tcW w:w="8407" w:type="dxa"/>
            <w:gridSpan w:val="4"/>
            <w:tcBorders>
              <w:top w:val="single" w:color="000000" w:sz="8" w:space="0"/>
              <w:left w:val="single" w:color="000000" w:sz="8" w:space="0"/>
              <w:bottom w:val="single" w:color="000000" w:sz="8" w:space="0"/>
              <w:right w:val="single" w:color="000000" w:sz="8" w:space="0"/>
            </w:tcBorders>
          </w:tcPr>
          <w:p w14:paraId="4DBE78C7">
            <w:pPr>
              <w:rPr>
                <w:rFonts w:ascii="宋体" w:hAnsi="宋体" w:eastAsia="宋体" w:cs="宋体"/>
                <w:szCs w:val="21"/>
              </w:rPr>
            </w:pPr>
          </w:p>
        </w:tc>
      </w:tr>
      <w:tr w14:paraId="7229D9F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65" w:type="dxa"/>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2A2AAAD7">
            <w:pPr>
              <w:rPr>
                <w:rFonts w:ascii="宋体" w:hAnsi="宋体" w:eastAsia="宋体" w:cs="宋体"/>
                <w:b/>
                <w:bCs/>
                <w:color w:val="0000FF"/>
                <w:szCs w:val="21"/>
              </w:rPr>
            </w:pPr>
          </w:p>
        </w:tc>
        <w:tc>
          <w:tcPr>
            <w:tcW w:w="665"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7A2AC45">
            <w:pPr>
              <w:jc w:val="center"/>
              <w:rPr>
                <w:rFonts w:ascii="宋体" w:hAnsi="宋体" w:eastAsia="宋体" w:cs="宋体"/>
                <w:szCs w:val="21"/>
              </w:rPr>
            </w:pPr>
            <w:r>
              <w:rPr>
                <w:rFonts w:hint="eastAsia" w:ascii="宋体" w:hAnsi="宋体" w:eastAsia="宋体" w:cs="宋体"/>
                <w:szCs w:val="21"/>
              </w:rPr>
              <w:t>序号</w:t>
            </w:r>
          </w:p>
        </w:tc>
        <w:tc>
          <w:tcPr>
            <w:tcW w:w="1399"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7679DB98">
            <w:pPr>
              <w:jc w:val="center"/>
              <w:rPr>
                <w:rFonts w:ascii="宋体" w:hAnsi="宋体" w:eastAsia="宋体" w:cs="宋体"/>
                <w:szCs w:val="21"/>
              </w:rPr>
            </w:pPr>
            <w:r>
              <w:rPr>
                <w:rFonts w:hint="eastAsia" w:ascii="宋体" w:hAnsi="宋体" w:eastAsia="宋体" w:cs="宋体"/>
                <w:szCs w:val="21"/>
              </w:rPr>
              <w:t>评分因素</w:t>
            </w:r>
          </w:p>
        </w:tc>
        <w:tc>
          <w:tcPr>
            <w:tcW w:w="945"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6E02695A">
            <w:pPr>
              <w:jc w:val="center"/>
              <w:rPr>
                <w:rFonts w:ascii="宋体" w:hAnsi="宋体" w:eastAsia="宋体" w:cs="宋体"/>
                <w:szCs w:val="21"/>
              </w:rPr>
            </w:pPr>
            <w:r>
              <w:rPr>
                <w:rFonts w:hint="eastAsia" w:ascii="宋体" w:hAnsi="宋体" w:eastAsia="宋体" w:cs="宋体"/>
                <w:szCs w:val="21"/>
              </w:rPr>
              <w:t>权重(%)</w:t>
            </w:r>
          </w:p>
        </w:tc>
        <w:tc>
          <w:tcPr>
            <w:tcW w:w="5398"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2DF9826F">
            <w:pPr>
              <w:jc w:val="center"/>
              <w:rPr>
                <w:rFonts w:ascii="宋体" w:hAnsi="宋体" w:eastAsia="宋体" w:cs="宋体"/>
                <w:szCs w:val="21"/>
              </w:rPr>
            </w:pPr>
            <w:r>
              <w:rPr>
                <w:rFonts w:hint="eastAsia" w:ascii="宋体" w:hAnsi="宋体" w:eastAsia="宋体" w:cs="宋体"/>
                <w:szCs w:val="21"/>
              </w:rPr>
              <w:t>评分准则</w:t>
            </w:r>
          </w:p>
        </w:tc>
      </w:tr>
      <w:tr w14:paraId="46673A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65" w:type="dxa"/>
            <w:vMerge w:val="continue"/>
            <w:tcBorders>
              <w:top w:val="single" w:color="000000" w:sz="8" w:space="0"/>
              <w:left w:val="single" w:color="000000" w:sz="8" w:space="0"/>
              <w:bottom w:val="single" w:color="000000" w:sz="8" w:space="0"/>
              <w:right w:val="single" w:color="000000" w:sz="8" w:space="0"/>
            </w:tcBorders>
            <w:vAlign w:val="center"/>
          </w:tcPr>
          <w:p w14:paraId="17F4CA5D">
            <w:pPr>
              <w:rPr>
                <w:rFonts w:ascii="宋体" w:hAnsi="宋体" w:eastAsia="宋体" w:cs="宋体"/>
                <w:b/>
                <w:bCs/>
                <w:color w:val="0000FF"/>
                <w:szCs w:val="21"/>
              </w:rPr>
            </w:pPr>
          </w:p>
        </w:tc>
        <w:tc>
          <w:tcPr>
            <w:tcW w:w="665" w:type="dxa"/>
            <w:tcBorders>
              <w:top w:val="single" w:color="000000" w:sz="8" w:space="0"/>
              <w:left w:val="single" w:color="000000" w:sz="8" w:space="0"/>
              <w:bottom w:val="single" w:color="000000" w:sz="8" w:space="0"/>
              <w:right w:val="single" w:color="000000" w:sz="8" w:space="0"/>
            </w:tcBorders>
            <w:vAlign w:val="center"/>
          </w:tcPr>
          <w:p w14:paraId="57165A73">
            <w:pPr>
              <w:jc w:val="center"/>
              <w:rPr>
                <w:rFonts w:ascii="宋体" w:hAnsi="宋体" w:eastAsia="宋体" w:cs="宋体"/>
                <w:szCs w:val="21"/>
              </w:rPr>
            </w:pPr>
            <w:r>
              <w:rPr>
                <w:rFonts w:hint="eastAsia" w:ascii="宋体" w:hAnsi="宋体" w:eastAsia="宋体" w:cs="宋体"/>
                <w:szCs w:val="21"/>
              </w:rPr>
              <w:t>1</w:t>
            </w:r>
          </w:p>
        </w:tc>
        <w:tc>
          <w:tcPr>
            <w:tcW w:w="1399" w:type="dxa"/>
            <w:tcBorders>
              <w:top w:val="single" w:color="000000" w:sz="8" w:space="0"/>
              <w:left w:val="single" w:color="000000" w:sz="8" w:space="0"/>
              <w:bottom w:val="single" w:color="000000" w:sz="8" w:space="0"/>
              <w:right w:val="single" w:color="000000" w:sz="8" w:space="0"/>
            </w:tcBorders>
            <w:vAlign w:val="center"/>
          </w:tcPr>
          <w:p w14:paraId="6505E8E7">
            <w:pPr>
              <w:jc w:val="center"/>
              <w:rPr>
                <w:rFonts w:ascii="宋体" w:hAnsi="宋体" w:eastAsia="宋体" w:cs="宋体"/>
                <w:szCs w:val="21"/>
              </w:rPr>
            </w:pPr>
            <w:r>
              <w:rPr>
                <w:rFonts w:hint="eastAsia" w:ascii="宋体" w:hAnsi="宋体" w:eastAsia="宋体" w:cs="宋体"/>
                <w:szCs w:val="21"/>
              </w:rPr>
              <w:t>诚信情况</w:t>
            </w:r>
          </w:p>
        </w:tc>
        <w:tc>
          <w:tcPr>
            <w:tcW w:w="945" w:type="dxa"/>
            <w:tcBorders>
              <w:top w:val="single" w:color="000000" w:sz="8" w:space="0"/>
              <w:left w:val="single" w:color="000000" w:sz="8" w:space="0"/>
              <w:bottom w:val="single" w:color="000000" w:sz="8" w:space="0"/>
              <w:right w:val="single" w:color="000000" w:sz="8" w:space="0"/>
            </w:tcBorders>
            <w:vAlign w:val="center"/>
          </w:tcPr>
          <w:p w14:paraId="0FC342E8">
            <w:pPr>
              <w:jc w:val="center"/>
              <w:rPr>
                <w:rFonts w:ascii="宋体" w:hAnsi="宋体" w:eastAsia="宋体" w:cs="宋体"/>
                <w:szCs w:val="21"/>
              </w:rPr>
            </w:pPr>
            <w:r>
              <w:rPr>
                <w:rFonts w:hint="eastAsia" w:ascii="宋体" w:hAnsi="宋体" w:eastAsia="宋体" w:cs="宋体"/>
                <w:szCs w:val="21"/>
              </w:rPr>
              <w:t>5</w:t>
            </w:r>
          </w:p>
        </w:tc>
        <w:tc>
          <w:tcPr>
            <w:tcW w:w="5398" w:type="dxa"/>
            <w:tcBorders>
              <w:top w:val="single" w:color="000000" w:sz="8" w:space="0"/>
              <w:left w:val="single" w:color="000000" w:sz="8" w:space="0"/>
              <w:bottom w:val="single" w:color="000000" w:sz="8" w:space="0"/>
              <w:right w:val="single" w:color="000000" w:sz="8" w:space="0"/>
            </w:tcBorders>
            <w:vAlign w:val="center"/>
          </w:tcPr>
          <w:p w14:paraId="16104BB7">
            <w:pPr>
              <w:pStyle w:val="19"/>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w:t>
            </w:r>
            <w:r>
              <w:rPr>
                <w:rFonts w:hint="eastAsia" w:asciiTheme="minorEastAsia" w:hAnsiTheme="minorEastAsia" w:eastAsiaTheme="minorEastAsia" w:cstheme="minorEastAsia"/>
                <w:b w:val="0"/>
                <w:bCs w:val="0"/>
                <w:sz w:val="21"/>
                <w:szCs w:val="21"/>
                <w:lang w:val="en-US" w:eastAsia="zh-CN"/>
              </w:rPr>
              <w:t>有关</w:t>
            </w:r>
            <w:r>
              <w:rPr>
                <w:rFonts w:hint="eastAsia" w:asciiTheme="minorEastAsia" w:hAnsiTheme="minorEastAsia" w:eastAsiaTheme="minorEastAsia" w:cstheme="minorEastAsia"/>
                <w:b w:val="0"/>
                <w:bCs w:val="0"/>
                <w:sz w:val="21"/>
                <w:szCs w:val="21"/>
              </w:rPr>
              <w:t>供应商诚信查询结果。</w:t>
            </w:r>
          </w:p>
          <w:p w14:paraId="696F0135">
            <w:pPr>
              <w:rPr>
                <w:rFonts w:ascii="宋体" w:hAnsi="宋体" w:eastAsia="宋体" w:cs="宋体"/>
                <w:szCs w:val="21"/>
              </w:rPr>
            </w:pPr>
            <w:r>
              <w:rPr>
                <w:rFonts w:hint="eastAsia" w:asciiTheme="minorEastAsia" w:hAnsiTheme="minorEastAsia" w:eastAsiaTheme="minorEastAsia" w:cstheme="minorEastAsia"/>
                <w:b w:val="0"/>
                <w:bCs w:val="0"/>
                <w:sz w:val="21"/>
                <w:szCs w:val="21"/>
                <w:lang w:val="en-US" w:eastAsia="zh-CN"/>
              </w:rPr>
              <w:t>查询渠道：通过“信用中国”（www.creditchina.gov.cn，下载信用信息报告）、“中国政府采购网”（www.ccgp.gov.cn）、“深圳市政府采购监管网”（http://zfcg.sz.gov.cn）以及财政部门认可的“供应商诚信档案库”查询供应商信用信息，信用信息以开标当日的查询结果为准。</w:t>
            </w:r>
          </w:p>
        </w:tc>
      </w:tr>
    </w:tbl>
    <w:p w14:paraId="069E1855">
      <w:pPr>
        <w:spacing w:line="360" w:lineRule="auto"/>
        <w:rPr>
          <w:rFonts w:ascii="Times New Roman" w:hAnsi="Times New Roman" w:eastAsia="宋体" w:cs="Times New Roman"/>
          <w:sz w:val="24"/>
          <w:szCs w:val="24"/>
        </w:rPr>
        <w:sectPr>
          <w:footerReference r:id="rId3" w:type="default"/>
          <w:footerReference r:id="rId4" w:type="even"/>
          <w:pgSz w:w="11907" w:h="16840"/>
          <w:pgMar w:top="1440" w:right="1418" w:bottom="1440" w:left="1418" w:header="851" w:footer="992" w:gutter="0"/>
          <w:cols w:space="425" w:num="1"/>
          <w:titlePg/>
          <w:docGrid w:linePitch="462" w:charSpace="0"/>
        </w:sectPr>
      </w:pPr>
      <w:r>
        <w:rPr>
          <w:rFonts w:hint="eastAsia" w:ascii="宋体" w:hAnsi="宋体" w:eastAsia="宋体" w:cs="宋体"/>
          <w:szCs w:val="21"/>
        </w:rPr>
        <w:t>注：投标人的“</w:t>
      </w:r>
      <w:r>
        <w:rPr>
          <w:rFonts w:hint="eastAsia" w:ascii="宋体" w:hAnsi="宋体" w:eastAsia="宋体" w:cs="宋体"/>
          <w:bCs/>
          <w:szCs w:val="21"/>
        </w:rPr>
        <w:t>技术要求偏离表</w:t>
      </w:r>
      <w:r>
        <w:rPr>
          <w:rFonts w:hint="eastAsia" w:ascii="宋体" w:hAnsi="宋体" w:eastAsia="宋体" w:cs="宋体"/>
          <w:szCs w:val="21"/>
        </w:rPr>
        <w:t>”等必须与客观实际保持一致，响应不实且情节严重的，经查实，将依法记入供应商诚信档案或受到行政处罚。</w:t>
      </w:r>
    </w:p>
    <w:p w14:paraId="3D655C61">
      <w:pPr>
        <w:rPr>
          <w:rFonts w:ascii="Times New Roman" w:hAnsi="Times New Roman" w:eastAsia="宋体" w:cs="Times New Roman"/>
          <w:szCs w:val="24"/>
        </w:rPr>
      </w:pPr>
    </w:p>
    <w:p w14:paraId="018E09F5">
      <w:pPr>
        <w:rPr>
          <w:rFonts w:ascii="Times New Roman" w:hAnsi="Times New Roman" w:eastAsia="宋体" w:cs="Times New Roman"/>
          <w:b/>
          <w:sz w:val="84"/>
          <w:szCs w:val="84"/>
        </w:rPr>
      </w:pPr>
    </w:p>
    <w:p w14:paraId="35210768">
      <w:pPr>
        <w:jc w:val="center"/>
        <w:rPr>
          <w:rFonts w:ascii="Times New Roman" w:hAnsi="Times New Roman" w:eastAsia="宋体" w:cs="Times New Roman"/>
          <w:b/>
          <w:sz w:val="120"/>
          <w:szCs w:val="120"/>
        </w:rPr>
      </w:pPr>
      <w:r>
        <w:rPr>
          <w:rFonts w:ascii="Times New Roman" w:hAnsi="Times New Roman" w:eastAsia="宋体" w:cs="Times New Roman"/>
          <w:b/>
          <w:sz w:val="120"/>
          <w:szCs w:val="120"/>
        </w:rPr>
        <w:t>政府采购</w:t>
      </w:r>
    </w:p>
    <w:p w14:paraId="57411B63">
      <w:pPr>
        <w:jc w:val="center"/>
        <w:rPr>
          <w:rFonts w:ascii="Times New Roman" w:hAnsi="Times New Roman" w:eastAsia="宋体" w:cs="Times New Roman"/>
          <w:b/>
          <w:sz w:val="120"/>
          <w:szCs w:val="120"/>
        </w:rPr>
      </w:pPr>
      <w:r>
        <w:rPr>
          <w:rFonts w:ascii="Times New Roman" w:hAnsi="Times New Roman" w:eastAsia="宋体" w:cs="Times New Roman"/>
          <w:b/>
          <w:sz w:val="120"/>
          <w:szCs w:val="120"/>
        </w:rPr>
        <w:t>招标文件</w:t>
      </w:r>
    </w:p>
    <w:p w14:paraId="61FE0F47">
      <w:pPr>
        <w:jc w:val="center"/>
        <w:rPr>
          <w:rFonts w:ascii="Times New Roman" w:hAnsi="Times New Roman" w:eastAsia="宋体" w:cs="Times New Roman"/>
          <w:b/>
          <w:sz w:val="52"/>
          <w:szCs w:val="52"/>
        </w:rPr>
      </w:pPr>
      <w:r>
        <w:rPr>
          <w:rFonts w:ascii="Times New Roman" w:hAnsi="Times New Roman" w:eastAsia="宋体" w:cs="Times New Roman"/>
          <w:b/>
          <w:sz w:val="52"/>
          <w:szCs w:val="52"/>
        </w:rPr>
        <w:t>（货物类）</w:t>
      </w:r>
    </w:p>
    <w:p w14:paraId="6111C76F">
      <w:pPr>
        <w:rPr>
          <w:rFonts w:ascii="Times New Roman" w:hAnsi="Times New Roman" w:eastAsia="宋体" w:cs="Times New Roman"/>
          <w:szCs w:val="24"/>
        </w:rPr>
      </w:pPr>
    </w:p>
    <w:p w14:paraId="12901131">
      <w:pPr>
        <w:rPr>
          <w:rFonts w:ascii="Times New Roman" w:hAnsi="Times New Roman" w:eastAsia="宋体" w:cs="Times New Roman"/>
          <w:szCs w:val="24"/>
        </w:rPr>
      </w:pPr>
    </w:p>
    <w:p w14:paraId="06C4B5D9">
      <w:pPr>
        <w:rPr>
          <w:rFonts w:ascii="Times New Roman" w:hAnsi="Times New Roman" w:eastAsia="宋体" w:cs="Times New Roman"/>
          <w:szCs w:val="24"/>
        </w:rPr>
      </w:pPr>
    </w:p>
    <w:p w14:paraId="67E75A34">
      <w:pPr>
        <w:rPr>
          <w:rFonts w:ascii="Times New Roman" w:hAnsi="Times New Roman" w:eastAsia="宋体" w:cs="Times New Roman"/>
          <w:szCs w:val="24"/>
        </w:rPr>
      </w:pPr>
    </w:p>
    <w:p w14:paraId="43524D26">
      <w:pPr>
        <w:rPr>
          <w:rFonts w:ascii="Times New Roman" w:hAnsi="Times New Roman" w:eastAsia="宋体" w:cs="Times New Roman"/>
          <w:szCs w:val="24"/>
        </w:rPr>
      </w:pPr>
    </w:p>
    <w:p w14:paraId="253A194A">
      <w:pPr>
        <w:rPr>
          <w:rFonts w:ascii="Times New Roman" w:hAnsi="Times New Roman" w:eastAsia="宋体" w:cs="Times New Roman"/>
          <w:szCs w:val="24"/>
        </w:rPr>
      </w:pPr>
    </w:p>
    <w:p w14:paraId="4771498C">
      <w:pPr>
        <w:rPr>
          <w:rFonts w:ascii="Times New Roman" w:hAnsi="Times New Roman" w:eastAsia="宋体" w:cs="Times New Roman"/>
          <w:szCs w:val="24"/>
        </w:rPr>
      </w:pPr>
    </w:p>
    <w:p w14:paraId="590F711D">
      <w:pPr>
        <w:rPr>
          <w:rFonts w:ascii="Times New Roman" w:hAnsi="Times New Roman" w:eastAsia="宋体" w:cs="Times New Roman"/>
          <w:szCs w:val="24"/>
        </w:rPr>
      </w:pPr>
    </w:p>
    <w:p w14:paraId="5BA45120">
      <w:pPr>
        <w:rPr>
          <w:rFonts w:ascii="Times New Roman" w:hAnsi="Times New Roman" w:eastAsia="宋体" w:cs="Times New Roman"/>
          <w:szCs w:val="24"/>
        </w:rPr>
      </w:pPr>
    </w:p>
    <w:p w14:paraId="076BBE11">
      <w:pPr>
        <w:rPr>
          <w:rFonts w:ascii="Times New Roman" w:hAnsi="Times New Roman" w:eastAsia="宋体" w:cs="Times New Roman"/>
          <w:szCs w:val="24"/>
        </w:rPr>
      </w:pPr>
    </w:p>
    <w:p w14:paraId="180C4AE5">
      <w:pPr>
        <w:rPr>
          <w:rFonts w:ascii="Times New Roman" w:hAnsi="Times New Roman" w:eastAsia="宋体" w:cs="Times New Roman"/>
          <w:szCs w:val="24"/>
        </w:rPr>
      </w:pPr>
    </w:p>
    <w:p w14:paraId="77EFEA51">
      <w:pPr>
        <w:rPr>
          <w:rFonts w:ascii="Times New Roman" w:hAnsi="Times New Roman" w:eastAsia="宋体" w:cs="Times New Roman"/>
          <w:szCs w:val="24"/>
        </w:rPr>
      </w:pPr>
    </w:p>
    <w:p w14:paraId="7DE9FE9E">
      <w:pPr>
        <w:rPr>
          <w:rFonts w:ascii="Times New Roman" w:hAnsi="Times New Roman" w:eastAsia="宋体" w:cs="Times New Roman"/>
          <w:szCs w:val="24"/>
        </w:rPr>
      </w:pPr>
    </w:p>
    <w:p w14:paraId="0C701338">
      <w:pPr>
        <w:rPr>
          <w:rFonts w:ascii="Times New Roman" w:hAnsi="Times New Roman" w:eastAsia="宋体" w:cs="Times New Roman"/>
          <w:szCs w:val="24"/>
        </w:rPr>
      </w:pPr>
    </w:p>
    <w:p w14:paraId="7EB487FF">
      <w:pPr>
        <w:rPr>
          <w:rFonts w:ascii="Times New Roman" w:hAnsi="Times New Roman" w:eastAsia="宋体" w:cs="Times New Roman"/>
          <w:szCs w:val="24"/>
        </w:rPr>
      </w:pPr>
    </w:p>
    <w:p w14:paraId="704EF80E">
      <w:pPr>
        <w:rPr>
          <w:rFonts w:ascii="Times New Roman" w:hAnsi="Times New Roman" w:eastAsia="宋体" w:cs="Times New Roman"/>
          <w:szCs w:val="24"/>
        </w:rPr>
      </w:pPr>
    </w:p>
    <w:p w14:paraId="1BBDE458">
      <w:pPr>
        <w:rPr>
          <w:rFonts w:ascii="Times New Roman" w:hAnsi="Times New Roman" w:eastAsia="宋体" w:cs="Times New Roman"/>
          <w:szCs w:val="24"/>
        </w:rPr>
      </w:pPr>
    </w:p>
    <w:p w14:paraId="3CA58F02">
      <w:pPr>
        <w:rPr>
          <w:rFonts w:ascii="Times New Roman" w:hAnsi="Times New Roman" w:eastAsia="宋体" w:cs="Times New Roman"/>
          <w:szCs w:val="24"/>
        </w:rPr>
      </w:pPr>
    </w:p>
    <w:p w14:paraId="5BFDA581">
      <w:pPr>
        <w:rPr>
          <w:rFonts w:ascii="Times New Roman" w:hAnsi="Times New Roman" w:eastAsia="宋体" w:cs="Times New Roman"/>
          <w:szCs w:val="24"/>
        </w:rPr>
      </w:pPr>
    </w:p>
    <w:p w14:paraId="349ACDB6">
      <w:pPr>
        <w:jc w:val="center"/>
        <w:rPr>
          <w:rFonts w:ascii="Times New Roman" w:hAnsi="Times New Roman" w:eastAsia="宋体" w:cs="Times New Roman"/>
          <w:b/>
          <w:sz w:val="44"/>
          <w:szCs w:val="44"/>
        </w:rPr>
      </w:pPr>
      <w:bookmarkStart w:id="3" w:name="_Hlk71465316"/>
      <w:r>
        <w:rPr>
          <w:rFonts w:ascii="Times New Roman" w:hAnsi="Times New Roman" w:eastAsia="宋体" w:cs="Times New Roman"/>
          <w:b/>
          <w:sz w:val="44"/>
          <w:szCs w:val="44"/>
        </w:rPr>
        <w:t>深圳公共资源交易中心</w:t>
      </w:r>
    </w:p>
    <w:p w14:paraId="6A33DDC8">
      <w:pPr>
        <w:jc w:val="center"/>
        <w:rPr>
          <w:rFonts w:ascii="Times New Roman" w:hAnsi="Times New Roman" w:eastAsia="宋体" w:cs="Times New Roman"/>
          <w:b/>
          <w:sz w:val="44"/>
          <w:szCs w:val="44"/>
        </w:rPr>
      </w:pPr>
      <w:r>
        <w:rPr>
          <w:rFonts w:ascii="Times New Roman" w:hAnsi="Times New Roman" w:eastAsia="宋体" w:cs="Times New Roman"/>
          <w:b/>
          <w:sz w:val="44"/>
          <w:szCs w:val="44"/>
        </w:rPr>
        <w:t>（202</w:t>
      </w:r>
      <w:r>
        <w:rPr>
          <w:rFonts w:hint="eastAsia" w:ascii="Times New Roman" w:hAnsi="Times New Roman" w:eastAsia="宋体" w:cs="Times New Roman"/>
          <w:b/>
          <w:sz w:val="44"/>
          <w:szCs w:val="44"/>
          <w:lang w:val="en-US" w:eastAsia="zh-CN"/>
        </w:rPr>
        <w:t>6</w:t>
      </w:r>
      <w:r>
        <w:rPr>
          <w:rFonts w:ascii="Times New Roman" w:hAnsi="Times New Roman" w:eastAsia="宋体" w:cs="Times New Roman"/>
          <w:b/>
          <w:sz w:val="44"/>
          <w:szCs w:val="44"/>
        </w:rPr>
        <w:t>年）</w:t>
      </w:r>
      <w:bookmarkEnd w:id="3"/>
    </w:p>
    <w:p w14:paraId="62893A53">
      <w:pPr>
        <w:ind w:firstLine="435"/>
        <w:jc w:val="left"/>
        <w:rPr>
          <w:rFonts w:ascii="Times New Roman" w:hAnsi="Times New Roman" w:eastAsia="宋体" w:cs="Times New Roman"/>
          <w:szCs w:val="24"/>
        </w:rPr>
      </w:pPr>
    </w:p>
    <w:p w14:paraId="625D3ADD">
      <w:pPr>
        <w:widowControl/>
        <w:jc w:val="left"/>
        <w:rPr>
          <w:rFonts w:ascii="Times New Roman" w:hAnsi="Times New Roman" w:eastAsia="宋体" w:cs="Times New Roman"/>
          <w:szCs w:val="24"/>
        </w:rPr>
      </w:pPr>
      <w:r>
        <w:rPr>
          <w:rFonts w:ascii="Times New Roman" w:hAnsi="Times New Roman" w:eastAsia="宋体" w:cs="Times New Roman"/>
          <w:szCs w:val="24"/>
        </w:rPr>
        <w:br w:type="page"/>
      </w:r>
    </w:p>
    <w:p w14:paraId="26D8DD4D">
      <w:pPr>
        <w:widowControl/>
        <w:jc w:val="left"/>
        <w:rPr>
          <w:rFonts w:ascii="Times New Roman" w:hAnsi="Times New Roman" w:eastAsia="黑体" w:cs="Times New Roman"/>
          <w:b/>
          <w:bCs/>
          <w:kern w:val="44"/>
          <w:sz w:val="28"/>
          <w:szCs w:val="44"/>
        </w:rPr>
      </w:pPr>
      <w:bookmarkStart w:id="4" w:name="_Hlk72218009"/>
    </w:p>
    <w:p w14:paraId="4DDD6220">
      <w:pPr>
        <w:keepNext/>
        <w:keepLines/>
        <w:spacing w:before="340" w:after="330" w:line="360" w:lineRule="auto"/>
        <w:jc w:val="center"/>
        <w:outlineLvl w:val="0"/>
        <w:rPr>
          <w:rFonts w:ascii="Times New Roman" w:hAnsi="Times New Roman" w:eastAsia="黑体" w:cs="Times New Roman"/>
          <w:b/>
          <w:bCs/>
          <w:kern w:val="44"/>
          <w:sz w:val="28"/>
          <w:szCs w:val="44"/>
        </w:rPr>
      </w:pPr>
      <w:r>
        <w:rPr>
          <w:rFonts w:ascii="Times New Roman" w:hAnsi="Times New Roman" w:eastAsia="黑体" w:cs="Times New Roman"/>
          <w:b/>
          <w:bCs/>
          <w:kern w:val="44"/>
          <w:sz w:val="28"/>
          <w:szCs w:val="44"/>
        </w:rPr>
        <w:t>目   录</w:t>
      </w:r>
    </w:p>
    <w:p w14:paraId="344E38AF">
      <w:pPr>
        <w:adjustRightInd w:val="0"/>
        <w:snapToGrid w:val="0"/>
        <w:spacing w:line="360" w:lineRule="auto"/>
        <w:outlineLvl w:val="0"/>
        <w:rPr>
          <w:rFonts w:ascii="Times New Roman" w:hAnsi="Times New Roman" w:eastAsia="宋体" w:cs="Times New Roman"/>
          <w:b/>
          <w:sz w:val="24"/>
          <w:szCs w:val="24"/>
        </w:rPr>
      </w:pPr>
      <w:r>
        <w:rPr>
          <w:rFonts w:ascii="Times New Roman" w:hAnsi="Times New Roman" w:eastAsia="宋体" w:cs="Times New Roman"/>
          <w:b/>
          <w:sz w:val="24"/>
          <w:szCs w:val="24"/>
        </w:rPr>
        <w:t>第一册  专用条款</w:t>
      </w:r>
    </w:p>
    <w:p w14:paraId="3BD4B94B">
      <w:pPr>
        <w:adjustRightInd w:val="0"/>
        <w:snapToGrid w:val="0"/>
        <w:spacing w:line="360" w:lineRule="auto"/>
        <w:ind w:left="630" w:leftChars="300" w:firstLine="210" w:firstLineChars="100"/>
        <w:rPr>
          <w:rFonts w:ascii="宋体" w:hAnsi="宋体" w:eastAsia="宋体" w:cs="Times New Roman"/>
          <w:szCs w:val="21"/>
        </w:rPr>
      </w:pPr>
      <w:r>
        <w:rPr>
          <w:rFonts w:ascii="宋体" w:hAnsi="宋体" w:eastAsia="宋体" w:cs="Times New Roman"/>
          <w:szCs w:val="21"/>
        </w:rPr>
        <w:t>关键信息</w:t>
      </w:r>
    </w:p>
    <w:p w14:paraId="5AAB0FD1">
      <w:pPr>
        <w:adjustRightInd w:val="0"/>
        <w:snapToGrid w:val="0"/>
        <w:spacing w:line="360" w:lineRule="auto"/>
        <w:ind w:left="630" w:leftChars="300" w:firstLine="210" w:firstLineChars="100"/>
        <w:rPr>
          <w:rFonts w:ascii="宋体" w:hAnsi="宋体" w:eastAsia="宋体" w:cs="Times New Roman"/>
          <w:szCs w:val="21"/>
        </w:rPr>
      </w:pPr>
      <w:r>
        <w:rPr>
          <w:rFonts w:ascii="宋体" w:hAnsi="宋体" w:eastAsia="宋体" w:cs="Times New Roman"/>
          <w:szCs w:val="21"/>
        </w:rPr>
        <w:t>第一章  招标公告</w:t>
      </w:r>
    </w:p>
    <w:p w14:paraId="440DFF87">
      <w:pPr>
        <w:adjustRightInd w:val="0"/>
        <w:snapToGrid w:val="0"/>
        <w:spacing w:line="360" w:lineRule="auto"/>
        <w:ind w:left="630" w:leftChars="300" w:firstLine="210" w:firstLineChars="100"/>
        <w:rPr>
          <w:rFonts w:ascii="宋体" w:hAnsi="宋体" w:eastAsia="宋体" w:cs="Times New Roman"/>
          <w:szCs w:val="21"/>
        </w:rPr>
      </w:pPr>
      <w:r>
        <w:rPr>
          <w:rFonts w:ascii="宋体" w:hAnsi="宋体" w:eastAsia="宋体" w:cs="Times New Roman"/>
          <w:szCs w:val="21"/>
        </w:rPr>
        <w:t xml:space="preserve">第二章  </w:t>
      </w:r>
      <w:bookmarkStart w:id="5" w:name="_Hlk71994379"/>
      <w:r>
        <w:rPr>
          <w:rFonts w:ascii="宋体" w:hAnsi="宋体" w:eastAsia="宋体" w:cs="Times New Roman"/>
          <w:szCs w:val="21"/>
        </w:rPr>
        <w:t>对通用条款的补充内容及其他关键信息</w:t>
      </w:r>
      <w:bookmarkEnd w:id="5"/>
    </w:p>
    <w:p w14:paraId="4EECD6C1">
      <w:pPr>
        <w:adjustRightInd w:val="0"/>
        <w:snapToGrid w:val="0"/>
        <w:spacing w:line="360" w:lineRule="auto"/>
        <w:ind w:left="630" w:leftChars="300" w:firstLine="210" w:firstLineChars="100"/>
        <w:rPr>
          <w:rFonts w:ascii="宋体" w:hAnsi="宋体" w:eastAsia="宋体" w:cs="Times New Roman"/>
          <w:szCs w:val="21"/>
        </w:rPr>
      </w:pPr>
      <w:r>
        <w:rPr>
          <w:rFonts w:ascii="宋体" w:hAnsi="宋体" w:eastAsia="宋体" w:cs="Times New Roman"/>
          <w:szCs w:val="21"/>
        </w:rPr>
        <w:t xml:space="preserve">第三章 </w:t>
      </w:r>
      <w:r>
        <w:rPr>
          <w:rFonts w:hint="eastAsia" w:ascii="宋体" w:hAnsi="宋体" w:eastAsia="宋体" w:cs="Times New Roman"/>
          <w:szCs w:val="21"/>
        </w:rPr>
        <w:t xml:space="preserve"> </w:t>
      </w:r>
      <w:r>
        <w:rPr>
          <w:rFonts w:ascii="宋体" w:hAnsi="宋体" w:eastAsia="宋体" w:cs="Times New Roman"/>
          <w:szCs w:val="21"/>
        </w:rPr>
        <w:t>用户需求书</w:t>
      </w:r>
    </w:p>
    <w:p w14:paraId="457219E9">
      <w:pPr>
        <w:adjustRightInd w:val="0"/>
        <w:snapToGrid w:val="0"/>
        <w:spacing w:line="360" w:lineRule="auto"/>
        <w:ind w:left="630" w:leftChars="300" w:firstLine="210" w:firstLineChars="100"/>
        <w:rPr>
          <w:rFonts w:ascii="宋体" w:hAnsi="宋体" w:eastAsia="宋体" w:cs="Times New Roman"/>
          <w:szCs w:val="21"/>
        </w:rPr>
      </w:pPr>
      <w:r>
        <w:rPr>
          <w:rFonts w:ascii="宋体" w:hAnsi="宋体" w:eastAsia="宋体" w:cs="Times New Roman"/>
          <w:szCs w:val="21"/>
        </w:rPr>
        <w:t xml:space="preserve">第四章 </w:t>
      </w:r>
      <w:r>
        <w:rPr>
          <w:rFonts w:hint="eastAsia" w:ascii="宋体" w:hAnsi="宋体" w:eastAsia="宋体" w:cs="Times New Roman"/>
          <w:szCs w:val="21"/>
        </w:rPr>
        <w:t xml:space="preserve"> </w:t>
      </w:r>
      <w:r>
        <w:rPr>
          <w:rFonts w:ascii="宋体" w:hAnsi="宋体" w:eastAsia="宋体" w:cs="Times New Roman"/>
          <w:szCs w:val="21"/>
        </w:rPr>
        <w:t>投标文件组成要求及格式</w:t>
      </w:r>
    </w:p>
    <w:p w14:paraId="52875ED6">
      <w:pPr>
        <w:adjustRightInd w:val="0"/>
        <w:snapToGrid w:val="0"/>
        <w:spacing w:line="360" w:lineRule="auto"/>
        <w:ind w:left="630" w:leftChars="300" w:firstLine="210" w:firstLineChars="100"/>
        <w:rPr>
          <w:rFonts w:ascii="宋体" w:hAnsi="宋体" w:eastAsia="宋体" w:cs="Times New Roman"/>
          <w:szCs w:val="21"/>
        </w:rPr>
      </w:pPr>
      <w:r>
        <w:rPr>
          <w:rFonts w:ascii="宋体" w:hAnsi="宋体" w:eastAsia="宋体" w:cs="Times New Roman"/>
          <w:szCs w:val="21"/>
        </w:rPr>
        <w:t>第五章  合同条款及格式</w:t>
      </w:r>
    </w:p>
    <w:p w14:paraId="355BCE26">
      <w:pPr>
        <w:rPr>
          <w:rFonts w:ascii="Times New Roman" w:hAnsi="Times New Roman" w:eastAsia="宋体" w:cs="Times New Roman"/>
          <w:b/>
          <w:sz w:val="24"/>
          <w:szCs w:val="24"/>
        </w:rPr>
      </w:pPr>
    </w:p>
    <w:p w14:paraId="70593425">
      <w:pPr>
        <w:adjustRightInd w:val="0"/>
        <w:snapToGrid w:val="0"/>
        <w:spacing w:line="360" w:lineRule="auto"/>
        <w:outlineLvl w:val="0"/>
        <w:rPr>
          <w:rFonts w:ascii="Times New Roman" w:hAnsi="Times New Roman" w:eastAsia="宋体" w:cs="Times New Roman"/>
          <w:b/>
          <w:sz w:val="24"/>
          <w:szCs w:val="24"/>
        </w:rPr>
      </w:pPr>
      <w:r>
        <w:rPr>
          <w:rFonts w:ascii="Times New Roman" w:hAnsi="Times New Roman" w:eastAsia="宋体" w:cs="Times New Roman"/>
          <w:b/>
          <w:sz w:val="24"/>
          <w:szCs w:val="24"/>
        </w:rPr>
        <w:t>第二册</w:t>
      </w:r>
      <w:r>
        <w:rPr>
          <w:rFonts w:hint="eastAsia" w:ascii="Times New Roman" w:hAnsi="Times New Roman" w:eastAsia="宋体" w:cs="Times New Roman"/>
          <w:b/>
          <w:sz w:val="24"/>
          <w:szCs w:val="24"/>
        </w:rPr>
        <w:t xml:space="preserve">  </w:t>
      </w:r>
      <w:r>
        <w:rPr>
          <w:rFonts w:ascii="Times New Roman" w:hAnsi="Times New Roman" w:eastAsia="宋体" w:cs="Times New Roman"/>
          <w:b/>
          <w:sz w:val="24"/>
          <w:szCs w:val="24"/>
        </w:rPr>
        <w:t>通用条款</w:t>
      </w:r>
    </w:p>
    <w:p w14:paraId="55439BEA">
      <w:pPr>
        <w:adjustRightInd w:val="0"/>
        <w:snapToGrid w:val="0"/>
        <w:spacing w:line="360" w:lineRule="auto"/>
        <w:ind w:left="630" w:leftChars="300" w:firstLine="210" w:firstLineChars="100"/>
        <w:rPr>
          <w:rFonts w:ascii="宋体" w:hAnsi="宋体" w:eastAsia="宋体" w:cs="Times New Roman"/>
          <w:szCs w:val="21"/>
        </w:rPr>
      </w:pPr>
      <w:r>
        <w:rPr>
          <w:rFonts w:ascii="宋体" w:hAnsi="宋体" w:eastAsia="宋体" w:cs="Times New Roman"/>
          <w:szCs w:val="21"/>
        </w:rPr>
        <w:t>第一章  总则</w:t>
      </w:r>
    </w:p>
    <w:p w14:paraId="1098F273">
      <w:pPr>
        <w:adjustRightInd w:val="0"/>
        <w:snapToGrid w:val="0"/>
        <w:spacing w:line="360" w:lineRule="auto"/>
        <w:ind w:left="630" w:leftChars="300" w:firstLine="210" w:firstLineChars="100"/>
        <w:rPr>
          <w:rFonts w:ascii="宋体" w:hAnsi="宋体" w:eastAsia="宋体" w:cs="Times New Roman"/>
          <w:szCs w:val="21"/>
        </w:rPr>
      </w:pPr>
      <w:r>
        <w:rPr>
          <w:rFonts w:ascii="宋体" w:hAnsi="宋体" w:eastAsia="宋体" w:cs="Times New Roman"/>
          <w:szCs w:val="21"/>
        </w:rPr>
        <w:t>第二章  招标文件</w:t>
      </w:r>
    </w:p>
    <w:p w14:paraId="00E57835">
      <w:pPr>
        <w:adjustRightInd w:val="0"/>
        <w:snapToGrid w:val="0"/>
        <w:spacing w:line="360" w:lineRule="auto"/>
        <w:ind w:left="630" w:leftChars="300" w:firstLine="210" w:firstLineChars="100"/>
        <w:rPr>
          <w:rFonts w:ascii="宋体" w:hAnsi="宋体" w:eastAsia="宋体" w:cs="Times New Roman"/>
          <w:szCs w:val="21"/>
        </w:rPr>
      </w:pPr>
      <w:r>
        <w:rPr>
          <w:rFonts w:ascii="宋体" w:hAnsi="宋体" w:eastAsia="宋体" w:cs="Times New Roman"/>
          <w:szCs w:val="21"/>
        </w:rPr>
        <w:t>第三章  投标文件的编制</w:t>
      </w:r>
    </w:p>
    <w:p w14:paraId="63C09FB0">
      <w:pPr>
        <w:adjustRightInd w:val="0"/>
        <w:snapToGrid w:val="0"/>
        <w:spacing w:line="360" w:lineRule="auto"/>
        <w:ind w:left="630" w:leftChars="300" w:firstLine="210" w:firstLineChars="100"/>
        <w:rPr>
          <w:rFonts w:ascii="宋体" w:hAnsi="宋体" w:eastAsia="宋体" w:cs="Times New Roman"/>
          <w:szCs w:val="21"/>
        </w:rPr>
      </w:pPr>
      <w:r>
        <w:rPr>
          <w:rFonts w:ascii="宋体" w:hAnsi="宋体" w:eastAsia="宋体" w:cs="Times New Roman"/>
          <w:szCs w:val="21"/>
        </w:rPr>
        <w:t>第四章  投标文件的递交</w:t>
      </w:r>
    </w:p>
    <w:p w14:paraId="639DD63F">
      <w:pPr>
        <w:adjustRightInd w:val="0"/>
        <w:snapToGrid w:val="0"/>
        <w:spacing w:line="360" w:lineRule="auto"/>
        <w:ind w:left="630" w:leftChars="300" w:firstLine="210" w:firstLineChars="100"/>
        <w:rPr>
          <w:rFonts w:ascii="宋体" w:hAnsi="宋体" w:eastAsia="宋体" w:cs="Times New Roman"/>
          <w:szCs w:val="21"/>
        </w:rPr>
      </w:pPr>
      <w:r>
        <w:rPr>
          <w:rFonts w:ascii="宋体" w:hAnsi="宋体" w:eastAsia="宋体" w:cs="Times New Roman"/>
          <w:szCs w:val="21"/>
        </w:rPr>
        <w:t>第五章  开标</w:t>
      </w:r>
    </w:p>
    <w:p w14:paraId="5F0C97F1">
      <w:pPr>
        <w:adjustRightInd w:val="0"/>
        <w:snapToGrid w:val="0"/>
        <w:spacing w:line="360" w:lineRule="auto"/>
        <w:ind w:left="630" w:leftChars="300" w:firstLine="210" w:firstLineChars="100"/>
        <w:rPr>
          <w:rFonts w:ascii="宋体" w:hAnsi="宋体" w:eastAsia="宋体" w:cs="Times New Roman"/>
          <w:szCs w:val="21"/>
        </w:rPr>
      </w:pPr>
      <w:r>
        <w:rPr>
          <w:rFonts w:ascii="宋体" w:hAnsi="宋体" w:eastAsia="宋体" w:cs="Times New Roman"/>
          <w:szCs w:val="21"/>
        </w:rPr>
        <w:t>第六章  评审要求</w:t>
      </w:r>
    </w:p>
    <w:p w14:paraId="5EE82E6D">
      <w:pPr>
        <w:adjustRightInd w:val="0"/>
        <w:snapToGrid w:val="0"/>
        <w:spacing w:line="360" w:lineRule="auto"/>
        <w:ind w:left="630" w:leftChars="300" w:firstLine="210" w:firstLineChars="100"/>
        <w:rPr>
          <w:rFonts w:ascii="宋体" w:hAnsi="宋体" w:eastAsia="宋体" w:cs="Times New Roman"/>
          <w:szCs w:val="21"/>
        </w:rPr>
      </w:pPr>
      <w:r>
        <w:rPr>
          <w:rFonts w:ascii="宋体" w:hAnsi="宋体" w:eastAsia="宋体" w:cs="Times New Roman"/>
          <w:szCs w:val="21"/>
        </w:rPr>
        <w:t>第七章  评审程序及评审方法</w:t>
      </w:r>
    </w:p>
    <w:p w14:paraId="5C41596D">
      <w:pPr>
        <w:adjustRightInd w:val="0"/>
        <w:snapToGrid w:val="0"/>
        <w:spacing w:line="360" w:lineRule="auto"/>
        <w:ind w:left="630" w:leftChars="300" w:firstLine="210" w:firstLineChars="100"/>
        <w:rPr>
          <w:rFonts w:ascii="宋体" w:hAnsi="宋体" w:eastAsia="宋体" w:cs="Times New Roman"/>
          <w:szCs w:val="21"/>
        </w:rPr>
      </w:pPr>
      <w:r>
        <w:rPr>
          <w:rFonts w:ascii="宋体" w:hAnsi="宋体" w:eastAsia="宋体" w:cs="Times New Roman"/>
          <w:szCs w:val="21"/>
        </w:rPr>
        <w:t>第八章  定标及公示</w:t>
      </w:r>
    </w:p>
    <w:p w14:paraId="2E46AE73">
      <w:pPr>
        <w:adjustRightInd w:val="0"/>
        <w:snapToGrid w:val="0"/>
        <w:spacing w:line="360" w:lineRule="auto"/>
        <w:ind w:left="630" w:leftChars="300" w:firstLine="210" w:firstLineChars="100"/>
        <w:rPr>
          <w:rFonts w:ascii="宋体" w:hAnsi="宋体" w:eastAsia="宋体" w:cs="Times New Roman"/>
          <w:szCs w:val="21"/>
        </w:rPr>
      </w:pPr>
      <w:r>
        <w:rPr>
          <w:rFonts w:ascii="宋体" w:hAnsi="宋体" w:eastAsia="宋体" w:cs="Times New Roman"/>
          <w:szCs w:val="21"/>
        </w:rPr>
        <w:t>第九章  公开招标失败的后续处理</w:t>
      </w:r>
    </w:p>
    <w:p w14:paraId="7F0F818C">
      <w:pPr>
        <w:adjustRightInd w:val="0"/>
        <w:snapToGrid w:val="0"/>
        <w:spacing w:line="360" w:lineRule="auto"/>
        <w:ind w:left="630" w:leftChars="300" w:firstLine="210" w:firstLineChars="100"/>
        <w:rPr>
          <w:rFonts w:ascii="宋体" w:hAnsi="宋体" w:eastAsia="宋体" w:cs="Times New Roman"/>
          <w:szCs w:val="21"/>
        </w:rPr>
      </w:pPr>
      <w:r>
        <w:rPr>
          <w:rFonts w:ascii="宋体" w:hAnsi="宋体" w:eastAsia="宋体" w:cs="Times New Roman"/>
          <w:szCs w:val="21"/>
        </w:rPr>
        <w:t>第十章  合同的授予与备案</w:t>
      </w:r>
    </w:p>
    <w:p w14:paraId="09436F93">
      <w:pPr>
        <w:adjustRightInd w:val="0"/>
        <w:snapToGrid w:val="0"/>
        <w:spacing w:line="360" w:lineRule="auto"/>
        <w:ind w:left="630" w:leftChars="300" w:firstLine="210" w:firstLineChars="100"/>
        <w:rPr>
          <w:rFonts w:ascii="宋体" w:hAnsi="宋体" w:eastAsia="宋体" w:cs="Times New Roman"/>
          <w:szCs w:val="21"/>
        </w:rPr>
      </w:pPr>
      <w:r>
        <w:rPr>
          <w:rFonts w:ascii="宋体" w:hAnsi="宋体" w:eastAsia="宋体" w:cs="Times New Roman"/>
          <w:szCs w:val="21"/>
        </w:rPr>
        <w:t>第十一章  质疑处理</w:t>
      </w:r>
    </w:p>
    <w:bookmarkEnd w:id="4"/>
    <w:p w14:paraId="7E952943">
      <w:pPr>
        <w:widowControl/>
        <w:jc w:val="left"/>
        <w:rPr>
          <w:rFonts w:ascii="Times New Roman" w:hAnsi="Times New Roman" w:eastAsia="黑体" w:cs="Times New Roman"/>
          <w:b/>
          <w:bCs/>
          <w:kern w:val="44"/>
          <w:sz w:val="28"/>
          <w:szCs w:val="44"/>
        </w:rPr>
      </w:pPr>
      <w:bookmarkStart w:id="6" w:name="bt投标人须知"/>
      <w:bookmarkEnd w:id="6"/>
      <w:bookmarkStart w:id="7" w:name="bt商务标投标文件格式"/>
      <w:bookmarkEnd w:id="7"/>
      <w:bookmarkStart w:id="8" w:name="bt投标文件签署授权委托书"/>
      <w:bookmarkEnd w:id="8"/>
      <w:bookmarkStart w:id="9" w:name="bt投标人情况介绍"/>
      <w:bookmarkEnd w:id="9"/>
      <w:bookmarkStart w:id="10" w:name="bt其他资料由投标人自定"/>
      <w:bookmarkEnd w:id="10"/>
      <w:bookmarkStart w:id="11" w:name="bt技术标投标文件格式"/>
      <w:bookmarkEnd w:id="11"/>
      <w:bookmarkStart w:id="12" w:name="bt其他资料2"/>
      <w:bookmarkEnd w:id="12"/>
      <w:bookmarkStart w:id="13" w:name="bt开标一览表"/>
      <w:bookmarkEnd w:id="13"/>
      <w:bookmarkStart w:id="14" w:name="bt本工程承诺书"/>
      <w:bookmarkEnd w:id="14"/>
      <w:bookmarkStart w:id="15" w:name="bt项目管理班子配备情况"/>
      <w:bookmarkEnd w:id="15"/>
      <w:bookmarkStart w:id="16" w:name="bt合同条款及格式"/>
      <w:bookmarkEnd w:id="16"/>
      <w:bookmarkStart w:id="17" w:name="bt投标报价汇总表"/>
      <w:bookmarkEnd w:id="17"/>
      <w:bookmarkStart w:id="18" w:name="bt合同条款"/>
      <w:bookmarkEnd w:id="18"/>
      <w:bookmarkStart w:id="19" w:name="bt投标函"/>
      <w:bookmarkEnd w:id="19"/>
      <w:bookmarkStart w:id="20" w:name="合同格式"/>
      <w:bookmarkEnd w:id="20"/>
      <w:bookmarkStart w:id="21" w:name="bt合同格式"/>
      <w:bookmarkEnd w:id="21"/>
      <w:bookmarkStart w:id="22" w:name="bt说明"/>
      <w:bookmarkEnd w:id="22"/>
      <w:r>
        <w:rPr>
          <w:rFonts w:ascii="Times New Roman" w:hAnsi="Times New Roman" w:eastAsia="宋体" w:cs="Times New Roman"/>
          <w:szCs w:val="24"/>
        </w:rPr>
        <w:br w:type="page"/>
      </w:r>
    </w:p>
    <w:p w14:paraId="74687ECD">
      <w:pPr>
        <w:keepNext/>
        <w:keepLines/>
        <w:spacing w:before="340" w:after="330" w:line="360" w:lineRule="auto"/>
        <w:jc w:val="center"/>
        <w:outlineLvl w:val="0"/>
        <w:rPr>
          <w:rFonts w:ascii="Times New Roman" w:hAnsi="Times New Roman" w:eastAsia="黑体" w:cs="Times New Roman"/>
          <w:b/>
          <w:bCs/>
          <w:color w:val="FF0000"/>
          <w:kern w:val="44"/>
          <w:sz w:val="24"/>
          <w:szCs w:val="44"/>
        </w:rPr>
      </w:pPr>
      <w:r>
        <w:rPr>
          <w:rFonts w:ascii="Times New Roman" w:hAnsi="Times New Roman" w:eastAsia="黑体" w:cs="Times New Roman"/>
          <w:b/>
          <w:bCs/>
          <w:kern w:val="44"/>
          <w:sz w:val="28"/>
          <w:szCs w:val="44"/>
        </w:rPr>
        <w:t>第一册  专用条款</w:t>
      </w:r>
    </w:p>
    <w:p w14:paraId="346B90C5">
      <w:pPr>
        <w:keepNext/>
        <w:keepLines/>
        <w:adjustRightInd w:val="0"/>
        <w:spacing w:before="260" w:after="260"/>
        <w:jc w:val="center"/>
        <w:textAlignment w:val="baseline"/>
        <w:outlineLvl w:val="1"/>
        <w:rPr>
          <w:rFonts w:ascii="Times New Roman" w:hAnsi="Times New Roman" w:eastAsia="宋体" w:cs="Times New Roman"/>
          <w:b/>
          <w:bCs/>
          <w:kern w:val="0"/>
          <w:sz w:val="28"/>
          <w:szCs w:val="28"/>
        </w:rPr>
      </w:pPr>
      <w:r>
        <w:rPr>
          <w:rFonts w:ascii="Times New Roman" w:hAnsi="Times New Roman" w:eastAsia="宋体" w:cs="Times New Roman"/>
          <w:b/>
          <w:bCs/>
          <w:kern w:val="0"/>
          <w:sz w:val="28"/>
          <w:szCs w:val="28"/>
        </w:rPr>
        <w:t>第一章  招标公告</w:t>
      </w:r>
    </w:p>
    <w:p w14:paraId="3F33966D">
      <w:pPr>
        <w:spacing w:line="360" w:lineRule="auto"/>
        <w:rPr>
          <w:rFonts w:ascii="Times New Roman" w:hAnsi="Times New Roman" w:eastAsia="宋体" w:cs="Times New Roman"/>
          <w:kern w:val="0"/>
          <w:sz w:val="18"/>
          <w:szCs w:val="18"/>
        </w:rPr>
      </w:pPr>
      <w:r>
        <w:rPr>
          <w:rFonts w:ascii="Times New Roman" w:hAnsi="Times New Roman" w:eastAsia="宋体" w:cs="Times New Roman"/>
          <w:b/>
          <w:bCs/>
          <w:kern w:val="0"/>
          <w:szCs w:val="21"/>
        </w:rPr>
        <w:t>申请人的资格要求</w:t>
      </w:r>
    </w:p>
    <w:p w14:paraId="44ADD817">
      <w:pPr>
        <w:spacing w:line="276" w:lineRule="auto"/>
        <w:ind w:firstLine="420" w:firstLineChars="200"/>
        <w:rPr>
          <w:rFonts w:ascii="宋体" w:hAnsi="宋体" w:eastAsia="宋体" w:cs="宋体"/>
          <w:szCs w:val="24"/>
        </w:rPr>
      </w:pPr>
      <w:r>
        <w:rPr>
          <w:rFonts w:hint="eastAsia" w:ascii="宋体" w:hAnsi="宋体" w:eastAsia="宋体" w:cs="宋体"/>
          <w:szCs w:val="24"/>
        </w:rPr>
        <w:t>1.</w:t>
      </w:r>
      <w:bookmarkStart w:id="23" w:name="_Hlk72162904"/>
      <w:r>
        <w:rPr>
          <w:rFonts w:hint="eastAsia" w:ascii="宋体" w:hAnsi="宋体" w:eastAsia="宋体" w:cs="宋体"/>
          <w:szCs w:val="24"/>
        </w:rPr>
        <w:t>具有独立承担民事责任的能力（提供营业执照或事业单位法人证书等证明资料扫描件；分支机构参与投标的，须同时提供总公司授权文件且授权书载明其民事责任由总公司承担，提供总公司及分支机构的营业执照扫描件，总公司或者分支机构只允许一家投标，不允许同时参与本项目投标）；</w:t>
      </w:r>
      <w:bookmarkEnd w:id="23"/>
    </w:p>
    <w:p w14:paraId="4F807106">
      <w:pPr>
        <w:ind w:firstLine="420" w:firstLineChars="200"/>
        <w:rPr>
          <w:rFonts w:ascii="宋体" w:hAnsi="宋体" w:cs="宋体"/>
          <w:color w:val="auto"/>
          <w:kern w:val="0"/>
          <w:szCs w:val="21"/>
        </w:rPr>
      </w:pPr>
      <w:r>
        <w:rPr>
          <w:rFonts w:hint="eastAsia" w:ascii="宋体" w:hAnsi="宋体" w:cs="宋体"/>
          <w:color w:val="000000" w:themeColor="text1"/>
          <w:kern w:val="0"/>
          <w:szCs w:val="21"/>
          <w14:textFill>
            <w14:solidFill>
              <w14:schemeClr w14:val="tx1"/>
            </w14:solidFill>
          </w14:textFill>
        </w:rPr>
        <w:t>2.本项目不接受联合体投标</w:t>
      </w:r>
      <w:r>
        <w:rPr>
          <w:rFonts w:hint="eastAsia" w:ascii="宋体" w:hAnsi="宋体" w:cs="宋体"/>
          <w:color w:val="auto"/>
          <w:kern w:val="0"/>
          <w:szCs w:val="21"/>
          <w:lang w:val="en-US" w:eastAsia="zh-CN"/>
        </w:rPr>
        <w:t>，是否允许</w:t>
      </w:r>
      <w:r>
        <w:rPr>
          <w:rFonts w:hint="eastAsia" w:ascii="宋体" w:hAnsi="宋体" w:cs="宋体"/>
          <w:color w:val="auto"/>
          <w:kern w:val="0"/>
          <w:szCs w:val="21"/>
        </w:rPr>
        <w:t>投标人选用进口产品参与投标</w:t>
      </w:r>
      <w:r>
        <w:rPr>
          <w:rFonts w:hint="eastAsia" w:ascii="宋体" w:hAnsi="宋体" w:cs="宋体"/>
          <w:color w:val="auto"/>
          <w:kern w:val="0"/>
          <w:szCs w:val="21"/>
          <w:lang w:val="en-US" w:eastAsia="zh-CN"/>
        </w:rPr>
        <w:t>以</w:t>
      </w:r>
      <w:r>
        <w:rPr>
          <w:rFonts w:hint="eastAsia" w:ascii="宋体" w:hAnsi="宋体" w:cs="宋体"/>
          <w:color w:val="auto"/>
          <w:kern w:val="0"/>
          <w:szCs w:val="21"/>
        </w:rPr>
        <w:t>招标文件</w:t>
      </w:r>
      <w:r>
        <w:rPr>
          <w:rFonts w:hint="eastAsia" w:ascii="宋体" w:hAnsi="宋体" w:cs="宋体"/>
          <w:color w:val="auto"/>
          <w:kern w:val="0"/>
          <w:szCs w:val="21"/>
          <w:lang w:eastAsia="zh-CN"/>
        </w:rPr>
        <w:t>“</w:t>
      </w:r>
      <w:r>
        <w:rPr>
          <w:rFonts w:hint="eastAsia" w:ascii="宋体" w:hAnsi="宋体" w:cs="宋体"/>
          <w:color w:val="auto"/>
          <w:kern w:val="0"/>
          <w:szCs w:val="21"/>
          <w:lang w:val="en-US" w:eastAsia="zh-CN"/>
        </w:rPr>
        <w:t>第三章 用户需求书</w:t>
      </w:r>
      <w:r>
        <w:rPr>
          <w:rFonts w:hint="eastAsia" w:ascii="宋体" w:hAnsi="宋体" w:cs="宋体"/>
          <w:color w:val="auto"/>
          <w:kern w:val="0"/>
          <w:szCs w:val="21"/>
        </w:rPr>
        <w:t>”</w:t>
      </w:r>
      <w:r>
        <w:rPr>
          <w:rFonts w:hint="eastAsia" w:ascii="宋体" w:hAnsi="宋体" w:cs="宋体"/>
          <w:color w:val="auto"/>
          <w:kern w:val="0"/>
          <w:szCs w:val="21"/>
          <w:lang w:val="en-US" w:eastAsia="zh-CN"/>
        </w:rPr>
        <w:t>为准，</w:t>
      </w:r>
      <w:r>
        <w:rPr>
          <w:rFonts w:hint="eastAsia" w:ascii="宋体" w:hAnsi="宋体" w:cs="宋体"/>
          <w:color w:val="auto"/>
          <w:kern w:val="0"/>
          <w:szCs w:val="21"/>
        </w:rPr>
        <w:t>（由供应商在《政府采购投标及履约承诺函》中作出声明）；</w:t>
      </w:r>
    </w:p>
    <w:p w14:paraId="3C85E8C8">
      <w:pPr>
        <w:spacing w:line="276" w:lineRule="auto"/>
        <w:ind w:firstLine="420" w:firstLineChars="200"/>
        <w:rPr>
          <w:rFonts w:ascii="宋体" w:hAnsi="宋体" w:eastAsia="宋体" w:cs="宋体"/>
          <w:szCs w:val="24"/>
        </w:rPr>
      </w:pPr>
      <w:r>
        <w:rPr>
          <w:rFonts w:hint="eastAsia" w:ascii="宋体" w:hAnsi="宋体" w:eastAsia="宋体" w:cs="宋体"/>
          <w:szCs w:val="24"/>
          <w:lang w:val="en-US" w:eastAsia="zh-CN"/>
        </w:rPr>
        <w:t>3</w:t>
      </w:r>
      <w:r>
        <w:rPr>
          <w:rFonts w:hint="eastAsia" w:ascii="宋体" w:hAnsi="宋体" w:eastAsia="宋体" w:cs="宋体"/>
          <w:szCs w:val="24"/>
        </w:rPr>
        <w:t>.参与本项目政府采购活动时不存在被有关部门禁止参与政府采购活动且在有效期内的情况（由供应商在《政府采购投标及履约承诺函》中作出声明）；</w:t>
      </w:r>
    </w:p>
    <w:p w14:paraId="1F7AF465">
      <w:pPr>
        <w:spacing w:line="276" w:lineRule="auto"/>
        <w:ind w:firstLine="420" w:firstLineChars="200"/>
        <w:rPr>
          <w:rFonts w:ascii="宋体" w:hAnsi="宋体" w:eastAsia="宋体" w:cs="宋体"/>
          <w:szCs w:val="24"/>
        </w:rPr>
      </w:pPr>
      <w:r>
        <w:rPr>
          <w:rFonts w:hint="eastAsia" w:ascii="宋体" w:hAnsi="宋体" w:eastAsia="宋体" w:cs="宋体"/>
          <w:szCs w:val="24"/>
          <w:lang w:val="en-US" w:eastAsia="zh-CN"/>
        </w:rPr>
        <w:t>4</w:t>
      </w:r>
      <w:r>
        <w:rPr>
          <w:rFonts w:hint="eastAsia" w:ascii="宋体" w:hAnsi="宋体" w:eastAsia="宋体" w:cs="宋体"/>
          <w:szCs w:val="24"/>
        </w:rPr>
        <w:t>.具备《中华人民共和国政府采购法》第二十二条第一款的条件（由供应商在《政府采购投标及履约承诺函》中作出声明）；</w:t>
      </w:r>
    </w:p>
    <w:p w14:paraId="63162658">
      <w:pPr>
        <w:spacing w:line="276" w:lineRule="auto"/>
        <w:ind w:firstLine="420" w:firstLineChars="200"/>
        <w:rPr>
          <w:rFonts w:ascii="宋体" w:hAnsi="宋体" w:eastAsia="宋体" w:cs="宋体"/>
          <w:szCs w:val="24"/>
        </w:rPr>
      </w:pPr>
      <w:r>
        <w:rPr>
          <w:rFonts w:hint="eastAsia" w:ascii="宋体" w:hAnsi="宋体" w:eastAsia="宋体" w:cs="宋体"/>
          <w:szCs w:val="24"/>
          <w:lang w:val="en-US" w:eastAsia="zh-CN"/>
        </w:rPr>
        <w:t>5</w:t>
      </w:r>
      <w:r>
        <w:rPr>
          <w:rFonts w:hint="eastAsia" w:ascii="宋体" w:hAnsi="宋体" w:eastAsia="宋体" w:cs="宋体"/>
          <w:szCs w:val="24"/>
        </w:rPr>
        <w:t>.未被列入失信被执行人、重大税收违法案件当事人名单、政府采购严重违法失信行为记录名单（由供应商在《政府采购投标及履约承诺函》中作出声明）；</w:t>
      </w:r>
    </w:p>
    <w:p w14:paraId="0AE86B72">
      <w:pPr>
        <w:spacing w:line="276" w:lineRule="auto"/>
        <w:ind w:firstLine="420" w:firstLineChars="200"/>
        <w:rPr>
          <w:rFonts w:ascii="宋体" w:hAnsi="宋体" w:eastAsia="宋体" w:cs="宋体"/>
          <w:szCs w:val="24"/>
        </w:rPr>
      </w:pPr>
      <w:r>
        <w:rPr>
          <w:rFonts w:hint="eastAsia" w:ascii="宋体" w:hAnsi="宋体" w:eastAsia="宋体" w:cs="宋体"/>
          <w:szCs w:val="24"/>
          <w:lang w:val="en-US" w:eastAsia="zh-CN"/>
        </w:rPr>
        <w:t>6</w:t>
      </w:r>
      <w:r>
        <w:rPr>
          <w:rFonts w:hint="eastAsia" w:ascii="宋体" w:hAnsi="宋体" w:eastAsia="宋体" w:cs="宋体"/>
          <w:szCs w:val="24"/>
        </w:rPr>
        <w:t>.</w:t>
      </w:r>
      <w:r>
        <w:rPr>
          <w:rFonts w:hint="eastAsia" w:ascii="宋体" w:hAnsi="宋体" w:cs="宋体"/>
          <w:kern w:val="0"/>
          <w:szCs w:val="21"/>
        </w:rPr>
        <w:t>不存在《深圳市财政局政府采购供应商信用信息管理办法》（深财规〔2023〕3号）列明的严重违法失信行为（由供应商在《政府采购投标及履约承诺函》中作出声明）</w:t>
      </w:r>
    </w:p>
    <w:p w14:paraId="5E31A2B1">
      <w:pPr>
        <w:spacing w:line="276" w:lineRule="auto"/>
        <w:ind w:firstLine="420" w:firstLineChars="200"/>
        <w:rPr>
          <w:rFonts w:ascii="宋体" w:hAnsi="宋体" w:eastAsia="宋体" w:cs="宋体"/>
          <w:szCs w:val="24"/>
          <w:highlight w:val="none"/>
        </w:rPr>
      </w:pPr>
      <w:r>
        <w:rPr>
          <w:rFonts w:hint="eastAsia" w:ascii="宋体" w:hAnsi="宋体" w:eastAsia="宋体" w:cs="宋体"/>
          <w:szCs w:val="24"/>
          <w:highlight w:val="none"/>
          <w:lang w:val="en-US" w:eastAsia="zh-CN"/>
        </w:rPr>
        <w:t>7</w:t>
      </w:r>
      <w:r>
        <w:rPr>
          <w:rFonts w:hint="eastAsia" w:ascii="宋体" w:hAnsi="宋体" w:eastAsia="宋体" w:cs="宋体"/>
          <w:szCs w:val="24"/>
          <w:highlight w:val="none"/>
        </w:rPr>
        <w:t>.为采购项目提供整体设计、规范编制或者项目管理、监理、检测等服务的供应商，不得再参加该采购项目的其他采购活动（由供应商在《政府采购投标及履约承诺函》中作出声明）；</w:t>
      </w:r>
    </w:p>
    <w:p w14:paraId="5254ECFF">
      <w:pPr>
        <w:spacing w:line="276" w:lineRule="auto"/>
        <w:ind w:firstLine="420" w:firstLineChars="200"/>
        <w:rPr>
          <w:rFonts w:ascii="宋体" w:hAnsi="宋体" w:eastAsia="宋体" w:cs="宋体"/>
          <w:szCs w:val="24"/>
          <w:highlight w:val="none"/>
        </w:rPr>
      </w:pPr>
      <w:r>
        <w:rPr>
          <w:rFonts w:hint="eastAsia" w:ascii="宋体" w:hAnsi="宋体" w:eastAsia="宋体" w:cs="宋体"/>
          <w:szCs w:val="24"/>
          <w:highlight w:val="none"/>
          <w:lang w:val="en-US" w:eastAsia="zh-CN"/>
        </w:rPr>
        <w:t>8</w:t>
      </w:r>
      <w:r>
        <w:rPr>
          <w:rFonts w:hint="eastAsia" w:ascii="宋体" w:hAnsi="宋体" w:eastAsia="宋体" w:cs="宋体"/>
          <w:szCs w:val="24"/>
          <w:highlight w:val="none"/>
        </w:rPr>
        <w:t>.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00708032">
      <w:pPr>
        <w:ind w:firstLine="420" w:firstLineChars="200"/>
        <w:rPr>
          <w:rFonts w:hint="eastAsia" w:ascii="宋体" w:hAnsi="宋体" w:cs="宋体"/>
          <w:kern w:val="0"/>
          <w:szCs w:val="21"/>
          <w:lang w:eastAsia="zh-CN"/>
        </w:rPr>
      </w:pPr>
      <w:r>
        <w:rPr>
          <w:rFonts w:hint="eastAsia" w:ascii="宋体" w:hAnsi="宋体" w:cs="宋体"/>
          <w:kern w:val="0"/>
          <w:szCs w:val="21"/>
          <w:lang w:val="en-US" w:eastAsia="zh-CN"/>
        </w:rPr>
        <w:t>9</w:t>
      </w:r>
      <w:r>
        <w:rPr>
          <w:rFonts w:hint="eastAsia" w:ascii="宋体" w:hAnsi="宋体" w:cs="宋体"/>
          <w:kern w:val="0"/>
          <w:szCs w:val="21"/>
        </w:rPr>
        <w:t>.本项目</w:t>
      </w:r>
      <w:r>
        <w:rPr>
          <w:rFonts w:hint="eastAsia" w:ascii="宋体" w:hAnsi="宋体" w:cs="宋体"/>
          <w:kern w:val="0"/>
          <w:szCs w:val="21"/>
          <w:lang w:val="en-US" w:eastAsia="zh-CN"/>
        </w:rPr>
        <w:t>全部</w:t>
      </w:r>
      <w:r>
        <w:rPr>
          <w:rFonts w:hint="eastAsia" w:ascii="宋体" w:hAnsi="宋体" w:cs="宋体"/>
          <w:kern w:val="0"/>
          <w:szCs w:val="21"/>
        </w:rPr>
        <w:t>专门面向中小企业采购：否</w:t>
      </w:r>
      <w:r>
        <w:rPr>
          <w:rFonts w:hint="eastAsia" w:ascii="宋体" w:hAnsi="宋体" w:cs="宋体"/>
          <w:kern w:val="0"/>
          <w:szCs w:val="21"/>
          <w:lang w:eastAsia="zh-CN"/>
        </w:rPr>
        <w:t>。</w:t>
      </w:r>
    </w:p>
    <w:p w14:paraId="4F80DD52">
      <w:pPr>
        <w:ind w:firstLine="422" w:firstLineChars="200"/>
        <w:rPr>
          <w:rFonts w:hint="eastAsia" w:ascii="宋体" w:hAnsi="宋体" w:cs="宋体"/>
          <w:b/>
          <w:bCs/>
          <w:color w:val="FF0000"/>
          <w:kern w:val="0"/>
          <w:szCs w:val="21"/>
        </w:rPr>
      </w:pPr>
      <w:r>
        <w:rPr>
          <w:rFonts w:hint="eastAsia" w:ascii="宋体" w:hAnsi="宋体" w:cs="宋体"/>
          <w:b/>
          <w:bCs/>
          <w:color w:val="FF0000"/>
          <w:kern w:val="0"/>
          <w:szCs w:val="21"/>
        </w:rPr>
        <w:t>10.投标人须具有住房和城乡建设部门颁发的电子与智能化工程专业承包资质壹级证书（提供有效期内的资质证书扫描件）；</w:t>
      </w:r>
    </w:p>
    <w:p w14:paraId="0FBE3188">
      <w:pPr>
        <w:keepNext w:val="0"/>
        <w:keepLines w:val="0"/>
        <w:pageBreakBefore w:val="0"/>
        <w:widowControl w:val="0"/>
        <w:kinsoku/>
        <w:wordWrap w:val="0"/>
        <w:overflowPunct/>
        <w:topLinePunct w:val="0"/>
        <w:autoSpaceDE/>
        <w:autoSpaceDN/>
        <w:bidi w:val="0"/>
        <w:adjustRightInd/>
        <w:snapToGrid/>
        <w:ind w:firstLine="420" w:firstLineChars="200"/>
        <w:textAlignment w:val="auto"/>
        <w:rPr>
          <w:rFonts w:ascii="宋体" w:hAnsi="宋体" w:cs="宋体"/>
          <w:kern w:val="0"/>
          <w:szCs w:val="21"/>
        </w:rPr>
      </w:pPr>
      <w:r>
        <w:rPr>
          <w:rFonts w:hint="eastAsia" w:ascii="宋体" w:hAnsi="宋体" w:cs="宋体"/>
          <w:kern w:val="0"/>
          <w:szCs w:val="21"/>
        </w:rPr>
        <w:t>注：（1）“信用中国”（www.creditchina.gov.cn</w:t>
      </w:r>
      <w:r>
        <w:rPr>
          <w:rFonts w:hint="eastAsia" w:ascii="宋体" w:hAnsi="宋体" w:cs="宋体"/>
          <w:kern w:val="0"/>
          <w:szCs w:val="21"/>
          <w:lang w:eastAsia="zh-CN"/>
        </w:rPr>
        <w:t>，</w:t>
      </w:r>
      <w:r>
        <w:rPr>
          <w:rFonts w:hint="eastAsia" w:ascii="宋体" w:hAnsi="宋体" w:cs="宋体"/>
          <w:kern w:val="0"/>
          <w:szCs w:val="21"/>
          <w:lang w:val="en-US" w:eastAsia="zh-CN"/>
        </w:rPr>
        <w:t>查询</w:t>
      </w:r>
      <w:r>
        <w:rPr>
          <w:rFonts w:hint="eastAsia" w:ascii="宋体" w:hAnsi="宋体" w:cs="宋体"/>
          <w:kern w:val="0"/>
          <w:szCs w:val="21"/>
        </w:rPr>
        <w:t>“信用服务”栏的“重大税收违法失信主体”“失信被执行人”</w:t>
      </w:r>
      <w:r>
        <w:rPr>
          <w:rFonts w:hint="eastAsia" w:ascii="宋体" w:hAnsi="宋体" w:cs="宋体"/>
          <w:kern w:val="0"/>
          <w:szCs w:val="21"/>
          <w:lang w:val="en-US" w:eastAsia="zh-CN"/>
        </w:rPr>
        <w:t>或者下载信用信息报告）</w:t>
      </w:r>
      <w:r>
        <w:rPr>
          <w:rFonts w:hint="eastAsia" w:ascii="宋体" w:hAnsi="宋体" w:cs="宋体"/>
          <w:kern w:val="0"/>
          <w:szCs w:val="21"/>
        </w:rPr>
        <w:t>，“中国政府采购网”（www.ccgp.gov.cn）中的“政府采购严重违法失信行为记录名单”，“深圳市政府采购监管网”（http://zfcg.sz.gov.cn）</w:t>
      </w:r>
      <w:r>
        <w:rPr>
          <w:rFonts w:hint="eastAsia" w:asciiTheme="minorEastAsia" w:hAnsiTheme="minorEastAsia" w:eastAsiaTheme="minorEastAsia" w:cstheme="minorEastAsia"/>
          <w:b w:val="0"/>
          <w:bCs w:val="0"/>
          <w:sz w:val="21"/>
          <w:szCs w:val="21"/>
          <w:lang w:val="en-US" w:eastAsia="zh-CN"/>
        </w:rPr>
        <w:t>以及财政部门认可的“供应商诚信档案库”</w:t>
      </w:r>
      <w:r>
        <w:rPr>
          <w:rFonts w:hint="eastAsia" w:ascii="宋体" w:hAnsi="宋体" w:cs="宋体"/>
          <w:kern w:val="0"/>
          <w:szCs w:val="21"/>
        </w:rPr>
        <w:t>为供应商信用信息的查询渠道，相关信息以开标当日的查询结果为准；</w:t>
      </w:r>
    </w:p>
    <w:p w14:paraId="7A75FF68">
      <w:pPr>
        <w:numPr>
          <w:ilvl w:val="0"/>
          <w:numId w:val="7"/>
        </w:numPr>
        <w:wordWrap w:val="0"/>
        <w:adjustRightInd w:val="0"/>
        <w:snapToGrid w:val="0"/>
        <w:spacing w:line="276" w:lineRule="auto"/>
        <w:ind w:firstLine="420" w:firstLineChars="200"/>
        <w:rPr>
          <w:rFonts w:ascii="Times New Roman" w:hAnsi="Times New Roman" w:eastAsia="宋体" w:cs="Times New Roman"/>
          <w:szCs w:val="24"/>
        </w:rPr>
      </w:pPr>
      <w:r>
        <w:rPr>
          <w:rFonts w:hint="eastAsia" w:ascii="宋体" w:hAnsi="宋体" w:eastAsia="宋体" w:cs="宋体"/>
          <w:kern w:val="0"/>
          <w:szCs w:val="21"/>
        </w:rPr>
        <w:t>供应商投标（上传投标文件）必须先行办理注册手续，具体请按照本公告“六、其他补充事宜”相关内容指引办理。</w:t>
      </w:r>
    </w:p>
    <w:p w14:paraId="0C5BAB19">
      <w:pPr>
        <w:spacing w:line="360" w:lineRule="auto"/>
        <w:ind w:firstLine="422" w:firstLineChars="200"/>
        <w:rPr>
          <w:rFonts w:ascii="宋体" w:hAnsi="宋体" w:eastAsia="宋体" w:cs="宋体"/>
          <w:b/>
          <w:color w:val="0000FF"/>
          <w:szCs w:val="24"/>
        </w:rPr>
      </w:pPr>
      <w:r>
        <w:rPr>
          <w:rFonts w:hint="eastAsia" w:ascii="宋体" w:hAnsi="宋体" w:eastAsia="宋体" w:cs="宋体"/>
          <w:b/>
          <w:color w:val="0000FF"/>
          <w:szCs w:val="24"/>
        </w:rPr>
        <w:t>完整公告内容详见：深圳公共资源交易网（</w:t>
      </w:r>
      <w:r>
        <w:fldChar w:fldCharType="begin"/>
      </w:r>
      <w:r>
        <w:instrText xml:space="preserve"> HYPERLINK "https://www.szggzy.com" </w:instrText>
      </w:r>
      <w:r>
        <w:fldChar w:fldCharType="separate"/>
      </w:r>
      <w:r>
        <w:rPr>
          <w:rFonts w:hint="eastAsia" w:ascii="宋体" w:hAnsi="宋体" w:eastAsia="宋体" w:cs="宋体"/>
          <w:b/>
          <w:color w:val="0000FF"/>
          <w:szCs w:val="24"/>
          <w:u w:val="single"/>
        </w:rPr>
        <w:t>https://www.szggzy.com</w:t>
      </w:r>
      <w:r>
        <w:rPr>
          <w:rFonts w:hint="eastAsia" w:ascii="宋体" w:hAnsi="宋体" w:eastAsia="宋体" w:cs="宋体"/>
          <w:b/>
          <w:color w:val="0000FF"/>
          <w:szCs w:val="24"/>
          <w:u w:val="single"/>
        </w:rPr>
        <w:fldChar w:fldCharType="end"/>
      </w:r>
      <w:r>
        <w:rPr>
          <w:rFonts w:hint="eastAsia" w:ascii="宋体" w:hAnsi="宋体" w:eastAsia="宋体" w:cs="宋体"/>
          <w:b/>
          <w:color w:val="0000FF"/>
          <w:szCs w:val="24"/>
        </w:rPr>
        <w:t>）</w:t>
      </w:r>
    </w:p>
    <w:p w14:paraId="4C5F94FD">
      <w:pPr>
        <w:spacing w:line="360" w:lineRule="auto"/>
        <w:ind w:firstLine="560" w:firstLineChars="200"/>
        <w:rPr>
          <w:rFonts w:ascii="Times New Roman" w:hAnsi="Times New Roman" w:eastAsia="宋体" w:cs="Times New Roman"/>
          <w:b/>
          <w:color w:val="0000FF"/>
          <w:szCs w:val="24"/>
        </w:rPr>
      </w:pPr>
      <w:r>
        <w:rPr>
          <w:rFonts w:ascii="Times New Roman" w:hAnsi="Times New Roman" w:eastAsia="宋体" w:cs="Times New Roman"/>
          <w:sz w:val="28"/>
          <w:szCs w:val="28"/>
        </w:rPr>
        <w:br w:type="page"/>
      </w:r>
    </w:p>
    <w:p w14:paraId="63B57577">
      <w:pPr>
        <w:keepNext/>
        <w:keepLines/>
        <w:adjustRightInd w:val="0"/>
        <w:spacing w:before="260" w:after="260"/>
        <w:jc w:val="center"/>
        <w:textAlignment w:val="baseline"/>
        <w:outlineLvl w:val="1"/>
        <w:rPr>
          <w:rFonts w:ascii="Times New Roman" w:hAnsi="Times New Roman" w:eastAsia="宋体" w:cs="Times New Roman"/>
          <w:b/>
          <w:bCs/>
          <w:kern w:val="0"/>
          <w:sz w:val="28"/>
          <w:szCs w:val="28"/>
        </w:rPr>
      </w:pPr>
      <w:r>
        <w:rPr>
          <w:rFonts w:ascii="Times New Roman" w:hAnsi="Times New Roman" w:eastAsia="宋体" w:cs="Times New Roman"/>
          <w:b/>
          <w:bCs/>
          <w:kern w:val="0"/>
          <w:sz w:val="28"/>
          <w:szCs w:val="28"/>
        </w:rPr>
        <w:t xml:space="preserve">第二章 </w:t>
      </w:r>
      <w:bookmarkStart w:id="24" w:name="_Hlk71926094"/>
      <w:r>
        <w:rPr>
          <w:rFonts w:hint="eastAsia" w:ascii="Times New Roman" w:hAnsi="Times New Roman" w:eastAsia="宋体" w:cs="Times New Roman"/>
          <w:b/>
          <w:bCs/>
          <w:kern w:val="0"/>
          <w:sz w:val="28"/>
          <w:szCs w:val="28"/>
        </w:rPr>
        <w:t xml:space="preserve"> </w:t>
      </w:r>
      <w:r>
        <w:rPr>
          <w:rFonts w:ascii="Times New Roman" w:hAnsi="Times New Roman" w:eastAsia="宋体" w:cs="Times New Roman"/>
          <w:b/>
          <w:bCs/>
          <w:kern w:val="0"/>
          <w:sz w:val="28"/>
          <w:szCs w:val="28"/>
        </w:rPr>
        <w:t>对通用条款的补充内容及其他关键信息</w:t>
      </w:r>
      <w:bookmarkEnd w:id="24"/>
    </w:p>
    <w:p w14:paraId="7139AA31">
      <w:pPr>
        <w:keepNext/>
        <w:keepLines/>
        <w:adjustRightInd w:val="0"/>
        <w:spacing w:before="156" w:beforeLines="50" w:after="156" w:afterLines="50"/>
        <w:jc w:val="center"/>
        <w:textAlignment w:val="baseline"/>
        <w:outlineLvl w:val="1"/>
        <w:rPr>
          <w:rFonts w:ascii="Times New Roman" w:hAnsi="Times New Roman" w:eastAsia="宋体" w:cs="Times New Roman"/>
          <w:b/>
          <w:bCs/>
          <w:kern w:val="0"/>
          <w:sz w:val="24"/>
          <w:szCs w:val="24"/>
        </w:rPr>
      </w:pPr>
      <w:bookmarkStart w:id="25" w:name="_Toc73517639"/>
      <w:bookmarkStart w:id="26" w:name="_Toc60560625"/>
      <w:bookmarkStart w:id="27" w:name="_Toc101074876"/>
      <w:bookmarkStart w:id="28" w:name="_Toc73521547"/>
      <w:bookmarkStart w:id="29" w:name="_Toc60631620"/>
      <w:bookmarkStart w:id="30" w:name="_Toc73521635"/>
      <w:bookmarkStart w:id="31" w:name="_Toc100052364"/>
      <w:bookmarkStart w:id="32" w:name="_Toc73518117"/>
      <w:r>
        <w:rPr>
          <w:rFonts w:ascii="Times New Roman" w:hAnsi="Times New Roman" w:eastAsia="宋体" w:cs="Times New Roman"/>
          <w:b/>
          <w:bCs/>
          <w:kern w:val="0"/>
          <w:sz w:val="24"/>
          <w:szCs w:val="24"/>
        </w:rPr>
        <w:t>一、对通用条款的补充内容</w:t>
      </w:r>
    </w:p>
    <w:bookmarkEnd w:id="25"/>
    <w:bookmarkEnd w:id="26"/>
    <w:bookmarkEnd w:id="27"/>
    <w:bookmarkEnd w:id="28"/>
    <w:bookmarkEnd w:id="29"/>
    <w:bookmarkEnd w:id="30"/>
    <w:bookmarkEnd w:id="31"/>
    <w:bookmarkEnd w:id="32"/>
    <w:tbl>
      <w:tblPr>
        <w:tblStyle w:val="44"/>
        <w:tblpPr w:leftFromText="180" w:rightFromText="180" w:vertAnchor="text" w:horzAnchor="page" w:tblpX="1931" w:tblpY="46"/>
        <w:tblOverlap w:val="never"/>
        <w:tblW w:w="836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3E2B19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trPr>
        <w:tc>
          <w:tcPr>
            <w:tcW w:w="978" w:type="dxa"/>
            <w:vAlign w:val="center"/>
          </w:tcPr>
          <w:p w14:paraId="6CA38A93">
            <w:pPr>
              <w:jc w:val="center"/>
              <w:rPr>
                <w:rFonts w:ascii="宋体" w:hAnsi="宋体" w:eastAsia="宋体" w:cs="宋体"/>
                <w:b/>
                <w:bCs/>
                <w:szCs w:val="24"/>
              </w:rPr>
            </w:pPr>
            <w:bookmarkStart w:id="33" w:name="_Hlk72218097"/>
            <w:r>
              <w:rPr>
                <w:rFonts w:hint="eastAsia" w:ascii="宋体" w:hAnsi="宋体" w:eastAsia="宋体" w:cs="宋体"/>
                <w:b/>
                <w:bCs/>
                <w:szCs w:val="24"/>
              </w:rPr>
              <w:t>通用条款序号</w:t>
            </w:r>
          </w:p>
        </w:tc>
        <w:tc>
          <w:tcPr>
            <w:tcW w:w="2409" w:type="dxa"/>
            <w:vAlign w:val="center"/>
          </w:tcPr>
          <w:p w14:paraId="35E836F3">
            <w:pPr>
              <w:jc w:val="center"/>
              <w:rPr>
                <w:rFonts w:ascii="宋体" w:hAnsi="宋体" w:eastAsia="宋体" w:cs="宋体"/>
                <w:b/>
                <w:bCs/>
                <w:szCs w:val="24"/>
              </w:rPr>
            </w:pPr>
            <w:r>
              <w:rPr>
                <w:rFonts w:hint="eastAsia" w:ascii="宋体" w:hAnsi="宋体" w:eastAsia="宋体" w:cs="宋体"/>
                <w:b/>
                <w:bCs/>
                <w:szCs w:val="24"/>
              </w:rPr>
              <w:t>涉及事项</w:t>
            </w:r>
          </w:p>
        </w:tc>
        <w:tc>
          <w:tcPr>
            <w:tcW w:w="4980" w:type="dxa"/>
            <w:vAlign w:val="center"/>
          </w:tcPr>
          <w:p w14:paraId="103624F7">
            <w:pPr>
              <w:jc w:val="center"/>
              <w:rPr>
                <w:rFonts w:ascii="宋体" w:hAnsi="宋体" w:eastAsia="宋体" w:cs="宋体"/>
                <w:b/>
                <w:bCs/>
                <w:szCs w:val="24"/>
              </w:rPr>
            </w:pPr>
            <w:r>
              <w:rPr>
                <w:rFonts w:hint="eastAsia" w:ascii="宋体" w:hAnsi="宋体" w:eastAsia="宋体" w:cs="宋体"/>
                <w:b/>
                <w:bCs/>
                <w:szCs w:val="24"/>
              </w:rPr>
              <w:t>具 体 补 充 内 容</w:t>
            </w:r>
          </w:p>
        </w:tc>
      </w:tr>
      <w:tr w14:paraId="6A4DCC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trPr>
        <w:tc>
          <w:tcPr>
            <w:tcW w:w="978" w:type="dxa"/>
            <w:vAlign w:val="center"/>
          </w:tcPr>
          <w:p w14:paraId="4DF239D2">
            <w:pPr>
              <w:jc w:val="center"/>
              <w:rPr>
                <w:rFonts w:ascii="宋体" w:hAnsi="宋体" w:eastAsia="宋体" w:cs="宋体"/>
                <w:szCs w:val="24"/>
              </w:rPr>
            </w:pPr>
            <w:r>
              <w:rPr>
                <w:rFonts w:hint="eastAsia" w:ascii="宋体" w:hAnsi="宋体" w:eastAsia="宋体" w:cs="宋体"/>
                <w:szCs w:val="24"/>
              </w:rPr>
              <w:t>3.1</w:t>
            </w:r>
          </w:p>
        </w:tc>
        <w:tc>
          <w:tcPr>
            <w:tcW w:w="2409" w:type="dxa"/>
            <w:vAlign w:val="center"/>
          </w:tcPr>
          <w:p w14:paraId="37BEFD5D">
            <w:pPr>
              <w:jc w:val="center"/>
              <w:rPr>
                <w:rFonts w:ascii="宋体" w:hAnsi="宋体" w:eastAsia="宋体" w:cs="宋体"/>
                <w:szCs w:val="24"/>
              </w:rPr>
            </w:pPr>
            <w:r>
              <w:rPr>
                <w:rFonts w:hint="eastAsia" w:ascii="宋体" w:hAnsi="宋体" w:eastAsia="宋体" w:cs="宋体"/>
                <w:szCs w:val="24"/>
              </w:rPr>
              <w:t>采购人</w:t>
            </w:r>
          </w:p>
        </w:tc>
        <w:tc>
          <w:tcPr>
            <w:tcW w:w="4980" w:type="dxa"/>
            <w:vAlign w:val="center"/>
          </w:tcPr>
          <w:p w14:paraId="783AF362">
            <w:pPr>
              <w:jc w:val="center"/>
              <w:rPr>
                <w:rFonts w:ascii="宋体" w:hAnsi="宋体" w:eastAsia="宋体" w:cs="宋体"/>
                <w:szCs w:val="24"/>
              </w:rPr>
            </w:pPr>
            <w:r>
              <w:rPr>
                <w:rFonts w:hint="eastAsia" w:ascii="宋体" w:hAnsi="宋体"/>
                <w:szCs w:val="21"/>
              </w:rPr>
              <w:t>深圳市南山区政务服务和数据管理局</w:t>
            </w:r>
          </w:p>
        </w:tc>
      </w:tr>
      <w:tr w14:paraId="6DFECE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trPr>
        <w:tc>
          <w:tcPr>
            <w:tcW w:w="978" w:type="dxa"/>
            <w:vAlign w:val="center"/>
          </w:tcPr>
          <w:p w14:paraId="0FAD121D">
            <w:pPr>
              <w:jc w:val="center"/>
              <w:rPr>
                <w:rFonts w:ascii="宋体" w:hAnsi="宋体" w:eastAsia="宋体" w:cs="宋体"/>
                <w:szCs w:val="24"/>
              </w:rPr>
            </w:pPr>
            <w:r>
              <w:rPr>
                <w:rFonts w:hint="eastAsia" w:ascii="宋体" w:hAnsi="宋体" w:eastAsia="宋体" w:cs="宋体"/>
                <w:szCs w:val="24"/>
              </w:rPr>
              <w:t>3.2</w:t>
            </w:r>
          </w:p>
        </w:tc>
        <w:tc>
          <w:tcPr>
            <w:tcW w:w="2409" w:type="dxa"/>
            <w:vAlign w:val="center"/>
          </w:tcPr>
          <w:p w14:paraId="61B1A5E3">
            <w:pPr>
              <w:jc w:val="center"/>
              <w:rPr>
                <w:rFonts w:ascii="宋体" w:hAnsi="宋体" w:eastAsia="宋体" w:cs="宋体"/>
                <w:szCs w:val="24"/>
              </w:rPr>
            </w:pPr>
            <w:r>
              <w:rPr>
                <w:rFonts w:hint="eastAsia" w:ascii="宋体" w:hAnsi="宋体" w:eastAsia="宋体" w:cs="宋体"/>
                <w:szCs w:val="24"/>
              </w:rPr>
              <w:t>政府集中采购机构</w:t>
            </w:r>
          </w:p>
        </w:tc>
        <w:tc>
          <w:tcPr>
            <w:tcW w:w="4980" w:type="dxa"/>
            <w:vAlign w:val="center"/>
          </w:tcPr>
          <w:p w14:paraId="19D425F2">
            <w:pPr>
              <w:jc w:val="center"/>
              <w:rPr>
                <w:rFonts w:ascii="宋体" w:hAnsi="宋体" w:eastAsia="宋体" w:cs="宋体"/>
                <w:szCs w:val="24"/>
              </w:rPr>
            </w:pPr>
            <w:r>
              <w:rPr>
                <w:rFonts w:hint="eastAsia" w:ascii="宋体" w:hAnsi="宋体" w:eastAsia="宋体" w:cs="宋体"/>
                <w:szCs w:val="24"/>
              </w:rPr>
              <w:t>深圳公共资源交易中心</w:t>
            </w:r>
          </w:p>
          <w:p w14:paraId="73A0E3DA">
            <w:pPr>
              <w:jc w:val="center"/>
              <w:rPr>
                <w:rFonts w:ascii="宋体" w:hAnsi="宋体" w:eastAsia="宋体" w:cs="宋体"/>
                <w:szCs w:val="24"/>
              </w:rPr>
            </w:pPr>
            <w:r>
              <w:rPr>
                <w:rFonts w:hint="eastAsia" w:ascii="宋体" w:hAnsi="宋体" w:eastAsia="宋体" w:cs="宋体"/>
                <w:color w:val="0000FF"/>
                <w:szCs w:val="24"/>
              </w:rPr>
              <w:t>（深圳交易集团有限公司南山分公司）</w:t>
            </w:r>
          </w:p>
        </w:tc>
      </w:tr>
      <w:tr w14:paraId="3193BB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trPr>
        <w:tc>
          <w:tcPr>
            <w:tcW w:w="978" w:type="dxa"/>
            <w:vAlign w:val="center"/>
          </w:tcPr>
          <w:p w14:paraId="7601E1EF">
            <w:pPr>
              <w:jc w:val="center"/>
              <w:rPr>
                <w:rFonts w:ascii="宋体" w:hAnsi="宋体" w:eastAsia="宋体" w:cs="宋体"/>
                <w:szCs w:val="24"/>
              </w:rPr>
            </w:pPr>
            <w:r>
              <w:rPr>
                <w:rFonts w:hint="eastAsia" w:ascii="宋体" w:hAnsi="宋体" w:eastAsia="宋体" w:cs="宋体"/>
                <w:szCs w:val="24"/>
              </w:rPr>
              <w:t>9</w:t>
            </w:r>
          </w:p>
        </w:tc>
        <w:tc>
          <w:tcPr>
            <w:tcW w:w="2409" w:type="dxa"/>
            <w:vAlign w:val="center"/>
          </w:tcPr>
          <w:p w14:paraId="16024E47">
            <w:pPr>
              <w:jc w:val="center"/>
              <w:rPr>
                <w:rFonts w:ascii="宋体" w:hAnsi="宋体" w:eastAsia="宋体" w:cs="宋体"/>
                <w:szCs w:val="24"/>
              </w:rPr>
            </w:pPr>
            <w:r>
              <w:rPr>
                <w:rFonts w:hint="eastAsia" w:ascii="宋体" w:hAnsi="宋体" w:eastAsia="宋体" w:cs="宋体"/>
                <w:szCs w:val="24"/>
              </w:rPr>
              <w:t>踏勘现场</w:t>
            </w:r>
          </w:p>
        </w:tc>
        <w:tc>
          <w:tcPr>
            <w:tcW w:w="4980" w:type="dxa"/>
            <w:vAlign w:val="center"/>
          </w:tcPr>
          <w:p w14:paraId="08EA3EBD">
            <w:pPr>
              <w:jc w:val="center"/>
              <w:rPr>
                <w:rFonts w:ascii="宋体" w:hAnsi="宋体" w:eastAsia="宋体" w:cs="宋体"/>
                <w:szCs w:val="24"/>
              </w:rPr>
            </w:pPr>
            <w:r>
              <w:rPr>
                <w:rFonts w:hint="eastAsia" w:ascii="宋体" w:hAnsi="宋体" w:eastAsia="宋体" w:cs="宋体"/>
                <w:szCs w:val="24"/>
              </w:rPr>
              <w:t xml:space="preserve">不组织 </w:t>
            </w:r>
          </w:p>
          <w:p w14:paraId="0FACFDE9">
            <w:pPr>
              <w:jc w:val="center"/>
              <w:rPr>
                <w:rFonts w:ascii="宋体" w:hAnsi="宋体" w:eastAsia="宋体" w:cs="宋体"/>
                <w:szCs w:val="24"/>
              </w:rPr>
            </w:pPr>
            <w:r>
              <w:rPr>
                <w:rFonts w:hint="eastAsia" w:ascii="宋体" w:hAnsi="宋体" w:eastAsia="宋体" w:cs="宋体"/>
                <w:szCs w:val="24"/>
              </w:rPr>
              <w:t>具体见其他关键信息章节</w:t>
            </w:r>
          </w:p>
        </w:tc>
      </w:tr>
      <w:tr w14:paraId="6A3988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trPr>
        <w:tc>
          <w:tcPr>
            <w:tcW w:w="978" w:type="dxa"/>
            <w:vAlign w:val="center"/>
          </w:tcPr>
          <w:p w14:paraId="1B17B45A">
            <w:pPr>
              <w:jc w:val="center"/>
              <w:rPr>
                <w:rFonts w:ascii="宋体" w:hAnsi="宋体" w:eastAsia="宋体" w:cs="宋体"/>
                <w:szCs w:val="24"/>
              </w:rPr>
            </w:pPr>
            <w:r>
              <w:rPr>
                <w:rFonts w:hint="eastAsia" w:ascii="宋体" w:hAnsi="宋体" w:eastAsia="宋体" w:cs="宋体"/>
                <w:szCs w:val="24"/>
              </w:rPr>
              <w:t>10</w:t>
            </w:r>
          </w:p>
        </w:tc>
        <w:tc>
          <w:tcPr>
            <w:tcW w:w="2409" w:type="dxa"/>
            <w:vAlign w:val="center"/>
          </w:tcPr>
          <w:p w14:paraId="4D4F2426">
            <w:pPr>
              <w:jc w:val="center"/>
              <w:rPr>
                <w:rFonts w:ascii="宋体" w:hAnsi="宋体" w:eastAsia="宋体" w:cs="宋体"/>
                <w:szCs w:val="24"/>
              </w:rPr>
            </w:pPr>
            <w:r>
              <w:rPr>
                <w:rFonts w:hint="eastAsia" w:ascii="宋体" w:hAnsi="宋体" w:eastAsia="宋体" w:cs="宋体"/>
                <w:szCs w:val="24"/>
              </w:rPr>
              <w:t>标前会议</w:t>
            </w:r>
          </w:p>
        </w:tc>
        <w:tc>
          <w:tcPr>
            <w:tcW w:w="4980" w:type="dxa"/>
            <w:vAlign w:val="center"/>
          </w:tcPr>
          <w:p w14:paraId="06B28503">
            <w:pPr>
              <w:jc w:val="center"/>
              <w:rPr>
                <w:rFonts w:ascii="宋体" w:hAnsi="宋体" w:eastAsia="宋体" w:cs="宋体"/>
                <w:szCs w:val="24"/>
              </w:rPr>
            </w:pPr>
            <w:r>
              <w:rPr>
                <w:rFonts w:hint="eastAsia" w:ascii="宋体" w:hAnsi="宋体" w:eastAsia="宋体" w:cs="宋体"/>
                <w:szCs w:val="24"/>
              </w:rPr>
              <w:t xml:space="preserve">不组织 </w:t>
            </w:r>
          </w:p>
          <w:p w14:paraId="01EF5151">
            <w:pPr>
              <w:jc w:val="center"/>
              <w:rPr>
                <w:rFonts w:ascii="宋体" w:hAnsi="宋体" w:eastAsia="宋体" w:cs="宋体"/>
                <w:szCs w:val="24"/>
              </w:rPr>
            </w:pPr>
            <w:r>
              <w:rPr>
                <w:rFonts w:hint="eastAsia" w:ascii="宋体" w:hAnsi="宋体" w:eastAsia="宋体" w:cs="宋体"/>
                <w:szCs w:val="24"/>
              </w:rPr>
              <w:t>具体见其他关键信息章节</w:t>
            </w:r>
          </w:p>
        </w:tc>
      </w:tr>
      <w:tr w14:paraId="563EA7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trPr>
        <w:tc>
          <w:tcPr>
            <w:tcW w:w="978" w:type="dxa"/>
            <w:vAlign w:val="center"/>
          </w:tcPr>
          <w:p w14:paraId="686B5C25">
            <w:pPr>
              <w:jc w:val="center"/>
              <w:rPr>
                <w:rFonts w:ascii="宋体" w:hAnsi="宋体" w:eastAsia="宋体" w:cs="宋体"/>
                <w:szCs w:val="24"/>
              </w:rPr>
            </w:pPr>
            <w:r>
              <w:rPr>
                <w:rFonts w:hint="eastAsia" w:ascii="宋体" w:hAnsi="宋体" w:eastAsia="宋体" w:cs="宋体"/>
                <w:szCs w:val="24"/>
              </w:rPr>
              <w:t>12/13</w:t>
            </w:r>
          </w:p>
        </w:tc>
        <w:tc>
          <w:tcPr>
            <w:tcW w:w="2409" w:type="dxa"/>
            <w:vAlign w:val="center"/>
          </w:tcPr>
          <w:p w14:paraId="07A457BA">
            <w:pPr>
              <w:jc w:val="center"/>
              <w:rPr>
                <w:rFonts w:ascii="宋体" w:hAnsi="宋体" w:eastAsia="宋体" w:cs="宋体"/>
                <w:szCs w:val="24"/>
              </w:rPr>
            </w:pPr>
            <w:r>
              <w:rPr>
                <w:rFonts w:hint="eastAsia" w:ascii="宋体" w:hAnsi="宋体" w:eastAsia="宋体" w:cs="宋体"/>
                <w:szCs w:val="24"/>
              </w:rPr>
              <w:t>招标文件的澄清和修改</w:t>
            </w:r>
          </w:p>
        </w:tc>
        <w:tc>
          <w:tcPr>
            <w:tcW w:w="4980" w:type="dxa"/>
            <w:vAlign w:val="center"/>
          </w:tcPr>
          <w:p w14:paraId="278583B5">
            <w:pPr>
              <w:jc w:val="left"/>
              <w:rPr>
                <w:rFonts w:ascii="宋体" w:hAnsi="宋体" w:eastAsia="宋体" w:cs="宋体"/>
                <w:szCs w:val="24"/>
              </w:rPr>
            </w:pPr>
            <w:r>
              <w:rPr>
                <w:rFonts w:hint="eastAsia" w:ascii="宋体" w:hAnsi="宋体" w:eastAsia="宋体" w:cs="宋体"/>
                <w:szCs w:val="24"/>
              </w:rPr>
              <w:t>投标截止日三日前，投标人有义务在招标期间在政府集中采购机构网站浏览与本项目有关的澄清和修改信息</w:t>
            </w:r>
          </w:p>
        </w:tc>
      </w:tr>
      <w:tr w14:paraId="2B4774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trPr>
        <w:tc>
          <w:tcPr>
            <w:tcW w:w="978" w:type="dxa"/>
            <w:vAlign w:val="center"/>
          </w:tcPr>
          <w:p w14:paraId="3B890977">
            <w:pPr>
              <w:jc w:val="center"/>
              <w:rPr>
                <w:rFonts w:ascii="宋体" w:hAnsi="宋体" w:eastAsia="宋体" w:cs="宋体"/>
                <w:szCs w:val="24"/>
              </w:rPr>
            </w:pPr>
            <w:r>
              <w:rPr>
                <w:rFonts w:hint="eastAsia" w:ascii="宋体" w:hAnsi="宋体" w:eastAsia="宋体" w:cs="宋体"/>
                <w:szCs w:val="24"/>
              </w:rPr>
              <w:t>20</w:t>
            </w:r>
          </w:p>
        </w:tc>
        <w:tc>
          <w:tcPr>
            <w:tcW w:w="2409" w:type="dxa"/>
            <w:vAlign w:val="center"/>
          </w:tcPr>
          <w:p w14:paraId="53C70412">
            <w:pPr>
              <w:jc w:val="center"/>
              <w:rPr>
                <w:rFonts w:ascii="宋体" w:hAnsi="宋体" w:eastAsia="宋体" w:cs="宋体"/>
                <w:szCs w:val="24"/>
              </w:rPr>
            </w:pPr>
            <w:r>
              <w:rPr>
                <w:rFonts w:hint="eastAsia" w:ascii="宋体" w:hAnsi="宋体" w:eastAsia="宋体" w:cs="宋体"/>
                <w:szCs w:val="24"/>
              </w:rPr>
              <w:t>投标有效期</w:t>
            </w:r>
          </w:p>
        </w:tc>
        <w:tc>
          <w:tcPr>
            <w:tcW w:w="4980" w:type="dxa"/>
            <w:vAlign w:val="center"/>
          </w:tcPr>
          <w:p w14:paraId="6D0A0D10">
            <w:pPr>
              <w:jc w:val="center"/>
              <w:rPr>
                <w:rFonts w:ascii="宋体" w:hAnsi="宋体" w:eastAsia="宋体" w:cs="宋体"/>
                <w:szCs w:val="24"/>
              </w:rPr>
            </w:pPr>
            <w:r>
              <w:rPr>
                <w:rFonts w:hint="eastAsia" w:ascii="宋体" w:hAnsi="宋体" w:eastAsia="宋体" w:cs="宋体"/>
                <w:szCs w:val="24"/>
              </w:rPr>
              <w:t>120个日历日</w:t>
            </w:r>
          </w:p>
        </w:tc>
      </w:tr>
      <w:tr w14:paraId="6637E3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trPr>
        <w:tc>
          <w:tcPr>
            <w:tcW w:w="978" w:type="dxa"/>
            <w:vAlign w:val="center"/>
          </w:tcPr>
          <w:p w14:paraId="30331C83">
            <w:pPr>
              <w:jc w:val="center"/>
              <w:rPr>
                <w:rFonts w:ascii="宋体" w:hAnsi="宋体" w:eastAsia="宋体" w:cs="宋体"/>
                <w:szCs w:val="24"/>
              </w:rPr>
            </w:pPr>
            <w:r>
              <w:rPr>
                <w:rFonts w:hint="eastAsia" w:ascii="宋体" w:hAnsi="宋体" w:eastAsia="宋体" w:cs="宋体"/>
                <w:szCs w:val="24"/>
              </w:rPr>
              <w:t>22</w:t>
            </w:r>
          </w:p>
        </w:tc>
        <w:tc>
          <w:tcPr>
            <w:tcW w:w="2409" w:type="dxa"/>
            <w:vAlign w:val="center"/>
          </w:tcPr>
          <w:p w14:paraId="6D01CB6C">
            <w:pPr>
              <w:jc w:val="center"/>
              <w:rPr>
                <w:rFonts w:ascii="宋体" w:hAnsi="宋体" w:eastAsia="宋体" w:cs="宋体"/>
                <w:szCs w:val="24"/>
              </w:rPr>
            </w:pPr>
            <w:r>
              <w:rPr>
                <w:rFonts w:hint="eastAsia" w:ascii="宋体" w:hAnsi="宋体" w:eastAsia="宋体" w:cs="宋体"/>
                <w:szCs w:val="24"/>
              </w:rPr>
              <w:t>投标人的替代方案</w:t>
            </w:r>
          </w:p>
        </w:tc>
        <w:tc>
          <w:tcPr>
            <w:tcW w:w="4980" w:type="dxa"/>
            <w:vAlign w:val="center"/>
          </w:tcPr>
          <w:p w14:paraId="66EE111E">
            <w:pPr>
              <w:jc w:val="center"/>
              <w:rPr>
                <w:rFonts w:ascii="宋体" w:hAnsi="宋体" w:eastAsia="宋体" w:cs="宋体"/>
                <w:szCs w:val="24"/>
              </w:rPr>
            </w:pPr>
            <w:r>
              <w:rPr>
                <w:rFonts w:hint="eastAsia" w:ascii="宋体" w:hAnsi="宋体" w:eastAsia="宋体" w:cs="宋体"/>
                <w:szCs w:val="24"/>
              </w:rPr>
              <w:t>不接受</w:t>
            </w:r>
          </w:p>
        </w:tc>
      </w:tr>
      <w:tr w14:paraId="2E20F6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trPr>
        <w:tc>
          <w:tcPr>
            <w:tcW w:w="978" w:type="dxa"/>
            <w:vAlign w:val="center"/>
          </w:tcPr>
          <w:p w14:paraId="67098BC4">
            <w:pPr>
              <w:jc w:val="center"/>
              <w:rPr>
                <w:rFonts w:ascii="宋体" w:hAnsi="宋体" w:eastAsia="宋体" w:cs="宋体"/>
                <w:szCs w:val="24"/>
              </w:rPr>
            </w:pPr>
            <w:r>
              <w:rPr>
                <w:rFonts w:hint="eastAsia" w:ascii="宋体" w:hAnsi="宋体" w:eastAsia="宋体" w:cs="宋体"/>
                <w:szCs w:val="24"/>
              </w:rPr>
              <w:t>25</w:t>
            </w:r>
          </w:p>
        </w:tc>
        <w:tc>
          <w:tcPr>
            <w:tcW w:w="2409" w:type="dxa"/>
            <w:vAlign w:val="center"/>
          </w:tcPr>
          <w:p w14:paraId="60E955F3">
            <w:pPr>
              <w:jc w:val="center"/>
              <w:rPr>
                <w:rFonts w:ascii="宋体" w:hAnsi="宋体" w:eastAsia="宋体" w:cs="宋体"/>
                <w:szCs w:val="24"/>
              </w:rPr>
            </w:pPr>
            <w:r>
              <w:rPr>
                <w:rFonts w:hint="eastAsia" w:ascii="宋体" w:hAnsi="宋体" w:eastAsia="宋体" w:cs="宋体"/>
                <w:szCs w:val="24"/>
              </w:rPr>
              <w:t>投标文件的大小</w:t>
            </w:r>
          </w:p>
        </w:tc>
        <w:tc>
          <w:tcPr>
            <w:tcW w:w="4980" w:type="dxa"/>
            <w:vAlign w:val="center"/>
          </w:tcPr>
          <w:p w14:paraId="046CDDB1">
            <w:pPr>
              <w:jc w:val="center"/>
              <w:rPr>
                <w:rFonts w:hint="eastAsia" w:ascii="宋体" w:hAnsi="宋体" w:eastAsia="宋体" w:cs="宋体"/>
                <w:szCs w:val="24"/>
                <w:lang w:eastAsia="zh-CN"/>
              </w:rPr>
            </w:pPr>
            <w:r>
              <w:rPr>
                <w:rFonts w:hint="eastAsia" w:ascii="宋体" w:hAnsi="宋体" w:eastAsia="宋体" w:cs="宋体"/>
                <w:szCs w:val="24"/>
              </w:rPr>
              <w:t>投标文件大小不得超过</w:t>
            </w:r>
            <w:r>
              <w:rPr>
                <w:rFonts w:hint="eastAsia" w:ascii="宋体" w:hAnsi="宋体" w:eastAsia="宋体" w:cs="宋体"/>
                <w:szCs w:val="24"/>
                <w:lang w:eastAsia="zh-CN"/>
              </w:rPr>
              <w:t>250MB</w:t>
            </w:r>
          </w:p>
        </w:tc>
      </w:tr>
      <w:tr w14:paraId="0A4F2C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trPr>
        <w:tc>
          <w:tcPr>
            <w:tcW w:w="978" w:type="dxa"/>
            <w:vAlign w:val="center"/>
          </w:tcPr>
          <w:p w14:paraId="29161842">
            <w:pPr>
              <w:jc w:val="center"/>
              <w:rPr>
                <w:rFonts w:ascii="宋体" w:hAnsi="宋体" w:eastAsia="宋体" w:cs="宋体"/>
                <w:szCs w:val="24"/>
              </w:rPr>
            </w:pPr>
            <w:r>
              <w:rPr>
                <w:rFonts w:hint="eastAsia" w:ascii="宋体" w:hAnsi="宋体" w:eastAsia="宋体" w:cs="宋体"/>
                <w:szCs w:val="24"/>
              </w:rPr>
              <w:t>26</w:t>
            </w:r>
          </w:p>
        </w:tc>
        <w:tc>
          <w:tcPr>
            <w:tcW w:w="2409" w:type="dxa"/>
            <w:vAlign w:val="center"/>
          </w:tcPr>
          <w:p w14:paraId="261BD2E2">
            <w:pPr>
              <w:jc w:val="center"/>
              <w:rPr>
                <w:rFonts w:ascii="宋体" w:hAnsi="宋体" w:eastAsia="宋体" w:cs="宋体"/>
                <w:szCs w:val="24"/>
              </w:rPr>
            </w:pPr>
            <w:bookmarkStart w:id="34" w:name="_Hlk71664860"/>
            <w:r>
              <w:rPr>
                <w:rFonts w:hint="eastAsia" w:ascii="宋体" w:hAnsi="宋体" w:eastAsia="宋体" w:cs="宋体"/>
                <w:szCs w:val="24"/>
              </w:rPr>
              <w:t>样品、演示、方案讲解</w:t>
            </w:r>
            <w:bookmarkEnd w:id="34"/>
          </w:p>
        </w:tc>
        <w:tc>
          <w:tcPr>
            <w:tcW w:w="4980" w:type="dxa"/>
            <w:vAlign w:val="center"/>
          </w:tcPr>
          <w:p w14:paraId="37A3B25A">
            <w:pPr>
              <w:jc w:val="left"/>
              <w:rPr>
                <w:rFonts w:ascii="宋体" w:hAnsi="宋体" w:eastAsia="宋体" w:cs="宋体"/>
                <w:szCs w:val="24"/>
              </w:rPr>
            </w:pPr>
            <w:r>
              <w:rPr>
                <w:rFonts w:hint="eastAsia" w:ascii="宋体" w:hAnsi="宋体" w:eastAsia="宋体" w:cs="宋体"/>
                <w:szCs w:val="24"/>
              </w:rPr>
              <w:t>如有样品、演示、方案讲解，具体安排见第三章 用户需求书相关要求</w:t>
            </w:r>
          </w:p>
        </w:tc>
      </w:tr>
      <w:tr w14:paraId="35F294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trPr>
        <w:tc>
          <w:tcPr>
            <w:tcW w:w="978" w:type="dxa"/>
            <w:vAlign w:val="center"/>
          </w:tcPr>
          <w:p w14:paraId="0F7FEAD5">
            <w:pPr>
              <w:jc w:val="center"/>
              <w:rPr>
                <w:rFonts w:ascii="宋体" w:hAnsi="宋体" w:eastAsia="宋体" w:cs="宋体"/>
                <w:szCs w:val="24"/>
              </w:rPr>
            </w:pPr>
            <w:r>
              <w:rPr>
                <w:rFonts w:hint="eastAsia" w:ascii="宋体" w:hAnsi="宋体" w:eastAsia="宋体" w:cs="宋体"/>
                <w:szCs w:val="24"/>
              </w:rPr>
              <w:t>37</w:t>
            </w:r>
          </w:p>
        </w:tc>
        <w:tc>
          <w:tcPr>
            <w:tcW w:w="2409" w:type="dxa"/>
            <w:vAlign w:val="center"/>
          </w:tcPr>
          <w:p w14:paraId="1911C2A2">
            <w:pPr>
              <w:jc w:val="center"/>
              <w:rPr>
                <w:rFonts w:ascii="宋体" w:hAnsi="宋体" w:eastAsia="宋体" w:cs="宋体"/>
                <w:szCs w:val="24"/>
              </w:rPr>
            </w:pPr>
            <w:r>
              <w:rPr>
                <w:rFonts w:hint="eastAsia" w:ascii="宋体" w:hAnsi="宋体" w:eastAsia="宋体" w:cs="宋体"/>
                <w:szCs w:val="24"/>
              </w:rPr>
              <w:t>评审方法</w:t>
            </w:r>
          </w:p>
        </w:tc>
        <w:tc>
          <w:tcPr>
            <w:tcW w:w="4980" w:type="dxa"/>
            <w:vAlign w:val="center"/>
          </w:tcPr>
          <w:p w14:paraId="264F0543">
            <w:pPr>
              <w:jc w:val="left"/>
              <w:rPr>
                <w:rFonts w:ascii="宋体" w:hAnsi="宋体" w:eastAsia="宋体" w:cs="宋体"/>
                <w:szCs w:val="24"/>
              </w:rPr>
            </w:pPr>
            <w:r>
              <w:rPr>
                <w:rFonts w:hint="eastAsia" w:ascii="宋体" w:hAnsi="宋体" w:eastAsia="宋体" w:cs="宋体"/>
                <w:szCs w:val="24"/>
              </w:rPr>
              <w:t>综合评分法</w:t>
            </w:r>
          </w:p>
        </w:tc>
      </w:tr>
      <w:tr w14:paraId="5EDA38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806" w:hRule="atLeast"/>
        </w:trPr>
        <w:tc>
          <w:tcPr>
            <w:tcW w:w="978" w:type="dxa"/>
            <w:vMerge w:val="restart"/>
            <w:vAlign w:val="center"/>
          </w:tcPr>
          <w:p w14:paraId="6B726A34">
            <w:pPr>
              <w:jc w:val="center"/>
              <w:rPr>
                <w:rFonts w:ascii="宋体" w:hAnsi="宋体" w:eastAsia="宋体" w:cs="宋体"/>
                <w:szCs w:val="24"/>
              </w:rPr>
            </w:pPr>
            <w:r>
              <w:rPr>
                <w:rFonts w:hint="eastAsia" w:ascii="宋体" w:hAnsi="宋体" w:eastAsia="宋体" w:cs="宋体"/>
                <w:szCs w:val="24"/>
              </w:rPr>
              <w:t>38</w:t>
            </w:r>
          </w:p>
        </w:tc>
        <w:tc>
          <w:tcPr>
            <w:tcW w:w="2409" w:type="dxa"/>
            <w:vMerge w:val="restart"/>
            <w:vAlign w:val="center"/>
          </w:tcPr>
          <w:p w14:paraId="3E4528CB">
            <w:pPr>
              <w:jc w:val="center"/>
              <w:rPr>
                <w:rFonts w:ascii="宋体" w:hAnsi="宋体" w:eastAsia="宋体" w:cs="宋体"/>
                <w:szCs w:val="24"/>
                <w:highlight w:val="none"/>
              </w:rPr>
            </w:pPr>
            <w:r>
              <w:rPr>
                <w:rFonts w:hint="eastAsia" w:ascii="宋体" w:hAnsi="宋体" w:eastAsia="宋体" w:cs="宋体"/>
                <w:szCs w:val="24"/>
                <w:highlight w:val="none"/>
              </w:rPr>
              <w:t>定标方法</w:t>
            </w:r>
          </w:p>
        </w:tc>
        <w:tc>
          <w:tcPr>
            <w:tcW w:w="4980" w:type="dxa"/>
            <w:vAlign w:val="center"/>
          </w:tcPr>
          <w:p w14:paraId="66B7D55E">
            <w:pPr>
              <w:jc w:val="left"/>
              <w:rPr>
                <w:rFonts w:ascii="宋体" w:hAnsi="宋体" w:eastAsia="宋体" w:cs="宋体"/>
                <w:szCs w:val="24"/>
                <w:highlight w:val="none"/>
              </w:rPr>
            </w:pPr>
            <w:r>
              <w:rPr>
                <w:rFonts w:hint="eastAsia" w:ascii="宋体" w:hAnsi="宋体" w:eastAsia="宋体" w:cs="宋体"/>
                <w:szCs w:val="24"/>
                <w:highlight w:val="none"/>
              </w:rPr>
              <w:t>评定分离</w:t>
            </w:r>
          </w:p>
          <w:p w14:paraId="1423C941">
            <w:pPr>
              <w:spacing w:line="300" w:lineRule="exact"/>
              <w:jc w:val="left"/>
              <w:rPr>
                <w:rFonts w:ascii="宋体" w:hAnsi="宋体" w:eastAsia="宋体" w:cs="宋体"/>
                <w:szCs w:val="24"/>
                <w:highlight w:val="none"/>
              </w:rPr>
            </w:pPr>
            <w:r>
              <w:rPr>
                <w:rFonts w:hint="eastAsia" w:ascii="宋体" w:hAnsi="宋体" w:eastAsia="宋体" w:cs="宋体"/>
                <w:bCs/>
                <w:color w:val="000000"/>
                <w:szCs w:val="21"/>
                <w:highlight w:val="none"/>
              </w:rPr>
              <w:t>本项目推荐的候选中标供应商不进行排名，且中标（成交）结果信息公示内容仅公示候选中标供应商名单，不公示得分和排名。</w:t>
            </w:r>
          </w:p>
        </w:tc>
      </w:tr>
      <w:tr w14:paraId="6E2629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788" w:hRule="atLeast"/>
        </w:trPr>
        <w:tc>
          <w:tcPr>
            <w:tcW w:w="978" w:type="dxa"/>
            <w:vAlign w:val="center"/>
          </w:tcPr>
          <w:p w14:paraId="0E5C5978">
            <w:pPr>
              <w:jc w:val="center"/>
              <w:rPr>
                <w:rFonts w:ascii="宋体" w:hAnsi="宋体" w:eastAsia="宋体" w:cs="宋体"/>
                <w:szCs w:val="24"/>
              </w:rPr>
            </w:pPr>
            <w:r>
              <w:rPr>
                <w:rFonts w:hint="eastAsia" w:ascii="宋体" w:hAnsi="宋体" w:eastAsia="宋体" w:cs="宋体"/>
                <w:szCs w:val="24"/>
              </w:rPr>
              <w:t>46</w:t>
            </w:r>
          </w:p>
        </w:tc>
        <w:tc>
          <w:tcPr>
            <w:tcW w:w="2409" w:type="dxa"/>
            <w:vAlign w:val="center"/>
          </w:tcPr>
          <w:p w14:paraId="21036F5B">
            <w:pPr>
              <w:jc w:val="center"/>
              <w:rPr>
                <w:rFonts w:ascii="宋体" w:hAnsi="宋体" w:eastAsia="宋体" w:cs="宋体"/>
                <w:szCs w:val="24"/>
              </w:rPr>
            </w:pPr>
            <w:r>
              <w:rPr>
                <w:rFonts w:hint="eastAsia" w:ascii="宋体" w:hAnsi="宋体" w:eastAsia="宋体" w:cs="宋体"/>
                <w:szCs w:val="24"/>
              </w:rPr>
              <w:t>履约担保</w:t>
            </w:r>
          </w:p>
        </w:tc>
        <w:tc>
          <w:tcPr>
            <w:tcW w:w="4980" w:type="dxa"/>
            <w:vAlign w:val="center"/>
          </w:tcPr>
          <w:p w14:paraId="32FAA581">
            <w:pPr>
              <w:jc w:val="left"/>
              <w:rPr>
                <w:rFonts w:ascii="宋体" w:hAnsi="宋体" w:eastAsia="宋体" w:cs="宋体"/>
                <w:szCs w:val="24"/>
              </w:rPr>
            </w:pPr>
            <w:r>
              <w:rPr>
                <w:rFonts w:hint="eastAsia" w:ascii="宋体" w:hAnsi="宋体" w:eastAsia="宋体" w:cs="宋体"/>
                <w:szCs w:val="24"/>
              </w:rPr>
              <w:t>需要，合同金额的</w:t>
            </w:r>
            <w:r>
              <w:rPr>
                <w:rFonts w:hint="eastAsia" w:ascii="宋体" w:hAnsi="宋体" w:eastAsia="宋体" w:cs="宋体"/>
                <w:szCs w:val="24"/>
                <w:u w:val="single"/>
              </w:rPr>
              <w:t xml:space="preserve"> </w:t>
            </w:r>
            <w:r>
              <w:rPr>
                <w:rFonts w:hint="eastAsia" w:ascii="宋体" w:hAnsi="宋体" w:eastAsia="宋体" w:cs="宋体"/>
                <w:szCs w:val="24"/>
                <w:highlight w:val="none"/>
                <w:u w:val="single"/>
                <w:lang w:val="en-US" w:eastAsia="zh-CN"/>
              </w:rPr>
              <w:t>5</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%，投标供应商自主选择以支票、汇票、本票、保函等非现金形式缴纳或提交。履约保证金在中标人履行完成合同约定权利义务事项在合同期满之日起</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u w:val="single"/>
                <w:lang w:val="en-US" w:eastAsia="zh-CN"/>
              </w:rPr>
              <w:t>30</w:t>
            </w:r>
            <w:r>
              <w:rPr>
                <w:rFonts w:hint="eastAsia" w:ascii="宋体" w:hAnsi="宋体" w:eastAsia="宋体" w:cs="宋体"/>
                <w:szCs w:val="24"/>
                <w:highlight w:val="none"/>
                <w:u w:val="single"/>
              </w:rPr>
              <w:t xml:space="preserve"> 日</w:t>
            </w:r>
            <w:r>
              <w:rPr>
                <w:rFonts w:hint="eastAsia" w:ascii="宋体" w:hAnsi="宋体" w:eastAsia="宋体" w:cs="宋体"/>
                <w:szCs w:val="24"/>
                <w:highlight w:val="none"/>
              </w:rPr>
              <w:t>内按原方式退还，不计利息。采购人逾期退还履约保证金的，向中标人每日偿付履约保证金的</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u w:val="single"/>
                <w:lang w:val="en-US" w:eastAsia="zh-CN"/>
              </w:rPr>
              <w:t>0.1</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的利</w:t>
            </w:r>
            <w:r>
              <w:rPr>
                <w:rFonts w:hint="eastAsia" w:ascii="宋体" w:hAnsi="宋体" w:eastAsia="宋体" w:cs="宋体"/>
                <w:szCs w:val="24"/>
              </w:rPr>
              <w:t>息。因中标人原因而未能达到本项目验收标准或验收不通过的，履约保证金不予退还。</w:t>
            </w:r>
          </w:p>
        </w:tc>
      </w:tr>
      <w:tr w14:paraId="5F38EC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trPr>
        <w:tc>
          <w:tcPr>
            <w:tcW w:w="978" w:type="dxa"/>
            <w:vAlign w:val="center"/>
          </w:tcPr>
          <w:p w14:paraId="5954F302">
            <w:pPr>
              <w:jc w:val="center"/>
              <w:rPr>
                <w:rFonts w:ascii="宋体" w:hAnsi="宋体" w:eastAsia="宋体" w:cs="宋体"/>
                <w:szCs w:val="24"/>
              </w:rPr>
            </w:pPr>
            <w:r>
              <w:rPr>
                <w:rFonts w:hint="eastAsia" w:ascii="宋体" w:hAnsi="宋体" w:eastAsia="宋体" w:cs="宋体"/>
                <w:szCs w:val="24"/>
              </w:rPr>
              <w:t>52.8</w:t>
            </w:r>
          </w:p>
        </w:tc>
        <w:tc>
          <w:tcPr>
            <w:tcW w:w="2409" w:type="dxa"/>
            <w:vAlign w:val="center"/>
          </w:tcPr>
          <w:p w14:paraId="13B1D9A5">
            <w:pPr>
              <w:jc w:val="center"/>
              <w:rPr>
                <w:rFonts w:ascii="宋体" w:hAnsi="宋体" w:eastAsia="宋体" w:cs="宋体"/>
                <w:szCs w:val="24"/>
              </w:rPr>
            </w:pPr>
            <w:r>
              <w:rPr>
                <w:rFonts w:hint="eastAsia" w:ascii="宋体" w:hAnsi="宋体" w:eastAsia="宋体" w:cs="宋体"/>
                <w:szCs w:val="24"/>
              </w:rPr>
              <w:t>投诉（仅适用自行采购项目）</w:t>
            </w:r>
          </w:p>
        </w:tc>
        <w:tc>
          <w:tcPr>
            <w:tcW w:w="4980" w:type="dxa"/>
            <w:vAlign w:val="center"/>
          </w:tcPr>
          <w:p w14:paraId="5EE589BD">
            <w:pPr>
              <w:jc w:val="left"/>
              <w:rPr>
                <w:rFonts w:ascii="宋体" w:hAnsi="宋体" w:eastAsia="宋体" w:cs="宋体"/>
                <w:szCs w:val="24"/>
              </w:rPr>
            </w:pPr>
            <w:r>
              <w:rPr>
                <w:rFonts w:hint="eastAsia" w:ascii="宋体" w:hAnsi="宋体" w:eastAsia="宋体" w:cs="宋体"/>
                <w:szCs w:val="24"/>
              </w:rPr>
              <w:t>若本项目为自行采购项目，提出质疑的供应商对质疑答复不满意或者未在规定时间内答复的，可以在答复期满后7个工作日内向采购人投诉。</w:t>
            </w:r>
          </w:p>
        </w:tc>
      </w:tr>
    </w:tbl>
    <w:p w14:paraId="74AE42F8">
      <w:pPr>
        <w:rPr>
          <w:rFonts w:ascii="Times New Roman" w:hAnsi="Times New Roman" w:eastAsia="宋体" w:cs="Times New Roman"/>
          <w:b/>
          <w:szCs w:val="24"/>
        </w:rPr>
      </w:pPr>
      <w:r>
        <w:rPr>
          <w:rFonts w:ascii="Times New Roman" w:hAnsi="Times New Roman" w:eastAsia="宋体" w:cs="Times New Roman"/>
          <w:szCs w:val="21"/>
        </w:rPr>
        <w:t>备注：本表是通用条款相关条款的补充和明确，如与通用条款内容相冲突的，以本表为准。</w:t>
      </w:r>
    </w:p>
    <w:bookmarkEnd w:id="33"/>
    <w:p w14:paraId="3FCD6D67">
      <w:pPr>
        <w:rPr>
          <w:rFonts w:ascii="Times New Roman" w:hAnsi="Times New Roman" w:eastAsia="宋体" w:cs="Times New Roman"/>
          <w:szCs w:val="24"/>
        </w:rPr>
      </w:pPr>
      <w:bookmarkStart w:id="35" w:name="_Hlk72218117"/>
      <w:r>
        <w:rPr>
          <w:rFonts w:ascii="Times New Roman" w:hAnsi="Times New Roman" w:eastAsia="宋体" w:cs="Times New Roman"/>
          <w:szCs w:val="24"/>
        </w:rPr>
        <w:br w:type="page"/>
      </w:r>
    </w:p>
    <w:p w14:paraId="6E5ED5C2">
      <w:pPr>
        <w:keepNext/>
        <w:keepLines/>
        <w:adjustRightInd w:val="0"/>
        <w:spacing w:before="156" w:beforeLines="50" w:after="156" w:afterLines="50"/>
        <w:jc w:val="center"/>
        <w:textAlignment w:val="baseline"/>
        <w:outlineLvl w:val="1"/>
        <w:rPr>
          <w:rFonts w:ascii="Times New Roman" w:hAnsi="Times New Roman" w:eastAsia="宋体" w:cs="Times New Roman"/>
          <w:b/>
          <w:bCs/>
          <w:kern w:val="0"/>
          <w:sz w:val="24"/>
          <w:szCs w:val="24"/>
        </w:rPr>
      </w:pPr>
      <w:r>
        <w:rPr>
          <w:rFonts w:ascii="Times New Roman" w:hAnsi="Times New Roman" w:eastAsia="宋体" w:cs="Times New Roman"/>
          <w:b/>
          <w:bCs/>
          <w:kern w:val="0"/>
          <w:sz w:val="24"/>
          <w:szCs w:val="24"/>
        </w:rPr>
        <w:t>二、其他关键信息</w:t>
      </w:r>
    </w:p>
    <w:p w14:paraId="700C800A">
      <w:pPr>
        <w:spacing w:before="156" w:beforeLines="50"/>
        <w:ind w:firstLine="422" w:firstLineChars="200"/>
        <w:rPr>
          <w:rFonts w:hint="eastAsia"/>
          <w:b/>
          <w:bCs/>
        </w:rPr>
      </w:pPr>
      <w:bookmarkStart w:id="36" w:name="_Hlk72579427"/>
      <w:r>
        <w:rPr>
          <w:rFonts w:hint="eastAsia" w:ascii="宋体" w:hAnsi="宋体" w:eastAsia="宋体" w:cs="宋体"/>
          <w:b/>
          <w:szCs w:val="24"/>
        </w:rPr>
        <w:t>（一）</w:t>
      </w:r>
      <w:r>
        <w:rPr>
          <w:rFonts w:hint="eastAsia"/>
          <w:b/>
          <w:bCs/>
        </w:rPr>
        <w:t>与“对通用条款的补充内容”章节相关的事项</w:t>
      </w:r>
    </w:p>
    <w:p w14:paraId="076AC583">
      <w:pPr>
        <w:spacing w:before="156" w:beforeLines="50"/>
        <w:ind w:firstLine="422" w:firstLineChars="200"/>
        <w:rPr>
          <w:rFonts w:ascii="Times New Roman" w:hAnsi="Times New Roman" w:eastAsia="宋体" w:cs="Times New Roman"/>
          <w:b/>
          <w:szCs w:val="24"/>
          <w:highlight w:val="none"/>
        </w:rPr>
      </w:pPr>
      <w:r>
        <w:rPr>
          <w:rFonts w:hint="eastAsia" w:eastAsia="宋体"/>
          <w:b/>
          <w:bCs/>
          <w:lang w:val="en-US" w:eastAsia="zh-CN"/>
        </w:rPr>
        <w:t>1、</w:t>
      </w:r>
      <w:r>
        <w:rPr>
          <w:rFonts w:hint="eastAsia" w:ascii="宋体" w:hAnsi="宋体" w:eastAsia="宋体" w:cs="宋体"/>
          <w:b/>
          <w:szCs w:val="24"/>
        </w:rPr>
        <w:t>评标定标信息</w:t>
      </w:r>
      <w:bookmarkStart w:id="37" w:name="_Hlk72579465"/>
    </w:p>
    <w:p w14:paraId="7CD97EBD">
      <w:pPr>
        <w:adjustRightInd w:val="0"/>
        <w:spacing w:line="276" w:lineRule="auto"/>
        <w:jc w:val="center"/>
        <w:rPr>
          <w:rFonts w:ascii="Times New Roman" w:hAnsi="Times New Roman" w:eastAsia="宋体" w:cs="Times New Roman"/>
          <w:b/>
          <w:szCs w:val="24"/>
          <w:highlight w:val="none"/>
        </w:rPr>
      </w:pPr>
      <w:r>
        <w:rPr>
          <w:rFonts w:hint="eastAsia" w:ascii="Times New Roman" w:hAnsi="Times New Roman" w:eastAsia="宋体" w:cs="Times New Roman"/>
          <w:b/>
          <w:szCs w:val="24"/>
          <w:highlight w:val="none"/>
        </w:rPr>
        <w:t>评定分离项目</w:t>
      </w:r>
    </w:p>
    <w:tbl>
      <w:tblPr>
        <w:tblStyle w:val="488"/>
        <w:tblW w:w="8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5"/>
        <w:gridCol w:w="4202"/>
      </w:tblGrid>
      <w:tr w14:paraId="532C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5" w:type="dxa"/>
          </w:tcPr>
          <w:p w14:paraId="6DA148A1">
            <w:pPr>
              <w:adjustRightInd w:val="0"/>
              <w:jc w:val="center"/>
              <w:rPr>
                <w:rFonts w:ascii="宋体" w:hAnsi="宋体" w:eastAsia="宋体" w:cs="宋体"/>
                <w:kern w:val="0"/>
                <w:sz w:val="20"/>
                <w:szCs w:val="24"/>
                <w:highlight w:val="none"/>
              </w:rPr>
            </w:pPr>
            <w:r>
              <w:rPr>
                <w:rFonts w:hint="eastAsia" w:ascii="宋体" w:hAnsi="宋体" w:eastAsia="宋体" w:cs="宋体"/>
                <w:kern w:val="0"/>
                <w:sz w:val="20"/>
                <w:szCs w:val="24"/>
                <w:highlight w:val="none"/>
              </w:rPr>
              <w:t>评标方法</w:t>
            </w:r>
          </w:p>
        </w:tc>
        <w:tc>
          <w:tcPr>
            <w:tcW w:w="4202" w:type="dxa"/>
          </w:tcPr>
          <w:p w14:paraId="2F6A66BD">
            <w:pPr>
              <w:autoSpaceDE w:val="0"/>
              <w:autoSpaceDN w:val="0"/>
              <w:adjustRightInd w:val="0"/>
              <w:jc w:val="center"/>
              <w:textAlignment w:val="baseline"/>
              <w:rPr>
                <w:rFonts w:ascii="宋体" w:hAnsi="宋体" w:eastAsia="宋体" w:cs="宋体"/>
                <w:kern w:val="0"/>
                <w:sz w:val="20"/>
                <w:szCs w:val="24"/>
                <w:highlight w:val="none"/>
              </w:rPr>
            </w:pPr>
            <w:r>
              <w:rPr>
                <w:rFonts w:hint="eastAsia" w:ascii="宋体" w:hAnsi="宋体" w:eastAsia="宋体" w:cs="宋体"/>
                <w:kern w:val="0"/>
                <w:sz w:val="20"/>
                <w:szCs w:val="24"/>
                <w:highlight w:val="none"/>
              </w:rPr>
              <w:t>综合评分法</w:t>
            </w:r>
          </w:p>
        </w:tc>
      </w:tr>
      <w:tr w14:paraId="411CD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5" w:type="dxa"/>
          </w:tcPr>
          <w:p w14:paraId="521E4567">
            <w:pPr>
              <w:adjustRightInd w:val="0"/>
              <w:jc w:val="center"/>
              <w:rPr>
                <w:rFonts w:ascii="宋体" w:hAnsi="宋体" w:eastAsia="宋体" w:cs="宋体"/>
                <w:kern w:val="0"/>
                <w:sz w:val="20"/>
                <w:szCs w:val="24"/>
                <w:highlight w:val="none"/>
              </w:rPr>
            </w:pPr>
            <w:r>
              <w:rPr>
                <w:rFonts w:hint="eastAsia" w:ascii="宋体" w:hAnsi="宋体" w:eastAsia="宋体" w:cs="宋体"/>
                <w:kern w:val="0"/>
                <w:sz w:val="20"/>
                <w:szCs w:val="24"/>
                <w:highlight w:val="none"/>
              </w:rPr>
              <w:t>定标方法</w:t>
            </w:r>
          </w:p>
        </w:tc>
        <w:tc>
          <w:tcPr>
            <w:tcW w:w="4202" w:type="dxa"/>
          </w:tcPr>
          <w:p w14:paraId="0567C20D">
            <w:pPr>
              <w:adjustRightInd w:val="0"/>
              <w:jc w:val="center"/>
              <w:rPr>
                <w:rFonts w:ascii="宋体" w:hAnsi="宋体" w:eastAsia="宋体" w:cs="宋体"/>
                <w:kern w:val="0"/>
                <w:sz w:val="20"/>
                <w:szCs w:val="24"/>
                <w:highlight w:val="none"/>
              </w:rPr>
            </w:pPr>
            <w:r>
              <w:rPr>
                <w:rFonts w:hint="eastAsia" w:ascii="宋体" w:hAnsi="宋体" w:eastAsia="宋体" w:cs="宋体"/>
                <w:kern w:val="0"/>
                <w:sz w:val="20"/>
                <w:szCs w:val="24"/>
                <w:highlight w:val="none"/>
              </w:rPr>
              <w:t>自定法</w:t>
            </w:r>
          </w:p>
        </w:tc>
      </w:tr>
      <w:tr w14:paraId="0896C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5" w:type="dxa"/>
          </w:tcPr>
          <w:p w14:paraId="57360977">
            <w:pPr>
              <w:adjustRightInd w:val="0"/>
              <w:jc w:val="center"/>
              <w:rPr>
                <w:rFonts w:ascii="宋体" w:hAnsi="宋体" w:eastAsia="宋体" w:cs="宋体"/>
                <w:kern w:val="0"/>
                <w:sz w:val="20"/>
                <w:szCs w:val="24"/>
                <w:highlight w:val="none"/>
              </w:rPr>
            </w:pPr>
            <w:r>
              <w:rPr>
                <w:rFonts w:hint="eastAsia"/>
                <w:highlight w:val="none"/>
              </w:rPr>
              <w:t>推荐</w:t>
            </w:r>
            <w:r>
              <w:rPr>
                <w:rFonts w:hint="eastAsia" w:ascii="宋体" w:hAnsi="宋体" w:eastAsia="宋体" w:cs="宋体"/>
                <w:kern w:val="0"/>
                <w:sz w:val="20"/>
                <w:szCs w:val="24"/>
                <w:highlight w:val="none"/>
              </w:rPr>
              <w:t>候选中标供应商家数</w:t>
            </w:r>
          </w:p>
        </w:tc>
        <w:tc>
          <w:tcPr>
            <w:tcW w:w="4202" w:type="dxa"/>
          </w:tcPr>
          <w:p w14:paraId="5DA665E8">
            <w:pPr>
              <w:adjustRightInd w:val="0"/>
              <w:jc w:val="center"/>
              <w:rPr>
                <w:rFonts w:ascii="宋体" w:hAnsi="宋体" w:eastAsia="宋体" w:cs="宋体"/>
                <w:kern w:val="0"/>
                <w:sz w:val="20"/>
                <w:szCs w:val="24"/>
                <w:highlight w:val="none"/>
              </w:rPr>
            </w:pPr>
            <w:r>
              <w:rPr>
                <w:rFonts w:hint="eastAsia" w:ascii="宋体" w:hAnsi="宋体" w:eastAsia="宋体" w:cs="宋体"/>
                <w:kern w:val="0"/>
                <w:sz w:val="20"/>
                <w:szCs w:val="24"/>
                <w:highlight w:val="none"/>
              </w:rPr>
              <w:t>3</w:t>
            </w:r>
          </w:p>
        </w:tc>
      </w:tr>
      <w:tr w14:paraId="2747D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5" w:type="dxa"/>
          </w:tcPr>
          <w:p w14:paraId="35EC5FCF">
            <w:pPr>
              <w:adjustRightInd w:val="0"/>
              <w:jc w:val="center"/>
              <w:rPr>
                <w:rFonts w:ascii="宋体" w:hAnsi="宋体" w:eastAsia="宋体" w:cs="宋体"/>
                <w:kern w:val="0"/>
                <w:sz w:val="20"/>
                <w:szCs w:val="24"/>
                <w:highlight w:val="none"/>
              </w:rPr>
            </w:pPr>
            <w:r>
              <w:rPr>
                <w:rFonts w:hint="eastAsia" w:ascii="宋体" w:hAnsi="宋体" w:eastAsia="宋体" w:cs="宋体"/>
                <w:kern w:val="0"/>
                <w:sz w:val="20"/>
                <w:szCs w:val="24"/>
                <w:highlight w:val="none"/>
              </w:rPr>
              <w:t>中标供应商家数</w:t>
            </w:r>
          </w:p>
        </w:tc>
        <w:tc>
          <w:tcPr>
            <w:tcW w:w="4202" w:type="dxa"/>
          </w:tcPr>
          <w:p w14:paraId="5DB3BFB4">
            <w:pPr>
              <w:adjustRightInd w:val="0"/>
              <w:jc w:val="center"/>
              <w:rPr>
                <w:rFonts w:ascii="宋体" w:hAnsi="宋体" w:eastAsia="宋体" w:cs="宋体"/>
                <w:kern w:val="0"/>
                <w:sz w:val="20"/>
                <w:szCs w:val="24"/>
                <w:highlight w:val="none"/>
              </w:rPr>
            </w:pPr>
            <w:r>
              <w:rPr>
                <w:rFonts w:hint="eastAsia" w:ascii="宋体" w:hAnsi="宋体" w:eastAsia="宋体" w:cs="宋体"/>
                <w:kern w:val="0"/>
                <w:sz w:val="20"/>
                <w:szCs w:val="24"/>
                <w:highlight w:val="none"/>
              </w:rPr>
              <w:t>1</w:t>
            </w:r>
          </w:p>
        </w:tc>
      </w:tr>
    </w:tbl>
    <w:p w14:paraId="7066F28D">
      <w:pPr>
        <w:adjustRightInd w:val="0"/>
        <w:spacing w:line="276" w:lineRule="auto"/>
        <w:ind w:firstLine="420" w:firstLineChars="200"/>
        <w:rPr>
          <w:rFonts w:ascii="Times New Roman" w:hAnsi="Times New Roman" w:eastAsia="宋体" w:cs="Times New Roman"/>
          <w:szCs w:val="24"/>
        </w:rPr>
      </w:pPr>
    </w:p>
    <w:p w14:paraId="6BAF04BC">
      <w:pPr>
        <w:ind w:firstLine="422" w:firstLineChars="200"/>
        <w:rPr>
          <w:rFonts w:hint="default" w:eastAsia="宋体"/>
          <w:b/>
          <w:lang w:val="en-US" w:eastAsia="zh-CN"/>
        </w:rPr>
      </w:pPr>
      <w:r>
        <w:rPr>
          <w:rFonts w:hint="eastAsia"/>
          <w:b/>
        </w:rPr>
        <w:t>（二）</w:t>
      </w:r>
      <w:r>
        <w:rPr>
          <w:rFonts w:hint="eastAsia"/>
          <w:b/>
          <w:lang w:val="en-US" w:eastAsia="zh-CN"/>
        </w:rPr>
        <w:t>政府采购政策的有关事项说明</w:t>
      </w:r>
    </w:p>
    <w:p w14:paraId="0F47DFEC">
      <w:pPr>
        <w:ind w:firstLine="422" w:firstLineChars="200"/>
        <w:rPr>
          <w:rFonts w:hint="default" w:eastAsia="宋体"/>
          <w:b/>
          <w:bCs/>
          <w:lang w:val="en-US" w:eastAsia="zh-CN"/>
        </w:rPr>
      </w:pPr>
      <w:r>
        <w:rPr>
          <w:b/>
          <w:bCs/>
        </w:rPr>
        <w:t>1</w:t>
      </w:r>
      <w:r>
        <w:rPr>
          <w:rFonts w:hint="eastAsia"/>
          <w:b/>
          <w:bCs/>
        </w:rPr>
        <w:t>、</w:t>
      </w:r>
      <w:r>
        <w:rPr>
          <w:rFonts w:hint="eastAsia"/>
          <w:b/>
          <w:bCs/>
          <w:lang w:val="en-US" w:eastAsia="zh-CN"/>
        </w:rPr>
        <w:t>关于享受中小企业扶持</w:t>
      </w:r>
      <w:r>
        <w:rPr>
          <w:rFonts w:hint="eastAsia"/>
          <w:b/>
          <w:bCs/>
        </w:rPr>
        <w:t>政策的主体</w:t>
      </w:r>
      <w:r>
        <w:rPr>
          <w:rFonts w:hint="eastAsia"/>
          <w:b/>
          <w:bCs/>
          <w:lang w:eastAsia="zh-CN"/>
        </w:rPr>
        <w:t>、</w:t>
      </w:r>
      <w:r>
        <w:rPr>
          <w:rFonts w:hint="eastAsia"/>
          <w:b/>
          <w:bCs/>
        </w:rPr>
        <w:t>价格扣除比例</w:t>
      </w:r>
      <w:r>
        <w:rPr>
          <w:rFonts w:hint="eastAsia"/>
          <w:b/>
          <w:bCs/>
          <w:lang w:val="en-US" w:eastAsia="zh-CN"/>
        </w:rPr>
        <w:t>及采购标的所属行业等事项的说明</w:t>
      </w:r>
    </w:p>
    <w:p w14:paraId="23F83686">
      <w:pPr>
        <w:ind w:firstLine="630" w:firstLineChars="300"/>
        <w:rPr>
          <w:rFonts w:hint="eastAsia"/>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适用主体：中型企业、小型、微型企业（</w:t>
      </w:r>
      <w:r>
        <w:rPr>
          <w:rFonts w:hint="eastAsia" w:ascii="Times New Roman" w:hAnsi="Times New Roman" w:eastAsia="宋体" w:cs="Times New Roman"/>
          <w:i w:val="0"/>
          <w:iCs w:val="0"/>
          <w:caps w:val="0"/>
          <w:spacing w:val="0"/>
          <w:sz w:val="21"/>
          <w:szCs w:val="24"/>
          <w:shd w:val="clear"/>
        </w:rPr>
        <w:t>残疾人福利性单位视同小型、微型企业</w:t>
      </w:r>
      <w:r>
        <w:rPr>
          <w:rFonts w:hint="eastAsia" w:cs="Times New Roman"/>
          <w:i w:val="0"/>
          <w:iCs w:val="0"/>
          <w:caps w:val="0"/>
          <w:spacing w:val="0"/>
          <w:sz w:val="21"/>
          <w:szCs w:val="24"/>
          <w:shd w:val="clear"/>
          <w:lang w:eastAsia="zh-CN"/>
        </w:rPr>
        <w:t>；</w:t>
      </w:r>
      <w:r>
        <w:rPr>
          <w:rFonts w:hint="eastAsia" w:ascii="Times New Roman" w:hAnsi="Times New Roman" w:eastAsia="宋体" w:cs="Times New Roman"/>
          <w:i w:val="0"/>
          <w:iCs w:val="0"/>
          <w:caps w:val="0"/>
          <w:spacing w:val="0"/>
          <w:sz w:val="21"/>
          <w:szCs w:val="24"/>
          <w:shd w:val="clear"/>
        </w:rPr>
        <w:t>监狱企业视同小型、微型企业</w:t>
      </w:r>
      <w:r>
        <w:rPr>
          <w:rFonts w:hint="eastAsia"/>
          <w:lang w:val="en-US" w:eastAsia="zh-CN"/>
        </w:rPr>
        <w:t>）。接受联合体的项目，供应商以联合体形式参加政府采购活动，联合体各方均为中小企业的，联合体视同中小企业。其中，联合体各方均为小微企业的，联合体视同小微企业。</w:t>
      </w:r>
    </w:p>
    <w:p w14:paraId="01D3DD70">
      <w:pPr>
        <w:pStyle w:val="62"/>
        <w:ind w:firstLine="420" w:firstLineChars="200"/>
        <w:rPr>
          <w:rFonts w:hint="eastAsia" w:eastAsia="宋体"/>
          <w:lang w:val="en-US" w:eastAsia="zh-CN"/>
        </w:rPr>
      </w:pPr>
      <w:r>
        <w:rPr>
          <w:rFonts w:hint="eastAsia"/>
          <w:lang w:val="en-US" w:eastAsia="zh-CN"/>
        </w:rPr>
        <w:t>备注：</w:t>
      </w:r>
      <w:r>
        <w:rPr>
          <w:rFonts w:hint="eastAsia"/>
          <w:lang w:eastAsia="zh-CN"/>
        </w:rPr>
        <w:t>（</w:t>
      </w:r>
      <w:r>
        <w:rPr>
          <w:rFonts w:hint="eastAsia"/>
          <w:lang w:val="en-US" w:eastAsia="zh-CN"/>
        </w:rPr>
        <w:t>a</w:t>
      </w:r>
      <w:r>
        <w:rPr>
          <w:rFonts w:hint="eastAsia"/>
          <w:lang w:eastAsia="zh-CN"/>
        </w:rP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lang w:eastAsia="zh-CN"/>
        </w:rPr>
        <w:t>（</w:t>
      </w:r>
      <w:r>
        <w:rPr>
          <w:rFonts w:hint="eastAsia"/>
          <w:lang w:val="en-US" w:eastAsia="zh-CN"/>
        </w:rPr>
        <w:t>b</w:t>
      </w:r>
      <w:r>
        <w:rPr>
          <w:rFonts w:hint="eastAsia"/>
          <w:lang w:eastAsia="zh-CN"/>
        </w:rPr>
        <w:t>）</w:t>
      </w:r>
      <w:r>
        <w:rPr>
          <w:rFonts w:hint="eastAsia" w:ascii="Calibri" w:hAnsi="Calibri" w:eastAsia="宋体" w:cs="Times New Roman"/>
          <w:sz w:val="21"/>
          <w:szCs w:val="22"/>
        </w:rPr>
        <w:t>在货物采购项目中，货物由中小企业制造，即货物由中小企业生产且使用该中小企业商号或者注册商标</w:t>
      </w:r>
      <w:r>
        <w:rPr>
          <w:rFonts w:hint="eastAsia" w:cs="Times New Roman"/>
          <w:sz w:val="21"/>
          <w:szCs w:val="22"/>
          <w:lang w:eastAsia="zh-CN"/>
        </w:rPr>
        <w:t>（</w:t>
      </w:r>
      <w:r>
        <w:rPr>
          <w:rFonts w:hint="eastAsia" w:cs="Times New Roman"/>
          <w:sz w:val="21"/>
          <w:szCs w:val="22"/>
          <w:lang w:val="en-US" w:eastAsia="zh-CN"/>
        </w:rPr>
        <w:t>供应商提供的货物既有中小企业制造货物，也有大型企业制造货物的，不享受中小企业扶持政策）</w:t>
      </w:r>
      <w:r>
        <w:rPr>
          <w:rFonts w:hint="eastAsia" w:ascii="Calibri" w:hAnsi="Calibri" w:eastAsia="宋体" w:cs="Times New Roman"/>
          <w:sz w:val="21"/>
          <w:szCs w:val="22"/>
        </w:rPr>
        <w:t>；在工程采购项目中，工程由中小企业承建，即工程施工单位为中小企业</w:t>
      </w:r>
      <w:r>
        <w:rPr>
          <w:rFonts w:hint="eastAsia" w:cs="Times New Roman"/>
          <w:sz w:val="21"/>
          <w:szCs w:val="22"/>
          <w:lang w:eastAsia="zh-CN"/>
        </w:rPr>
        <w:t>；</w:t>
      </w:r>
      <w:r>
        <w:rPr>
          <w:rFonts w:hint="eastAsia" w:cs="Times New Roman"/>
          <w:sz w:val="21"/>
          <w:szCs w:val="22"/>
          <w:lang w:val="en-US" w:eastAsia="zh-CN"/>
        </w:rPr>
        <w:t>在服务采购项目中，服务由中小企业承接，即提供服务的人员为中小企业依照《中华人民共和国劳动合同法》订立劳动合同的从业人员。</w:t>
      </w:r>
    </w:p>
    <w:p w14:paraId="1C2C4891">
      <w:pPr>
        <w:ind w:firstLine="630" w:firstLineChars="300"/>
        <w:rPr>
          <w:rFonts w:hint="default" w:eastAsia="宋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预留份额专门面向中小企业采购的项目，不再执行价格扣除比例。</w:t>
      </w:r>
    </w:p>
    <w:p w14:paraId="23B14D6B">
      <w:pPr>
        <w:ind w:firstLine="630" w:firstLineChars="300"/>
      </w:pPr>
      <w:r>
        <w:rPr>
          <w:rFonts w:hint="eastAsia"/>
          <w:lang w:eastAsia="zh-CN"/>
        </w:rPr>
        <w:t>（</w:t>
      </w:r>
      <w:r>
        <w:rPr>
          <w:rFonts w:hint="eastAsia"/>
          <w:lang w:val="en-US" w:eastAsia="zh-CN"/>
        </w:rPr>
        <w:t>3</w:t>
      </w:r>
      <w:r>
        <w:rPr>
          <w:rFonts w:hint="eastAsia"/>
          <w:lang w:eastAsia="zh-CN"/>
        </w:rPr>
        <w:t>）未预留份额</w:t>
      </w:r>
      <w:r>
        <w:rPr>
          <w:rFonts w:hint="eastAsia" w:ascii="Times New Roman" w:eastAsia="宋体"/>
          <w:lang w:val="en-US" w:eastAsia="zh-CN"/>
        </w:rPr>
        <w:t>专门面向中小企业采购的项目，</w:t>
      </w:r>
      <w:r>
        <w:rPr>
          <w:rFonts w:hint="eastAsia"/>
          <w:lang w:val="en-US" w:eastAsia="zh-CN"/>
        </w:rPr>
        <w:t>应</w:t>
      </w:r>
      <w:r>
        <w:rPr>
          <w:rFonts w:hint="eastAsia" w:ascii="Times New Roman" w:eastAsia="宋体"/>
          <w:lang w:val="en-US" w:eastAsia="zh-CN"/>
        </w:rPr>
        <w:t>执行价格扣除比例</w:t>
      </w:r>
      <w:r>
        <w:rPr>
          <w:rFonts w:hint="eastAsia"/>
          <w:lang w:val="en-US" w:eastAsia="zh-CN"/>
        </w:rPr>
        <w:t>：</w:t>
      </w:r>
      <w:r>
        <w:rPr>
          <w:rFonts w:hint="eastAsia"/>
        </w:rPr>
        <w:t>投标人提供的货物（以招标文件用户需求书“货物清单明细”的“货物名称”一栏为准）</w:t>
      </w:r>
      <w:r>
        <w:rPr>
          <w:rFonts w:hint="eastAsia"/>
          <w:b/>
          <w:bCs/>
          <w:color w:val="FF0000"/>
        </w:rPr>
        <w:t>全部均由</w:t>
      </w:r>
      <w:r>
        <w:rPr>
          <w:rFonts w:hint="eastAsia"/>
          <w:b/>
          <w:bCs/>
          <w:color w:val="FF0000"/>
          <w:lang w:val="en-US" w:eastAsia="zh-CN"/>
        </w:rPr>
        <w:t>小型、微型企业</w:t>
      </w:r>
      <w:r>
        <w:rPr>
          <w:rFonts w:hint="eastAsia"/>
          <w:b/>
          <w:bCs/>
          <w:color w:val="FF0000"/>
        </w:rPr>
        <w:t>制造</w:t>
      </w:r>
      <w:r>
        <w:rPr>
          <w:rFonts w:hint="eastAsia"/>
        </w:rPr>
        <w:t>，则对其投标总价给予</w:t>
      </w:r>
      <w:r>
        <w:rPr>
          <w:b/>
          <w:bCs/>
          <w:color w:val="FF0000"/>
          <w:u w:val="single"/>
        </w:rPr>
        <w:t xml:space="preserve">  </w:t>
      </w:r>
      <w:r>
        <w:rPr>
          <w:rFonts w:hint="eastAsia"/>
          <w:b/>
          <w:bCs/>
          <w:color w:val="FF0000"/>
          <w:u w:val="single"/>
          <w:lang w:val="en-US" w:eastAsia="zh-CN"/>
        </w:rPr>
        <w:t xml:space="preserve">10 </w:t>
      </w:r>
      <w:r>
        <w:rPr>
          <w:rFonts w:hint="eastAsia"/>
          <w:b/>
          <w:bCs/>
          <w:color w:val="FF0000"/>
          <w:u w:val="none"/>
          <w:lang w:val="en-US" w:eastAsia="zh-CN"/>
        </w:rPr>
        <w:t xml:space="preserve"> </w:t>
      </w:r>
      <w:r>
        <w:rPr>
          <w:b/>
          <w:bCs/>
          <w:color w:val="FF0000"/>
          <w:u w:val="none"/>
        </w:rPr>
        <w:t>%</w:t>
      </w:r>
      <w:r>
        <w:rPr>
          <w:rFonts w:hint="eastAsia"/>
        </w:rPr>
        <w:t>的扣除，用扣除后的价格参与评审。</w:t>
      </w:r>
    </w:p>
    <w:p w14:paraId="54C74DA3">
      <w:pPr>
        <w:numPr>
          <w:ilvl w:val="0"/>
          <w:numId w:val="0"/>
        </w:numPr>
        <w:ind w:firstLine="630" w:firstLineChars="300"/>
        <w:rPr>
          <w:rFonts w:hint="eastAsia" w:asciiTheme="minorEastAsia" w:hAnsiTheme="minorEastAsia" w:eastAsiaTheme="minorEastAsia" w:cstheme="minorEastAsia"/>
          <w:b/>
          <w:bCs/>
          <w:color w:val="FF0000"/>
          <w:sz w:val="21"/>
          <w:szCs w:val="21"/>
        </w:rPr>
      </w:pPr>
      <w:r>
        <w:rPr>
          <w:rFonts w:hint="eastAsia"/>
          <w:lang w:eastAsia="zh-CN"/>
        </w:rPr>
        <w:t>（</w:t>
      </w:r>
      <w:r>
        <w:rPr>
          <w:rFonts w:hint="eastAsia"/>
          <w:lang w:val="en-US" w:eastAsia="zh-CN"/>
        </w:rPr>
        <w:t>4</w:t>
      </w:r>
      <w:r>
        <w:rPr>
          <w:rFonts w:hint="eastAsia"/>
          <w:lang w:eastAsia="zh-CN"/>
        </w:rPr>
        <w:t>）</w:t>
      </w:r>
      <w:r>
        <w:rPr>
          <w:rFonts w:hint="eastAsia" w:asciiTheme="minorEastAsia" w:hAnsiTheme="minorEastAsia" w:eastAsiaTheme="minorEastAsia" w:cstheme="minorEastAsia"/>
          <w:sz w:val="21"/>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hint="eastAsia" w:asciiTheme="minorEastAsia" w:hAnsiTheme="minorEastAsia" w:eastAsiaTheme="minorEastAsia" w:cstheme="minorEastAsia"/>
          <w:b/>
          <w:bCs/>
          <w:color w:val="FF0000"/>
          <w:sz w:val="21"/>
          <w:szCs w:val="21"/>
        </w:rPr>
        <w:t>《中小企业声明函》中相关企业</w:t>
      </w:r>
      <w:r>
        <w:rPr>
          <w:rFonts w:hint="eastAsia" w:asciiTheme="minorEastAsia" w:hAnsiTheme="minorEastAsia" w:eastAsiaTheme="minorEastAsia" w:cstheme="minorEastAsia"/>
          <w:b/>
          <w:bCs/>
          <w:color w:val="FF0000"/>
          <w:sz w:val="21"/>
          <w:szCs w:val="21"/>
          <w:lang w:eastAsia="zh-CN"/>
        </w:rPr>
        <w:t>（</w:t>
      </w:r>
      <w:r>
        <w:rPr>
          <w:rFonts w:hint="eastAsia" w:asciiTheme="minorEastAsia" w:hAnsiTheme="minorEastAsia" w:eastAsiaTheme="minorEastAsia" w:cstheme="minorEastAsia"/>
          <w:b/>
          <w:bCs/>
          <w:color w:val="FF0000"/>
          <w:sz w:val="21"/>
          <w:szCs w:val="21"/>
          <w:lang w:val="en-US" w:eastAsia="zh-CN"/>
        </w:rPr>
        <w:t>货物制造商</w:t>
      </w:r>
      <w:r>
        <w:rPr>
          <w:rFonts w:hint="eastAsia" w:asciiTheme="minorEastAsia" w:hAnsiTheme="minorEastAsia" w:eastAsiaTheme="minorEastAsia" w:cstheme="minorEastAsia"/>
          <w:b/>
          <w:bCs/>
          <w:color w:val="FF0000"/>
          <w:sz w:val="21"/>
          <w:szCs w:val="21"/>
          <w:lang w:eastAsia="zh-CN"/>
        </w:rPr>
        <w:t>）</w:t>
      </w:r>
      <w:r>
        <w:rPr>
          <w:rFonts w:hint="eastAsia" w:asciiTheme="minorEastAsia" w:hAnsiTheme="minorEastAsia" w:eastAsiaTheme="minorEastAsia" w:cstheme="minorEastAsia"/>
          <w:b/>
          <w:bCs/>
          <w:color w:val="FF0000"/>
          <w:sz w:val="21"/>
          <w:szCs w:val="21"/>
        </w:rPr>
        <w:t>所属行业应当与采购标的所属行业相一致</w:t>
      </w:r>
      <w:r>
        <w:rPr>
          <w:rFonts w:hint="eastAsia" w:asciiTheme="minorEastAsia" w:hAnsiTheme="minorEastAsia" w:eastAsiaTheme="minorEastAsia" w:cstheme="minorEastAsia"/>
          <w:b/>
          <w:bCs/>
          <w:color w:val="FF0000"/>
          <w:sz w:val="21"/>
          <w:szCs w:val="21"/>
          <w:lang w:eastAsia="zh-CN"/>
        </w:rPr>
        <w:t>，</w:t>
      </w:r>
      <w:r>
        <w:rPr>
          <w:rFonts w:hint="eastAsia"/>
          <w:b/>
          <w:bCs/>
          <w:color w:val="FF0000"/>
        </w:rPr>
        <w:t>标的所属行业</w:t>
      </w:r>
      <w:r>
        <w:rPr>
          <w:rFonts w:hint="eastAsia" w:ascii="Times New Roman" w:eastAsia="宋体"/>
          <w:b/>
          <w:bCs/>
          <w:color w:val="FF0000"/>
          <w:lang w:val="en-US" w:eastAsia="zh-CN"/>
        </w:rPr>
        <w:t>以招标文件第一册第三章用户需求书“货物</w:t>
      </w:r>
      <w:r>
        <w:rPr>
          <w:rFonts w:hint="eastAsia"/>
          <w:b/>
          <w:bCs/>
          <w:color w:val="FF0000"/>
          <w:lang w:val="en-US" w:eastAsia="zh-CN"/>
        </w:rPr>
        <w:t>需求</w:t>
      </w:r>
      <w:r>
        <w:rPr>
          <w:rFonts w:hint="eastAsia" w:ascii="Times New Roman" w:eastAsia="宋体"/>
          <w:b/>
          <w:bCs/>
          <w:color w:val="FF0000"/>
          <w:lang w:val="en-US" w:eastAsia="zh-CN"/>
        </w:rPr>
        <w:t>明细”的“标的所属行业”一栏为准</w:t>
      </w:r>
      <w:r>
        <w:rPr>
          <w:rFonts w:hint="eastAsia" w:asciiTheme="minorEastAsia" w:hAnsiTheme="minorEastAsia" w:eastAsiaTheme="minorEastAsia" w:cstheme="minorEastAsia"/>
          <w:b/>
          <w:bCs/>
          <w:color w:val="FF0000"/>
          <w:sz w:val="21"/>
          <w:szCs w:val="21"/>
        </w:rPr>
        <w:t>。</w:t>
      </w:r>
    </w:p>
    <w:p w14:paraId="0A50FA62">
      <w:pPr>
        <w:ind w:firstLine="630" w:firstLineChars="300"/>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中型企业、</w:t>
      </w:r>
      <w:r>
        <w:rPr>
          <w:rFonts w:hint="eastAsia" w:asciiTheme="minorEastAsia" w:hAnsiTheme="minorEastAsia" w:eastAsiaTheme="minorEastAsia" w:cstheme="minorEastAsia"/>
          <w:sz w:val="21"/>
          <w:szCs w:val="21"/>
        </w:rPr>
        <w:t>小型、微型企业为优惠主体的认定资料为《中小企业声明函》</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343332F4">
      <w:pPr>
        <w:ind w:firstLine="630" w:firstLineChars="300"/>
        <w:rPr>
          <w:color w:val="FF0000"/>
        </w:rPr>
      </w:pPr>
      <w:r>
        <w:rPr>
          <w:rFonts w:hint="eastAsia"/>
        </w:rPr>
        <w:t>（</w:t>
      </w:r>
      <w:r>
        <w:rPr>
          <w:rFonts w:hint="eastAsia"/>
          <w:lang w:val="en-US" w:eastAsia="zh-CN"/>
        </w:rPr>
        <w:t>6</w:t>
      </w:r>
      <w:r>
        <w:rPr>
          <w:rFonts w:hint="eastAsia"/>
        </w:rPr>
        <w:t>）依据</w:t>
      </w:r>
      <w:r>
        <w:rPr>
          <w:rFonts w:hint="eastAsia"/>
          <w:lang w:eastAsia="zh-CN"/>
        </w:rPr>
        <w:t>《</w:t>
      </w:r>
      <w:r>
        <w:rPr>
          <w:rFonts w:hint="eastAsia" w:asciiTheme="minorEastAsia" w:hAnsiTheme="minorEastAsia" w:eastAsiaTheme="minorEastAsia" w:cstheme="minorEastAsia"/>
          <w:sz w:val="21"/>
          <w:szCs w:val="21"/>
        </w:rPr>
        <w:t>政府采购促进中小企业发展管理办法</w:t>
      </w:r>
      <w:r>
        <w:rPr>
          <w:rFonts w:hint="eastAsia" w:asciiTheme="minorEastAsia" w:hAnsiTheme="minorEastAsia" w:eastAsiaTheme="minorEastAsia" w:cstheme="minorEastAsia"/>
          <w:sz w:val="21"/>
          <w:szCs w:val="21"/>
          <w:lang w:eastAsia="zh-CN"/>
        </w:rPr>
        <w:t>》</w:t>
      </w:r>
      <w:r>
        <w:rPr>
          <w:rFonts w:hint="eastAsia"/>
        </w:rPr>
        <w:t>规定享受扶持政策获得政府采购合同的，小微企业不得将合同分包给大中型企业，中型企业不得将合同分包给大型企业</w:t>
      </w:r>
      <w:r>
        <w:rPr>
          <w:rFonts w:hint="eastAsia"/>
          <w:lang w:eastAsia="zh-CN"/>
        </w:rPr>
        <w:t>。</w:t>
      </w:r>
    </w:p>
    <w:p w14:paraId="0209C157">
      <w:pPr>
        <w:ind w:firstLine="422" w:firstLineChars="200"/>
        <w:rPr>
          <w:rFonts w:hint="default" w:eastAsia="宋体"/>
          <w:b/>
          <w:bCs/>
          <w:lang w:val="en-US" w:eastAsia="zh-CN"/>
        </w:rPr>
      </w:pPr>
      <w:r>
        <w:rPr>
          <w:rFonts w:hint="eastAsia"/>
          <w:b/>
          <w:bCs/>
          <w:lang w:val="en-US" w:eastAsia="zh-CN"/>
        </w:rPr>
        <w:t>2</w:t>
      </w:r>
      <w:r>
        <w:rPr>
          <w:rFonts w:hint="eastAsia"/>
          <w:b/>
          <w:bCs/>
        </w:rPr>
        <w:t>、</w:t>
      </w:r>
      <w:r>
        <w:rPr>
          <w:rFonts w:hint="eastAsia"/>
          <w:b/>
          <w:bCs/>
          <w:lang w:val="en-US" w:eastAsia="zh-CN"/>
        </w:rPr>
        <w:t>关于享受对本国产品的政府采购支持政策</w:t>
      </w:r>
      <w:r>
        <w:rPr>
          <w:rFonts w:hint="eastAsia"/>
          <w:b/>
          <w:bCs/>
        </w:rPr>
        <w:t>的主体</w:t>
      </w:r>
      <w:r>
        <w:rPr>
          <w:rFonts w:hint="eastAsia"/>
          <w:b/>
          <w:bCs/>
          <w:lang w:eastAsia="zh-CN"/>
        </w:rPr>
        <w:t>、</w:t>
      </w:r>
      <w:r>
        <w:rPr>
          <w:rFonts w:hint="eastAsia"/>
          <w:b/>
          <w:bCs/>
        </w:rPr>
        <w:t>价格扣除比例</w:t>
      </w:r>
      <w:r>
        <w:rPr>
          <w:rFonts w:hint="eastAsia"/>
          <w:b/>
          <w:bCs/>
          <w:lang w:val="en-US" w:eastAsia="zh-CN"/>
        </w:rPr>
        <w:t>等事项的说明</w:t>
      </w:r>
    </w:p>
    <w:p w14:paraId="5EB5A70D">
      <w:pPr>
        <w:ind w:firstLine="420" w:firstLineChars="200"/>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（1）</w:t>
      </w:r>
      <w:r>
        <w:rPr>
          <w:rFonts w:hint="eastAsia" w:cs="Times New Roman"/>
          <w:kern w:val="2"/>
          <w:sz w:val="21"/>
          <w:szCs w:val="24"/>
          <w:lang w:val="en-US" w:eastAsia="zh-CN" w:bidi="ar-SA"/>
        </w:rPr>
        <w:t>适用主体：</w:t>
      </w:r>
      <w:r>
        <w:rPr>
          <w:rFonts w:hint="eastAsia" w:ascii="Times New Roman" w:hAnsi="Times New Roman" w:eastAsia="宋体" w:cs="Times New Roman"/>
          <w:kern w:val="2"/>
          <w:sz w:val="21"/>
          <w:szCs w:val="24"/>
          <w:lang w:val="en-US" w:eastAsia="zh-CN" w:bidi="ar-SA"/>
        </w:rPr>
        <w:t>国有企业、民营企业、外资企业等各类经营主体平等享受对本国产品的政府采购支持政策</w:t>
      </w:r>
      <w:r>
        <w:rPr>
          <w:rFonts w:hint="eastAsia" w:cs="Times New Roman"/>
          <w:kern w:val="2"/>
          <w:sz w:val="21"/>
          <w:szCs w:val="24"/>
          <w:lang w:val="en-US" w:eastAsia="zh-CN" w:bidi="ar-SA"/>
        </w:rPr>
        <w:t>。</w:t>
      </w:r>
    </w:p>
    <w:p w14:paraId="27AF5CB9">
      <w:pPr>
        <w:pStyle w:val="62"/>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8D0522E">
      <w:pPr>
        <w:pStyle w:val="62"/>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（3）价格扣除：政府采购活动中既有本国产品又有非本国产品参与竞争的，依法对本国产品给予价格评审优惠，</w:t>
      </w:r>
      <w:r>
        <w:rPr>
          <w:rFonts w:hint="eastAsia" w:ascii="Times New Roman" w:hAnsi="Times New Roman" w:cs="Times New Roman"/>
          <w:b/>
          <w:bCs/>
          <w:color w:val="FF0000"/>
          <w:kern w:val="2"/>
          <w:sz w:val="21"/>
          <w:szCs w:val="24"/>
          <w:lang w:val="en-US" w:eastAsia="zh-CN" w:bidi="ar-SA"/>
        </w:rPr>
        <w:t>对本国产品的报价给予20%的价格扣除</w:t>
      </w:r>
      <w:r>
        <w:rPr>
          <w:rFonts w:hint="eastAsia" w:ascii="Times New Roman" w:hAnsi="Times New Roman" w:cs="Times New Roman"/>
          <w:b w:val="0"/>
          <w:bCs w:val="0"/>
          <w:color w:val="000000" w:themeColor="text1"/>
          <w:kern w:val="2"/>
          <w:sz w:val="21"/>
          <w:szCs w:val="24"/>
          <w:lang w:val="en-US" w:eastAsia="zh-CN" w:bidi="ar-SA"/>
          <w14:textFill>
            <w14:solidFill>
              <w14:schemeClr w14:val="tx1"/>
            </w14:solidFill>
          </w14:textFill>
        </w:rPr>
        <w:t>，</w:t>
      </w:r>
      <w:r>
        <w:rPr>
          <w:rFonts w:hint="eastAsia" w:ascii="Times New Roman" w:hAnsi="Times New Roman" w:cs="Times New Roman"/>
          <w:kern w:val="2"/>
          <w:sz w:val="21"/>
          <w:szCs w:val="24"/>
          <w:lang w:val="en-US" w:eastAsia="zh-CN" w:bidi="ar-SA"/>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Times New Roman" w:hAnsi="Times New Roman" w:cs="Times New Roman"/>
          <w:b/>
          <w:bCs/>
          <w:color w:val="FF0000"/>
          <w:kern w:val="2"/>
          <w:sz w:val="21"/>
          <w:szCs w:val="24"/>
          <w:lang w:val="en-US" w:eastAsia="zh-CN" w:bidi="ar-SA"/>
        </w:rPr>
        <w:t>总报价给予20%的价格扣除</w:t>
      </w:r>
      <w:r>
        <w:rPr>
          <w:rFonts w:hint="eastAsia" w:ascii="Times New Roman" w:hAnsi="Times New Roman" w:cs="Times New Roman"/>
          <w:kern w:val="2"/>
          <w:sz w:val="21"/>
          <w:szCs w:val="24"/>
          <w:lang w:val="en-US" w:eastAsia="zh-CN" w:bidi="ar-SA"/>
        </w:rPr>
        <w:t>，用扣除后的价格参与评审。</w:t>
      </w:r>
    </w:p>
    <w:p w14:paraId="196B32C5">
      <w:pPr>
        <w:pStyle w:val="62"/>
        <w:ind w:firstLine="420" w:firstLineChars="200"/>
        <w:rPr>
          <w:rFonts w:hint="eastAsia"/>
        </w:rPr>
      </w:pPr>
      <w:r>
        <w:rPr>
          <w:rFonts w:hint="eastAsia" w:ascii="Times New Roman" w:hAnsi="Times New Roman" w:cs="Times New Roman"/>
          <w:kern w:val="2"/>
          <w:sz w:val="21"/>
          <w:szCs w:val="24"/>
          <w:lang w:val="en-US" w:eastAsia="zh-CN" w:bidi="ar-SA"/>
        </w:rPr>
        <w:t>（4）供应商</w:t>
      </w:r>
      <w:r>
        <w:rPr>
          <w:rFonts w:hint="eastAsia" w:ascii="Times New Roman" w:hAnsi="Times New Roman" w:eastAsia="宋体" w:cs="Times New Roman"/>
          <w:i w:val="0"/>
          <w:iCs w:val="0"/>
          <w:caps w:val="0"/>
          <w:spacing w:val="0"/>
          <w:sz w:val="21"/>
          <w:szCs w:val="24"/>
          <w:shd w:val="clear"/>
        </w:rPr>
        <w:t>出具符合要求的《关于符合本国产品标准的声明函》或财政部会同有关部门规定的有关证明文件，该产品视为本国产品</w:t>
      </w:r>
      <w:r>
        <w:rPr>
          <w:rFonts w:hint="eastAsia" w:ascii="Times New Roman" w:hAnsi="Times New Roman" w:cs="Times New Roman"/>
          <w:i w:val="0"/>
          <w:iCs w:val="0"/>
          <w:caps w:val="0"/>
          <w:spacing w:val="0"/>
          <w:sz w:val="21"/>
          <w:szCs w:val="24"/>
          <w:shd w:val="clear"/>
          <w:lang w:eastAsia="zh-CN"/>
        </w:rPr>
        <w:t>。</w:t>
      </w:r>
      <w:r>
        <w:rPr>
          <w:rFonts w:hint="eastAsia"/>
        </w:rPr>
        <w:t>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5D54231A">
      <w:pPr>
        <w:pStyle w:val="62"/>
        <w:ind w:firstLine="422" w:firstLineChars="200"/>
        <w:rPr>
          <w:rFonts w:hint="eastAsia"/>
          <w:b/>
          <w:bCs/>
          <w:lang w:val="en-US" w:eastAsia="zh-CN"/>
        </w:rPr>
      </w:pPr>
      <w:r>
        <w:rPr>
          <w:rFonts w:hint="eastAsia"/>
          <w:b/>
          <w:bCs/>
          <w:lang w:val="en-US" w:eastAsia="zh-CN"/>
        </w:rPr>
        <w:t>3</w:t>
      </w:r>
      <w:r>
        <w:rPr>
          <w:rFonts w:hint="eastAsia"/>
          <w:b/>
          <w:bCs/>
        </w:rPr>
        <w:t>、</w:t>
      </w:r>
      <w:r>
        <w:rPr>
          <w:rFonts w:hint="eastAsia"/>
          <w:b/>
          <w:bCs/>
          <w:lang w:val="en-US" w:eastAsia="zh-CN"/>
        </w:rPr>
        <w:t>关于同时满足中小企业扶持政策和对本国产品的支持政策的事项说明</w:t>
      </w:r>
    </w:p>
    <w:p w14:paraId="6CB4AADE">
      <w:pPr>
        <w:pStyle w:val="62"/>
        <w:ind w:firstLine="420" w:firstLineChars="200"/>
        <w:rPr>
          <w:rFonts w:hint="default" w:ascii="Times New Roman" w:hAnsi="Times New Roman" w:cs="Times New Roman"/>
          <w:b w:val="0"/>
          <w:bCs w:val="0"/>
          <w:color w:val="auto"/>
          <w:kern w:val="2"/>
          <w:sz w:val="21"/>
          <w:szCs w:val="24"/>
          <w:lang w:val="en-US" w:eastAsia="zh-CN" w:bidi="ar-SA"/>
        </w:rPr>
      </w:pPr>
      <w:r>
        <w:rPr>
          <w:rFonts w:hint="eastAsia" w:ascii="Times New Roman" w:hAnsi="Times New Roman" w:cs="Times New Roman"/>
          <w:b w:val="0"/>
          <w:bCs w:val="0"/>
          <w:color w:val="auto"/>
          <w:kern w:val="2"/>
          <w:sz w:val="21"/>
          <w:szCs w:val="24"/>
          <w:lang w:val="en-US" w:eastAsia="zh-CN" w:bidi="ar-SA"/>
        </w:rPr>
        <w:t>本国产品政策实施后，政府采购活动中既有本国产品又有非本国产品参与竞争的，依法对本国产品给予价格评审优惠，对本国产品的报价给予20%的价格扣除，用扣除后的价格参与评审。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cs="Times New Roman"/>
          <w:b/>
          <w:bCs/>
          <w:color w:val="FF0000"/>
          <w:kern w:val="2"/>
          <w:sz w:val="21"/>
          <w:szCs w:val="24"/>
          <w:lang w:val="en-US" w:eastAsia="zh-CN" w:bidi="ar-SA"/>
        </w:rPr>
        <w:t>同时，若提供本国产品的供应商也符合政府采购支持中小企业政策，也按规定给与价格评审优惠。需要说明的是，相关价格评审扣除优惠，都应该在供应商报价基础上计算。</w:t>
      </w:r>
      <w:r>
        <w:rPr>
          <w:rFonts w:hint="eastAsia" w:ascii="Times New Roman" w:hAnsi="Times New Roman" w:cs="Times New Roman"/>
          <w:b w:val="0"/>
          <w:bCs w:val="0"/>
          <w:color w:val="auto"/>
          <w:kern w:val="2"/>
          <w:sz w:val="21"/>
          <w:szCs w:val="24"/>
          <w:lang w:val="en-US" w:eastAsia="zh-CN" w:bidi="ar-SA"/>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14:paraId="7B8A548D">
      <w:pPr>
        <w:pStyle w:val="62"/>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（1）预留份额专门面向中小企业采购的项目，不再享受小微企业价格扣除优惠。若供应商所投货物同时满足对本国产品的支持政策的规定，应享受该政策20%价格扣除优惠；</w:t>
      </w:r>
    </w:p>
    <w:p w14:paraId="0CBEA11B">
      <w:pPr>
        <w:pStyle w:val="62"/>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（2）未预留份额专门面向中小企业采购的项目，供应商同时满足小微企业和所投产品符合本国产品支持政策规定的，应同时对该供应商投标总报价给予多项价格扣除优惠，用扣除后的价格参与评审。</w:t>
      </w:r>
    </w:p>
    <w:p w14:paraId="439630B7">
      <w:pPr>
        <w:pStyle w:val="62"/>
        <w:ind w:firstLine="422" w:firstLineChars="200"/>
        <w:rPr>
          <w:rFonts w:hint="default"/>
          <w:b/>
          <w:bCs/>
          <w:lang w:val="en-US" w:eastAsia="zh-CN"/>
        </w:rPr>
      </w:pPr>
      <w:r>
        <w:rPr>
          <w:rFonts w:hint="eastAsia"/>
          <w:b/>
          <w:bCs/>
          <w:lang w:val="en-US" w:eastAsia="zh-CN"/>
        </w:rPr>
        <w:t>4、</w:t>
      </w:r>
      <w:r>
        <w:rPr>
          <w:rFonts w:hint="default"/>
          <w:b/>
          <w:bCs/>
          <w:lang w:val="en-US" w:eastAsia="zh-CN"/>
        </w:rPr>
        <w:t>上述支持政策不改变最终中标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价格，政府采购合同仍按照中标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供应商的报价签订。</w:t>
      </w:r>
    </w:p>
    <w:bookmarkEnd w:id="36"/>
    <w:bookmarkEnd w:id="37"/>
    <w:p w14:paraId="54F77B22">
      <w:pPr>
        <w:adjustRightInd w:val="0"/>
        <w:snapToGrid w:val="0"/>
        <w:spacing w:line="276" w:lineRule="auto"/>
        <w:rPr>
          <w:rFonts w:ascii="宋体" w:hAnsi="宋体" w:eastAsia="宋体" w:cs="宋体"/>
          <w:b/>
          <w:bCs/>
          <w:szCs w:val="24"/>
        </w:rPr>
      </w:pPr>
    </w:p>
    <w:p w14:paraId="3E185B9C">
      <w:pPr>
        <w:adjustRightInd w:val="0"/>
        <w:snapToGrid w:val="0"/>
        <w:spacing w:line="276" w:lineRule="auto"/>
        <w:ind w:firstLine="422" w:firstLineChars="200"/>
        <w:rPr>
          <w:rFonts w:ascii="宋体" w:hAnsi="宋体" w:eastAsia="宋体" w:cs="宋体"/>
          <w:b/>
          <w:bCs/>
          <w:szCs w:val="24"/>
          <w:highlight w:val="none"/>
        </w:rPr>
      </w:pPr>
      <w:r>
        <w:rPr>
          <w:rFonts w:hint="eastAsia" w:ascii="宋体" w:hAnsi="宋体" w:eastAsia="宋体" w:cs="宋体"/>
          <w:b/>
          <w:bCs/>
          <w:szCs w:val="24"/>
          <w:highlight w:val="none"/>
        </w:rPr>
        <w:t>2.长期货物采购项目</w:t>
      </w:r>
    </w:p>
    <w:p w14:paraId="779E24E5">
      <w:pPr>
        <w:adjustRightInd w:val="0"/>
        <w:snapToGrid w:val="0"/>
        <w:spacing w:line="276" w:lineRule="auto"/>
        <w:ind w:firstLine="420" w:firstLineChars="200"/>
        <w:rPr>
          <w:rFonts w:ascii="宋体" w:hAnsi="宋体" w:eastAsia="宋体" w:cs="宋体"/>
          <w:szCs w:val="24"/>
          <w:highlight w:val="none"/>
        </w:rPr>
      </w:pPr>
      <w:r>
        <w:rPr>
          <w:rFonts w:hint="eastAsia" w:ascii="宋体" w:hAnsi="宋体" w:eastAsia="宋体" w:cs="宋体"/>
          <w:szCs w:val="24"/>
          <w:highlight w:val="none"/>
        </w:rPr>
        <w:t>本项目非长期货物项目。</w:t>
      </w:r>
    </w:p>
    <w:p w14:paraId="10CE8317">
      <w:pPr>
        <w:adjustRightInd w:val="0"/>
        <w:snapToGrid w:val="0"/>
        <w:spacing w:line="276" w:lineRule="auto"/>
        <w:ind w:firstLine="422" w:firstLineChars="200"/>
        <w:rPr>
          <w:rFonts w:ascii="宋体" w:hAnsi="宋体" w:eastAsia="宋体" w:cs="宋体"/>
          <w:b/>
          <w:bCs/>
          <w:szCs w:val="24"/>
          <w:highlight w:val="none"/>
        </w:rPr>
      </w:pPr>
    </w:p>
    <w:p w14:paraId="03A167A3">
      <w:pPr>
        <w:adjustRightInd w:val="0"/>
        <w:snapToGrid w:val="0"/>
        <w:spacing w:line="276" w:lineRule="auto"/>
        <w:ind w:firstLine="422" w:firstLineChars="200"/>
        <w:rPr>
          <w:rFonts w:ascii="宋体" w:hAnsi="宋体" w:eastAsia="宋体" w:cs="宋体"/>
          <w:b/>
          <w:bCs/>
          <w:szCs w:val="24"/>
          <w:highlight w:val="none"/>
        </w:rPr>
      </w:pPr>
      <w:r>
        <w:rPr>
          <w:rFonts w:hint="eastAsia" w:ascii="宋体" w:hAnsi="宋体" w:eastAsia="宋体" w:cs="宋体"/>
          <w:b/>
          <w:bCs/>
          <w:szCs w:val="24"/>
          <w:highlight w:val="none"/>
        </w:rPr>
        <w:t>3.代理服务费</w:t>
      </w:r>
    </w:p>
    <w:p w14:paraId="6AE48386">
      <w:pPr>
        <w:spacing w:before="50" w:after="50" w:line="276" w:lineRule="auto"/>
        <w:ind w:firstLine="422" w:firstLineChars="200"/>
        <w:rPr>
          <w:rFonts w:ascii="宋体" w:hAnsi="宋体" w:eastAsia="宋体" w:cs="宋体"/>
          <w:b/>
          <w:szCs w:val="21"/>
          <w:highlight w:val="none"/>
        </w:rPr>
      </w:pPr>
      <w:r>
        <w:rPr>
          <w:rFonts w:hint="eastAsia" w:ascii="宋体" w:hAnsi="宋体" w:eastAsia="宋体" w:cs="宋体"/>
          <w:b/>
          <w:szCs w:val="21"/>
          <w:highlight w:val="none"/>
        </w:rPr>
        <w:t>本项目不向中标</w:t>
      </w:r>
      <w:r>
        <w:rPr>
          <w:rFonts w:hint="eastAsia" w:ascii="宋体" w:hAnsi="宋体" w:eastAsia="宋体" w:cs="宋体"/>
          <w:b/>
          <w:szCs w:val="21"/>
          <w:highlight w:val="none"/>
          <w:lang w:eastAsia="zh-CN"/>
        </w:rPr>
        <w:t>（</w:t>
      </w:r>
      <w:r>
        <w:rPr>
          <w:rFonts w:hint="eastAsia" w:ascii="宋体" w:hAnsi="宋体" w:eastAsia="宋体" w:cs="宋体"/>
          <w:b/>
          <w:szCs w:val="21"/>
          <w:highlight w:val="none"/>
          <w:lang w:val="en-US" w:eastAsia="zh-CN"/>
        </w:rPr>
        <w:t>成交</w:t>
      </w:r>
      <w:r>
        <w:rPr>
          <w:rFonts w:hint="eastAsia" w:ascii="宋体" w:hAnsi="宋体" w:eastAsia="宋体" w:cs="宋体"/>
          <w:b/>
          <w:szCs w:val="21"/>
          <w:highlight w:val="none"/>
          <w:lang w:eastAsia="zh-CN"/>
        </w:rPr>
        <w:t>）</w:t>
      </w:r>
      <w:r>
        <w:rPr>
          <w:rFonts w:hint="eastAsia" w:ascii="宋体" w:hAnsi="宋体" w:eastAsia="宋体" w:cs="宋体"/>
          <w:b/>
          <w:szCs w:val="21"/>
          <w:highlight w:val="none"/>
        </w:rPr>
        <w:t>供应商收取代理服务费。</w:t>
      </w:r>
    </w:p>
    <w:p w14:paraId="43A8B25C">
      <w:pPr>
        <w:wordWrap w:val="0"/>
        <w:spacing w:line="276" w:lineRule="auto"/>
        <w:ind w:firstLine="420" w:firstLineChars="200"/>
        <w:rPr>
          <w:rFonts w:ascii="宋体" w:hAnsi="宋体" w:eastAsia="宋体" w:cs="宋体"/>
          <w:sz w:val="24"/>
          <w:szCs w:val="24"/>
        </w:rPr>
      </w:pPr>
      <w:r>
        <w:rPr>
          <w:rFonts w:hint="eastAsia" w:ascii="宋体" w:hAnsi="宋体" w:eastAsia="宋体" w:cs="宋体"/>
          <w:szCs w:val="24"/>
        </w:rPr>
        <w:br w:type="page"/>
      </w:r>
    </w:p>
    <w:bookmarkEnd w:id="35"/>
    <w:p w14:paraId="5BFB21CD">
      <w:pPr>
        <w:keepNext/>
        <w:keepLines/>
        <w:adjustRightInd w:val="0"/>
        <w:spacing w:before="260" w:after="260"/>
        <w:jc w:val="center"/>
        <w:textAlignment w:val="baseline"/>
        <w:outlineLvl w:val="1"/>
        <w:rPr>
          <w:rFonts w:ascii="Times New Roman" w:hAnsi="Times New Roman" w:eastAsia="宋体" w:cs="Times New Roman"/>
          <w:b/>
          <w:bCs/>
          <w:kern w:val="0"/>
          <w:sz w:val="28"/>
          <w:szCs w:val="28"/>
        </w:rPr>
      </w:pPr>
      <w:r>
        <w:rPr>
          <w:rFonts w:ascii="Times New Roman" w:hAnsi="Times New Roman" w:eastAsia="宋体" w:cs="Times New Roman"/>
          <w:b/>
          <w:bCs/>
          <w:kern w:val="0"/>
          <w:sz w:val="28"/>
          <w:szCs w:val="28"/>
        </w:rPr>
        <w:t>第三章 用户需求书</w:t>
      </w:r>
    </w:p>
    <w:p w14:paraId="32D1876E">
      <w:pPr>
        <w:keepNext/>
        <w:keepLines/>
        <w:adjustRightInd w:val="0"/>
        <w:spacing w:before="156" w:beforeLines="50" w:after="156" w:afterLines="50"/>
        <w:jc w:val="center"/>
        <w:textAlignment w:val="baseline"/>
        <w:outlineLvl w:val="1"/>
        <w:rPr>
          <w:rFonts w:ascii="Times New Roman" w:hAnsi="Times New Roman" w:eastAsia="宋体" w:cs="Times New Roman"/>
          <w:b/>
          <w:bCs/>
          <w:kern w:val="0"/>
          <w:sz w:val="24"/>
          <w:szCs w:val="24"/>
        </w:rPr>
      </w:pPr>
      <w:r>
        <w:rPr>
          <w:rFonts w:ascii="Times New Roman" w:hAnsi="Times New Roman" w:eastAsia="宋体" w:cs="Times New Roman"/>
          <w:b/>
          <w:bCs/>
          <w:kern w:val="0"/>
          <w:sz w:val="24"/>
          <w:szCs w:val="24"/>
        </w:rPr>
        <w:t>一、项目基本信息</w:t>
      </w:r>
    </w:p>
    <w:tbl>
      <w:tblPr>
        <w:tblStyle w:val="44"/>
        <w:tblpPr w:leftFromText="180" w:rightFromText="180" w:vertAnchor="text" w:horzAnchor="margin" w:tblpX="1" w:tblpY="173"/>
        <w:tblW w:w="87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4"/>
        <w:gridCol w:w="2029"/>
        <w:gridCol w:w="2981"/>
        <w:gridCol w:w="1533"/>
        <w:gridCol w:w="1567"/>
      </w:tblGrid>
      <w:tr w14:paraId="24A05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24" w:type="dxa"/>
            <w:vAlign w:val="center"/>
          </w:tcPr>
          <w:p w14:paraId="68971C13">
            <w:pPr>
              <w:spacing w:line="276" w:lineRule="auto"/>
              <w:jc w:val="center"/>
              <w:rPr>
                <w:rFonts w:ascii="宋体" w:hAnsi="宋体" w:eastAsia="宋体" w:cs="宋体"/>
                <w:b/>
                <w:szCs w:val="21"/>
              </w:rPr>
            </w:pPr>
            <w:r>
              <w:rPr>
                <w:rFonts w:hint="eastAsia" w:ascii="宋体" w:hAnsi="宋体" w:eastAsia="宋体" w:cs="宋体"/>
                <w:b/>
                <w:szCs w:val="21"/>
              </w:rPr>
              <w:t>序号</w:t>
            </w:r>
          </w:p>
        </w:tc>
        <w:tc>
          <w:tcPr>
            <w:tcW w:w="2029" w:type="dxa"/>
            <w:vAlign w:val="center"/>
          </w:tcPr>
          <w:p w14:paraId="42D6FF35">
            <w:pPr>
              <w:spacing w:line="276" w:lineRule="auto"/>
              <w:jc w:val="center"/>
              <w:rPr>
                <w:rFonts w:ascii="宋体" w:hAnsi="宋体" w:eastAsia="宋体" w:cs="宋体"/>
                <w:b/>
                <w:szCs w:val="21"/>
              </w:rPr>
            </w:pPr>
            <w:r>
              <w:rPr>
                <w:rFonts w:hint="eastAsia" w:ascii="宋体" w:hAnsi="宋体" w:eastAsia="宋体" w:cs="宋体"/>
                <w:b/>
                <w:szCs w:val="21"/>
              </w:rPr>
              <w:t>采购计划编号</w:t>
            </w:r>
          </w:p>
        </w:tc>
        <w:tc>
          <w:tcPr>
            <w:tcW w:w="2981" w:type="dxa"/>
            <w:vAlign w:val="center"/>
          </w:tcPr>
          <w:p w14:paraId="282FE55F">
            <w:pPr>
              <w:spacing w:line="276" w:lineRule="auto"/>
              <w:jc w:val="center"/>
              <w:rPr>
                <w:rFonts w:ascii="宋体" w:hAnsi="宋体" w:eastAsia="宋体" w:cs="宋体"/>
                <w:b/>
                <w:szCs w:val="21"/>
              </w:rPr>
            </w:pPr>
            <w:r>
              <w:rPr>
                <w:rFonts w:hint="eastAsia" w:ascii="宋体" w:hAnsi="宋体" w:eastAsia="宋体" w:cs="宋体"/>
                <w:b/>
                <w:szCs w:val="21"/>
              </w:rPr>
              <w:t>采购项目名称</w:t>
            </w:r>
          </w:p>
        </w:tc>
        <w:tc>
          <w:tcPr>
            <w:tcW w:w="1533" w:type="dxa"/>
            <w:vAlign w:val="center"/>
          </w:tcPr>
          <w:p w14:paraId="480E26AE">
            <w:pPr>
              <w:spacing w:line="276" w:lineRule="auto"/>
              <w:jc w:val="center"/>
              <w:rPr>
                <w:rFonts w:ascii="宋体" w:hAnsi="宋体" w:eastAsia="宋体" w:cs="宋体"/>
                <w:b/>
                <w:bCs w:val="0"/>
                <w:color w:val="FF0000"/>
                <w:szCs w:val="21"/>
              </w:rPr>
            </w:pPr>
            <w:r>
              <w:rPr>
                <w:rFonts w:hint="eastAsia" w:ascii="宋体" w:hAnsi="宋体" w:eastAsia="宋体" w:cs="宋体"/>
                <w:b/>
                <w:bCs w:val="0"/>
                <w:color w:val="FF0000"/>
                <w:szCs w:val="21"/>
              </w:rPr>
              <w:t>预算金额（元）</w:t>
            </w:r>
          </w:p>
        </w:tc>
        <w:tc>
          <w:tcPr>
            <w:tcW w:w="1567" w:type="dxa"/>
            <w:vAlign w:val="center"/>
          </w:tcPr>
          <w:p w14:paraId="36B5834D">
            <w:pPr>
              <w:spacing w:line="276" w:lineRule="auto"/>
              <w:jc w:val="center"/>
              <w:rPr>
                <w:rFonts w:hint="eastAsia" w:ascii="宋体" w:hAnsi="宋体" w:eastAsia="宋体" w:cs="宋体"/>
                <w:b/>
                <w:bCs w:val="0"/>
                <w:color w:val="FF0000"/>
                <w:szCs w:val="21"/>
              </w:rPr>
            </w:pPr>
            <w:r>
              <w:rPr>
                <w:rFonts w:hint="eastAsia" w:ascii="宋体" w:hAnsi="宋体" w:eastAsia="宋体" w:cs="宋体"/>
                <w:b/>
                <w:bCs w:val="0"/>
                <w:color w:val="FF0000"/>
                <w:szCs w:val="21"/>
              </w:rPr>
              <w:t>最高限价（元）</w:t>
            </w:r>
          </w:p>
        </w:tc>
      </w:tr>
      <w:tr w14:paraId="0402F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624" w:type="dxa"/>
            <w:vAlign w:val="center"/>
          </w:tcPr>
          <w:p w14:paraId="433821EB">
            <w:pPr>
              <w:spacing w:line="276" w:lineRule="auto"/>
              <w:jc w:val="center"/>
              <w:rPr>
                <w:rFonts w:hint="eastAsia" w:ascii="宋体" w:hAnsi="宋体" w:eastAsia="宋体" w:cs="宋体"/>
                <w:b/>
                <w:bCs/>
                <w:szCs w:val="21"/>
              </w:rPr>
            </w:pPr>
            <w:r>
              <w:rPr>
                <w:rFonts w:hint="eastAsia" w:ascii="宋体" w:hAnsi="宋体" w:eastAsia="宋体" w:cs="宋体"/>
                <w:b/>
                <w:bCs/>
                <w:szCs w:val="21"/>
              </w:rPr>
              <w:t>1</w:t>
            </w:r>
          </w:p>
        </w:tc>
        <w:tc>
          <w:tcPr>
            <w:tcW w:w="2029" w:type="dxa"/>
            <w:tcBorders/>
            <w:vAlign w:val="center"/>
          </w:tcPr>
          <w:p w14:paraId="5AC06159">
            <w:pPr>
              <w:spacing w:line="276" w:lineRule="auto"/>
              <w:jc w:val="both"/>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PLAN-2026-440305000-128001-07824</w:t>
            </w:r>
            <w:r>
              <w:rPr>
                <w:rFonts w:hint="eastAsia" w:ascii="宋体" w:hAnsi="宋体" w:eastAsia="宋体" w:cs="宋体"/>
                <w:b w:val="0"/>
                <w:bCs w:val="0"/>
                <w:sz w:val="21"/>
                <w:szCs w:val="21"/>
                <w:lang w:eastAsia="zh-CN"/>
              </w:rPr>
              <w:t>；</w:t>
            </w:r>
          </w:p>
          <w:p w14:paraId="596275B1">
            <w:pPr>
              <w:spacing w:line="276" w:lineRule="auto"/>
              <w:jc w:val="both"/>
              <w:rPr>
                <w:rFonts w:hint="eastAsia" w:ascii="宋体" w:hAnsi="宋体" w:eastAsia="宋体" w:cs="宋体"/>
                <w:b/>
                <w:bCs/>
                <w:sz w:val="21"/>
                <w:szCs w:val="21"/>
                <w:lang w:val="en-US" w:eastAsia="zh-CN"/>
              </w:rPr>
            </w:pPr>
            <w:r>
              <w:rPr>
                <w:rFonts w:hint="eastAsia" w:ascii="宋体" w:hAnsi="宋体" w:eastAsia="宋体" w:cs="宋体"/>
                <w:b w:val="0"/>
                <w:bCs w:val="0"/>
                <w:sz w:val="21"/>
                <w:szCs w:val="21"/>
              </w:rPr>
              <w:t>PLAN-2026-440305000-128001-0782</w:t>
            </w:r>
            <w:r>
              <w:rPr>
                <w:rFonts w:hint="eastAsia" w:ascii="宋体" w:hAnsi="宋体" w:eastAsia="宋体" w:cs="宋体"/>
                <w:b w:val="0"/>
                <w:bCs w:val="0"/>
                <w:sz w:val="21"/>
                <w:szCs w:val="21"/>
                <w:lang w:val="en-US" w:eastAsia="zh-CN"/>
              </w:rPr>
              <w:t>5；</w:t>
            </w:r>
          </w:p>
        </w:tc>
        <w:tc>
          <w:tcPr>
            <w:tcW w:w="2981" w:type="dxa"/>
            <w:shd w:val="clear" w:color="auto" w:fill="auto"/>
            <w:vAlign w:val="center"/>
          </w:tcPr>
          <w:p w14:paraId="06A20E11">
            <w:pPr>
              <w:spacing w:line="276" w:lineRule="auto"/>
              <w:jc w:val="center"/>
              <w:rPr>
                <w:rFonts w:ascii="宋体" w:hAnsi="宋体" w:eastAsia="宋体" w:cs="宋体"/>
                <w:b/>
                <w:bCs/>
                <w:kern w:val="2"/>
                <w:sz w:val="21"/>
                <w:szCs w:val="21"/>
                <w:lang w:val="en-US" w:eastAsia="zh-CN" w:bidi="ar-SA"/>
              </w:rPr>
            </w:pPr>
            <w:r>
              <w:rPr>
                <w:rFonts w:hint="eastAsia" w:ascii="宋体" w:hAnsi="宋体" w:eastAsia="宋体" w:cs="宋体"/>
                <w:b/>
                <w:bCs/>
                <w:szCs w:val="21"/>
              </w:rPr>
              <w:t>南山区创新大道综合提升项目（智慧部分）</w:t>
            </w:r>
          </w:p>
        </w:tc>
        <w:tc>
          <w:tcPr>
            <w:tcW w:w="1533" w:type="dxa"/>
            <w:shd w:val="clear" w:color="auto" w:fill="auto"/>
            <w:vAlign w:val="center"/>
          </w:tcPr>
          <w:p w14:paraId="15018AD5">
            <w:pPr>
              <w:spacing w:line="276" w:lineRule="auto"/>
              <w:jc w:val="center"/>
              <w:rPr>
                <w:rFonts w:ascii="宋体" w:hAnsi="宋体" w:eastAsia="宋体" w:cs="宋体"/>
                <w:b/>
                <w:bCs w:val="0"/>
                <w:color w:val="FF0000"/>
                <w:szCs w:val="21"/>
              </w:rPr>
            </w:pPr>
            <w:r>
              <w:rPr>
                <w:rFonts w:hint="eastAsia" w:ascii="宋体" w:hAnsi="宋体" w:eastAsia="宋体" w:cs="宋体"/>
                <w:b/>
                <w:bCs w:val="0"/>
                <w:color w:val="FF0000"/>
                <w:szCs w:val="21"/>
                <w:lang w:val="en-US" w:eastAsia="zh-CN"/>
              </w:rPr>
              <w:t>78476276.67</w:t>
            </w:r>
          </w:p>
        </w:tc>
        <w:tc>
          <w:tcPr>
            <w:tcW w:w="1567" w:type="dxa"/>
            <w:shd w:val="clear" w:color="auto" w:fill="auto"/>
            <w:vAlign w:val="center"/>
          </w:tcPr>
          <w:p w14:paraId="38843532">
            <w:pPr>
              <w:spacing w:line="276" w:lineRule="auto"/>
              <w:jc w:val="center"/>
              <w:rPr>
                <w:rFonts w:hint="eastAsia" w:ascii="宋体" w:hAnsi="宋体" w:eastAsia="宋体" w:cs="宋体"/>
                <w:b/>
                <w:bCs w:val="0"/>
                <w:color w:val="FF0000"/>
                <w:szCs w:val="21"/>
                <w:lang w:val="en-US" w:eastAsia="zh-CN"/>
              </w:rPr>
            </w:pPr>
            <w:r>
              <w:rPr>
                <w:rFonts w:hint="eastAsia" w:ascii="宋体" w:hAnsi="宋体" w:eastAsia="宋体" w:cs="宋体"/>
                <w:b/>
                <w:bCs w:val="0"/>
                <w:color w:val="FF0000"/>
                <w:szCs w:val="21"/>
                <w:lang w:val="en-US" w:eastAsia="zh-CN"/>
              </w:rPr>
              <w:t>78476276.67</w:t>
            </w:r>
          </w:p>
        </w:tc>
      </w:tr>
    </w:tbl>
    <w:p w14:paraId="65ACE60A">
      <w:pPr>
        <w:rPr>
          <w:rFonts w:ascii="Times New Roman" w:hAnsi="Times New Roman" w:eastAsia="宋体" w:cs="Times New Roman"/>
          <w:b/>
          <w:color w:val="FF0000"/>
          <w:szCs w:val="21"/>
        </w:rPr>
      </w:pPr>
      <w:r>
        <w:rPr>
          <w:rFonts w:hint="eastAsia" w:ascii="宋体" w:hAnsi="宋体" w:eastAsia="宋体" w:cs="Times New Roman"/>
          <w:b/>
          <w:color w:val="FF0000"/>
          <w:szCs w:val="21"/>
        </w:rPr>
        <w:t>本项目在预算金额下设定最高限价，如投标人的投标报价超过最高限价，将按照符合性审查要求作投标无效处理。</w:t>
      </w:r>
    </w:p>
    <w:p w14:paraId="70BD286B">
      <w:pPr>
        <w:pStyle w:val="19"/>
        <w:rPr>
          <w:rFonts w:ascii="Times New Roman" w:hAnsi="Times New Roman" w:eastAsia="宋体" w:cs="Times New Roman"/>
          <w:b/>
          <w:color w:val="FF0000"/>
          <w:szCs w:val="21"/>
        </w:rPr>
      </w:pPr>
    </w:p>
    <w:p w14:paraId="3C2D9C58">
      <w:pPr>
        <w:keepNext/>
        <w:keepLines/>
        <w:adjustRightInd w:val="0"/>
        <w:spacing w:before="156" w:beforeLines="50" w:after="156" w:afterLines="50"/>
        <w:jc w:val="center"/>
        <w:textAlignment w:val="baseline"/>
        <w:outlineLvl w:val="1"/>
        <w:rPr>
          <w:rFonts w:ascii="Arial"/>
          <w:sz w:val="21"/>
        </w:rPr>
      </w:pPr>
      <w:r>
        <w:rPr>
          <w:rFonts w:ascii="Times New Roman" w:hAnsi="Times New Roman" w:eastAsia="宋体" w:cs="Times New Roman"/>
          <w:b/>
          <w:bCs/>
          <w:kern w:val="0"/>
          <w:sz w:val="24"/>
          <w:szCs w:val="24"/>
        </w:rPr>
        <w:t>二、项目概况</w:t>
      </w:r>
    </w:p>
    <w:p w14:paraId="4D73EC38">
      <w:pPr>
        <w:pStyle w:val="19"/>
        <w:spacing w:before="78" w:line="220" w:lineRule="auto"/>
        <w:ind w:left="3196"/>
        <w:jc w:val="left"/>
        <w:outlineLvl w:val="2"/>
        <w:rPr>
          <w:sz w:val="24"/>
          <w:szCs w:val="24"/>
        </w:rPr>
      </w:pPr>
      <w:r>
        <w:rPr>
          <w:b/>
          <w:bCs/>
          <w:spacing w:val="-4"/>
          <w:sz w:val="24"/>
          <w:szCs w:val="24"/>
        </w:rPr>
        <w:t>（一）项目建设背景</w:t>
      </w:r>
    </w:p>
    <w:p w14:paraId="1C2BAC50">
      <w:pPr>
        <w:spacing w:line="276" w:lineRule="auto"/>
        <w:ind w:firstLine="420" w:firstLineChars="200"/>
        <w:rPr>
          <w:rFonts w:hint="default" w:ascii="宋体" w:hAnsi="宋体" w:eastAsia="宋体" w:cs="宋体"/>
          <w:szCs w:val="24"/>
          <w:lang w:val="en-US" w:eastAsia="zh-CN"/>
        </w:rPr>
      </w:pPr>
      <w:r>
        <w:rPr>
          <w:rFonts w:hint="eastAsia" w:ascii="宋体" w:hAnsi="宋体" w:eastAsia="宋体" w:cs="宋体"/>
          <w:szCs w:val="24"/>
          <w:lang w:eastAsia="zh-CN"/>
        </w:rPr>
        <w:t>南山区</w:t>
      </w:r>
      <w:r>
        <w:rPr>
          <w:rFonts w:hint="eastAsia" w:ascii="宋体" w:hAnsi="宋体" w:eastAsia="宋体" w:cs="宋体"/>
          <w:szCs w:val="24"/>
        </w:rPr>
        <w:t>创新大道综合提升项目（智慧部分）</w:t>
      </w:r>
      <w:r>
        <w:rPr>
          <w:rFonts w:hint="eastAsia" w:ascii="宋体" w:hAnsi="宋体" w:eastAsia="宋体" w:cs="宋体"/>
          <w:szCs w:val="24"/>
          <w:lang w:eastAsia="zh-CN"/>
        </w:rPr>
        <w:t>项目（以下称“项目”）</w:t>
      </w:r>
      <w:r>
        <w:rPr>
          <w:rFonts w:hint="eastAsia" w:ascii="宋体" w:hAnsi="宋体" w:eastAsia="宋体" w:cs="宋体"/>
          <w:szCs w:val="24"/>
        </w:rPr>
        <w:t>围绕创新大道沿线8.79km（工业八路-宝深路，茶光路-同沙路）的街区，聚焦沿线交通出行痛点，开展以路口通行能力挖潜、慢行效率与安全提升、公</w:t>
      </w:r>
      <w:bookmarkStart w:id="128" w:name="_GoBack"/>
      <w:bookmarkEnd w:id="128"/>
      <w:r>
        <w:rPr>
          <w:rFonts w:hint="eastAsia" w:ascii="宋体" w:hAnsi="宋体" w:eastAsia="宋体" w:cs="宋体"/>
          <w:szCs w:val="24"/>
        </w:rPr>
        <w:t>交服务品质改善为主，提出采用智慧信控、综合执法、可变车道等一系列创新科技应用，支撑智慧出行标杆大道落地，为建成智慧交通创新示范区奠定基础。</w:t>
      </w:r>
    </w:p>
    <w:p w14:paraId="69698D16">
      <w:pPr>
        <w:pStyle w:val="19"/>
        <w:spacing w:before="302" w:line="220" w:lineRule="auto"/>
        <w:ind w:left="3438"/>
        <w:outlineLvl w:val="2"/>
        <w:rPr>
          <w:sz w:val="24"/>
          <w:szCs w:val="24"/>
        </w:rPr>
      </w:pPr>
      <w:r>
        <w:rPr>
          <w:b/>
          <w:bCs/>
          <w:spacing w:val="-12"/>
          <w:sz w:val="24"/>
          <w:szCs w:val="24"/>
        </w:rPr>
        <w:t>（二）</w:t>
      </w:r>
      <w:r>
        <w:rPr>
          <w:spacing w:val="-67"/>
          <w:sz w:val="24"/>
          <w:szCs w:val="24"/>
        </w:rPr>
        <w:t xml:space="preserve"> </w:t>
      </w:r>
      <w:r>
        <w:rPr>
          <w:b/>
          <w:bCs/>
          <w:spacing w:val="-12"/>
          <w:sz w:val="24"/>
          <w:szCs w:val="24"/>
        </w:rPr>
        <w:t>建设内容</w:t>
      </w:r>
    </w:p>
    <w:p w14:paraId="74C09898">
      <w:pPr>
        <w:spacing w:line="276" w:lineRule="auto"/>
        <w:ind w:firstLine="420" w:firstLineChars="200"/>
        <w:rPr>
          <w:rFonts w:hint="eastAsia" w:ascii="宋体" w:hAnsi="宋体" w:eastAsia="宋体" w:cs="宋体"/>
          <w:szCs w:val="24"/>
        </w:rPr>
      </w:pPr>
      <w:r>
        <w:rPr>
          <w:rFonts w:hint="eastAsia" w:ascii="宋体" w:hAnsi="宋体" w:eastAsia="宋体" w:cs="宋体"/>
          <w:szCs w:val="24"/>
        </w:rPr>
        <w:t>本项目设计对象包括前端设施工程、圳智慧·创新大道数字道路专题、后台资源三部分内容。</w:t>
      </w:r>
    </w:p>
    <w:p w14:paraId="245B73DB">
      <w:pPr>
        <w:spacing w:line="276" w:lineRule="auto"/>
        <w:ind w:firstLine="420" w:firstLineChars="200"/>
        <w:rPr>
          <w:rFonts w:hint="eastAsia" w:ascii="宋体" w:hAnsi="宋体" w:eastAsia="宋体" w:cs="宋体"/>
          <w:szCs w:val="24"/>
        </w:rPr>
      </w:pPr>
      <w:r>
        <w:rPr>
          <w:rFonts w:hint="eastAsia" w:ascii="宋体" w:hAnsi="宋体" w:eastAsia="宋体" w:cs="宋体"/>
          <w:szCs w:val="24"/>
        </w:rPr>
        <w:t>1、前端设施建设</w:t>
      </w:r>
    </w:p>
    <w:p w14:paraId="5B7B7940">
      <w:pPr>
        <w:spacing w:line="276" w:lineRule="auto"/>
        <w:ind w:firstLine="420" w:firstLineChars="200"/>
        <w:rPr>
          <w:rFonts w:hint="eastAsia" w:ascii="宋体" w:hAnsi="宋体" w:eastAsia="宋体" w:cs="宋体"/>
          <w:szCs w:val="24"/>
        </w:rPr>
      </w:pPr>
      <w:r>
        <w:rPr>
          <w:rFonts w:hint="eastAsia" w:ascii="宋体" w:hAnsi="宋体" w:eastAsia="宋体" w:cs="宋体"/>
          <w:szCs w:val="24"/>
        </w:rPr>
        <w:t>本工程沿线长为8.79km（工业八路-宝深路，茶光路-同沙路），南山区创新大道综合提升项目（智慧部分）外场包括道路照明设施、交通管控设施、公交</w:t>
      </w:r>
      <w:r>
        <w:rPr>
          <w:rFonts w:hint="eastAsia" w:ascii="宋体" w:hAnsi="宋体" w:eastAsia="宋体" w:cs="宋体"/>
          <w:szCs w:val="24"/>
          <w:lang w:eastAsia="zh-CN"/>
        </w:rPr>
        <w:t>站台</w:t>
      </w:r>
      <w:r>
        <w:rPr>
          <w:rFonts w:hint="eastAsia" w:ascii="宋体" w:hAnsi="宋体" w:eastAsia="宋体" w:cs="宋体"/>
          <w:szCs w:val="24"/>
        </w:rPr>
        <w:t>设施、道路感知设施、多功能智能杆设施、智驾服务设施</w:t>
      </w:r>
      <w:r>
        <w:rPr>
          <w:rFonts w:hint="eastAsia" w:ascii="宋体" w:hAnsi="宋体" w:eastAsia="宋体" w:cs="宋体"/>
          <w:szCs w:val="24"/>
          <w:lang w:eastAsia="zh-CN"/>
        </w:rPr>
        <w:t>、管道施工、光缆铺设</w:t>
      </w:r>
      <w:r>
        <w:rPr>
          <w:rFonts w:hint="eastAsia" w:ascii="宋体" w:hAnsi="宋体" w:eastAsia="宋体" w:cs="宋体"/>
          <w:szCs w:val="24"/>
        </w:rPr>
        <w:t>及辅助配套。</w:t>
      </w:r>
    </w:p>
    <w:p w14:paraId="73D4747F">
      <w:pPr>
        <w:spacing w:line="276" w:lineRule="auto"/>
        <w:ind w:firstLine="420" w:firstLineChars="200"/>
        <w:rPr>
          <w:rFonts w:hint="eastAsia" w:ascii="宋体" w:hAnsi="宋体" w:eastAsia="宋体" w:cs="宋体"/>
          <w:szCs w:val="24"/>
        </w:rPr>
      </w:pPr>
      <w:r>
        <w:rPr>
          <w:rFonts w:hint="eastAsia" w:ascii="宋体" w:hAnsi="宋体" w:eastAsia="宋体" w:cs="宋体"/>
          <w:szCs w:val="24"/>
          <w:lang w:val="en-US" w:eastAsia="zh-CN"/>
        </w:rPr>
        <w:t>2、</w:t>
      </w:r>
      <w:r>
        <w:rPr>
          <w:rFonts w:hint="eastAsia" w:ascii="宋体" w:hAnsi="宋体" w:eastAsia="宋体" w:cs="宋体"/>
          <w:szCs w:val="24"/>
        </w:rPr>
        <w:t>圳智慧·创新大道数字道路专题</w:t>
      </w:r>
    </w:p>
    <w:p w14:paraId="3BEC2193">
      <w:pPr>
        <w:spacing w:line="276" w:lineRule="auto"/>
        <w:ind w:firstLine="420" w:firstLineChars="200"/>
        <w:rPr>
          <w:rFonts w:hint="eastAsia" w:ascii="宋体" w:hAnsi="宋体" w:eastAsia="宋体" w:cs="宋体"/>
          <w:szCs w:val="24"/>
        </w:rPr>
      </w:pPr>
      <w:r>
        <w:rPr>
          <w:rFonts w:hint="eastAsia" w:ascii="宋体" w:hAnsi="宋体" w:eastAsia="宋体" w:cs="宋体"/>
          <w:szCs w:val="24"/>
        </w:rPr>
        <w:t>圳智慧·创新大道数字道路专题是在区CIM平台基础上建设的数字道路专题，建设内容主要包含数字道路实时三维引擎和创新大道数字孪生</w:t>
      </w:r>
      <w:r>
        <w:rPr>
          <w:rFonts w:hint="eastAsia" w:ascii="宋体" w:hAnsi="宋体" w:eastAsia="宋体" w:cs="宋体"/>
          <w:szCs w:val="24"/>
          <w:lang w:eastAsia="zh-CN"/>
        </w:rPr>
        <w:t>应用</w:t>
      </w:r>
      <w:r>
        <w:rPr>
          <w:rFonts w:hint="eastAsia" w:ascii="宋体" w:hAnsi="宋体" w:eastAsia="宋体" w:cs="宋体"/>
          <w:szCs w:val="24"/>
        </w:rPr>
        <w:t>2大模块。</w:t>
      </w:r>
    </w:p>
    <w:p w14:paraId="0D5194A5">
      <w:pPr>
        <w:spacing w:line="276" w:lineRule="auto"/>
        <w:ind w:firstLine="420" w:firstLineChars="200"/>
        <w:rPr>
          <w:rFonts w:hint="eastAsia" w:ascii="宋体" w:hAnsi="宋体" w:eastAsia="宋体" w:cs="宋体"/>
          <w:szCs w:val="24"/>
        </w:rPr>
      </w:pPr>
      <w:r>
        <w:rPr>
          <w:rFonts w:hint="eastAsia" w:ascii="宋体" w:hAnsi="宋体" w:eastAsia="宋体" w:cs="宋体"/>
          <w:szCs w:val="24"/>
          <w:lang w:val="en-US" w:eastAsia="zh-CN"/>
        </w:rPr>
        <w:t>3、</w:t>
      </w:r>
      <w:r>
        <w:rPr>
          <w:rFonts w:hint="eastAsia" w:ascii="宋体" w:hAnsi="宋体" w:eastAsia="宋体" w:cs="宋体"/>
          <w:szCs w:val="24"/>
        </w:rPr>
        <w:t>后台资源</w:t>
      </w:r>
    </w:p>
    <w:p w14:paraId="528CB95B">
      <w:pPr>
        <w:spacing w:line="276" w:lineRule="auto"/>
        <w:ind w:firstLine="420" w:firstLineChars="200"/>
        <w:rPr>
          <w:rFonts w:hint="eastAsia" w:ascii="宋体" w:hAnsi="宋体" w:eastAsia="宋体" w:cs="宋体"/>
          <w:szCs w:val="24"/>
        </w:rPr>
      </w:pPr>
      <w:r>
        <w:rPr>
          <w:rFonts w:hint="eastAsia" w:ascii="宋体" w:hAnsi="宋体" w:eastAsia="宋体" w:cs="宋体"/>
          <w:szCs w:val="24"/>
        </w:rPr>
        <w:t>后台资源包括交通管控后台资源和智慧道路后台资源2大类，主要涉及网络、安全及存储配套资源建设。</w:t>
      </w:r>
    </w:p>
    <w:p w14:paraId="19E913DE">
      <w:pPr>
        <w:rPr>
          <w:rFonts w:ascii="Times New Roman" w:hAnsi="Times New Roman" w:eastAsia="宋体" w:cs="Times New Roman"/>
          <w:b/>
          <w:color w:val="FF0000"/>
          <w:szCs w:val="21"/>
        </w:rPr>
      </w:pPr>
    </w:p>
    <w:p w14:paraId="6D6226F7">
      <w:r>
        <w:br w:type="page"/>
      </w:r>
    </w:p>
    <w:p w14:paraId="3C980DBE">
      <w:pPr>
        <w:keepNext/>
        <w:keepLines/>
        <w:numPr>
          <w:ilvl w:val="0"/>
          <w:numId w:val="8"/>
        </w:numPr>
        <w:adjustRightInd w:val="0"/>
        <w:spacing w:before="156" w:beforeLines="50" w:after="156" w:afterLines="50"/>
        <w:jc w:val="center"/>
        <w:textAlignment w:val="baseline"/>
        <w:outlineLvl w:val="1"/>
      </w:pPr>
      <w:bookmarkStart w:id="38" w:name="_Hlk72073432"/>
      <w:bookmarkStart w:id="39" w:name="_Hlk72258617"/>
      <w:r>
        <w:rPr>
          <w:rFonts w:ascii="Times New Roman" w:hAnsi="Times New Roman" w:eastAsia="宋体" w:cs="Times New Roman"/>
          <w:b/>
          <w:bCs/>
          <w:kern w:val="0"/>
          <w:sz w:val="24"/>
          <w:szCs w:val="24"/>
        </w:rPr>
        <w:t>货物需求明细</w:t>
      </w:r>
      <w:bookmarkEnd w:id="38"/>
    </w:p>
    <w:p w14:paraId="77731589">
      <w:pPr>
        <w:pStyle w:val="19"/>
        <w:spacing w:before="28" w:line="214" w:lineRule="auto"/>
        <w:ind w:left="127"/>
        <w:outlineLvl w:val="2"/>
      </w:pPr>
      <w:r>
        <w:rPr>
          <w:b/>
          <w:bCs/>
          <w:spacing w:val="-3"/>
          <w:sz w:val="21"/>
          <w:szCs w:val="21"/>
        </w:rPr>
        <w:t>（一）</w:t>
      </w:r>
      <w:r>
        <w:rPr>
          <w:b/>
          <w:bCs/>
          <w:spacing w:val="-3"/>
          <w:sz w:val="24"/>
          <w:szCs w:val="24"/>
        </w:rPr>
        <w:t>硬件设备货物清单</w:t>
      </w:r>
    </w:p>
    <w:tbl>
      <w:tblPr>
        <w:tblStyle w:val="44"/>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58"/>
        <w:gridCol w:w="705"/>
        <w:gridCol w:w="2497"/>
        <w:gridCol w:w="660"/>
        <w:gridCol w:w="690"/>
        <w:gridCol w:w="1110"/>
        <w:gridCol w:w="1110"/>
        <w:gridCol w:w="699"/>
        <w:gridCol w:w="810"/>
        <w:gridCol w:w="585"/>
      </w:tblGrid>
      <w:tr w14:paraId="535D2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8" w:type="dxa"/>
            <w:shd w:val="clear" w:color="auto" w:fill="auto"/>
            <w:vAlign w:val="center"/>
          </w:tcPr>
          <w:p w14:paraId="4EDFD5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705" w:type="dxa"/>
            <w:shd w:val="clear" w:color="auto" w:fill="auto"/>
            <w:vAlign w:val="center"/>
          </w:tcPr>
          <w:p w14:paraId="0C6939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采购计划编号</w:t>
            </w:r>
          </w:p>
        </w:tc>
        <w:tc>
          <w:tcPr>
            <w:tcW w:w="2497" w:type="dxa"/>
            <w:shd w:val="clear" w:color="auto" w:fill="auto"/>
            <w:vAlign w:val="center"/>
          </w:tcPr>
          <w:p w14:paraId="2846EA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货物名称</w:t>
            </w:r>
          </w:p>
        </w:tc>
        <w:tc>
          <w:tcPr>
            <w:tcW w:w="660" w:type="dxa"/>
            <w:shd w:val="clear" w:color="auto" w:fill="auto"/>
            <w:vAlign w:val="center"/>
          </w:tcPr>
          <w:p w14:paraId="678F53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690" w:type="dxa"/>
            <w:shd w:val="clear" w:color="auto" w:fill="auto"/>
            <w:vAlign w:val="center"/>
          </w:tcPr>
          <w:p w14:paraId="3442EF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1110" w:type="dxa"/>
            <w:shd w:val="clear" w:color="auto" w:fill="auto"/>
            <w:vAlign w:val="center"/>
          </w:tcPr>
          <w:p w14:paraId="049150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kern w:val="0"/>
                <w:sz w:val="22"/>
                <w:szCs w:val="22"/>
                <w:u w:val="none"/>
                <w:lang w:val="en-US" w:eastAsia="zh-CN" w:bidi="ar"/>
              </w:rPr>
              <w:t>是否接受进口</w:t>
            </w:r>
          </w:p>
        </w:tc>
        <w:tc>
          <w:tcPr>
            <w:tcW w:w="1110" w:type="dxa"/>
            <w:shd w:val="clear" w:color="auto" w:fill="auto"/>
            <w:vAlign w:val="center"/>
          </w:tcPr>
          <w:p w14:paraId="3E367B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kern w:val="0"/>
                <w:sz w:val="22"/>
                <w:szCs w:val="22"/>
                <w:u w:val="none"/>
                <w:lang w:val="en-US" w:eastAsia="zh-CN" w:bidi="ar"/>
              </w:rPr>
              <w:t>是否为节能产品</w:t>
            </w:r>
          </w:p>
        </w:tc>
        <w:tc>
          <w:tcPr>
            <w:tcW w:w="699" w:type="dxa"/>
            <w:shd w:val="clear" w:color="auto" w:fill="auto"/>
            <w:vAlign w:val="center"/>
          </w:tcPr>
          <w:p w14:paraId="421B5F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kern w:val="0"/>
                <w:sz w:val="22"/>
                <w:szCs w:val="22"/>
                <w:u w:val="none"/>
                <w:lang w:val="en-US" w:eastAsia="zh-CN" w:bidi="ar"/>
              </w:rPr>
              <w:t>是否为环境标志产品</w:t>
            </w:r>
          </w:p>
        </w:tc>
        <w:tc>
          <w:tcPr>
            <w:tcW w:w="810" w:type="dxa"/>
            <w:shd w:val="clear" w:color="auto" w:fill="auto"/>
            <w:vAlign w:val="center"/>
          </w:tcPr>
          <w:p w14:paraId="7F4B3F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是否专门面向中小企业</w:t>
            </w:r>
          </w:p>
        </w:tc>
        <w:tc>
          <w:tcPr>
            <w:tcW w:w="585" w:type="dxa"/>
            <w:shd w:val="clear" w:color="auto" w:fill="auto"/>
            <w:vAlign w:val="center"/>
          </w:tcPr>
          <w:p w14:paraId="323960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标的所属行业</w:t>
            </w:r>
          </w:p>
        </w:tc>
      </w:tr>
      <w:tr w14:paraId="58A58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4" w:hRule="atLeast"/>
          <w:jc w:val="center"/>
        </w:trPr>
        <w:tc>
          <w:tcPr>
            <w:tcW w:w="658" w:type="dxa"/>
            <w:shd w:val="clear" w:color="auto" w:fill="auto"/>
            <w:vAlign w:val="center"/>
          </w:tcPr>
          <w:p w14:paraId="658B4A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w:t>
            </w:r>
          </w:p>
        </w:tc>
        <w:tc>
          <w:tcPr>
            <w:tcW w:w="705" w:type="dxa"/>
            <w:vMerge w:val="restart"/>
            <w:shd w:val="clear" w:color="auto" w:fill="auto"/>
            <w:vAlign w:val="center"/>
          </w:tcPr>
          <w:p w14:paraId="1E8720B0">
            <w:pPr>
              <w:spacing w:line="276" w:lineRule="auto"/>
              <w:jc w:val="both"/>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PLAN-2026-440305000-128001-07824</w:t>
            </w:r>
            <w:r>
              <w:rPr>
                <w:rFonts w:hint="eastAsia" w:ascii="宋体" w:hAnsi="宋体" w:eastAsia="宋体" w:cs="宋体"/>
                <w:b w:val="0"/>
                <w:bCs w:val="0"/>
                <w:sz w:val="21"/>
                <w:szCs w:val="21"/>
                <w:lang w:eastAsia="zh-CN"/>
              </w:rPr>
              <w:t>；</w:t>
            </w:r>
          </w:p>
          <w:p w14:paraId="76DAE0A6">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r>
              <w:rPr>
                <w:rFonts w:hint="eastAsia" w:ascii="宋体" w:hAnsi="宋体" w:eastAsia="宋体" w:cs="宋体"/>
                <w:b w:val="0"/>
                <w:bCs w:val="0"/>
                <w:sz w:val="21"/>
                <w:szCs w:val="21"/>
              </w:rPr>
              <w:t>PLAN-2026-440305000-128001-0782</w:t>
            </w:r>
            <w:r>
              <w:rPr>
                <w:rFonts w:hint="eastAsia" w:ascii="宋体" w:hAnsi="宋体" w:eastAsia="宋体" w:cs="宋体"/>
                <w:b w:val="0"/>
                <w:bCs w:val="0"/>
                <w:sz w:val="21"/>
                <w:szCs w:val="21"/>
                <w:lang w:val="en-US" w:eastAsia="zh-CN"/>
              </w:rPr>
              <w:t>5；</w:t>
            </w:r>
          </w:p>
        </w:tc>
        <w:tc>
          <w:tcPr>
            <w:tcW w:w="7576" w:type="dxa"/>
            <w:gridSpan w:val="7"/>
            <w:shd w:val="clear" w:color="auto" w:fill="auto"/>
            <w:vAlign w:val="center"/>
          </w:tcPr>
          <w:p w14:paraId="6BF8A71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前端设施</w:t>
            </w:r>
          </w:p>
        </w:tc>
        <w:tc>
          <w:tcPr>
            <w:tcW w:w="585" w:type="dxa"/>
            <w:vMerge w:val="restart"/>
            <w:shd w:val="clear" w:color="auto" w:fill="auto"/>
            <w:vAlign w:val="center"/>
          </w:tcPr>
          <w:p w14:paraId="2892D1CF">
            <w:pPr>
              <w:keepNext w:val="0"/>
              <w:keepLines w:val="0"/>
              <w:widowControl/>
              <w:suppressLineNumbers w:val="0"/>
              <w:snapToGrid w:val="0"/>
              <w:ind w:left="0" w:leftChars="0" w:right="0" w:rightChars="0" w:firstLine="0" w:firstLineChars="0"/>
              <w:jc w:val="center"/>
              <w:textAlignment w:val="top"/>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工业</w:t>
            </w:r>
          </w:p>
        </w:tc>
      </w:tr>
      <w:tr w14:paraId="4D601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2C90A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w:t>
            </w:r>
          </w:p>
        </w:tc>
        <w:tc>
          <w:tcPr>
            <w:tcW w:w="705" w:type="dxa"/>
            <w:vMerge w:val="continue"/>
            <w:shd w:val="clear" w:color="auto" w:fill="auto"/>
            <w:vAlign w:val="center"/>
          </w:tcPr>
          <w:p w14:paraId="207F896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7A0B66A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道路照明设施</w:t>
            </w:r>
          </w:p>
        </w:tc>
        <w:tc>
          <w:tcPr>
            <w:tcW w:w="585" w:type="dxa"/>
            <w:vMerge w:val="continue"/>
            <w:shd w:val="clear" w:color="auto" w:fill="auto"/>
            <w:vAlign w:val="center"/>
          </w:tcPr>
          <w:p w14:paraId="7A5A49D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D332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5B500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vMerge w:val="continue"/>
            <w:shd w:val="clear" w:color="auto" w:fill="auto"/>
            <w:vAlign w:val="center"/>
          </w:tcPr>
          <w:p w14:paraId="2730F5D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FEA49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路灯灯具（3×300W）</w:t>
            </w:r>
          </w:p>
        </w:tc>
        <w:tc>
          <w:tcPr>
            <w:tcW w:w="660" w:type="dxa"/>
            <w:shd w:val="clear" w:color="auto" w:fill="auto"/>
            <w:noWrap/>
            <w:vAlign w:val="center"/>
          </w:tcPr>
          <w:p w14:paraId="16CA762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w:t>
            </w:r>
          </w:p>
        </w:tc>
        <w:tc>
          <w:tcPr>
            <w:tcW w:w="690" w:type="dxa"/>
            <w:shd w:val="clear" w:color="auto" w:fill="auto"/>
            <w:vAlign w:val="center"/>
          </w:tcPr>
          <w:p w14:paraId="5B2554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026558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387CF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1"/>
                <w:u w:val="none"/>
              </w:rPr>
            </w:pPr>
            <w:r>
              <w:rPr>
                <w:rFonts w:hint="eastAsia" w:ascii="宋体" w:hAnsi="宋体" w:eastAsia="宋体" w:cs="宋体"/>
                <w:b/>
                <w:bCs/>
                <w:i w:val="0"/>
                <w:iCs w:val="0"/>
                <w:color w:val="000000"/>
                <w:kern w:val="0"/>
                <w:sz w:val="20"/>
                <w:szCs w:val="21"/>
                <w:u w:val="none"/>
                <w:lang w:val="en-US" w:eastAsia="zh-CN" w:bidi="ar"/>
              </w:rPr>
              <w:t>优先采购</w:t>
            </w:r>
          </w:p>
        </w:tc>
        <w:tc>
          <w:tcPr>
            <w:tcW w:w="699" w:type="dxa"/>
            <w:shd w:val="clear" w:color="auto" w:fill="auto"/>
            <w:vAlign w:val="center"/>
          </w:tcPr>
          <w:p w14:paraId="2015BE1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5577A3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02920B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A100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0F8B4F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05" w:type="dxa"/>
            <w:vMerge w:val="continue"/>
            <w:shd w:val="clear" w:color="auto" w:fill="auto"/>
            <w:vAlign w:val="center"/>
          </w:tcPr>
          <w:p w14:paraId="49D7401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340AC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路灯灯具（280W/80W）</w:t>
            </w:r>
          </w:p>
        </w:tc>
        <w:tc>
          <w:tcPr>
            <w:tcW w:w="660" w:type="dxa"/>
            <w:shd w:val="clear" w:color="auto" w:fill="auto"/>
            <w:noWrap/>
            <w:vAlign w:val="center"/>
          </w:tcPr>
          <w:p w14:paraId="1C36F92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409</w:t>
            </w:r>
          </w:p>
        </w:tc>
        <w:tc>
          <w:tcPr>
            <w:tcW w:w="690" w:type="dxa"/>
            <w:shd w:val="clear" w:color="auto" w:fill="auto"/>
            <w:vAlign w:val="center"/>
          </w:tcPr>
          <w:p w14:paraId="1184E8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29BF1B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AAA5C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1"/>
                <w:u w:val="none"/>
              </w:rPr>
            </w:pPr>
            <w:r>
              <w:rPr>
                <w:rFonts w:hint="eastAsia" w:ascii="宋体" w:hAnsi="宋体" w:eastAsia="宋体" w:cs="宋体"/>
                <w:b/>
                <w:bCs/>
                <w:i w:val="0"/>
                <w:iCs w:val="0"/>
                <w:color w:val="000000"/>
                <w:kern w:val="0"/>
                <w:sz w:val="20"/>
                <w:szCs w:val="21"/>
                <w:u w:val="none"/>
                <w:lang w:val="en-US" w:eastAsia="zh-CN" w:bidi="ar"/>
              </w:rPr>
              <w:t>优先采购</w:t>
            </w:r>
          </w:p>
        </w:tc>
        <w:tc>
          <w:tcPr>
            <w:tcW w:w="699" w:type="dxa"/>
            <w:shd w:val="clear" w:color="auto" w:fill="auto"/>
            <w:vAlign w:val="center"/>
          </w:tcPr>
          <w:p w14:paraId="4554EF9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480C0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52B3AC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D4DD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0D902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05" w:type="dxa"/>
            <w:vMerge w:val="continue"/>
            <w:shd w:val="clear" w:color="auto" w:fill="auto"/>
            <w:vAlign w:val="center"/>
          </w:tcPr>
          <w:p w14:paraId="783AB86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7CC19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路灯灯具（280W/280W）</w:t>
            </w:r>
          </w:p>
        </w:tc>
        <w:tc>
          <w:tcPr>
            <w:tcW w:w="660" w:type="dxa"/>
            <w:shd w:val="clear" w:color="auto" w:fill="auto"/>
            <w:noWrap/>
            <w:vAlign w:val="center"/>
          </w:tcPr>
          <w:p w14:paraId="4DFDF7D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690" w:type="dxa"/>
            <w:shd w:val="clear" w:color="auto" w:fill="auto"/>
            <w:vAlign w:val="center"/>
          </w:tcPr>
          <w:p w14:paraId="11B1B3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2BA376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DF3FE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1"/>
                <w:u w:val="none"/>
              </w:rPr>
            </w:pPr>
            <w:r>
              <w:rPr>
                <w:rFonts w:hint="eastAsia" w:ascii="宋体" w:hAnsi="宋体" w:eastAsia="宋体" w:cs="宋体"/>
                <w:b/>
                <w:bCs/>
                <w:i w:val="0"/>
                <w:iCs w:val="0"/>
                <w:color w:val="000000"/>
                <w:kern w:val="0"/>
                <w:sz w:val="20"/>
                <w:szCs w:val="21"/>
                <w:u w:val="none"/>
                <w:lang w:val="en-US" w:eastAsia="zh-CN" w:bidi="ar"/>
              </w:rPr>
              <w:t>优先采购</w:t>
            </w:r>
          </w:p>
        </w:tc>
        <w:tc>
          <w:tcPr>
            <w:tcW w:w="699" w:type="dxa"/>
            <w:shd w:val="clear" w:color="auto" w:fill="auto"/>
            <w:vAlign w:val="center"/>
          </w:tcPr>
          <w:p w14:paraId="75AE082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BC3E9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987E48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7C19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54920A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705" w:type="dxa"/>
            <w:vMerge w:val="continue"/>
            <w:shd w:val="clear" w:color="auto" w:fill="auto"/>
            <w:vAlign w:val="center"/>
          </w:tcPr>
          <w:p w14:paraId="1BAF083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9082B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路灯灯具（180W/80W）</w:t>
            </w:r>
          </w:p>
        </w:tc>
        <w:tc>
          <w:tcPr>
            <w:tcW w:w="660" w:type="dxa"/>
            <w:shd w:val="clear" w:color="auto" w:fill="auto"/>
            <w:noWrap/>
            <w:vAlign w:val="center"/>
          </w:tcPr>
          <w:p w14:paraId="5D71240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690" w:type="dxa"/>
            <w:shd w:val="clear" w:color="auto" w:fill="auto"/>
            <w:vAlign w:val="center"/>
          </w:tcPr>
          <w:p w14:paraId="28761D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4F491D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61113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1"/>
                <w:u w:val="none"/>
              </w:rPr>
            </w:pPr>
            <w:r>
              <w:rPr>
                <w:rFonts w:hint="eastAsia" w:ascii="宋体" w:hAnsi="宋体" w:eastAsia="宋体" w:cs="宋体"/>
                <w:b/>
                <w:bCs/>
                <w:i w:val="0"/>
                <w:iCs w:val="0"/>
                <w:color w:val="000000"/>
                <w:kern w:val="0"/>
                <w:sz w:val="20"/>
                <w:szCs w:val="21"/>
                <w:u w:val="none"/>
                <w:lang w:val="en-US" w:eastAsia="zh-CN" w:bidi="ar"/>
              </w:rPr>
              <w:t>优先采购</w:t>
            </w:r>
          </w:p>
        </w:tc>
        <w:tc>
          <w:tcPr>
            <w:tcW w:w="699" w:type="dxa"/>
            <w:shd w:val="clear" w:color="auto" w:fill="auto"/>
            <w:vAlign w:val="center"/>
          </w:tcPr>
          <w:p w14:paraId="53A6EB3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47E16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E926D9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223D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6C231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05" w:type="dxa"/>
            <w:vMerge w:val="continue"/>
            <w:shd w:val="clear" w:color="auto" w:fill="auto"/>
            <w:vAlign w:val="center"/>
          </w:tcPr>
          <w:p w14:paraId="212DC85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7FD28C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路灯灯具（180W）</w:t>
            </w:r>
          </w:p>
        </w:tc>
        <w:tc>
          <w:tcPr>
            <w:tcW w:w="660" w:type="dxa"/>
            <w:shd w:val="clear" w:color="auto" w:fill="auto"/>
            <w:noWrap/>
            <w:vAlign w:val="center"/>
          </w:tcPr>
          <w:p w14:paraId="0101FDF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690" w:type="dxa"/>
            <w:shd w:val="clear" w:color="auto" w:fill="auto"/>
            <w:vAlign w:val="center"/>
          </w:tcPr>
          <w:p w14:paraId="0ADF5D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25D2A9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0D2E8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1"/>
                <w:u w:val="none"/>
              </w:rPr>
            </w:pPr>
            <w:r>
              <w:rPr>
                <w:rFonts w:hint="eastAsia" w:ascii="宋体" w:hAnsi="宋体" w:eastAsia="宋体" w:cs="宋体"/>
                <w:b/>
                <w:bCs/>
                <w:i w:val="0"/>
                <w:iCs w:val="0"/>
                <w:color w:val="000000"/>
                <w:kern w:val="0"/>
                <w:sz w:val="20"/>
                <w:szCs w:val="21"/>
                <w:u w:val="none"/>
                <w:lang w:val="en-US" w:eastAsia="zh-CN" w:bidi="ar"/>
              </w:rPr>
              <w:t>优先采购</w:t>
            </w:r>
          </w:p>
        </w:tc>
        <w:tc>
          <w:tcPr>
            <w:tcW w:w="699" w:type="dxa"/>
            <w:shd w:val="clear" w:color="auto" w:fill="auto"/>
            <w:vAlign w:val="center"/>
          </w:tcPr>
          <w:p w14:paraId="58DCEE9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1FDB4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438821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98D3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72665F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705" w:type="dxa"/>
            <w:vMerge w:val="continue"/>
            <w:shd w:val="clear" w:color="auto" w:fill="auto"/>
            <w:vAlign w:val="center"/>
          </w:tcPr>
          <w:p w14:paraId="433D6AA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F8EFE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路灯灯具（280W）</w:t>
            </w:r>
          </w:p>
        </w:tc>
        <w:tc>
          <w:tcPr>
            <w:tcW w:w="660" w:type="dxa"/>
            <w:shd w:val="clear" w:color="auto" w:fill="auto"/>
            <w:noWrap/>
            <w:vAlign w:val="center"/>
          </w:tcPr>
          <w:p w14:paraId="49BFC2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690" w:type="dxa"/>
            <w:shd w:val="clear" w:color="auto" w:fill="auto"/>
            <w:vAlign w:val="center"/>
          </w:tcPr>
          <w:p w14:paraId="0DB68C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57C039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42C0C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1"/>
                <w:u w:val="none"/>
              </w:rPr>
            </w:pPr>
            <w:r>
              <w:rPr>
                <w:rFonts w:hint="eastAsia" w:ascii="宋体" w:hAnsi="宋体" w:eastAsia="宋体" w:cs="宋体"/>
                <w:b/>
                <w:bCs/>
                <w:i w:val="0"/>
                <w:iCs w:val="0"/>
                <w:color w:val="000000"/>
                <w:kern w:val="0"/>
                <w:sz w:val="20"/>
                <w:szCs w:val="21"/>
                <w:u w:val="none"/>
                <w:lang w:val="en-US" w:eastAsia="zh-CN" w:bidi="ar"/>
              </w:rPr>
              <w:t>优先采购</w:t>
            </w:r>
          </w:p>
        </w:tc>
        <w:tc>
          <w:tcPr>
            <w:tcW w:w="699" w:type="dxa"/>
            <w:shd w:val="clear" w:color="auto" w:fill="auto"/>
            <w:vAlign w:val="center"/>
          </w:tcPr>
          <w:p w14:paraId="4BD3769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C07E5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5F83C2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25AE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F6FE4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705" w:type="dxa"/>
            <w:vMerge w:val="continue"/>
            <w:shd w:val="clear" w:color="auto" w:fill="auto"/>
            <w:vAlign w:val="center"/>
          </w:tcPr>
          <w:p w14:paraId="1CEE925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20E25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路灯灯具（300W）</w:t>
            </w:r>
          </w:p>
        </w:tc>
        <w:tc>
          <w:tcPr>
            <w:tcW w:w="660" w:type="dxa"/>
            <w:shd w:val="clear" w:color="auto" w:fill="auto"/>
            <w:noWrap/>
            <w:vAlign w:val="center"/>
          </w:tcPr>
          <w:p w14:paraId="217B892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690" w:type="dxa"/>
            <w:shd w:val="clear" w:color="auto" w:fill="auto"/>
            <w:vAlign w:val="center"/>
          </w:tcPr>
          <w:p w14:paraId="27F5F4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5BE6B4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CCAB9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1"/>
                <w:u w:val="none"/>
              </w:rPr>
            </w:pPr>
            <w:r>
              <w:rPr>
                <w:rFonts w:hint="eastAsia" w:ascii="宋体" w:hAnsi="宋体" w:eastAsia="宋体" w:cs="宋体"/>
                <w:b/>
                <w:bCs/>
                <w:i w:val="0"/>
                <w:iCs w:val="0"/>
                <w:color w:val="000000"/>
                <w:kern w:val="0"/>
                <w:sz w:val="20"/>
                <w:szCs w:val="21"/>
                <w:u w:val="none"/>
                <w:lang w:val="en-US" w:eastAsia="zh-CN" w:bidi="ar"/>
              </w:rPr>
              <w:t>优先采购</w:t>
            </w:r>
          </w:p>
        </w:tc>
        <w:tc>
          <w:tcPr>
            <w:tcW w:w="699" w:type="dxa"/>
            <w:shd w:val="clear" w:color="auto" w:fill="auto"/>
            <w:vAlign w:val="center"/>
          </w:tcPr>
          <w:p w14:paraId="45B5A0A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8162D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3F26A2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351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3C162F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705" w:type="dxa"/>
            <w:vMerge w:val="continue"/>
            <w:shd w:val="clear" w:color="auto" w:fill="auto"/>
            <w:vAlign w:val="center"/>
          </w:tcPr>
          <w:p w14:paraId="2B8916F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751B0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吸顶灯灯具</w:t>
            </w:r>
          </w:p>
        </w:tc>
        <w:tc>
          <w:tcPr>
            <w:tcW w:w="660" w:type="dxa"/>
            <w:shd w:val="clear" w:color="auto" w:fill="auto"/>
            <w:vAlign w:val="center"/>
          </w:tcPr>
          <w:p w14:paraId="2587195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690" w:type="dxa"/>
            <w:shd w:val="clear" w:color="auto" w:fill="auto"/>
            <w:vAlign w:val="center"/>
          </w:tcPr>
          <w:p w14:paraId="494B91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3C5F3E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5974A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1"/>
                <w:u w:val="none"/>
              </w:rPr>
            </w:pPr>
            <w:r>
              <w:rPr>
                <w:rFonts w:hint="eastAsia" w:ascii="宋体" w:hAnsi="宋体" w:eastAsia="宋体" w:cs="宋体"/>
                <w:b/>
                <w:bCs/>
                <w:i w:val="0"/>
                <w:iCs w:val="0"/>
                <w:color w:val="000000"/>
                <w:kern w:val="0"/>
                <w:sz w:val="20"/>
                <w:szCs w:val="21"/>
                <w:u w:val="none"/>
                <w:lang w:val="en-US" w:eastAsia="zh-CN" w:bidi="ar"/>
              </w:rPr>
              <w:t>优先采购</w:t>
            </w:r>
          </w:p>
        </w:tc>
        <w:tc>
          <w:tcPr>
            <w:tcW w:w="699" w:type="dxa"/>
            <w:shd w:val="clear" w:color="auto" w:fill="auto"/>
            <w:vAlign w:val="center"/>
          </w:tcPr>
          <w:p w14:paraId="10E0AC1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2CA3A5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7165C2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DF31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10D00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705" w:type="dxa"/>
            <w:vMerge w:val="continue"/>
            <w:shd w:val="clear" w:color="auto" w:fill="auto"/>
            <w:vAlign w:val="center"/>
          </w:tcPr>
          <w:p w14:paraId="22EE47C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81180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驱动电源（300W/280W）</w:t>
            </w:r>
          </w:p>
        </w:tc>
        <w:tc>
          <w:tcPr>
            <w:tcW w:w="660" w:type="dxa"/>
            <w:shd w:val="clear" w:color="auto" w:fill="auto"/>
            <w:vAlign w:val="center"/>
          </w:tcPr>
          <w:p w14:paraId="3A8EB98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727</w:t>
            </w:r>
          </w:p>
        </w:tc>
        <w:tc>
          <w:tcPr>
            <w:tcW w:w="690" w:type="dxa"/>
            <w:shd w:val="clear" w:color="auto" w:fill="auto"/>
            <w:vAlign w:val="center"/>
          </w:tcPr>
          <w:p w14:paraId="3C5304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2AA6F9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521E8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A530E2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8F3E5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A2639C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E099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4F5E1F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05" w:type="dxa"/>
            <w:vMerge w:val="continue"/>
            <w:shd w:val="clear" w:color="auto" w:fill="auto"/>
            <w:vAlign w:val="center"/>
          </w:tcPr>
          <w:p w14:paraId="6276E19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0EE730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驱动电源（180W/160W）</w:t>
            </w:r>
          </w:p>
        </w:tc>
        <w:tc>
          <w:tcPr>
            <w:tcW w:w="660" w:type="dxa"/>
            <w:shd w:val="clear" w:color="auto" w:fill="auto"/>
            <w:vAlign w:val="center"/>
          </w:tcPr>
          <w:p w14:paraId="225FEE8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690" w:type="dxa"/>
            <w:shd w:val="clear" w:color="auto" w:fill="auto"/>
            <w:vAlign w:val="center"/>
          </w:tcPr>
          <w:p w14:paraId="63515C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4FF62D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CE96C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C13E06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5BAD02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0C438A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54A7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443C3B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705" w:type="dxa"/>
            <w:vMerge w:val="continue"/>
            <w:shd w:val="clear" w:color="auto" w:fill="auto"/>
            <w:vAlign w:val="center"/>
          </w:tcPr>
          <w:p w14:paraId="7633633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CC882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驱动电源（80W）</w:t>
            </w:r>
          </w:p>
        </w:tc>
        <w:tc>
          <w:tcPr>
            <w:tcW w:w="660" w:type="dxa"/>
            <w:shd w:val="clear" w:color="auto" w:fill="auto"/>
            <w:vAlign w:val="center"/>
          </w:tcPr>
          <w:p w14:paraId="5730928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473</w:t>
            </w:r>
          </w:p>
        </w:tc>
        <w:tc>
          <w:tcPr>
            <w:tcW w:w="690" w:type="dxa"/>
            <w:shd w:val="clear" w:color="auto" w:fill="auto"/>
            <w:vAlign w:val="center"/>
          </w:tcPr>
          <w:p w14:paraId="3E7B10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28EBD2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046172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B4DA11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B784F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285A06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B510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A629F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705" w:type="dxa"/>
            <w:vMerge w:val="continue"/>
            <w:shd w:val="clear" w:color="auto" w:fill="auto"/>
            <w:vAlign w:val="center"/>
          </w:tcPr>
          <w:p w14:paraId="48AC3ED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0047D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驱动电源（60W）</w:t>
            </w:r>
          </w:p>
        </w:tc>
        <w:tc>
          <w:tcPr>
            <w:tcW w:w="660" w:type="dxa"/>
            <w:shd w:val="clear" w:color="auto" w:fill="auto"/>
            <w:vAlign w:val="center"/>
          </w:tcPr>
          <w:p w14:paraId="7A7A97F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690" w:type="dxa"/>
            <w:shd w:val="clear" w:color="auto" w:fill="auto"/>
            <w:vAlign w:val="center"/>
          </w:tcPr>
          <w:p w14:paraId="7ECA60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18026B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7DFCC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BB2FA6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234AD5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1A27803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1B69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68BAA3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w:t>
            </w:r>
          </w:p>
        </w:tc>
        <w:tc>
          <w:tcPr>
            <w:tcW w:w="705" w:type="dxa"/>
            <w:vMerge w:val="continue"/>
            <w:shd w:val="clear" w:color="auto" w:fill="auto"/>
            <w:vAlign w:val="center"/>
          </w:tcPr>
          <w:p w14:paraId="606873D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3A4D00E8">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交通管控设施</w:t>
            </w:r>
          </w:p>
        </w:tc>
        <w:tc>
          <w:tcPr>
            <w:tcW w:w="585" w:type="dxa"/>
            <w:vMerge w:val="continue"/>
            <w:shd w:val="clear" w:color="auto" w:fill="auto"/>
            <w:vAlign w:val="center"/>
          </w:tcPr>
          <w:p w14:paraId="03BDD4F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2D15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89EEC8B">
            <w:pPr>
              <w:snapToGrid w:val="0"/>
              <w:ind w:left="0" w:leftChars="0" w:right="0" w:rightChars="0" w:firstLine="0" w:firstLineChars="0"/>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w:t>
            </w:r>
          </w:p>
        </w:tc>
        <w:tc>
          <w:tcPr>
            <w:tcW w:w="705" w:type="dxa"/>
            <w:vMerge w:val="continue"/>
            <w:shd w:val="clear" w:color="auto" w:fill="auto"/>
            <w:vAlign w:val="center"/>
          </w:tcPr>
          <w:p w14:paraId="5BEF4A5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19D7378D">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信号控制设备</w:t>
            </w:r>
          </w:p>
        </w:tc>
        <w:tc>
          <w:tcPr>
            <w:tcW w:w="585" w:type="dxa"/>
            <w:vMerge w:val="continue"/>
            <w:shd w:val="clear" w:color="auto" w:fill="auto"/>
            <w:vAlign w:val="center"/>
          </w:tcPr>
          <w:p w14:paraId="4F08F38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01CD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71E8AF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705" w:type="dxa"/>
            <w:vMerge w:val="continue"/>
            <w:shd w:val="clear" w:color="auto" w:fill="auto"/>
            <w:vAlign w:val="center"/>
          </w:tcPr>
          <w:p w14:paraId="19ACCD2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3C49C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智能信号控制机（96路）</w:t>
            </w:r>
          </w:p>
        </w:tc>
        <w:tc>
          <w:tcPr>
            <w:tcW w:w="660" w:type="dxa"/>
            <w:shd w:val="clear" w:color="auto" w:fill="auto"/>
            <w:vAlign w:val="center"/>
          </w:tcPr>
          <w:p w14:paraId="2AE1814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690" w:type="dxa"/>
            <w:shd w:val="clear" w:color="auto" w:fill="auto"/>
            <w:vAlign w:val="center"/>
          </w:tcPr>
          <w:p w14:paraId="31EAFB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7AC5C4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B546F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6025740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00A9D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046EF5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8817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25D13D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705" w:type="dxa"/>
            <w:vMerge w:val="continue"/>
            <w:shd w:val="clear" w:color="auto" w:fill="auto"/>
            <w:vAlign w:val="center"/>
          </w:tcPr>
          <w:p w14:paraId="66E23D26">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2A3AC1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智能信号控制机（120路）</w:t>
            </w:r>
          </w:p>
        </w:tc>
        <w:tc>
          <w:tcPr>
            <w:tcW w:w="660" w:type="dxa"/>
            <w:shd w:val="clear" w:color="auto" w:fill="auto"/>
            <w:vAlign w:val="center"/>
          </w:tcPr>
          <w:p w14:paraId="72522B7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shd w:val="clear" w:color="auto" w:fill="auto"/>
            <w:vAlign w:val="center"/>
          </w:tcPr>
          <w:p w14:paraId="5A2680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3C50CF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019466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8FDE57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2548C5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1135AB6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EC80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D4553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705" w:type="dxa"/>
            <w:vMerge w:val="continue"/>
            <w:shd w:val="clear" w:color="auto" w:fill="auto"/>
            <w:vAlign w:val="center"/>
          </w:tcPr>
          <w:p w14:paraId="4C558D8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EDA50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多功能机动车信号灯（内置倒计时器）</w:t>
            </w:r>
          </w:p>
        </w:tc>
        <w:tc>
          <w:tcPr>
            <w:tcW w:w="660" w:type="dxa"/>
            <w:shd w:val="clear" w:color="auto" w:fill="auto"/>
            <w:vAlign w:val="center"/>
          </w:tcPr>
          <w:p w14:paraId="1A2D151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w:t>
            </w:r>
          </w:p>
        </w:tc>
        <w:tc>
          <w:tcPr>
            <w:tcW w:w="690" w:type="dxa"/>
            <w:shd w:val="clear" w:color="auto" w:fill="auto"/>
            <w:vAlign w:val="center"/>
          </w:tcPr>
          <w:p w14:paraId="5D6C7F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25C174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1937D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A253A5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52ED23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73EEF4E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488B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39B216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705" w:type="dxa"/>
            <w:vMerge w:val="continue"/>
            <w:shd w:val="clear" w:color="auto" w:fill="auto"/>
            <w:vAlign w:val="center"/>
          </w:tcPr>
          <w:p w14:paraId="1D83E02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4980E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箭头机动车信号灯（内置倒计时器）</w:t>
            </w:r>
          </w:p>
        </w:tc>
        <w:tc>
          <w:tcPr>
            <w:tcW w:w="660" w:type="dxa"/>
            <w:shd w:val="clear" w:color="auto" w:fill="auto"/>
            <w:vAlign w:val="center"/>
          </w:tcPr>
          <w:p w14:paraId="41AED7E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w:t>
            </w:r>
          </w:p>
        </w:tc>
        <w:tc>
          <w:tcPr>
            <w:tcW w:w="690" w:type="dxa"/>
            <w:shd w:val="clear" w:color="auto" w:fill="auto"/>
            <w:vAlign w:val="center"/>
          </w:tcPr>
          <w:p w14:paraId="039F38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2D5726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4B9FB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504864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FCEA4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79E5554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F79A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76BFE3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705" w:type="dxa"/>
            <w:vMerge w:val="continue"/>
            <w:shd w:val="clear" w:color="auto" w:fill="auto"/>
            <w:vAlign w:val="center"/>
          </w:tcPr>
          <w:p w14:paraId="7EE3C1B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6B3D9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圆饼机动车信号灯（内置倒计时器）</w:t>
            </w:r>
          </w:p>
        </w:tc>
        <w:tc>
          <w:tcPr>
            <w:tcW w:w="660" w:type="dxa"/>
            <w:shd w:val="clear" w:color="auto" w:fill="auto"/>
            <w:vAlign w:val="center"/>
          </w:tcPr>
          <w:p w14:paraId="4B95B12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690" w:type="dxa"/>
            <w:shd w:val="clear" w:color="auto" w:fill="auto"/>
            <w:vAlign w:val="center"/>
          </w:tcPr>
          <w:p w14:paraId="2E1872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0B79AC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F703A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7AC8A7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528F51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D4D4A2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2A5E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37150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705" w:type="dxa"/>
            <w:vMerge w:val="continue"/>
            <w:shd w:val="clear" w:color="auto" w:fill="auto"/>
            <w:vAlign w:val="center"/>
          </w:tcPr>
          <w:p w14:paraId="43964FB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C15FD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多功能机动车信号灯（辅灯）</w:t>
            </w:r>
          </w:p>
        </w:tc>
        <w:tc>
          <w:tcPr>
            <w:tcW w:w="660" w:type="dxa"/>
            <w:shd w:val="clear" w:color="auto" w:fill="auto"/>
            <w:vAlign w:val="center"/>
          </w:tcPr>
          <w:p w14:paraId="4C41484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690" w:type="dxa"/>
            <w:shd w:val="clear" w:color="auto" w:fill="auto"/>
            <w:vAlign w:val="center"/>
          </w:tcPr>
          <w:p w14:paraId="502D95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53D54A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FBFC1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54D61B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4EBC1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C1F82C6">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F009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12F6D5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705" w:type="dxa"/>
            <w:vMerge w:val="continue"/>
            <w:shd w:val="clear" w:color="auto" w:fill="auto"/>
            <w:vAlign w:val="center"/>
          </w:tcPr>
          <w:p w14:paraId="784150A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AAFAF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箭头机动车信号灯（辅灯）</w:t>
            </w:r>
          </w:p>
        </w:tc>
        <w:tc>
          <w:tcPr>
            <w:tcW w:w="660" w:type="dxa"/>
            <w:shd w:val="clear" w:color="auto" w:fill="auto"/>
            <w:vAlign w:val="center"/>
          </w:tcPr>
          <w:p w14:paraId="2302846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90" w:type="dxa"/>
            <w:shd w:val="clear" w:color="auto" w:fill="auto"/>
            <w:vAlign w:val="center"/>
          </w:tcPr>
          <w:p w14:paraId="5AF83B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72AC93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46B92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00BD02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49843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1032C23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ECE3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07634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705" w:type="dxa"/>
            <w:vMerge w:val="continue"/>
            <w:shd w:val="clear" w:color="auto" w:fill="auto"/>
            <w:vAlign w:val="center"/>
          </w:tcPr>
          <w:p w14:paraId="3A6F416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2F731E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圆饼机动车信号灯（辅灯）</w:t>
            </w:r>
          </w:p>
        </w:tc>
        <w:tc>
          <w:tcPr>
            <w:tcW w:w="660" w:type="dxa"/>
            <w:shd w:val="clear" w:color="auto" w:fill="auto"/>
            <w:vAlign w:val="center"/>
          </w:tcPr>
          <w:p w14:paraId="626250F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90" w:type="dxa"/>
            <w:shd w:val="clear" w:color="auto" w:fill="auto"/>
            <w:vAlign w:val="center"/>
          </w:tcPr>
          <w:p w14:paraId="1A6A0F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6A77B3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7B997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2CD085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07C6C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05D378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0D5A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2BA58B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705" w:type="dxa"/>
            <w:vMerge w:val="continue"/>
            <w:shd w:val="clear" w:color="auto" w:fill="auto"/>
            <w:vAlign w:val="center"/>
          </w:tcPr>
          <w:p w14:paraId="7C45DB8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7075A4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人行道信号灯</w:t>
            </w:r>
          </w:p>
        </w:tc>
        <w:tc>
          <w:tcPr>
            <w:tcW w:w="660" w:type="dxa"/>
            <w:shd w:val="clear" w:color="auto" w:fill="auto"/>
            <w:vAlign w:val="center"/>
          </w:tcPr>
          <w:p w14:paraId="1370700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328</w:t>
            </w:r>
          </w:p>
        </w:tc>
        <w:tc>
          <w:tcPr>
            <w:tcW w:w="690" w:type="dxa"/>
            <w:shd w:val="clear" w:color="auto" w:fill="auto"/>
            <w:vAlign w:val="center"/>
          </w:tcPr>
          <w:p w14:paraId="54CC0D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43E0E9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9F2BE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B9F944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6CCC8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DD1B5B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94C9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A3D77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705" w:type="dxa"/>
            <w:vMerge w:val="continue"/>
            <w:shd w:val="clear" w:color="auto" w:fill="auto"/>
            <w:vAlign w:val="center"/>
          </w:tcPr>
          <w:p w14:paraId="6B4D011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0E8472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盲人钟</w:t>
            </w:r>
          </w:p>
        </w:tc>
        <w:tc>
          <w:tcPr>
            <w:tcW w:w="660" w:type="dxa"/>
            <w:shd w:val="clear" w:color="auto" w:fill="auto"/>
            <w:vAlign w:val="center"/>
          </w:tcPr>
          <w:p w14:paraId="7FC876D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328</w:t>
            </w:r>
          </w:p>
        </w:tc>
        <w:tc>
          <w:tcPr>
            <w:tcW w:w="690" w:type="dxa"/>
            <w:shd w:val="clear" w:color="auto" w:fill="auto"/>
            <w:vAlign w:val="center"/>
          </w:tcPr>
          <w:p w14:paraId="1DCEC1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1AD611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4B2E7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6EBA62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27EBB2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00E37D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D516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7AD6A8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705" w:type="dxa"/>
            <w:vMerge w:val="continue"/>
            <w:shd w:val="clear" w:color="auto" w:fill="auto"/>
            <w:vAlign w:val="center"/>
          </w:tcPr>
          <w:p w14:paraId="1614BCC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FC9A2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机动车辅助信号灯杆件</w:t>
            </w:r>
          </w:p>
        </w:tc>
        <w:tc>
          <w:tcPr>
            <w:tcW w:w="660" w:type="dxa"/>
            <w:shd w:val="clear" w:color="auto" w:fill="auto"/>
            <w:vAlign w:val="center"/>
          </w:tcPr>
          <w:p w14:paraId="71D2CB8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690" w:type="dxa"/>
            <w:shd w:val="clear" w:color="auto" w:fill="auto"/>
            <w:vAlign w:val="center"/>
          </w:tcPr>
          <w:p w14:paraId="164FCB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04B1F5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0453D2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6A79094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5B4BE1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DDE47A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6D47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31CD16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705" w:type="dxa"/>
            <w:vMerge w:val="continue"/>
            <w:shd w:val="clear" w:color="auto" w:fill="auto"/>
            <w:vAlign w:val="center"/>
          </w:tcPr>
          <w:p w14:paraId="08E478F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F2438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行人信号灯杆件</w:t>
            </w:r>
          </w:p>
        </w:tc>
        <w:tc>
          <w:tcPr>
            <w:tcW w:w="660" w:type="dxa"/>
            <w:shd w:val="clear" w:color="auto" w:fill="auto"/>
            <w:vAlign w:val="center"/>
          </w:tcPr>
          <w:p w14:paraId="4DBE982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230</w:t>
            </w:r>
          </w:p>
        </w:tc>
        <w:tc>
          <w:tcPr>
            <w:tcW w:w="690" w:type="dxa"/>
            <w:shd w:val="clear" w:color="auto" w:fill="auto"/>
            <w:vAlign w:val="center"/>
          </w:tcPr>
          <w:p w14:paraId="36AE6D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413588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324F3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624742B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725C92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64E57E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F694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61CA55D9">
            <w:pPr>
              <w:snapToGrid w:val="0"/>
              <w:ind w:left="0" w:leftChars="0" w:right="0" w:rightChars="0" w:firstLine="0" w:firstLineChars="0"/>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w:t>
            </w:r>
          </w:p>
        </w:tc>
        <w:tc>
          <w:tcPr>
            <w:tcW w:w="705" w:type="dxa"/>
            <w:vMerge w:val="continue"/>
            <w:shd w:val="clear" w:color="auto" w:fill="auto"/>
            <w:vAlign w:val="center"/>
          </w:tcPr>
          <w:p w14:paraId="0036508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5FE5681C">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一体化智能机柜设备</w:t>
            </w:r>
          </w:p>
        </w:tc>
        <w:tc>
          <w:tcPr>
            <w:tcW w:w="585" w:type="dxa"/>
            <w:vMerge w:val="continue"/>
            <w:shd w:val="clear" w:color="auto" w:fill="auto"/>
            <w:vAlign w:val="center"/>
          </w:tcPr>
          <w:p w14:paraId="7D637B96">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4BE9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4379CA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705" w:type="dxa"/>
            <w:vMerge w:val="continue"/>
            <w:shd w:val="clear" w:color="auto" w:fill="auto"/>
            <w:vAlign w:val="center"/>
          </w:tcPr>
          <w:p w14:paraId="12A063E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CAD81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一体化智能机柜</w:t>
            </w:r>
          </w:p>
        </w:tc>
        <w:tc>
          <w:tcPr>
            <w:tcW w:w="660" w:type="dxa"/>
            <w:shd w:val="clear" w:color="auto" w:fill="auto"/>
            <w:vAlign w:val="center"/>
          </w:tcPr>
          <w:p w14:paraId="3AF7C96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690" w:type="dxa"/>
            <w:shd w:val="clear" w:color="auto" w:fill="auto"/>
            <w:vAlign w:val="center"/>
          </w:tcPr>
          <w:p w14:paraId="28A93B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06949D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15D1A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96F195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19770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75B4FDC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1524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650DE1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705" w:type="dxa"/>
            <w:vMerge w:val="continue"/>
            <w:shd w:val="clear" w:color="auto" w:fill="auto"/>
            <w:vAlign w:val="center"/>
          </w:tcPr>
          <w:p w14:paraId="5EA1F19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D8EB2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ONU</w:t>
            </w:r>
          </w:p>
        </w:tc>
        <w:tc>
          <w:tcPr>
            <w:tcW w:w="660" w:type="dxa"/>
            <w:shd w:val="clear" w:color="auto" w:fill="auto"/>
            <w:vAlign w:val="center"/>
          </w:tcPr>
          <w:p w14:paraId="13BA81E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690" w:type="dxa"/>
            <w:shd w:val="clear" w:color="auto" w:fill="auto"/>
            <w:vAlign w:val="center"/>
          </w:tcPr>
          <w:p w14:paraId="18A9E0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27372C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4976B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7F8135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525D2C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EFCD5B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BD85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438D44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705" w:type="dxa"/>
            <w:vMerge w:val="continue"/>
            <w:shd w:val="clear" w:color="auto" w:fill="auto"/>
            <w:vAlign w:val="center"/>
          </w:tcPr>
          <w:p w14:paraId="62BAB00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0D3279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红绿灯信号检测器</w:t>
            </w:r>
          </w:p>
        </w:tc>
        <w:tc>
          <w:tcPr>
            <w:tcW w:w="660" w:type="dxa"/>
            <w:shd w:val="clear" w:color="auto" w:fill="auto"/>
            <w:vAlign w:val="center"/>
          </w:tcPr>
          <w:p w14:paraId="3F017B0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690" w:type="dxa"/>
            <w:shd w:val="clear" w:color="auto" w:fill="auto"/>
            <w:vAlign w:val="center"/>
          </w:tcPr>
          <w:p w14:paraId="4DD8B1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53B998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0D4821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633D206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B7C6B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2C87EA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0C61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523FEF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705" w:type="dxa"/>
            <w:vMerge w:val="continue"/>
            <w:shd w:val="clear" w:color="auto" w:fill="auto"/>
            <w:vAlign w:val="center"/>
          </w:tcPr>
          <w:p w14:paraId="03EAE2B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A104D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工业交换机（8电+16光）</w:t>
            </w:r>
          </w:p>
        </w:tc>
        <w:tc>
          <w:tcPr>
            <w:tcW w:w="660" w:type="dxa"/>
            <w:shd w:val="clear" w:color="auto" w:fill="auto"/>
            <w:vAlign w:val="center"/>
          </w:tcPr>
          <w:p w14:paraId="24EE6A7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690" w:type="dxa"/>
            <w:shd w:val="clear" w:color="auto" w:fill="auto"/>
            <w:vAlign w:val="center"/>
          </w:tcPr>
          <w:p w14:paraId="63EE72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785FDA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D3444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D7C3AD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7878D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C9034E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1AA5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6AEED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705" w:type="dxa"/>
            <w:vMerge w:val="continue"/>
            <w:shd w:val="clear" w:color="auto" w:fill="auto"/>
            <w:vAlign w:val="center"/>
          </w:tcPr>
          <w:p w14:paraId="5344004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2F5418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千兆光模块</w:t>
            </w:r>
          </w:p>
        </w:tc>
        <w:tc>
          <w:tcPr>
            <w:tcW w:w="660" w:type="dxa"/>
            <w:shd w:val="clear" w:color="auto" w:fill="auto"/>
            <w:vAlign w:val="center"/>
          </w:tcPr>
          <w:p w14:paraId="567858A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w:t>
            </w:r>
          </w:p>
        </w:tc>
        <w:tc>
          <w:tcPr>
            <w:tcW w:w="690" w:type="dxa"/>
            <w:shd w:val="clear" w:color="auto" w:fill="auto"/>
            <w:vAlign w:val="center"/>
          </w:tcPr>
          <w:p w14:paraId="147443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10" w:type="dxa"/>
            <w:shd w:val="clear" w:color="auto" w:fill="auto"/>
            <w:vAlign w:val="center"/>
          </w:tcPr>
          <w:p w14:paraId="3DD58F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9BE1D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F754B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60C9A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E92ED9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C86E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3174FF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705" w:type="dxa"/>
            <w:vMerge w:val="continue"/>
            <w:shd w:val="clear" w:color="auto" w:fill="auto"/>
            <w:vAlign w:val="center"/>
          </w:tcPr>
          <w:p w14:paraId="7E7675B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68760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24芯光纤配线架</w:t>
            </w:r>
          </w:p>
        </w:tc>
        <w:tc>
          <w:tcPr>
            <w:tcW w:w="660" w:type="dxa"/>
            <w:shd w:val="clear" w:color="auto" w:fill="auto"/>
            <w:vAlign w:val="center"/>
          </w:tcPr>
          <w:p w14:paraId="5A528C6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690" w:type="dxa"/>
            <w:shd w:val="clear" w:color="auto" w:fill="auto"/>
            <w:vAlign w:val="center"/>
          </w:tcPr>
          <w:p w14:paraId="0065F6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1CA85C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06442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09934A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7E238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CE98076">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5C6F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4473A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705" w:type="dxa"/>
            <w:vMerge w:val="continue"/>
            <w:shd w:val="clear" w:color="auto" w:fill="auto"/>
            <w:vAlign w:val="center"/>
          </w:tcPr>
          <w:p w14:paraId="591D72D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E436F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144芯光纤配线架</w:t>
            </w:r>
          </w:p>
        </w:tc>
        <w:tc>
          <w:tcPr>
            <w:tcW w:w="660" w:type="dxa"/>
            <w:shd w:val="clear" w:color="auto" w:fill="auto"/>
            <w:vAlign w:val="center"/>
          </w:tcPr>
          <w:p w14:paraId="6190EEF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90" w:type="dxa"/>
            <w:shd w:val="clear" w:color="auto" w:fill="auto"/>
            <w:vAlign w:val="center"/>
          </w:tcPr>
          <w:p w14:paraId="21C8EE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0185F1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129D1C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DBA2A0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81547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41B016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FF79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43A868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705" w:type="dxa"/>
            <w:vMerge w:val="continue"/>
            <w:shd w:val="clear" w:color="auto" w:fill="auto"/>
            <w:vAlign w:val="center"/>
          </w:tcPr>
          <w:p w14:paraId="532B9A2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B499D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交通监控配电箱</w:t>
            </w:r>
          </w:p>
        </w:tc>
        <w:tc>
          <w:tcPr>
            <w:tcW w:w="660" w:type="dxa"/>
            <w:shd w:val="clear" w:color="auto" w:fill="auto"/>
            <w:vAlign w:val="center"/>
          </w:tcPr>
          <w:p w14:paraId="45A753F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690" w:type="dxa"/>
            <w:shd w:val="clear" w:color="auto" w:fill="auto"/>
            <w:vAlign w:val="center"/>
          </w:tcPr>
          <w:p w14:paraId="21CA22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3A4946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D3350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643336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E103E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3D9C72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8CFC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083C38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705" w:type="dxa"/>
            <w:vMerge w:val="continue"/>
            <w:shd w:val="clear" w:color="auto" w:fill="auto"/>
            <w:vAlign w:val="center"/>
          </w:tcPr>
          <w:p w14:paraId="50D8ED2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0DBCD1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监控主机落地箱</w:t>
            </w:r>
          </w:p>
        </w:tc>
        <w:tc>
          <w:tcPr>
            <w:tcW w:w="660" w:type="dxa"/>
            <w:shd w:val="clear" w:color="auto" w:fill="auto"/>
            <w:vAlign w:val="center"/>
          </w:tcPr>
          <w:p w14:paraId="2A703F2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690" w:type="dxa"/>
            <w:shd w:val="clear" w:color="auto" w:fill="auto"/>
            <w:vAlign w:val="center"/>
          </w:tcPr>
          <w:p w14:paraId="73608A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088B1E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1038B9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134648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7B8F2A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B57440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9F05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59A462E4">
            <w:pPr>
              <w:snapToGrid w:val="0"/>
              <w:ind w:left="0" w:leftChars="0" w:right="0" w:rightChars="0" w:firstLine="0" w:firstLineChars="0"/>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w:t>
            </w:r>
          </w:p>
        </w:tc>
        <w:tc>
          <w:tcPr>
            <w:tcW w:w="705" w:type="dxa"/>
            <w:vMerge w:val="continue"/>
            <w:shd w:val="clear" w:color="auto" w:fill="auto"/>
            <w:vAlign w:val="center"/>
          </w:tcPr>
          <w:p w14:paraId="7830F8D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4312E4ED">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电警卡口设备</w:t>
            </w:r>
          </w:p>
        </w:tc>
        <w:tc>
          <w:tcPr>
            <w:tcW w:w="585" w:type="dxa"/>
            <w:vMerge w:val="continue"/>
            <w:shd w:val="clear" w:color="auto" w:fill="auto"/>
            <w:vAlign w:val="center"/>
          </w:tcPr>
          <w:p w14:paraId="32E60DC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2C80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24B56D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705" w:type="dxa"/>
            <w:vMerge w:val="continue"/>
            <w:shd w:val="clear" w:color="auto" w:fill="auto"/>
            <w:vAlign w:val="center"/>
          </w:tcPr>
          <w:p w14:paraId="2383542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A8873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一体化闯红灯抓拍单元(900万)</w:t>
            </w:r>
          </w:p>
        </w:tc>
        <w:tc>
          <w:tcPr>
            <w:tcW w:w="660" w:type="dxa"/>
            <w:shd w:val="clear" w:color="auto" w:fill="auto"/>
            <w:vAlign w:val="center"/>
          </w:tcPr>
          <w:p w14:paraId="2ABA9C4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102</w:t>
            </w:r>
          </w:p>
        </w:tc>
        <w:tc>
          <w:tcPr>
            <w:tcW w:w="690" w:type="dxa"/>
            <w:shd w:val="clear" w:color="auto" w:fill="auto"/>
            <w:vAlign w:val="center"/>
          </w:tcPr>
          <w:p w14:paraId="59CA65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3FB058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8FEDA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A113BE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769C4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F0BFA0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E43D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6B6FAC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705" w:type="dxa"/>
            <w:vMerge w:val="continue"/>
            <w:shd w:val="clear" w:color="auto" w:fill="auto"/>
            <w:vAlign w:val="center"/>
          </w:tcPr>
          <w:p w14:paraId="6D5E0BF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E0835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电警补光灯</w:t>
            </w:r>
          </w:p>
        </w:tc>
        <w:tc>
          <w:tcPr>
            <w:tcW w:w="660" w:type="dxa"/>
            <w:shd w:val="clear" w:color="auto" w:fill="auto"/>
            <w:vAlign w:val="center"/>
          </w:tcPr>
          <w:p w14:paraId="447F35C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241</w:t>
            </w:r>
          </w:p>
        </w:tc>
        <w:tc>
          <w:tcPr>
            <w:tcW w:w="690" w:type="dxa"/>
            <w:shd w:val="clear" w:color="auto" w:fill="auto"/>
            <w:vAlign w:val="center"/>
          </w:tcPr>
          <w:p w14:paraId="225EF0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376305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7EE67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7F0554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CFB93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1752426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AA0C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89180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705" w:type="dxa"/>
            <w:vMerge w:val="continue"/>
            <w:shd w:val="clear" w:color="auto" w:fill="auto"/>
            <w:vAlign w:val="center"/>
          </w:tcPr>
          <w:p w14:paraId="7F24291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F4903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一体化卡口抓拍单元(900万)</w:t>
            </w:r>
          </w:p>
        </w:tc>
        <w:tc>
          <w:tcPr>
            <w:tcW w:w="660" w:type="dxa"/>
            <w:shd w:val="clear" w:color="auto" w:fill="auto"/>
            <w:vAlign w:val="center"/>
          </w:tcPr>
          <w:p w14:paraId="10D83CC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690" w:type="dxa"/>
            <w:shd w:val="clear" w:color="auto" w:fill="auto"/>
            <w:vAlign w:val="center"/>
          </w:tcPr>
          <w:p w14:paraId="4115AE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255712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0884E6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536D694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2D0A0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867F596">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167C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DA37E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705" w:type="dxa"/>
            <w:vMerge w:val="continue"/>
            <w:shd w:val="clear" w:color="auto" w:fill="auto"/>
            <w:vAlign w:val="center"/>
          </w:tcPr>
          <w:p w14:paraId="53CB749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E830E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环保卡口闪光灯</w:t>
            </w:r>
          </w:p>
        </w:tc>
        <w:tc>
          <w:tcPr>
            <w:tcW w:w="660" w:type="dxa"/>
            <w:shd w:val="clear" w:color="auto" w:fill="auto"/>
            <w:vAlign w:val="center"/>
          </w:tcPr>
          <w:p w14:paraId="7A2EBD6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127</w:t>
            </w:r>
          </w:p>
        </w:tc>
        <w:tc>
          <w:tcPr>
            <w:tcW w:w="690" w:type="dxa"/>
            <w:shd w:val="clear" w:color="auto" w:fill="auto"/>
            <w:vAlign w:val="center"/>
          </w:tcPr>
          <w:p w14:paraId="57545E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673087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31D3D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444ACE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5E2B54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F3F821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C1EE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62D819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705" w:type="dxa"/>
            <w:vMerge w:val="continue"/>
            <w:shd w:val="clear" w:color="auto" w:fill="auto"/>
            <w:vAlign w:val="center"/>
          </w:tcPr>
          <w:p w14:paraId="303D8E3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1E8A3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电警主机（含存储）</w:t>
            </w:r>
          </w:p>
        </w:tc>
        <w:tc>
          <w:tcPr>
            <w:tcW w:w="660" w:type="dxa"/>
            <w:shd w:val="clear" w:color="auto" w:fill="auto"/>
            <w:vAlign w:val="center"/>
          </w:tcPr>
          <w:p w14:paraId="69A2B86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690" w:type="dxa"/>
            <w:shd w:val="clear" w:color="auto" w:fill="auto"/>
            <w:vAlign w:val="center"/>
          </w:tcPr>
          <w:p w14:paraId="7ADB66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59BA04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9C004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81FCD4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6EDAC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50AD6C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88BE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50F997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705" w:type="dxa"/>
            <w:vMerge w:val="continue"/>
            <w:shd w:val="clear" w:color="auto" w:fill="auto"/>
            <w:vAlign w:val="center"/>
          </w:tcPr>
          <w:p w14:paraId="2F05CEE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B7275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二合一防雷器</w:t>
            </w:r>
          </w:p>
        </w:tc>
        <w:tc>
          <w:tcPr>
            <w:tcW w:w="660" w:type="dxa"/>
            <w:shd w:val="clear" w:color="auto" w:fill="auto"/>
            <w:vAlign w:val="center"/>
          </w:tcPr>
          <w:p w14:paraId="53550C3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w:t>
            </w:r>
          </w:p>
        </w:tc>
        <w:tc>
          <w:tcPr>
            <w:tcW w:w="690" w:type="dxa"/>
            <w:shd w:val="clear" w:color="auto" w:fill="auto"/>
            <w:vAlign w:val="center"/>
          </w:tcPr>
          <w:p w14:paraId="7DC67D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10" w:type="dxa"/>
            <w:shd w:val="clear" w:color="auto" w:fill="auto"/>
            <w:vAlign w:val="center"/>
          </w:tcPr>
          <w:p w14:paraId="398E02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589A6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E8307E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E8517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DEB9C8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C0D6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20886C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705" w:type="dxa"/>
            <w:vMerge w:val="continue"/>
            <w:shd w:val="clear" w:color="auto" w:fill="auto"/>
            <w:vAlign w:val="center"/>
          </w:tcPr>
          <w:p w14:paraId="16EE032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0227B1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工业交换机（8电+2光）</w:t>
            </w:r>
          </w:p>
        </w:tc>
        <w:tc>
          <w:tcPr>
            <w:tcW w:w="660" w:type="dxa"/>
            <w:shd w:val="clear" w:color="auto" w:fill="auto"/>
            <w:vAlign w:val="center"/>
          </w:tcPr>
          <w:p w14:paraId="61B527E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w:t>
            </w:r>
          </w:p>
        </w:tc>
        <w:tc>
          <w:tcPr>
            <w:tcW w:w="690" w:type="dxa"/>
            <w:shd w:val="clear" w:color="auto" w:fill="auto"/>
            <w:vAlign w:val="center"/>
          </w:tcPr>
          <w:p w14:paraId="1845C0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3D7FC4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05B111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F42C58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26A549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24C4EB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F663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6B081D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705" w:type="dxa"/>
            <w:vMerge w:val="continue"/>
            <w:shd w:val="clear" w:color="auto" w:fill="auto"/>
            <w:vAlign w:val="center"/>
          </w:tcPr>
          <w:p w14:paraId="1F142F8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4ADB6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千兆光模块</w:t>
            </w:r>
          </w:p>
        </w:tc>
        <w:tc>
          <w:tcPr>
            <w:tcW w:w="660" w:type="dxa"/>
            <w:shd w:val="clear" w:color="auto" w:fill="auto"/>
            <w:vAlign w:val="center"/>
          </w:tcPr>
          <w:p w14:paraId="2C9B109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208</w:t>
            </w:r>
          </w:p>
        </w:tc>
        <w:tc>
          <w:tcPr>
            <w:tcW w:w="690" w:type="dxa"/>
            <w:shd w:val="clear" w:color="auto" w:fill="auto"/>
            <w:vAlign w:val="center"/>
          </w:tcPr>
          <w:p w14:paraId="15FAA7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10" w:type="dxa"/>
            <w:shd w:val="clear" w:color="auto" w:fill="auto"/>
            <w:vAlign w:val="center"/>
          </w:tcPr>
          <w:p w14:paraId="50A484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A79BB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3118B23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43838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A70901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0F85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3725C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705" w:type="dxa"/>
            <w:vMerge w:val="continue"/>
            <w:shd w:val="clear" w:color="auto" w:fill="auto"/>
            <w:vAlign w:val="center"/>
          </w:tcPr>
          <w:p w14:paraId="15AAA36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5CB07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RFID双基一体机（含机动车电警抓拍）</w:t>
            </w:r>
          </w:p>
        </w:tc>
        <w:tc>
          <w:tcPr>
            <w:tcW w:w="660" w:type="dxa"/>
            <w:shd w:val="clear" w:color="auto" w:fill="auto"/>
            <w:vAlign w:val="center"/>
          </w:tcPr>
          <w:p w14:paraId="058DA5A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690" w:type="dxa"/>
            <w:shd w:val="clear" w:color="auto" w:fill="auto"/>
            <w:vAlign w:val="center"/>
          </w:tcPr>
          <w:p w14:paraId="5A6F48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30958D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AAF5D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7C9AE6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0533E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967D79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90A6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666A5A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705" w:type="dxa"/>
            <w:vMerge w:val="continue"/>
            <w:shd w:val="clear" w:color="auto" w:fill="auto"/>
            <w:vAlign w:val="center"/>
          </w:tcPr>
          <w:p w14:paraId="321BB95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3C052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RFID双基补光灯</w:t>
            </w:r>
          </w:p>
        </w:tc>
        <w:tc>
          <w:tcPr>
            <w:tcW w:w="660" w:type="dxa"/>
            <w:shd w:val="clear" w:color="auto" w:fill="auto"/>
            <w:vAlign w:val="center"/>
          </w:tcPr>
          <w:p w14:paraId="5F982C2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113</w:t>
            </w:r>
          </w:p>
        </w:tc>
        <w:tc>
          <w:tcPr>
            <w:tcW w:w="690" w:type="dxa"/>
            <w:shd w:val="clear" w:color="auto" w:fill="auto"/>
            <w:vAlign w:val="center"/>
          </w:tcPr>
          <w:p w14:paraId="69E3A3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437F56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9D0B5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5882AA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45E0A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1A8D9F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22AF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AE434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705" w:type="dxa"/>
            <w:vMerge w:val="continue"/>
            <w:shd w:val="clear" w:color="auto" w:fill="auto"/>
            <w:vAlign w:val="center"/>
          </w:tcPr>
          <w:p w14:paraId="60ED1FC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7EEB7D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RFID天线</w:t>
            </w:r>
          </w:p>
        </w:tc>
        <w:tc>
          <w:tcPr>
            <w:tcW w:w="660" w:type="dxa"/>
            <w:shd w:val="clear" w:color="auto" w:fill="auto"/>
            <w:vAlign w:val="center"/>
          </w:tcPr>
          <w:p w14:paraId="0E0712C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690" w:type="dxa"/>
            <w:shd w:val="clear" w:color="auto" w:fill="auto"/>
            <w:vAlign w:val="center"/>
          </w:tcPr>
          <w:p w14:paraId="296AC1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6640AD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0C0F81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D14051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7483A9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9F94CC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83B7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3816D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705" w:type="dxa"/>
            <w:vMerge w:val="continue"/>
            <w:shd w:val="clear" w:color="auto" w:fill="auto"/>
            <w:vAlign w:val="center"/>
          </w:tcPr>
          <w:p w14:paraId="57685696">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24F693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RFID连接馈线</w:t>
            </w:r>
          </w:p>
        </w:tc>
        <w:tc>
          <w:tcPr>
            <w:tcW w:w="660" w:type="dxa"/>
            <w:shd w:val="clear" w:color="auto" w:fill="auto"/>
            <w:vAlign w:val="center"/>
          </w:tcPr>
          <w:p w14:paraId="1736713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690" w:type="dxa"/>
            <w:shd w:val="clear" w:color="auto" w:fill="auto"/>
            <w:vAlign w:val="center"/>
          </w:tcPr>
          <w:p w14:paraId="019CE6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26E1A8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2F58E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5A11AFA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5FF44D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36EF95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2E2E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79F288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705" w:type="dxa"/>
            <w:vMerge w:val="continue"/>
            <w:shd w:val="clear" w:color="auto" w:fill="auto"/>
            <w:vAlign w:val="center"/>
          </w:tcPr>
          <w:p w14:paraId="7748933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C316D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RFID双基终端主机（含机动车存储）</w:t>
            </w:r>
          </w:p>
        </w:tc>
        <w:tc>
          <w:tcPr>
            <w:tcW w:w="660" w:type="dxa"/>
            <w:shd w:val="clear" w:color="auto" w:fill="auto"/>
            <w:vAlign w:val="center"/>
          </w:tcPr>
          <w:p w14:paraId="4EE439E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shd w:val="clear" w:color="auto" w:fill="auto"/>
            <w:vAlign w:val="center"/>
          </w:tcPr>
          <w:p w14:paraId="7FA8BF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6043E7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2BAFA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7EEC35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2339A4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EA5AC8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24C1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62343F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705" w:type="dxa"/>
            <w:vMerge w:val="continue"/>
            <w:shd w:val="clear" w:color="auto" w:fill="auto"/>
            <w:vAlign w:val="center"/>
          </w:tcPr>
          <w:p w14:paraId="4795585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F087F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挂杆箱</w:t>
            </w:r>
          </w:p>
        </w:tc>
        <w:tc>
          <w:tcPr>
            <w:tcW w:w="660" w:type="dxa"/>
            <w:shd w:val="clear" w:color="auto" w:fill="auto"/>
            <w:vAlign w:val="center"/>
          </w:tcPr>
          <w:p w14:paraId="089E176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w:t>
            </w:r>
          </w:p>
        </w:tc>
        <w:tc>
          <w:tcPr>
            <w:tcW w:w="690" w:type="dxa"/>
            <w:shd w:val="clear" w:color="auto" w:fill="auto"/>
            <w:vAlign w:val="center"/>
          </w:tcPr>
          <w:p w14:paraId="4D27FE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10" w:type="dxa"/>
            <w:shd w:val="clear" w:color="auto" w:fill="auto"/>
            <w:vAlign w:val="center"/>
          </w:tcPr>
          <w:p w14:paraId="447553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113B88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512478B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613E8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1397BE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7A18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491B8BB2">
            <w:pPr>
              <w:snapToGrid w:val="0"/>
              <w:ind w:left="0" w:leftChars="0" w:right="0" w:rightChars="0" w:firstLine="0" w:firstLineChars="0"/>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w:t>
            </w:r>
          </w:p>
        </w:tc>
        <w:tc>
          <w:tcPr>
            <w:tcW w:w="705" w:type="dxa"/>
            <w:vMerge w:val="continue"/>
            <w:shd w:val="clear" w:color="auto" w:fill="auto"/>
            <w:vAlign w:val="center"/>
          </w:tcPr>
          <w:p w14:paraId="0AB07D8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27E9FF3F">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视频监控设备</w:t>
            </w:r>
          </w:p>
        </w:tc>
        <w:tc>
          <w:tcPr>
            <w:tcW w:w="585" w:type="dxa"/>
            <w:vMerge w:val="continue"/>
            <w:shd w:val="clear" w:color="auto" w:fill="auto"/>
            <w:vAlign w:val="center"/>
          </w:tcPr>
          <w:p w14:paraId="11549B1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80D3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0F07EB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705" w:type="dxa"/>
            <w:vMerge w:val="continue"/>
            <w:shd w:val="clear" w:color="auto" w:fill="auto"/>
            <w:vAlign w:val="center"/>
          </w:tcPr>
          <w:p w14:paraId="112437B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2D1DF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路口摄像机</w:t>
            </w:r>
          </w:p>
        </w:tc>
        <w:tc>
          <w:tcPr>
            <w:tcW w:w="660" w:type="dxa"/>
            <w:shd w:val="clear" w:color="auto" w:fill="auto"/>
            <w:vAlign w:val="center"/>
          </w:tcPr>
          <w:p w14:paraId="3E5CC11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690" w:type="dxa"/>
            <w:shd w:val="clear" w:color="auto" w:fill="auto"/>
            <w:vAlign w:val="center"/>
          </w:tcPr>
          <w:p w14:paraId="6D5E30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56951B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DCB21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22443D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70BA6E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5D8CA1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9DE0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250C40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705" w:type="dxa"/>
            <w:vMerge w:val="continue"/>
            <w:shd w:val="clear" w:color="auto" w:fill="auto"/>
            <w:vAlign w:val="center"/>
          </w:tcPr>
          <w:p w14:paraId="0D59344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05C3E4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工业交换机（8电+2光）</w:t>
            </w:r>
          </w:p>
        </w:tc>
        <w:tc>
          <w:tcPr>
            <w:tcW w:w="660" w:type="dxa"/>
            <w:shd w:val="clear" w:color="auto" w:fill="auto"/>
            <w:vAlign w:val="center"/>
          </w:tcPr>
          <w:p w14:paraId="128FCF4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690" w:type="dxa"/>
            <w:shd w:val="clear" w:color="auto" w:fill="auto"/>
            <w:vAlign w:val="center"/>
          </w:tcPr>
          <w:p w14:paraId="5F9027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166781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EDA0C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E6E4B5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871BC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7EED57F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6572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689DD0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705" w:type="dxa"/>
            <w:vMerge w:val="continue"/>
            <w:shd w:val="clear" w:color="auto" w:fill="auto"/>
            <w:vAlign w:val="center"/>
          </w:tcPr>
          <w:p w14:paraId="25AE03F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05D1E7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千兆光模块</w:t>
            </w:r>
          </w:p>
        </w:tc>
        <w:tc>
          <w:tcPr>
            <w:tcW w:w="660" w:type="dxa"/>
            <w:shd w:val="clear" w:color="auto" w:fill="auto"/>
            <w:vAlign w:val="center"/>
          </w:tcPr>
          <w:p w14:paraId="0708E87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102</w:t>
            </w:r>
          </w:p>
        </w:tc>
        <w:tc>
          <w:tcPr>
            <w:tcW w:w="690" w:type="dxa"/>
            <w:shd w:val="clear" w:color="auto" w:fill="auto"/>
            <w:vAlign w:val="center"/>
          </w:tcPr>
          <w:p w14:paraId="06F8D9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10" w:type="dxa"/>
            <w:shd w:val="clear" w:color="auto" w:fill="auto"/>
            <w:vAlign w:val="center"/>
          </w:tcPr>
          <w:p w14:paraId="1F83A8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03B9D3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5714CE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C3739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75F1697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0091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1F83CA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705" w:type="dxa"/>
            <w:vMerge w:val="continue"/>
            <w:shd w:val="clear" w:color="auto" w:fill="auto"/>
            <w:vAlign w:val="center"/>
          </w:tcPr>
          <w:p w14:paraId="1E0C96A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CB796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二合一防雷器</w:t>
            </w:r>
          </w:p>
        </w:tc>
        <w:tc>
          <w:tcPr>
            <w:tcW w:w="660" w:type="dxa"/>
            <w:shd w:val="clear" w:color="auto" w:fill="auto"/>
            <w:vAlign w:val="center"/>
          </w:tcPr>
          <w:p w14:paraId="44C28DA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690" w:type="dxa"/>
            <w:shd w:val="clear" w:color="auto" w:fill="auto"/>
            <w:vAlign w:val="center"/>
          </w:tcPr>
          <w:p w14:paraId="1C2623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10" w:type="dxa"/>
            <w:shd w:val="clear" w:color="auto" w:fill="auto"/>
            <w:vAlign w:val="center"/>
          </w:tcPr>
          <w:p w14:paraId="339112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0A2951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E9B82C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2B748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7C4FA23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15F6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2B53E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705" w:type="dxa"/>
            <w:vMerge w:val="continue"/>
            <w:shd w:val="clear" w:color="auto" w:fill="auto"/>
            <w:vAlign w:val="center"/>
          </w:tcPr>
          <w:p w14:paraId="5C3E8F1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DDE07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挂杆箱</w:t>
            </w:r>
          </w:p>
        </w:tc>
        <w:tc>
          <w:tcPr>
            <w:tcW w:w="660" w:type="dxa"/>
            <w:shd w:val="clear" w:color="auto" w:fill="auto"/>
            <w:vAlign w:val="center"/>
          </w:tcPr>
          <w:p w14:paraId="5FD3EA5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690" w:type="dxa"/>
            <w:shd w:val="clear" w:color="auto" w:fill="auto"/>
            <w:vAlign w:val="center"/>
          </w:tcPr>
          <w:p w14:paraId="5F7A27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10" w:type="dxa"/>
            <w:shd w:val="clear" w:color="auto" w:fill="auto"/>
            <w:vAlign w:val="center"/>
          </w:tcPr>
          <w:p w14:paraId="68EE1B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53678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48C8C9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FA155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0D6DE8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05FF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3BCFE21B">
            <w:pPr>
              <w:snapToGrid w:val="0"/>
              <w:ind w:left="0" w:leftChars="0" w:right="0" w:rightChars="0" w:firstLine="0" w:firstLineChars="0"/>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w:t>
            </w:r>
          </w:p>
        </w:tc>
        <w:tc>
          <w:tcPr>
            <w:tcW w:w="705" w:type="dxa"/>
            <w:vMerge w:val="continue"/>
            <w:shd w:val="clear" w:color="auto" w:fill="auto"/>
            <w:vAlign w:val="center"/>
          </w:tcPr>
          <w:p w14:paraId="576672B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3BBD6A95">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车道级微创新设备</w:t>
            </w:r>
          </w:p>
        </w:tc>
        <w:tc>
          <w:tcPr>
            <w:tcW w:w="585" w:type="dxa"/>
            <w:vMerge w:val="continue"/>
            <w:shd w:val="clear" w:color="auto" w:fill="auto"/>
            <w:vAlign w:val="center"/>
          </w:tcPr>
          <w:p w14:paraId="4393CCD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63B0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E5018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705" w:type="dxa"/>
            <w:vMerge w:val="continue"/>
            <w:shd w:val="clear" w:color="auto" w:fill="auto"/>
            <w:vAlign w:val="center"/>
          </w:tcPr>
          <w:p w14:paraId="7624050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0DDEA6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借道左转指示牌</w:t>
            </w:r>
          </w:p>
        </w:tc>
        <w:tc>
          <w:tcPr>
            <w:tcW w:w="660" w:type="dxa"/>
            <w:shd w:val="clear" w:color="auto" w:fill="auto"/>
            <w:vAlign w:val="center"/>
          </w:tcPr>
          <w:p w14:paraId="01F4896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shd w:val="clear" w:color="auto" w:fill="auto"/>
            <w:vAlign w:val="center"/>
          </w:tcPr>
          <w:p w14:paraId="438868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19B1E5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1514B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5A4CBA9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08023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41132E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51D0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E7628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705" w:type="dxa"/>
            <w:vMerge w:val="continue"/>
            <w:shd w:val="clear" w:color="auto" w:fill="auto"/>
            <w:vAlign w:val="center"/>
          </w:tcPr>
          <w:p w14:paraId="192A977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2826AB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可变车道标志牌</w:t>
            </w:r>
          </w:p>
        </w:tc>
        <w:tc>
          <w:tcPr>
            <w:tcW w:w="660" w:type="dxa"/>
            <w:shd w:val="clear" w:color="auto" w:fill="auto"/>
            <w:vAlign w:val="center"/>
          </w:tcPr>
          <w:p w14:paraId="683BDA8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690" w:type="dxa"/>
            <w:shd w:val="clear" w:color="auto" w:fill="auto"/>
            <w:vAlign w:val="center"/>
          </w:tcPr>
          <w:p w14:paraId="73D8B1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110" w:type="dxa"/>
            <w:shd w:val="clear" w:color="auto" w:fill="auto"/>
            <w:vAlign w:val="center"/>
          </w:tcPr>
          <w:p w14:paraId="6E20B7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75C70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34E7CF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7843D3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17CD282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F9F8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0FC63C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705" w:type="dxa"/>
            <w:vMerge w:val="continue"/>
            <w:shd w:val="clear" w:color="auto" w:fill="auto"/>
            <w:vAlign w:val="center"/>
          </w:tcPr>
          <w:p w14:paraId="06897DC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E0DE8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可变车道指示牌</w:t>
            </w:r>
          </w:p>
        </w:tc>
        <w:tc>
          <w:tcPr>
            <w:tcW w:w="660" w:type="dxa"/>
            <w:shd w:val="clear" w:color="auto" w:fill="auto"/>
            <w:vAlign w:val="center"/>
          </w:tcPr>
          <w:p w14:paraId="583B383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690" w:type="dxa"/>
            <w:shd w:val="clear" w:color="auto" w:fill="auto"/>
            <w:vAlign w:val="center"/>
          </w:tcPr>
          <w:p w14:paraId="428FAA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110" w:type="dxa"/>
            <w:shd w:val="clear" w:color="auto" w:fill="auto"/>
            <w:vAlign w:val="center"/>
          </w:tcPr>
          <w:p w14:paraId="7D8BDB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46B14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87F37E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BDECE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4AC249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589D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1BDA58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（三）</w:t>
            </w:r>
          </w:p>
        </w:tc>
        <w:tc>
          <w:tcPr>
            <w:tcW w:w="705" w:type="dxa"/>
            <w:vMerge w:val="continue"/>
            <w:shd w:val="clear" w:color="auto" w:fill="auto"/>
            <w:vAlign w:val="center"/>
          </w:tcPr>
          <w:p w14:paraId="1FBFEBE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0A097D9C">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智慧公交设施</w:t>
            </w:r>
          </w:p>
        </w:tc>
        <w:tc>
          <w:tcPr>
            <w:tcW w:w="585" w:type="dxa"/>
            <w:vMerge w:val="continue"/>
            <w:shd w:val="clear" w:color="auto" w:fill="auto"/>
            <w:vAlign w:val="center"/>
          </w:tcPr>
          <w:p w14:paraId="12A3652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7E3E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FBBA0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56</w:t>
            </w:r>
          </w:p>
        </w:tc>
        <w:tc>
          <w:tcPr>
            <w:tcW w:w="705" w:type="dxa"/>
            <w:vMerge w:val="continue"/>
            <w:shd w:val="clear" w:color="auto" w:fill="auto"/>
            <w:vAlign w:val="center"/>
          </w:tcPr>
          <w:p w14:paraId="7392C4AD">
            <w:pPr>
              <w:snapToGrid w:val="0"/>
              <w:ind w:left="0" w:leftChars="0" w:right="0" w:rightChars="0" w:firstLine="0" w:firstLineChars="0"/>
              <w:jc w:val="center"/>
              <w:rPr>
                <w:rFonts w:hint="eastAsia" w:ascii="宋体" w:hAnsi="宋体" w:eastAsia="宋体" w:cs="宋体"/>
                <w:b/>
                <w:bCs/>
                <w:i w:val="0"/>
                <w:iCs w:val="0"/>
                <w:color w:val="FF0000"/>
                <w:sz w:val="20"/>
                <w:szCs w:val="20"/>
                <w:u w:val="none"/>
              </w:rPr>
            </w:pPr>
          </w:p>
        </w:tc>
        <w:tc>
          <w:tcPr>
            <w:tcW w:w="2497" w:type="dxa"/>
            <w:shd w:val="clear" w:color="auto" w:fill="auto"/>
            <w:vAlign w:val="center"/>
          </w:tcPr>
          <w:p w14:paraId="001C4D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站台结构</w:t>
            </w:r>
          </w:p>
        </w:tc>
        <w:tc>
          <w:tcPr>
            <w:tcW w:w="660" w:type="dxa"/>
            <w:shd w:val="clear" w:color="auto" w:fill="auto"/>
            <w:vAlign w:val="center"/>
          </w:tcPr>
          <w:p w14:paraId="60C11D5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90</w:t>
            </w:r>
          </w:p>
        </w:tc>
        <w:tc>
          <w:tcPr>
            <w:tcW w:w="690" w:type="dxa"/>
            <w:shd w:val="clear" w:color="auto" w:fill="auto"/>
            <w:vAlign w:val="center"/>
          </w:tcPr>
          <w:p w14:paraId="0694D9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泊位</w:t>
            </w:r>
          </w:p>
        </w:tc>
        <w:tc>
          <w:tcPr>
            <w:tcW w:w="1110" w:type="dxa"/>
            <w:shd w:val="clear" w:color="auto" w:fill="auto"/>
            <w:vAlign w:val="center"/>
          </w:tcPr>
          <w:p w14:paraId="2D7A89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拒绝进口</w:t>
            </w:r>
          </w:p>
        </w:tc>
        <w:tc>
          <w:tcPr>
            <w:tcW w:w="1110" w:type="dxa"/>
            <w:shd w:val="clear" w:color="auto" w:fill="auto"/>
            <w:vAlign w:val="center"/>
          </w:tcPr>
          <w:p w14:paraId="041C40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否</w:t>
            </w:r>
          </w:p>
        </w:tc>
        <w:tc>
          <w:tcPr>
            <w:tcW w:w="699" w:type="dxa"/>
            <w:shd w:val="clear" w:color="auto" w:fill="auto"/>
            <w:vAlign w:val="center"/>
          </w:tcPr>
          <w:p w14:paraId="2E602BD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否</w:t>
            </w:r>
          </w:p>
        </w:tc>
        <w:tc>
          <w:tcPr>
            <w:tcW w:w="810" w:type="dxa"/>
            <w:shd w:val="clear" w:color="auto" w:fill="auto"/>
            <w:vAlign w:val="center"/>
          </w:tcPr>
          <w:p w14:paraId="418FA0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否</w:t>
            </w:r>
          </w:p>
        </w:tc>
        <w:tc>
          <w:tcPr>
            <w:tcW w:w="585" w:type="dxa"/>
            <w:vMerge w:val="continue"/>
            <w:shd w:val="clear" w:color="auto" w:fill="auto"/>
            <w:vAlign w:val="center"/>
          </w:tcPr>
          <w:p w14:paraId="05DCB1A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8E9F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557A70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（四）</w:t>
            </w:r>
          </w:p>
        </w:tc>
        <w:tc>
          <w:tcPr>
            <w:tcW w:w="705" w:type="dxa"/>
            <w:vMerge w:val="continue"/>
            <w:shd w:val="clear" w:color="auto" w:fill="auto"/>
            <w:vAlign w:val="center"/>
          </w:tcPr>
          <w:p w14:paraId="5573A76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6C1D5A4D">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道路感知设施</w:t>
            </w:r>
          </w:p>
        </w:tc>
        <w:tc>
          <w:tcPr>
            <w:tcW w:w="585" w:type="dxa"/>
            <w:vMerge w:val="continue"/>
            <w:shd w:val="clear" w:color="auto" w:fill="auto"/>
            <w:vAlign w:val="center"/>
          </w:tcPr>
          <w:p w14:paraId="29543026">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D4D4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6838B9AD">
            <w:pPr>
              <w:snapToGrid w:val="0"/>
              <w:ind w:left="0" w:leftChars="0" w:right="0" w:rightChars="0" w:firstLine="0" w:firstLineChars="0"/>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w:t>
            </w:r>
          </w:p>
        </w:tc>
        <w:tc>
          <w:tcPr>
            <w:tcW w:w="705" w:type="dxa"/>
            <w:vMerge w:val="continue"/>
            <w:shd w:val="clear" w:color="auto" w:fill="auto"/>
            <w:vAlign w:val="center"/>
          </w:tcPr>
          <w:p w14:paraId="2EF62A0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6681F91F">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智慧道路模块</w:t>
            </w:r>
          </w:p>
        </w:tc>
        <w:tc>
          <w:tcPr>
            <w:tcW w:w="585" w:type="dxa"/>
            <w:vMerge w:val="continue"/>
            <w:shd w:val="clear" w:color="auto" w:fill="auto"/>
            <w:vAlign w:val="center"/>
          </w:tcPr>
          <w:p w14:paraId="0F5E9C8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2121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24C88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705" w:type="dxa"/>
            <w:vMerge w:val="continue"/>
            <w:shd w:val="clear" w:color="auto" w:fill="auto"/>
            <w:vAlign w:val="center"/>
          </w:tcPr>
          <w:p w14:paraId="039E576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8ADCD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视频监控（数字网络球型摄像机）</w:t>
            </w:r>
          </w:p>
        </w:tc>
        <w:tc>
          <w:tcPr>
            <w:tcW w:w="660" w:type="dxa"/>
            <w:shd w:val="clear" w:color="auto" w:fill="auto"/>
            <w:vAlign w:val="center"/>
          </w:tcPr>
          <w:p w14:paraId="283981A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690" w:type="dxa"/>
            <w:shd w:val="clear" w:color="auto" w:fill="auto"/>
            <w:vAlign w:val="center"/>
          </w:tcPr>
          <w:p w14:paraId="3EE9B7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0D6CED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02A8B1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E9D7EE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4B3C7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1CB730F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9839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DAC16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705" w:type="dxa"/>
            <w:vMerge w:val="continue"/>
            <w:shd w:val="clear" w:color="auto" w:fill="auto"/>
            <w:vAlign w:val="center"/>
          </w:tcPr>
          <w:p w14:paraId="4E5CB7F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0D7576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边缘计算节点</w:t>
            </w:r>
          </w:p>
        </w:tc>
        <w:tc>
          <w:tcPr>
            <w:tcW w:w="660" w:type="dxa"/>
            <w:shd w:val="clear" w:color="auto" w:fill="auto"/>
            <w:vAlign w:val="center"/>
          </w:tcPr>
          <w:p w14:paraId="7E284FA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690" w:type="dxa"/>
            <w:shd w:val="clear" w:color="auto" w:fill="auto"/>
            <w:vAlign w:val="center"/>
          </w:tcPr>
          <w:p w14:paraId="529100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5E4150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29EE4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FDDEA6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FA0F1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850BAE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970D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79A23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705" w:type="dxa"/>
            <w:vMerge w:val="continue"/>
            <w:shd w:val="clear" w:color="auto" w:fill="auto"/>
            <w:vAlign w:val="center"/>
          </w:tcPr>
          <w:p w14:paraId="0FBB210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2C3F08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千兆光模块</w:t>
            </w:r>
          </w:p>
        </w:tc>
        <w:tc>
          <w:tcPr>
            <w:tcW w:w="660" w:type="dxa"/>
            <w:shd w:val="clear" w:color="auto" w:fill="auto"/>
            <w:vAlign w:val="center"/>
          </w:tcPr>
          <w:p w14:paraId="6017398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690" w:type="dxa"/>
            <w:shd w:val="clear" w:color="auto" w:fill="auto"/>
            <w:vAlign w:val="center"/>
          </w:tcPr>
          <w:p w14:paraId="710EB6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10" w:type="dxa"/>
            <w:shd w:val="clear" w:color="auto" w:fill="auto"/>
            <w:vAlign w:val="center"/>
          </w:tcPr>
          <w:p w14:paraId="7BED0C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A7C4A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28A735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0B3E0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7168B1B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3F4E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329FE0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705" w:type="dxa"/>
            <w:vMerge w:val="continue"/>
            <w:shd w:val="clear" w:color="auto" w:fill="auto"/>
            <w:vAlign w:val="center"/>
          </w:tcPr>
          <w:p w14:paraId="7F44DE1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BFD0C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室外AP</w:t>
            </w:r>
          </w:p>
        </w:tc>
        <w:tc>
          <w:tcPr>
            <w:tcW w:w="660" w:type="dxa"/>
            <w:shd w:val="clear" w:color="auto" w:fill="auto"/>
            <w:vAlign w:val="center"/>
          </w:tcPr>
          <w:p w14:paraId="580EFF0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690" w:type="dxa"/>
            <w:shd w:val="clear" w:color="auto" w:fill="auto"/>
            <w:vAlign w:val="center"/>
          </w:tcPr>
          <w:p w14:paraId="7793B2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1B5C91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3CDE9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DE53CD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B7200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10B5815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425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90026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w:t>
            </w:r>
          </w:p>
        </w:tc>
        <w:tc>
          <w:tcPr>
            <w:tcW w:w="705" w:type="dxa"/>
            <w:vMerge w:val="continue"/>
            <w:shd w:val="clear" w:color="auto" w:fill="auto"/>
            <w:vAlign w:val="center"/>
          </w:tcPr>
          <w:p w14:paraId="58E8825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7BC8E6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工业交换机（8电+2光）</w:t>
            </w:r>
          </w:p>
        </w:tc>
        <w:tc>
          <w:tcPr>
            <w:tcW w:w="660" w:type="dxa"/>
            <w:shd w:val="clear" w:color="auto" w:fill="auto"/>
            <w:vAlign w:val="center"/>
          </w:tcPr>
          <w:p w14:paraId="5579FF3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90" w:type="dxa"/>
            <w:shd w:val="clear" w:color="auto" w:fill="auto"/>
            <w:vAlign w:val="center"/>
          </w:tcPr>
          <w:p w14:paraId="631E90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7B1A01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11AC2B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5699E02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FF563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DE388B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1A39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1BB0B3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705" w:type="dxa"/>
            <w:vMerge w:val="continue"/>
            <w:shd w:val="clear" w:color="auto" w:fill="auto"/>
            <w:vAlign w:val="center"/>
          </w:tcPr>
          <w:p w14:paraId="7BE0CA7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9669F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千兆光模块</w:t>
            </w:r>
          </w:p>
        </w:tc>
        <w:tc>
          <w:tcPr>
            <w:tcW w:w="660" w:type="dxa"/>
            <w:shd w:val="clear" w:color="auto" w:fill="auto"/>
            <w:vAlign w:val="center"/>
          </w:tcPr>
          <w:p w14:paraId="42BC1C4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690" w:type="dxa"/>
            <w:shd w:val="clear" w:color="auto" w:fill="auto"/>
            <w:vAlign w:val="center"/>
          </w:tcPr>
          <w:p w14:paraId="439E19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10" w:type="dxa"/>
            <w:shd w:val="clear" w:color="auto" w:fill="auto"/>
            <w:vAlign w:val="center"/>
          </w:tcPr>
          <w:p w14:paraId="00AFB0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17F02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A1456C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8D2E8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C7D43F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E72C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3E4F5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705" w:type="dxa"/>
            <w:vMerge w:val="continue"/>
            <w:shd w:val="clear" w:color="auto" w:fill="auto"/>
            <w:vAlign w:val="center"/>
          </w:tcPr>
          <w:p w14:paraId="7865DD2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8C183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自动起降设施（无人机及机巢）</w:t>
            </w:r>
          </w:p>
        </w:tc>
        <w:tc>
          <w:tcPr>
            <w:tcW w:w="660" w:type="dxa"/>
            <w:shd w:val="clear" w:color="auto" w:fill="auto"/>
            <w:vAlign w:val="center"/>
          </w:tcPr>
          <w:p w14:paraId="6EB0F7B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90" w:type="dxa"/>
            <w:shd w:val="clear" w:color="auto" w:fill="auto"/>
            <w:vAlign w:val="center"/>
          </w:tcPr>
          <w:p w14:paraId="2D6816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0D81F0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05A7D5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504296C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23575C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46CD94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F7ED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3CB0B93B">
            <w:pPr>
              <w:snapToGrid w:val="0"/>
              <w:ind w:left="0" w:leftChars="0" w:right="0" w:rightChars="0" w:firstLine="0" w:firstLineChars="0"/>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w:t>
            </w:r>
          </w:p>
        </w:tc>
        <w:tc>
          <w:tcPr>
            <w:tcW w:w="705" w:type="dxa"/>
            <w:vMerge w:val="continue"/>
            <w:shd w:val="clear" w:color="auto" w:fill="auto"/>
            <w:vAlign w:val="center"/>
          </w:tcPr>
          <w:p w14:paraId="04A9B87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694B5915">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高点监控</w:t>
            </w:r>
          </w:p>
        </w:tc>
        <w:tc>
          <w:tcPr>
            <w:tcW w:w="585" w:type="dxa"/>
            <w:vMerge w:val="continue"/>
            <w:shd w:val="clear" w:color="auto" w:fill="auto"/>
            <w:vAlign w:val="center"/>
          </w:tcPr>
          <w:p w14:paraId="226BACB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8B4C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0CE7F4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705" w:type="dxa"/>
            <w:vMerge w:val="continue"/>
            <w:shd w:val="clear" w:color="auto" w:fill="auto"/>
            <w:vAlign w:val="center"/>
          </w:tcPr>
          <w:p w14:paraId="5F91060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00A2CA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高点监控摄像机</w:t>
            </w:r>
          </w:p>
        </w:tc>
        <w:tc>
          <w:tcPr>
            <w:tcW w:w="660" w:type="dxa"/>
            <w:shd w:val="clear" w:color="auto" w:fill="auto"/>
            <w:vAlign w:val="center"/>
          </w:tcPr>
          <w:p w14:paraId="6DCAB19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0" w:type="dxa"/>
            <w:shd w:val="clear" w:color="auto" w:fill="auto"/>
            <w:vAlign w:val="center"/>
          </w:tcPr>
          <w:p w14:paraId="06DB07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19C685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B2443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557998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B3DAE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3BCB22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B50E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76C1F7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705" w:type="dxa"/>
            <w:vMerge w:val="continue"/>
            <w:shd w:val="clear" w:color="auto" w:fill="auto"/>
            <w:vAlign w:val="center"/>
          </w:tcPr>
          <w:p w14:paraId="6937030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61F30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工业交换机（8电+2光）</w:t>
            </w:r>
          </w:p>
        </w:tc>
        <w:tc>
          <w:tcPr>
            <w:tcW w:w="660" w:type="dxa"/>
            <w:shd w:val="clear" w:color="auto" w:fill="auto"/>
            <w:vAlign w:val="center"/>
          </w:tcPr>
          <w:p w14:paraId="54FAD69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0" w:type="dxa"/>
            <w:shd w:val="clear" w:color="auto" w:fill="auto"/>
            <w:vAlign w:val="center"/>
          </w:tcPr>
          <w:p w14:paraId="4553AA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6185D2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D682F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E27B2C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8F614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395097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7D0C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78FDDF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w:t>
            </w:r>
          </w:p>
        </w:tc>
        <w:tc>
          <w:tcPr>
            <w:tcW w:w="705" w:type="dxa"/>
            <w:vMerge w:val="continue"/>
            <w:shd w:val="clear" w:color="auto" w:fill="auto"/>
            <w:vAlign w:val="center"/>
          </w:tcPr>
          <w:p w14:paraId="58F5CC6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1C6AF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千兆光模块</w:t>
            </w:r>
          </w:p>
        </w:tc>
        <w:tc>
          <w:tcPr>
            <w:tcW w:w="660" w:type="dxa"/>
            <w:shd w:val="clear" w:color="auto" w:fill="auto"/>
            <w:vAlign w:val="center"/>
          </w:tcPr>
          <w:p w14:paraId="5173175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690" w:type="dxa"/>
            <w:shd w:val="clear" w:color="auto" w:fill="auto"/>
            <w:vAlign w:val="center"/>
          </w:tcPr>
          <w:p w14:paraId="6C995B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10" w:type="dxa"/>
            <w:shd w:val="clear" w:color="auto" w:fill="auto"/>
            <w:vAlign w:val="center"/>
          </w:tcPr>
          <w:p w14:paraId="21CEDC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0A41AE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6FBFDBC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FEBBB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8E40FC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A23F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D4FA5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w:t>
            </w:r>
          </w:p>
        </w:tc>
        <w:tc>
          <w:tcPr>
            <w:tcW w:w="705" w:type="dxa"/>
            <w:vMerge w:val="continue"/>
            <w:shd w:val="clear" w:color="auto" w:fill="auto"/>
            <w:vAlign w:val="center"/>
          </w:tcPr>
          <w:p w14:paraId="02B0A256">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34118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二合一防雷器</w:t>
            </w:r>
          </w:p>
        </w:tc>
        <w:tc>
          <w:tcPr>
            <w:tcW w:w="660" w:type="dxa"/>
            <w:shd w:val="clear" w:color="auto" w:fill="auto"/>
            <w:vAlign w:val="center"/>
          </w:tcPr>
          <w:p w14:paraId="3114B43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0" w:type="dxa"/>
            <w:shd w:val="clear" w:color="auto" w:fill="auto"/>
            <w:vAlign w:val="center"/>
          </w:tcPr>
          <w:p w14:paraId="27A124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10" w:type="dxa"/>
            <w:shd w:val="clear" w:color="auto" w:fill="auto"/>
            <w:vAlign w:val="center"/>
          </w:tcPr>
          <w:p w14:paraId="04DBBA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978D0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66641C2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EBAC9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87FBFD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7FF4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3518E2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w:t>
            </w:r>
          </w:p>
        </w:tc>
        <w:tc>
          <w:tcPr>
            <w:tcW w:w="705" w:type="dxa"/>
            <w:vMerge w:val="continue"/>
            <w:shd w:val="clear" w:color="auto" w:fill="auto"/>
            <w:vAlign w:val="center"/>
          </w:tcPr>
          <w:p w14:paraId="16A4FD4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2B99C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挂杆箱</w:t>
            </w:r>
          </w:p>
        </w:tc>
        <w:tc>
          <w:tcPr>
            <w:tcW w:w="660" w:type="dxa"/>
            <w:shd w:val="clear" w:color="auto" w:fill="auto"/>
            <w:vAlign w:val="center"/>
          </w:tcPr>
          <w:p w14:paraId="31FD3BB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0" w:type="dxa"/>
            <w:shd w:val="clear" w:color="auto" w:fill="auto"/>
            <w:vAlign w:val="center"/>
          </w:tcPr>
          <w:p w14:paraId="060AD8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10" w:type="dxa"/>
            <w:shd w:val="clear" w:color="auto" w:fill="auto"/>
            <w:vAlign w:val="center"/>
          </w:tcPr>
          <w:p w14:paraId="43406F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82D0F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3D39CC6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AFDEC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1AC79F3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FBBE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3E7C24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（五）</w:t>
            </w:r>
          </w:p>
        </w:tc>
        <w:tc>
          <w:tcPr>
            <w:tcW w:w="705" w:type="dxa"/>
            <w:vMerge w:val="continue"/>
            <w:shd w:val="clear" w:color="auto" w:fill="auto"/>
            <w:vAlign w:val="center"/>
          </w:tcPr>
          <w:p w14:paraId="26B21B6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5740015B">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多功能智能杆设施</w:t>
            </w:r>
          </w:p>
        </w:tc>
        <w:tc>
          <w:tcPr>
            <w:tcW w:w="585" w:type="dxa"/>
            <w:vMerge w:val="continue"/>
            <w:shd w:val="clear" w:color="auto" w:fill="auto"/>
            <w:vAlign w:val="center"/>
          </w:tcPr>
          <w:p w14:paraId="7773693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9372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625FC2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FF0000"/>
                <w:sz w:val="20"/>
                <w:szCs w:val="20"/>
                <w:u w:val="none"/>
              </w:rPr>
            </w:pPr>
            <w:r>
              <w:rPr>
                <w:rFonts w:hint="eastAsia" w:ascii="宋体" w:hAnsi="宋体" w:eastAsia="宋体" w:cs="宋体"/>
                <w:b w:val="0"/>
                <w:bCs w:val="0"/>
                <w:i w:val="0"/>
                <w:iCs w:val="0"/>
                <w:color w:val="auto"/>
                <w:kern w:val="0"/>
                <w:sz w:val="20"/>
                <w:szCs w:val="20"/>
                <w:u w:val="none"/>
                <w:lang w:val="en-US" w:eastAsia="zh-CN" w:bidi="ar"/>
              </w:rPr>
              <w:t>69</w:t>
            </w:r>
          </w:p>
        </w:tc>
        <w:tc>
          <w:tcPr>
            <w:tcW w:w="705" w:type="dxa"/>
            <w:vMerge w:val="continue"/>
            <w:shd w:val="clear" w:color="auto" w:fill="auto"/>
            <w:vAlign w:val="center"/>
          </w:tcPr>
          <w:p w14:paraId="3B16FFD3">
            <w:pPr>
              <w:snapToGrid w:val="0"/>
              <w:ind w:left="0" w:leftChars="0" w:right="0" w:rightChars="0" w:firstLine="0" w:firstLineChars="0"/>
              <w:jc w:val="center"/>
              <w:rPr>
                <w:rFonts w:hint="eastAsia" w:ascii="宋体" w:hAnsi="宋体" w:eastAsia="宋体" w:cs="宋体"/>
                <w:b w:val="0"/>
                <w:bCs w:val="0"/>
                <w:i w:val="0"/>
                <w:iCs w:val="0"/>
                <w:color w:val="FF0000"/>
                <w:sz w:val="20"/>
                <w:szCs w:val="20"/>
                <w:u w:val="none"/>
              </w:rPr>
            </w:pPr>
          </w:p>
        </w:tc>
        <w:tc>
          <w:tcPr>
            <w:tcW w:w="2497" w:type="dxa"/>
            <w:shd w:val="clear" w:color="auto" w:fill="auto"/>
            <w:vAlign w:val="center"/>
          </w:tcPr>
          <w:p w14:paraId="5975BB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多功能智能杆1（智慧路灯+车行信号灯）</w:t>
            </w:r>
          </w:p>
        </w:tc>
        <w:tc>
          <w:tcPr>
            <w:tcW w:w="660" w:type="dxa"/>
            <w:shd w:val="clear" w:color="auto" w:fill="auto"/>
            <w:vAlign w:val="center"/>
          </w:tcPr>
          <w:p w14:paraId="0B0A7C3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4</w:t>
            </w:r>
          </w:p>
        </w:tc>
        <w:tc>
          <w:tcPr>
            <w:tcW w:w="690" w:type="dxa"/>
            <w:shd w:val="clear" w:color="auto" w:fill="auto"/>
            <w:vAlign w:val="center"/>
          </w:tcPr>
          <w:p w14:paraId="369944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杆</w:t>
            </w:r>
          </w:p>
        </w:tc>
        <w:tc>
          <w:tcPr>
            <w:tcW w:w="1110" w:type="dxa"/>
            <w:shd w:val="clear" w:color="auto" w:fill="auto"/>
            <w:vAlign w:val="center"/>
          </w:tcPr>
          <w:p w14:paraId="0FD31F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拒绝进口</w:t>
            </w:r>
          </w:p>
        </w:tc>
        <w:tc>
          <w:tcPr>
            <w:tcW w:w="1110" w:type="dxa"/>
            <w:shd w:val="clear" w:color="auto" w:fill="auto"/>
            <w:vAlign w:val="center"/>
          </w:tcPr>
          <w:p w14:paraId="4BA8A2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否</w:t>
            </w:r>
          </w:p>
        </w:tc>
        <w:tc>
          <w:tcPr>
            <w:tcW w:w="699" w:type="dxa"/>
            <w:shd w:val="clear" w:color="auto" w:fill="auto"/>
            <w:vAlign w:val="center"/>
          </w:tcPr>
          <w:p w14:paraId="531B525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否</w:t>
            </w:r>
          </w:p>
        </w:tc>
        <w:tc>
          <w:tcPr>
            <w:tcW w:w="810" w:type="dxa"/>
            <w:shd w:val="clear" w:color="auto" w:fill="auto"/>
            <w:vAlign w:val="center"/>
          </w:tcPr>
          <w:p w14:paraId="056E35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否</w:t>
            </w:r>
          </w:p>
        </w:tc>
        <w:tc>
          <w:tcPr>
            <w:tcW w:w="585" w:type="dxa"/>
            <w:vMerge w:val="continue"/>
            <w:shd w:val="clear" w:color="auto" w:fill="auto"/>
            <w:vAlign w:val="center"/>
          </w:tcPr>
          <w:p w14:paraId="12856E7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2791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515BF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705" w:type="dxa"/>
            <w:vMerge w:val="continue"/>
            <w:shd w:val="clear" w:color="auto" w:fill="auto"/>
            <w:vAlign w:val="center"/>
          </w:tcPr>
          <w:p w14:paraId="17EF92C6">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71C3B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多功能智能杆2（智慧路灯+车行信号灯）</w:t>
            </w:r>
          </w:p>
        </w:tc>
        <w:tc>
          <w:tcPr>
            <w:tcW w:w="660" w:type="dxa"/>
            <w:shd w:val="clear" w:color="auto" w:fill="auto"/>
            <w:vAlign w:val="center"/>
          </w:tcPr>
          <w:p w14:paraId="1ADE89D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90" w:type="dxa"/>
            <w:shd w:val="clear" w:color="auto" w:fill="auto"/>
            <w:vAlign w:val="center"/>
          </w:tcPr>
          <w:p w14:paraId="597731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11BE42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E6544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4CD650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13F1B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1869AFC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AA12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0BCED0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w:t>
            </w:r>
          </w:p>
        </w:tc>
        <w:tc>
          <w:tcPr>
            <w:tcW w:w="705" w:type="dxa"/>
            <w:vMerge w:val="continue"/>
            <w:shd w:val="clear" w:color="auto" w:fill="auto"/>
            <w:vAlign w:val="center"/>
          </w:tcPr>
          <w:p w14:paraId="40CCC2E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1BE19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多功能智能杆3（智慧路灯+车行信号灯）</w:t>
            </w:r>
          </w:p>
        </w:tc>
        <w:tc>
          <w:tcPr>
            <w:tcW w:w="660" w:type="dxa"/>
            <w:shd w:val="clear" w:color="auto" w:fill="auto"/>
            <w:vAlign w:val="center"/>
          </w:tcPr>
          <w:p w14:paraId="637892D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690" w:type="dxa"/>
            <w:shd w:val="clear" w:color="auto" w:fill="auto"/>
            <w:vAlign w:val="center"/>
          </w:tcPr>
          <w:p w14:paraId="2403AB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0BB754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D4A4D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A6A2ED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BEF25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E0BD7D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F51E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B6963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w:t>
            </w:r>
          </w:p>
        </w:tc>
        <w:tc>
          <w:tcPr>
            <w:tcW w:w="705" w:type="dxa"/>
            <w:vMerge w:val="continue"/>
            <w:shd w:val="clear" w:color="auto" w:fill="auto"/>
            <w:vAlign w:val="center"/>
          </w:tcPr>
          <w:p w14:paraId="0C05F08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3986A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多功能智能杆4（智慧路灯+车行信号灯）</w:t>
            </w:r>
          </w:p>
        </w:tc>
        <w:tc>
          <w:tcPr>
            <w:tcW w:w="660" w:type="dxa"/>
            <w:shd w:val="clear" w:color="auto" w:fill="auto"/>
            <w:vAlign w:val="center"/>
          </w:tcPr>
          <w:p w14:paraId="5DFF3E3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690" w:type="dxa"/>
            <w:shd w:val="clear" w:color="auto" w:fill="auto"/>
            <w:vAlign w:val="center"/>
          </w:tcPr>
          <w:p w14:paraId="05DC9A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53C798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3ED40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38E5E97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3341F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F3DA36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4741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46E31F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w:t>
            </w:r>
          </w:p>
        </w:tc>
        <w:tc>
          <w:tcPr>
            <w:tcW w:w="705" w:type="dxa"/>
            <w:vMerge w:val="continue"/>
            <w:shd w:val="clear" w:color="auto" w:fill="auto"/>
            <w:vAlign w:val="center"/>
          </w:tcPr>
          <w:p w14:paraId="55D0502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2BE37C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多功能智能杆5（智慧路灯+车行信号灯）</w:t>
            </w:r>
          </w:p>
        </w:tc>
        <w:tc>
          <w:tcPr>
            <w:tcW w:w="660" w:type="dxa"/>
            <w:shd w:val="clear" w:color="auto" w:fill="auto"/>
            <w:vAlign w:val="center"/>
          </w:tcPr>
          <w:p w14:paraId="3DE53D6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shd w:val="clear" w:color="auto" w:fill="auto"/>
            <w:vAlign w:val="center"/>
          </w:tcPr>
          <w:p w14:paraId="702E46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56AB8B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27CBD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C61C99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47EAF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C7F14D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945E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628371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w:t>
            </w:r>
          </w:p>
        </w:tc>
        <w:tc>
          <w:tcPr>
            <w:tcW w:w="705" w:type="dxa"/>
            <w:vMerge w:val="continue"/>
            <w:shd w:val="clear" w:color="auto" w:fill="auto"/>
            <w:vAlign w:val="center"/>
          </w:tcPr>
          <w:p w14:paraId="578CA01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276EBA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多功能智能杆6（智慧路灯+车行信号灯）</w:t>
            </w:r>
          </w:p>
        </w:tc>
        <w:tc>
          <w:tcPr>
            <w:tcW w:w="660" w:type="dxa"/>
            <w:shd w:val="clear" w:color="auto" w:fill="auto"/>
            <w:vAlign w:val="center"/>
          </w:tcPr>
          <w:p w14:paraId="1154076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0950D8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429AA9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1BAF58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2F40F3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5FC3F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ED7EB0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2CEA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663AD3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705" w:type="dxa"/>
            <w:vMerge w:val="continue"/>
            <w:shd w:val="clear" w:color="auto" w:fill="auto"/>
            <w:vAlign w:val="center"/>
          </w:tcPr>
          <w:p w14:paraId="420E068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3130A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多功能智能杆7（智慧路灯+车行信号灯）</w:t>
            </w:r>
          </w:p>
        </w:tc>
        <w:tc>
          <w:tcPr>
            <w:tcW w:w="660" w:type="dxa"/>
            <w:shd w:val="clear" w:color="auto" w:fill="auto"/>
            <w:vAlign w:val="center"/>
          </w:tcPr>
          <w:p w14:paraId="5A787F4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90" w:type="dxa"/>
            <w:shd w:val="clear" w:color="auto" w:fill="auto"/>
            <w:vAlign w:val="center"/>
          </w:tcPr>
          <w:p w14:paraId="235CCF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3B636C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F32B1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7C21C9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91D93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6F287D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43DE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05EC4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w:t>
            </w:r>
          </w:p>
        </w:tc>
        <w:tc>
          <w:tcPr>
            <w:tcW w:w="705" w:type="dxa"/>
            <w:vMerge w:val="continue"/>
            <w:shd w:val="clear" w:color="auto" w:fill="auto"/>
            <w:vAlign w:val="center"/>
          </w:tcPr>
          <w:p w14:paraId="19DABA9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0C1D3C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多功能智能杆8（智慧路灯+车行信号灯）</w:t>
            </w:r>
          </w:p>
        </w:tc>
        <w:tc>
          <w:tcPr>
            <w:tcW w:w="660" w:type="dxa"/>
            <w:shd w:val="clear" w:color="auto" w:fill="auto"/>
            <w:vAlign w:val="center"/>
          </w:tcPr>
          <w:p w14:paraId="027DC1B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0" w:type="dxa"/>
            <w:shd w:val="clear" w:color="auto" w:fill="auto"/>
            <w:vAlign w:val="center"/>
          </w:tcPr>
          <w:p w14:paraId="43D9BF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6E423A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B1C08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08EF68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C222B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2F91CC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99CB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5B3EA4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w:t>
            </w:r>
          </w:p>
        </w:tc>
        <w:tc>
          <w:tcPr>
            <w:tcW w:w="705" w:type="dxa"/>
            <w:vMerge w:val="continue"/>
            <w:shd w:val="clear" w:color="auto" w:fill="auto"/>
            <w:vAlign w:val="center"/>
          </w:tcPr>
          <w:p w14:paraId="4F94F6F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4CDB9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多功能智能杆9（智慧路灯+车行信号灯）</w:t>
            </w:r>
          </w:p>
        </w:tc>
        <w:tc>
          <w:tcPr>
            <w:tcW w:w="660" w:type="dxa"/>
            <w:shd w:val="clear" w:color="auto" w:fill="auto"/>
            <w:vAlign w:val="center"/>
          </w:tcPr>
          <w:p w14:paraId="736B8C5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shd w:val="clear" w:color="auto" w:fill="auto"/>
            <w:vAlign w:val="center"/>
          </w:tcPr>
          <w:p w14:paraId="2029C2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2D1A36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214CB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A866CB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70565E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DD94E8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7245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479901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w:t>
            </w:r>
          </w:p>
        </w:tc>
        <w:tc>
          <w:tcPr>
            <w:tcW w:w="705" w:type="dxa"/>
            <w:vMerge w:val="continue"/>
            <w:shd w:val="clear" w:color="auto" w:fill="auto"/>
            <w:vAlign w:val="center"/>
          </w:tcPr>
          <w:p w14:paraId="2B92586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AF212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多功能智能杆12（智慧路灯+电子警察）</w:t>
            </w:r>
          </w:p>
        </w:tc>
        <w:tc>
          <w:tcPr>
            <w:tcW w:w="660" w:type="dxa"/>
            <w:shd w:val="clear" w:color="auto" w:fill="auto"/>
            <w:vAlign w:val="center"/>
          </w:tcPr>
          <w:p w14:paraId="349F645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23EB65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6B63F4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2DE32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26479E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2E6311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2BDD5E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2ABD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22AAA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79</w:t>
            </w:r>
          </w:p>
        </w:tc>
        <w:tc>
          <w:tcPr>
            <w:tcW w:w="705" w:type="dxa"/>
            <w:vMerge w:val="continue"/>
            <w:shd w:val="clear" w:color="auto" w:fill="auto"/>
            <w:vAlign w:val="center"/>
          </w:tcPr>
          <w:p w14:paraId="2D1DFDA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2B67D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多功能智能杆13（智慧路灯+电子警察）</w:t>
            </w:r>
          </w:p>
        </w:tc>
        <w:tc>
          <w:tcPr>
            <w:tcW w:w="660" w:type="dxa"/>
            <w:shd w:val="clear" w:color="auto" w:fill="auto"/>
            <w:vAlign w:val="center"/>
          </w:tcPr>
          <w:p w14:paraId="41C4016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690" w:type="dxa"/>
            <w:shd w:val="clear" w:color="auto" w:fill="auto"/>
            <w:vAlign w:val="center"/>
          </w:tcPr>
          <w:p w14:paraId="5D7451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30D798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076B9C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3F03B8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B2857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19A0979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F6CC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4E71AD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705" w:type="dxa"/>
            <w:vMerge w:val="continue"/>
            <w:shd w:val="clear" w:color="auto" w:fill="auto"/>
            <w:vAlign w:val="center"/>
          </w:tcPr>
          <w:p w14:paraId="78DF835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3E8AD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多功能智能杆14（智慧路灯+电子警察）</w:t>
            </w:r>
          </w:p>
        </w:tc>
        <w:tc>
          <w:tcPr>
            <w:tcW w:w="660" w:type="dxa"/>
            <w:shd w:val="clear" w:color="auto" w:fill="auto"/>
            <w:vAlign w:val="center"/>
          </w:tcPr>
          <w:p w14:paraId="6203708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690" w:type="dxa"/>
            <w:shd w:val="clear" w:color="auto" w:fill="auto"/>
            <w:vAlign w:val="center"/>
          </w:tcPr>
          <w:p w14:paraId="3A3FB9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402722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192E4F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579AA6B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3BE46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77C99BE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9996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38A09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w:t>
            </w:r>
          </w:p>
        </w:tc>
        <w:tc>
          <w:tcPr>
            <w:tcW w:w="705" w:type="dxa"/>
            <w:vMerge w:val="continue"/>
            <w:shd w:val="clear" w:color="auto" w:fill="auto"/>
            <w:vAlign w:val="center"/>
          </w:tcPr>
          <w:p w14:paraId="0316682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12C78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多功能智能杆15（智慧路灯+电子警察）</w:t>
            </w:r>
          </w:p>
        </w:tc>
        <w:tc>
          <w:tcPr>
            <w:tcW w:w="660" w:type="dxa"/>
            <w:shd w:val="clear" w:color="auto" w:fill="auto"/>
            <w:vAlign w:val="center"/>
          </w:tcPr>
          <w:p w14:paraId="4377EF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shd w:val="clear" w:color="auto" w:fill="auto"/>
            <w:vAlign w:val="center"/>
          </w:tcPr>
          <w:p w14:paraId="1D6A8E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412E8A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763AA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5BD747C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2C0F37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F802C2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BB99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496830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w:t>
            </w:r>
          </w:p>
        </w:tc>
        <w:tc>
          <w:tcPr>
            <w:tcW w:w="705" w:type="dxa"/>
            <w:vMerge w:val="continue"/>
            <w:shd w:val="clear" w:color="auto" w:fill="auto"/>
            <w:vAlign w:val="center"/>
          </w:tcPr>
          <w:p w14:paraId="6A43CB5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7BEC9F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多功能智能杆16（智慧路灯+电子警察）</w:t>
            </w:r>
          </w:p>
        </w:tc>
        <w:tc>
          <w:tcPr>
            <w:tcW w:w="660" w:type="dxa"/>
            <w:shd w:val="clear" w:color="auto" w:fill="auto"/>
            <w:vAlign w:val="center"/>
          </w:tcPr>
          <w:p w14:paraId="59DD8D0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690" w:type="dxa"/>
            <w:shd w:val="clear" w:color="auto" w:fill="auto"/>
            <w:vAlign w:val="center"/>
          </w:tcPr>
          <w:p w14:paraId="7A5BF8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519E55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4A675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B006AB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777C29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524BBE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33FD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7E70F5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w:t>
            </w:r>
          </w:p>
        </w:tc>
        <w:tc>
          <w:tcPr>
            <w:tcW w:w="705" w:type="dxa"/>
            <w:vMerge w:val="continue"/>
            <w:shd w:val="clear" w:color="auto" w:fill="auto"/>
            <w:vAlign w:val="center"/>
          </w:tcPr>
          <w:p w14:paraId="28AFA3C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B81E9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多功能智能杆17（智慧路灯+电子警察）</w:t>
            </w:r>
          </w:p>
        </w:tc>
        <w:tc>
          <w:tcPr>
            <w:tcW w:w="660" w:type="dxa"/>
            <w:shd w:val="clear" w:color="auto" w:fill="auto"/>
            <w:vAlign w:val="center"/>
          </w:tcPr>
          <w:p w14:paraId="6D18C1E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03F8D4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1507D9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6A3B3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968C2D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5EE8D3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DB93D8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569F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157078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w:t>
            </w:r>
          </w:p>
        </w:tc>
        <w:tc>
          <w:tcPr>
            <w:tcW w:w="705" w:type="dxa"/>
            <w:vMerge w:val="continue"/>
            <w:shd w:val="clear" w:color="auto" w:fill="auto"/>
            <w:vAlign w:val="center"/>
          </w:tcPr>
          <w:p w14:paraId="4DD6F36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7FCD4B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多功能智能杆18（智慧路灯+电子警察）</w:t>
            </w:r>
          </w:p>
        </w:tc>
        <w:tc>
          <w:tcPr>
            <w:tcW w:w="660" w:type="dxa"/>
            <w:shd w:val="clear" w:color="auto" w:fill="auto"/>
            <w:vAlign w:val="center"/>
          </w:tcPr>
          <w:p w14:paraId="585AE82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0E588E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59E00F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0FD328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C8F776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08A49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34CF82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9EC0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FD18E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w:t>
            </w:r>
          </w:p>
        </w:tc>
        <w:tc>
          <w:tcPr>
            <w:tcW w:w="705" w:type="dxa"/>
            <w:vMerge w:val="continue"/>
            <w:shd w:val="clear" w:color="auto" w:fill="auto"/>
            <w:vAlign w:val="center"/>
          </w:tcPr>
          <w:p w14:paraId="6C84217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72EA00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多功能智能杆19（电子警察）</w:t>
            </w:r>
          </w:p>
        </w:tc>
        <w:tc>
          <w:tcPr>
            <w:tcW w:w="660" w:type="dxa"/>
            <w:shd w:val="clear" w:color="auto" w:fill="auto"/>
            <w:vAlign w:val="center"/>
          </w:tcPr>
          <w:p w14:paraId="5D320EF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120C00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2F08FB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EB0A0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F281C0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DC9FE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17A819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260F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1E8833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w:t>
            </w:r>
          </w:p>
        </w:tc>
        <w:tc>
          <w:tcPr>
            <w:tcW w:w="705" w:type="dxa"/>
            <w:vMerge w:val="continue"/>
            <w:shd w:val="clear" w:color="auto" w:fill="auto"/>
            <w:vAlign w:val="center"/>
          </w:tcPr>
          <w:p w14:paraId="249FE4C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275E47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多功能智能杆20（电子警察）</w:t>
            </w:r>
          </w:p>
        </w:tc>
        <w:tc>
          <w:tcPr>
            <w:tcW w:w="660" w:type="dxa"/>
            <w:shd w:val="clear" w:color="auto" w:fill="auto"/>
            <w:vAlign w:val="center"/>
          </w:tcPr>
          <w:p w14:paraId="46D1996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690" w:type="dxa"/>
            <w:shd w:val="clear" w:color="auto" w:fill="auto"/>
            <w:vAlign w:val="center"/>
          </w:tcPr>
          <w:p w14:paraId="6441BF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752469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AB151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020B26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2A475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93A977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5A1A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44317E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w:t>
            </w:r>
          </w:p>
        </w:tc>
        <w:tc>
          <w:tcPr>
            <w:tcW w:w="705" w:type="dxa"/>
            <w:vMerge w:val="continue"/>
            <w:shd w:val="clear" w:color="auto" w:fill="auto"/>
            <w:vAlign w:val="center"/>
          </w:tcPr>
          <w:p w14:paraId="20C59EF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1E30D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多功能智能杆21（电子警察）</w:t>
            </w:r>
          </w:p>
        </w:tc>
        <w:tc>
          <w:tcPr>
            <w:tcW w:w="660" w:type="dxa"/>
            <w:shd w:val="clear" w:color="auto" w:fill="auto"/>
            <w:vAlign w:val="center"/>
          </w:tcPr>
          <w:p w14:paraId="49AD35D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shd w:val="clear" w:color="auto" w:fill="auto"/>
            <w:vAlign w:val="center"/>
          </w:tcPr>
          <w:p w14:paraId="425F9D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7CB9FC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8B110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D4925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11C15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1AE809D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108C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4B5D97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w:t>
            </w:r>
          </w:p>
        </w:tc>
        <w:tc>
          <w:tcPr>
            <w:tcW w:w="705" w:type="dxa"/>
            <w:vMerge w:val="continue"/>
            <w:shd w:val="clear" w:color="auto" w:fill="auto"/>
            <w:vAlign w:val="center"/>
          </w:tcPr>
          <w:p w14:paraId="0B7E28C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12169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多功能智能杆22（电子警察）</w:t>
            </w:r>
          </w:p>
        </w:tc>
        <w:tc>
          <w:tcPr>
            <w:tcW w:w="660" w:type="dxa"/>
            <w:shd w:val="clear" w:color="auto" w:fill="auto"/>
            <w:vAlign w:val="center"/>
          </w:tcPr>
          <w:p w14:paraId="097BB7B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690" w:type="dxa"/>
            <w:shd w:val="clear" w:color="auto" w:fill="auto"/>
            <w:vAlign w:val="center"/>
          </w:tcPr>
          <w:p w14:paraId="37B88D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0C1E19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94441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37775ED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8E04A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F9901C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966C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15DD7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w:t>
            </w:r>
          </w:p>
        </w:tc>
        <w:tc>
          <w:tcPr>
            <w:tcW w:w="705" w:type="dxa"/>
            <w:vMerge w:val="continue"/>
            <w:shd w:val="clear" w:color="auto" w:fill="auto"/>
            <w:vAlign w:val="center"/>
          </w:tcPr>
          <w:p w14:paraId="570F248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2CE6D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多功能智能杆23（电子警察）</w:t>
            </w:r>
          </w:p>
        </w:tc>
        <w:tc>
          <w:tcPr>
            <w:tcW w:w="660" w:type="dxa"/>
            <w:shd w:val="clear" w:color="auto" w:fill="auto"/>
            <w:vAlign w:val="center"/>
          </w:tcPr>
          <w:p w14:paraId="73B8B35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shd w:val="clear" w:color="auto" w:fill="auto"/>
            <w:vAlign w:val="center"/>
          </w:tcPr>
          <w:p w14:paraId="39CC81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4DCDB2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B32D8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FCD19B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50C385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1FF773B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E97F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408482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705" w:type="dxa"/>
            <w:vMerge w:val="continue"/>
            <w:shd w:val="clear" w:color="auto" w:fill="auto"/>
            <w:vAlign w:val="center"/>
          </w:tcPr>
          <w:p w14:paraId="019E5CC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02EB74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多功能智能杆24（电子警察）</w:t>
            </w:r>
          </w:p>
        </w:tc>
        <w:tc>
          <w:tcPr>
            <w:tcW w:w="660" w:type="dxa"/>
            <w:shd w:val="clear" w:color="auto" w:fill="auto"/>
            <w:vAlign w:val="center"/>
          </w:tcPr>
          <w:p w14:paraId="02405A6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690" w:type="dxa"/>
            <w:shd w:val="clear" w:color="auto" w:fill="auto"/>
            <w:vAlign w:val="center"/>
          </w:tcPr>
          <w:p w14:paraId="70A7D2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4DF257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11ACEF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6747824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5A130F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C0DD20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ACA2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2E5B75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w:t>
            </w:r>
          </w:p>
        </w:tc>
        <w:tc>
          <w:tcPr>
            <w:tcW w:w="705" w:type="dxa"/>
            <w:vMerge w:val="continue"/>
            <w:shd w:val="clear" w:color="auto" w:fill="auto"/>
            <w:vAlign w:val="center"/>
          </w:tcPr>
          <w:p w14:paraId="5CFB210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74D9A2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多功能智能杆26（车行信号灯）</w:t>
            </w:r>
          </w:p>
        </w:tc>
        <w:tc>
          <w:tcPr>
            <w:tcW w:w="660" w:type="dxa"/>
            <w:shd w:val="clear" w:color="auto" w:fill="auto"/>
            <w:vAlign w:val="center"/>
          </w:tcPr>
          <w:p w14:paraId="6B9CA9E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2A9F20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309005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2BB52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31FBCF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3B269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132DF8A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4377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614D32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92</w:t>
            </w:r>
          </w:p>
        </w:tc>
        <w:tc>
          <w:tcPr>
            <w:tcW w:w="705" w:type="dxa"/>
            <w:vMerge w:val="continue"/>
            <w:shd w:val="clear" w:color="auto" w:fill="auto"/>
            <w:vAlign w:val="center"/>
          </w:tcPr>
          <w:p w14:paraId="05F1C0F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B39EE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多功能智能杆27（车行信号灯）</w:t>
            </w:r>
          </w:p>
        </w:tc>
        <w:tc>
          <w:tcPr>
            <w:tcW w:w="660" w:type="dxa"/>
            <w:shd w:val="clear" w:color="auto" w:fill="auto"/>
            <w:vAlign w:val="center"/>
          </w:tcPr>
          <w:p w14:paraId="5ED8519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0" w:type="dxa"/>
            <w:shd w:val="clear" w:color="auto" w:fill="auto"/>
            <w:vAlign w:val="center"/>
          </w:tcPr>
          <w:p w14:paraId="63BD71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1BB0BE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6B736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5E7F8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BB81B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905562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92F5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2B017B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w:t>
            </w:r>
          </w:p>
        </w:tc>
        <w:tc>
          <w:tcPr>
            <w:tcW w:w="705" w:type="dxa"/>
            <w:vMerge w:val="continue"/>
            <w:shd w:val="clear" w:color="auto" w:fill="auto"/>
            <w:vAlign w:val="center"/>
          </w:tcPr>
          <w:p w14:paraId="1C04A9C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FB004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多功能智能杆28（车行信号灯）</w:t>
            </w:r>
          </w:p>
        </w:tc>
        <w:tc>
          <w:tcPr>
            <w:tcW w:w="660" w:type="dxa"/>
            <w:shd w:val="clear" w:color="auto" w:fill="auto"/>
            <w:vAlign w:val="center"/>
          </w:tcPr>
          <w:p w14:paraId="78BCF54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690" w:type="dxa"/>
            <w:shd w:val="clear" w:color="auto" w:fill="auto"/>
            <w:vAlign w:val="center"/>
          </w:tcPr>
          <w:p w14:paraId="3CB441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0FE954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451B2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D3F73C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6E536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BBA8CE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3E7D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7067AF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w:t>
            </w:r>
          </w:p>
        </w:tc>
        <w:tc>
          <w:tcPr>
            <w:tcW w:w="705" w:type="dxa"/>
            <w:vMerge w:val="continue"/>
            <w:shd w:val="clear" w:color="auto" w:fill="auto"/>
            <w:vAlign w:val="center"/>
          </w:tcPr>
          <w:p w14:paraId="691008C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5976C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多功能智能杆29（车行信号灯）</w:t>
            </w:r>
          </w:p>
        </w:tc>
        <w:tc>
          <w:tcPr>
            <w:tcW w:w="660" w:type="dxa"/>
            <w:shd w:val="clear" w:color="auto" w:fill="auto"/>
            <w:vAlign w:val="center"/>
          </w:tcPr>
          <w:p w14:paraId="73E9454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 w:type="dxa"/>
            <w:shd w:val="clear" w:color="auto" w:fill="auto"/>
            <w:vAlign w:val="center"/>
          </w:tcPr>
          <w:p w14:paraId="7A1597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7EEA02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1F261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EDA434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76CBE5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DED5F8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0BAD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60A61A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705" w:type="dxa"/>
            <w:vMerge w:val="continue"/>
            <w:shd w:val="clear" w:color="auto" w:fill="auto"/>
            <w:vAlign w:val="center"/>
          </w:tcPr>
          <w:p w14:paraId="11FCD05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402A4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多功能智能杆30（车行信号灯）</w:t>
            </w:r>
          </w:p>
        </w:tc>
        <w:tc>
          <w:tcPr>
            <w:tcW w:w="660" w:type="dxa"/>
            <w:shd w:val="clear" w:color="auto" w:fill="auto"/>
            <w:vAlign w:val="center"/>
          </w:tcPr>
          <w:p w14:paraId="35E0E3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shd w:val="clear" w:color="auto" w:fill="auto"/>
            <w:vAlign w:val="center"/>
          </w:tcPr>
          <w:p w14:paraId="174EE6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5B5ABC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0B6DCE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63D1C0A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7A8A45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8D15AD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BF2E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331E35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w:t>
            </w:r>
          </w:p>
        </w:tc>
        <w:tc>
          <w:tcPr>
            <w:tcW w:w="705" w:type="dxa"/>
            <w:vMerge w:val="continue"/>
            <w:shd w:val="clear" w:color="auto" w:fill="auto"/>
            <w:vAlign w:val="center"/>
          </w:tcPr>
          <w:p w14:paraId="1C41A66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76E437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多功能智能杆31（车行信号灯）</w:t>
            </w:r>
          </w:p>
        </w:tc>
        <w:tc>
          <w:tcPr>
            <w:tcW w:w="660" w:type="dxa"/>
            <w:shd w:val="clear" w:color="auto" w:fill="auto"/>
            <w:vAlign w:val="center"/>
          </w:tcPr>
          <w:p w14:paraId="25F48C0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0" w:type="dxa"/>
            <w:shd w:val="clear" w:color="auto" w:fill="auto"/>
            <w:vAlign w:val="center"/>
          </w:tcPr>
          <w:p w14:paraId="3F798A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1D6EFF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37FC8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357D16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76274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B13C0B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2BDD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076ACC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97</w:t>
            </w:r>
          </w:p>
        </w:tc>
        <w:tc>
          <w:tcPr>
            <w:tcW w:w="705" w:type="dxa"/>
            <w:vMerge w:val="continue"/>
            <w:shd w:val="clear" w:color="auto" w:fill="auto"/>
            <w:vAlign w:val="center"/>
          </w:tcPr>
          <w:p w14:paraId="7DC0295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B183D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多功能智能杆32</w:t>
            </w:r>
          </w:p>
        </w:tc>
        <w:tc>
          <w:tcPr>
            <w:tcW w:w="660" w:type="dxa"/>
            <w:shd w:val="clear" w:color="auto" w:fill="auto"/>
            <w:vAlign w:val="center"/>
          </w:tcPr>
          <w:p w14:paraId="32709FF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690" w:type="dxa"/>
            <w:shd w:val="clear" w:color="auto" w:fill="auto"/>
            <w:vAlign w:val="center"/>
          </w:tcPr>
          <w:p w14:paraId="5F4F83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6865C6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D30DB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664BBAE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75362B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70C139D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3E92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6D3622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w:t>
            </w:r>
          </w:p>
        </w:tc>
        <w:tc>
          <w:tcPr>
            <w:tcW w:w="705" w:type="dxa"/>
            <w:vMerge w:val="continue"/>
            <w:shd w:val="clear" w:color="auto" w:fill="auto"/>
            <w:vAlign w:val="center"/>
          </w:tcPr>
          <w:p w14:paraId="438459D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1EF56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多功能智能杆33</w:t>
            </w:r>
          </w:p>
        </w:tc>
        <w:tc>
          <w:tcPr>
            <w:tcW w:w="660" w:type="dxa"/>
            <w:shd w:val="clear" w:color="auto" w:fill="auto"/>
            <w:vAlign w:val="center"/>
          </w:tcPr>
          <w:p w14:paraId="3DD767D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w:t>
            </w:r>
          </w:p>
        </w:tc>
        <w:tc>
          <w:tcPr>
            <w:tcW w:w="690" w:type="dxa"/>
            <w:shd w:val="clear" w:color="auto" w:fill="auto"/>
            <w:vAlign w:val="center"/>
          </w:tcPr>
          <w:p w14:paraId="2D1834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650306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78860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FB4C42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75E90C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7242C49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4042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6ABF67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w:t>
            </w:r>
          </w:p>
        </w:tc>
        <w:tc>
          <w:tcPr>
            <w:tcW w:w="705" w:type="dxa"/>
            <w:vMerge w:val="continue"/>
            <w:shd w:val="clear" w:color="auto" w:fill="auto"/>
            <w:vAlign w:val="center"/>
          </w:tcPr>
          <w:p w14:paraId="1977B61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295CB5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多功能智能杆34</w:t>
            </w:r>
          </w:p>
        </w:tc>
        <w:tc>
          <w:tcPr>
            <w:tcW w:w="660" w:type="dxa"/>
            <w:shd w:val="clear" w:color="auto" w:fill="auto"/>
            <w:vAlign w:val="center"/>
          </w:tcPr>
          <w:p w14:paraId="18DDD80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90" w:type="dxa"/>
            <w:shd w:val="clear" w:color="auto" w:fill="auto"/>
            <w:vAlign w:val="center"/>
          </w:tcPr>
          <w:p w14:paraId="36411E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27180F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C1231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D321AC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224695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781114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A8E0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70CFF7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705" w:type="dxa"/>
            <w:vMerge w:val="continue"/>
            <w:shd w:val="clear" w:color="auto" w:fill="auto"/>
            <w:vAlign w:val="center"/>
          </w:tcPr>
          <w:p w14:paraId="7329A81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7529E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多功能智能杆35</w:t>
            </w:r>
          </w:p>
        </w:tc>
        <w:tc>
          <w:tcPr>
            <w:tcW w:w="660" w:type="dxa"/>
            <w:shd w:val="clear" w:color="auto" w:fill="auto"/>
            <w:vAlign w:val="center"/>
          </w:tcPr>
          <w:p w14:paraId="57F26B1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90" w:type="dxa"/>
            <w:shd w:val="clear" w:color="auto" w:fill="auto"/>
            <w:vAlign w:val="center"/>
          </w:tcPr>
          <w:p w14:paraId="4CF8DA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2037F5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30620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B81597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99967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63AD88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B253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3800E8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w:t>
            </w:r>
          </w:p>
        </w:tc>
        <w:tc>
          <w:tcPr>
            <w:tcW w:w="705" w:type="dxa"/>
            <w:vMerge w:val="continue"/>
            <w:shd w:val="clear" w:color="auto" w:fill="auto"/>
            <w:vAlign w:val="center"/>
          </w:tcPr>
          <w:p w14:paraId="75606BE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F5FE1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多功能智能杆36</w:t>
            </w:r>
          </w:p>
        </w:tc>
        <w:tc>
          <w:tcPr>
            <w:tcW w:w="660" w:type="dxa"/>
            <w:shd w:val="clear" w:color="auto" w:fill="auto"/>
            <w:vAlign w:val="center"/>
          </w:tcPr>
          <w:p w14:paraId="09B7FF2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690" w:type="dxa"/>
            <w:shd w:val="clear" w:color="auto" w:fill="auto"/>
            <w:vAlign w:val="center"/>
          </w:tcPr>
          <w:p w14:paraId="2CFB59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477BA9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707D1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3C6FE70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0CE75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04D8ED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73A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96513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102</w:t>
            </w:r>
          </w:p>
        </w:tc>
        <w:tc>
          <w:tcPr>
            <w:tcW w:w="705" w:type="dxa"/>
            <w:vMerge w:val="continue"/>
            <w:shd w:val="clear" w:color="auto" w:fill="auto"/>
            <w:vAlign w:val="center"/>
          </w:tcPr>
          <w:p w14:paraId="445EAC8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7893D5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多功能智能杆37</w:t>
            </w:r>
          </w:p>
        </w:tc>
        <w:tc>
          <w:tcPr>
            <w:tcW w:w="660" w:type="dxa"/>
            <w:shd w:val="clear" w:color="auto" w:fill="auto"/>
            <w:vAlign w:val="center"/>
          </w:tcPr>
          <w:p w14:paraId="390A87D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0AC1F5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3AD6EF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1E662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FF6F31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6FE34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57E075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CECA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7C7B48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w:t>
            </w:r>
          </w:p>
        </w:tc>
        <w:tc>
          <w:tcPr>
            <w:tcW w:w="705" w:type="dxa"/>
            <w:vMerge w:val="continue"/>
            <w:shd w:val="clear" w:color="auto" w:fill="auto"/>
            <w:vAlign w:val="center"/>
          </w:tcPr>
          <w:p w14:paraId="03D128F6">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910DA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照明杆38</w:t>
            </w:r>
          </w:p>
        </w:tc>
        <w:tc>
          <w:tcPr>
            <w:tcW w:w="660" w:type="dxa"/>
            <w:shd w:val="clear" w:color="auto" w:fill="auto"/>
            <w:vAlign w:val="center"/>
          </w:tcPr>
          <w:p w14:paraId="1155B89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690" w:type="dxa"/>
            <w:shd w:val="clear" w:color="auto" w:fill="auto"/>
            <w:vAlign w:val="center"/>
          </w:tcPr>
          <w:p w14:paraId="15C3E8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7BF60A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149ACB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215894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1A585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26A2576">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71A9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E476C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w:t>
            </w:r>
          </w:p>
        </w:tc>
        <w:tc>
          <w:tcPr>
            <w:tcW w:w="705" w:type="dxa"/>
            <w:vMerge w:val="continue"/>
            <w:shd w:val="clear" w:color="auto" w:fill="auto"/>
            <w:vAlign w:val="center"/>
          </w:tcPr>
          <w:p w14:paraId="4E87F51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F1932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照明杆39</w:t>
            </w:r>
          </w:p>
        </w:tc>
        <w:tc>
          <w:tcPr>
            <w:tcW w:w="660" w:type="dxa"/>
            <w:shd w:val="clear" w:color="auto" w:fill="auto"/>
            <w:vAlign w:val="center"/>
          </w:tcPr>
          <w:p w14:paraId="4725FCA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271</w:t>
            </w:r>
          </w:p>
        </w:tc>
        <w:tc>
          <w:tcPr>
            <w:tcW w:w="690" w:type="dxa"/>
            <w:shd w:val="clear" w:color="auto" w:fill="auto"/>
            <w:vAlign w:val="center"/>
          </w:tcPr>
          <w:p w14:paraId="30D249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703FC3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82571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D7EBF1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564947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054CBA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BDEA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194878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105</w:t>
            </w:r>
          </w:p>
        </w:tc>
        <w:tc>
          <w:tcPr>
            <w:tcW w:w="705" w:type="dxa"/>
            <w:vMerge w:val="continue"/>
            <w:shd w:val="clear" w:color="auto" w:fill="auto"/>
            <w:vAlign w:val="center"/>
          </w:tcPr>
          <w:p w14:paraId="785A7CB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7C8A85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照明杆40</w:t>
            </w:r>
          </w:p>
        </w:tc>
        <w:tc>
          <w:tcPr>
            <w:tcW w:w="660" w:type="dxa"/>
            <w:shd w:val="clear" w:color="auto" w:fill="auto"/>
            <w:vAlign w:val="center"/>
          </w:tcPr>
          <w:p w14:paraId="0DB35AF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90" w:type="dxa"/>
            <w:shd w:val="clear" w:color="auto" w:fill="auto"/>
            <w:vAlign w:val="center"/>
          </w:tcPr>
          <w:p w14:paraId="5A8410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547BB7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A13D9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5A272E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53C1F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772C86B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8CF9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30313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106</w:t>
            </w:r>
          </w:p>
        </w:tc>
        <w:tc>
          <w:tcPr>
            <w:tcW w:w="705" w:type="dxa"/>
            <w:vMerge w:val="continue"/>
            <w:shd w:val="clear" w:color="auto" w:fill="auto"/>
            <w:vAlign w:val="center"/>
          </w:tcPr>
          <w:p w14:paraId="6803343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08E41A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照明杆41</w:t>
            </w:r>
          </w:p>
        </w:tc>
        <w:tc>
          <w:tcPr>
            <w:tcW w:w="660" w:type="dxa"/>
            <w:shd w:val="clear" w:color="auto" w:fill="auto"/>
            <w:vAlign w:val="center"/>
          </w:tcPr>
          <w:p w14:paraId="143EDCC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690" w:type="dxa"/>
            <w:shd w:val="clear" w:color="auto" w:fill="auto"/>
            <w:vAlign w:val="center"/>
          </w:tcPr>
          <w:p w14:paraId="1D598B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31B4C3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17AC36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30504CE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7D190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F528EB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D77F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7F0992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107</w:t>
            </w:r>
          </w:p>
        </w:tc>
        <w:tc>
          <w:tcPr>
            <w:tcW w:w="705" w:type="dxa"/>
            <w:vMerge w:val="continue"/>
            <w:shd w:val="clear" w:color="auto" w:fill="auto"/>
            <w:vAlign w:val="center"/>
          </w:tcPr>
          <w:p w14:paraId="58ABCBB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0C8CA6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照明杆42</w:t>
            </w:r>
          </w:p>
        </w:tc>
        <w:tc>
          <w:tcPr>
            <w:tcW w:w="660" w:type="dxa"/>
            <w:shd w:val="clear" w:color="auto" w:fill="auto"/>
            <w:vAlign w:val="center"/>
          </w:tcPr>
          <w:p w14:paraId="379AE3F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690" w:type="dxa"/>
            <w:shd w:val="clear" w:color="auto" w:fill="auto"/>
            <w:vAlign w:val="center"/>
          </w:tcPr>
          <w:p w14:paraId="3B7716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34A9BF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528C1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27643F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A1B5C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B5757C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F4A0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7CFA5D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w:t>
            </w:r>
          </w:p>
        </w:tc>
        <w:tc>
          <w:tcPr>
            <w:tcW w:w="705" w:type="dxa"/>
            <w:vMerge w:val="continue"/>
            <w:shd w:val="clear" w:color="auto" w:fill="auto"/>
            <w:vAlign w:val="center"/>
          </w:tcPr>
          <w:p w14:paraId="7920811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00530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照明杆43</w:t>
            </w:r>
          </w:p>
        </w:tc>
        <w:tc>
          <w:tcPr>
            <w:tcW w:w="660" w:type="dxa"/>
            <w:shd w:val="clear" w:color="auto" w:fill="auto"/>
            <w:vAlign w:val="center"/>
          </w:tcPr>
          <w:p w14:paraId="4DA1375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690" w:type="dxa"/>
            <w:shd w:val="clear" w:color="auto" w:fill="auto"/>
            <w:vAlign w:val="center"/>
          </w:tcPr>
          <w:p w14:paraId="59E32A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w:t>
            </w:r>
          </w:p>
        </w:tc>
        <w:tc>
          <w:tcPr>
            <w:tcW w:w="1110" w:type="dxa"/>
            <w:shd w:val="clear" w:color="auto" w:fill="auto"/>
            <w:vAlign w:val="center"/>
          </w:tcPr>
          <w:p w14:paraId="3C5243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04C68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DCCED6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6C0AC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15C2B1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61AB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9B042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（六）</w:t>
            </w:r>
          </w:p>
        </w:tc>
        <w:tc>
          <w:tcPr>
            <w:tcW w:w="705" w:type="dxa"/>
            <w:vMerge w:val="continue"/>
            <w:shd w:val="clear" w:color="auto" w:fill="auto"/>
            <w:vAlign w:val="center"/>
          </w:tcPr>
          <w:p w14:paraId="11550ED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730252D1">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智驾服务设施</w:t>
            </w:r>
          </w:p>
        </w:tc>
        <w:tc>
          <w:tcPr>
            <w:tcW w:w="585" w:type="dxa"/>
            <w:vMerge w:val="continue"/>
            <w:shd w:val="clear" w:color="auto" w:fill="auto"/>
            <w:vAlign w:val="center"/>
          </w:tcPr>
          <w:p w14:paraId="52282D3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CC86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28F98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109</w:t>
            </w:r>
          </w:p>
        </w:tc>
        <w:tc>
          <w:tcPr>
            <w:tcW w:w="705" w:type="dxa"/>
            <w:vMerge w:val="continue"/>
            <w:shd w:val="clear" w:color="auto" w:fill="auto"/>
            <w:vAlign w:val="center"/>
          </w:tcPr>
          <w:p w14:paraId="1D5482D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29CA09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全息路口边缘单元</w:t>
            </w:r>
          </w:p>
        </w:tc>
        <w:tc>
          <w:tcPr>
            <w:tcW w:w="660" w:type="dxa"/>
            <w:shd w:val="clear" w:color="auto" w:fill="auto"/>
            <w:vAlign w:val="center"/>
          </w:tcPr>
          <w:p w14:paraId="61D831C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690" w:type="dxa"/>
            <w:shd w:val="clear" w:color="auto" w:fill="auto"/>
            <w:vAlign w:val="center"/>
          </w:tcPr>
          <w:p w14:paraId="7FDEAF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6BDEA3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66B0B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A21B17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6454F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9BC0EC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A858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258062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w:t>
            </w:r>
          </w:p>
        </w:tc>
        <w:tc>
          <w:tcPr>
            <w:tcW w:w="705" w:type="dxa"/>
            <w:vMerge w:val="continue"/>
            <w:shd w:val="clear" w:color="auto" w:fill="auto"/>
            <w:vAlign w:val="center"/>
          </w:tcPr>
          <w:p w14:paraId="41A311C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0B3DAC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低时延枪式相机</w:t>
            </w:r>
          </w:p>
        </w:tc>
        <w:tc>
          <w:tcPr>
            <w:tcW w:w="660" w:type="dxa"/>
            <w:shd w:val="clear" w:color="auto" w:fill="auto"/>
            <w:vAlign w:val="center"/>
          </w:tcPr>
          <w:p w14:paraId="7999B92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690" w:type="dxa"/>
            <w:shd w:val="clear" w:color="auto" w:fill="auto"/>
            <w:vAlign w:val="center"/>
          </w:tcPr>
          <w:p w14:paraId="4C133A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7DD351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3AB35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B61308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EC9BC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682CEE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399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76063B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w:t>
            </w:r>
          </w:p>
        </w:tc>
        <w:tc>
          <w:tcPr>
            <w:tcW w:w="705" w:type="dxa"/>
            <w:vMerge w:val="continue"/>
            <w:shd w:val="clear" w:color="auto" w:fill="auto"/>
            <w:vAlign w:val="center"/>
          </w:tcPr>
          <w:p w14:paraId="036F2C2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5559D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低时延鱼眼相机</w:t>
            </w:r>
          </w:p>
        </w:tc>
        <w:tc>
          <w:tcPr>
            <w:tcW w:w="660" w:type="dxa"/>
            <w:shd w:val="clear" w:color="auto" w:fill="auto"/>
            <w:vAlign w:val="center"/>
          </w:tcPr>
          <w:p w14:paraId="3E0C74E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690" w:type="dxa"/>
            <w:shd w:val="clear" w:color="auto" w:fill="auto"/>
            <w:vAlign w:val="center"/>
          </w:tcPr>
          <w:p w14:paraId="00477A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1BA5DC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1C0402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E05A2B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D1B0A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36ABF9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9690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203064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112</w:t>
            </w:r>
          </w:p>
        </w:tc>
        <w:tc>
          <w:tcPr>
            <w:tcW w:w="705" w:type="dxa"/>
            <w:vMerge w:val="continue"/>
            <w:shd w:val="clear" w:color="auto" w:fill="auto"/>
            <w:vAlign w:val="center"/>
          </w:tcPr>
          <w:p w14:paraId="0FE4D59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5169D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全息路口感知设备</w:t>
            </w:r>
          </w:p>
        </w:tc>
        <w:tc>
          <w:tcPr>
            <w:tcW w:w="660" w:type="dxa"/>
            <w:shd w:val="clear" w:color="auto" w:fill="auto"/>
            <w:vAlign w:val="center"/>
          </w:tcPr>
          <w:p w14:paraId="0AE3D21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690" w:type="dxa"/>
            <w:shd w:val="clear" w:color="auto" w:fill="auto"/>
            <w:vAlign w:val="center"/>
          </w:tcPr>
          <w:p w14:paraId="76AAEB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33941C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96C7B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E9AC71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93DE1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142D60A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C73B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0EE48A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113</w:t>
            </w:r>
          </w:p>
        </w:tc>
        <w:tc>
          <w:tcPr>
            <w:tcW w:w="705" w:type="dxa"/>
            <w:vMerge w:val="continue"/>
            <w:shd w:val="clear" w:color="auto" w:fill="auto"/>
            <w:vAlign w:val="center"/>
          </w:tcPr>
          <w:p w14:paraId="3B3ED6C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AB848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挂杆箱</w:t>
            </w:r>
          </w:p>
        </w:tc>
        <w:tc>
          <w:tcPr>
            <w:tcW w:w="660" w:type="dxa"/>
            <w:shd w:val="clear" w:color="auto" w:fill="auto"/>
            <w:vAlign w:val="center"/>
          </w:tcPr>
          <w:p w14:paraId="4C2CB12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690" w:type="dxa"/>
            <w:shd w:val="clear" w:color="auto" w:fill="auto"/>
            <w:vAlign w:val="center"/>
          </w:tcPr>
          <w:p w14:paraId="15BB09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2E4BBF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1F377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86F989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BC5FF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0C3256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40D7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FB1BA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114</w:t>
            </w:r>
          </w:p>
        </w:tc>
        <w:tc>
          <w:tcPr>
            <w:tcW w:w="705" w:type="dxa"/>
            <w:vMerge w:val="continue"/>
            <w:shd w:val="clear" w:color="auto" w:fill="auto"/>
            <w:vAlign w:val="center"/>
          </w:tcPr>
          <w:p w14:paraId="7643BD9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67FE8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工业交换机（8电+4光）</w:t>
            </w:r>
          </w:p>
        </w:tc>
        <w:tc>
          <w:tcPr>
            <w:tcW w:w="660" w:type="dxa"/>
            <w:shd w:val="clear" w:color="auto" w:fill="auto"/>
            <w:vAlign w:val="center"/>
          </w:tcPr>
          <w:p w14:paraId="38F16D9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690" w:type="dxa"/>
            <w:shd w:val="clear" w:color="auto" w:fill="auto"/>
            <w:vAlign w:val="center"/>
          </w:tcPr>
          <w:p w14:paraId="0E5C68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20FAEF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1E23E2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5A1E31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51AF7F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E74D2A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1990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31746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115</w:t>
            </w:r>
          </w:p>
        </w:tc>
        <w:tc>
          <w:tcPr>
            <w:tcW w:w="705" w:type="dxa"/>
            <w:vMerge w:val="continue"/>
            <w:shd w:val="clear" w:color="auto" w:fill="auto"/>
            <w:vAlign w:val="center"/>
          </w:tcPr>
          <w:p w14:paraId="68BF5D2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72DAFA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交换机光模块</w:t>
            </w:r>
          </w:p>
        </w:tc>
        <w:tc>
          <w:tcPr>
            <w:tcW w:w="660" w:type="dxa"/>
            <w:shd w:val="clear" w:color="auto" w:fill="auto"/>
            <w:vAlign w:val="center"/>
          </w:tcPr>
          <w:p w14:paraId="06E6246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123</w:t>
            </w:r>
          </w:p>
        </w:tc>
        <w:tc>
          <w:tcPr>
            <w:tcW w:w="690" w:type="dxa"/>
            <w:shd w:val="clear" w:color="auto" w:fill="auto"/>
            <w:vAlign w:val="center"/>
          </w:tcPr>
          <w:p w14:paraId="5037B0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10" w:type="dxa"/>
            <w:shd w:val="clear" w:color="auto" w:fill="auto"/>
            <w:vAlign w:val="center"/>
          </w:tcPr>
          <w:p w14:paraId="4F710D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4E6A5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98B754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BB1BF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7455B51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B3EC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3433FE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116</w:t>
            </w:r>
          </w:p>
        </w:tc>
        <w:tc>
          <w:tcPr>
            <w:tcW w:w="705" w:type="dxa"/>
            <w:vMerge w:val="continue"/>
            <w:shd w:val="clear" w:color="auto" w:fill="auto"/>
            <w:vAlign w:val="center"/>
          </w:tcPr>
          <w:p w14:paraId="2B8109A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522E1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485串口转换器</w:t>
            </w:r>
          </w:p>
        </w:tc>
        <w:tc>
          <w:tcPr>
            <w:tcW w:w="660" w:type="dxa"/>
            <w:shd w:val="clear" w:color="auto" w:fill="auto"/>
            <w:vAlign w:val="center"/>
          </w:tcPr>
          <w:p w14:paraId="1C09385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690" w:type="dxa"/>
            <w:shd w:val="clear" w:color="auto" w:fill="auto"/>
            <w:vAlign w:val="center"/>
          </w:tcPr>
          <w:p w14:paraId="61388D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76D021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B1DE5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F05D94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105D3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1F88984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E9B3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AADC4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（七）</w:t>
            </w:r>
          </w:p>
        </w:tc>
        <w:tc>
          <w:tcPr>
            <w:tcW w:w="705" w:type="dxa"/>
            <w:vMerge w:val="continue"/>
            <w:shd w:val="clear" w:color="auto" w:fill="auto"/>
            <w:vAlign w:val="center"/>
          </w:tcPr>
          <w:p w14:paraId="158FFE7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1C0A3F71">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辅助配套</w:t>
            </w:r>
          </w:p>
        </w:tc>
        <w:tc>
          <w:tcPr>
            <w:tcW w:w="585" w:type="dxa"/>
            <w:vMerge w:val="continue"/>
            <w:shd w:val="clear" w:color="auto" w:fill="auto"/>
            <w:vAlign w:val="center"/>
          </w:tcPr>
          <w:p w14:paraId="5FDD732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DD71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61C85D6">
            <w:pPr>
              <w:snapToGrid w:val="0"/>
              <w:ind w:left="0" w:leftChars="0" w:right="0" w:rightChars="0" w:firstLine="0" w:firstLineChars="0"/>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w:t>
            </w:r>
          </w:p>
        </w:tc>
        <w:tc>
          <w:tcPr>
            <w:tcW w:w="705" w:type="dxa"/>
            <w:vMerge w:val="continue"/>
            <w:shd w:val="clear" w:color="auto" w:fill="auto"/>
            <w:vAlign w:val="center"/>
          </w:tcPr>
          <w:p w14:paraId="0BDB37A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746CB1EA">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default" w:ascii="宋体" w:hAnsi="等线" w:eastAsia="宋体" w:cs="等线"/>
                <w:b/>
                <w:bCs/>
                <w:i w:val="0"/>
                <w:iCs w:val="0"/>
                <w:color w:val="000000"/>
                <w:kern w:val="0"/>
                <w:sz w:val="20"/>
                <w:szCs w:val="20"/>
                <w:u w:val="none"/>
                <w:lang w:val="en-US" w:eastAsia="zh-CN" w:bidi="ar"/>
              </w:rPr>
              <w:t>信号控制设备配套</w:t>
            </w:r>
          </w:p>
        </w:tc>
        <w:tc>
          <w:tcPr>
            <w:tcW w:w="585" w:type="dxa"/>
            <w:vMerge w:val="continue"/>
            <w:shd w:val="clear" w:color="auto" w:fill="auto"/>
            <w:vAlign w:val="center"/>
          </w:tcPr>
          <w:p w14:paraId="63648DE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7A7F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2F617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117</w:t>
            </w:r>
          </w:p>
        </w:tc>
        <w:tc>
          <w:tcPr>
            <w:tcW w:w="705" w:type="dxa"/>
            <w:vMerge w:val="continue"/>
            <w:shd w:val="clear" w:color="auto" w:fill="auto"/>
            <w:vAlign w:val="center"/>
          </w:tcPr>
          <w:p w14:paraId="542D7A1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FCE1359">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（7*1.5）</w:t>
            </w:r>
          </w:p>
        </w:tc>
        <w:tc>
          <w:tcPr>
            <w:tcW w:w="660" w:type="dxa"/>
            <w:shd w:val="clear" w:color="auto" w:fill="auto"/>
            <w:vAlign w:val="center"/>
          </w:tcPr>
          <w:p w14:paraId="431E1828">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10815</w:t>
            </w:r>
          </w:p>
        </w:tc>
        <w:tc>
          <w:tcPr>
            <w:tcW w:w="690" w:type="dxa"/>
            <w:shd w:val="clear" w:color="auto" w:fill="auto"/>
            <w:vAlign w:val="center"/>
          </w:tcPr>
          <w:p w14:paraId="280F9B83">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lang w:val="en-US" w:eastAsia="zh-CN"/>
              </w:rPr>
            </w:pPr>
            <w:r>
              <w:rPr>
                <w:rFonts w:hint="eastAsia"/>
                <w:lang w:val="en-US" w:eastAsia="zh-CN"/>
              </w:rPr>
              <w:t>米</w:t>
            </w:r>
          </w:p>
        </w:tc>
        <w:tc>
          <w:tcPr>
            <w:tcW w:w="1110" w:type="dxa"/>
            <w:shd w:val="clear" w:color="auto" w:fill="auto"/>
            <w:vAlign w:val="center"/>
          </w:tcPr>
          <w:p w14:paraId="4D684E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F620B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055216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95C65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760A43E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B458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34CF6E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118</w:t>
            </w:r>
          </w:p>
        </w:tc>
        <w:tc>
          <w:tcPr>
            <w:tcW w:w="705" w:type="dxa"/>
            <w:vMerge w:val="continue"/>
            <w:shd w:val="clear" w:color="auto" w:fill="auto"/>
            <w:vAlign w:val="center"/>
          </w:tcPr>
          <w:p w14:paraId="77A3871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173E254">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（4*1.5）</w:t>
            </w:r>
          </w:p>
        </w:tc>
        <w:tc>
          <w:tcPr>
            <w:tcW w:w="660" w:type="dxa"/>
            <w:shd w:val="clear" w:color="auto" w:fill="auto"/>
            <w:vAlign w:val="center"/>
          </w:tcPr>
          <w:p w14:paraId="0021632E">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14385</w:t>
            </w:r>
          </w:p>
        </w:tc>
        <w:tc>
          <w:tcPr>
            <w:tcW w:w="690" w:type="dxa"/>
            <w:shd w:val="clear" w:color="auto" w:fill="auto"/>
            <w:vAlign w:val="center"/>
          </w:tcPr>
          <w:p w14:paraId="33F5C473">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lang w:val="en-US" w:eastAsia="zh-CN"/>
              </w:rPr>
              <w:t>米</w:t>
            </w:r>
          </w:p>
        </w:tc>
        <w:tc>
          <w:tcPr>
            <w:tcW w:w="1110" w:type="dxa"/>
            <w:shd w:val="clear" w:color="auto" w:fill="auto"/>
            <w:vAlign w:val="center"/>
          </w:tcPr>
          <w:p w14:paraId="021E92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2F1E4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E7412C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D72F3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632BC5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09AA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C46D8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w:t>
            </w:r>
          </w:p>
        </w:tc>
        <w:tc>
          <w:tcPr>
            <w:tcW w:w="705" w:type="dxa"/>
            <w:vMerge w:val="continue"/>
            <w:shd w:val="clear" w:color="auto" w:fill="auto"/>
            <w:vAlign w:val="center"/>
          </w:tcPr>
          <w:p w14:paraId="420DE12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35833DF">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（4*1.0）</w:t>
            </w:r>
          </w:p>
        </w:tc>
        <w:tc>
          <w:tcPr>
            <w:tcW w:w="660" w:type="dxa"/>
            <w:shd w:val="clear" w:color="auto" w:fill="auto"/>
            <w:vAlign w:val="center"/>
          </w:tcPr>
          <w:p w14:paraId="5001ACF0">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40455</w:t>
            </w:r>
          </w:p>
        </w:tc>
        <w:tc>
          <w:tcPr>
            <w:tcW w:w="690" w:type="dxa"/>
            <w:shd w:val="clear" w:color="auto" w:fill="auto"/>
            <w:vAlign w:val="center"/>
          </w:tcPr>
          <w:p w14:paraId="359A5373">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lang w:val="en-US" w:eastAsia="zh-CN"/>
              </w:rPr>
              <w:t>米</w:t>
            </w:r>
          </w:p>
        </w:tc>
        <w:tc>
          <w:tcPr>
            <w:tcW w:w="1110" w:type="dxa"/>
            <w:shd w:val="clear" w:color="auto" w:fill="auto"/>
            <w:vAlign w:val="center"/>
          </w:tcPr>
          <w:p w14:paraId="241317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DD777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336C9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C7FD0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1AC21A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816D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2DA05C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w:t>
            </w:r>
          </w:p>
        </w:tc>
        <w:tc>
          <w:tcPr>
            <w:tcW w:w="705" w:type="dxa"/>
            <w:vMerge w:val="continue"/>
            <w:shd w:val="clear" w:color="auto" w:fill="auto"/>
            <w:vAlign w:val="center"/>
          </w:tcPr>
          <w:p w14:paraId="16C3D3E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2E721ADE">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（3*1.5）</w:t>
            </w:r>
          </w:p>
        </w:tc>
        <w:tc>
          <w:tcPr>
            <w:tcW w:w="660" w:type="dxa"/>
            <w:shd w:val="clear" w:color="auto" w:fill="auto"/>
            <w:vAlign w:val="center"/>
          </w:tcPr>
          <w:p w14:paraId="2FCC3570">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29640</w:t>
            </w:r>
          </w:p>
        </w:tc>
        <w:tc>
          <w:tcPr>
            <w:tcW w:w="690" w:type="dxa"/>
            <w:shd w:val="clear" w:color="auto" w:fill="auto"/>
            <w:vAlign w:val="center"/>
          </w:tcPr>
          <w:p w14:paraId="2960B66C">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lang w:val="en-US" w:eastAsia="zh-CN"/>
              </w:rPr>
              <w:t>米</w:t>
            </w:r>
          </w:p>
        </w:tc>
        <w:tc>
          <w:tcPr>
            <w:tcW w:w="1110" w:type="dxa"/>
            <w:shd w:val="clear" w:color="auto" w:fill="auto"/>
            <w:vAlign w:val="center"/>
          </w:tcPr>
          <w:p w14:paraId="6C3C78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1C2B2D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3750AE1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CB3AE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F06919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BA7C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05E8DE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121</w:t>
            </w:r>
          </w:p>
        </w:tc>
        <w:tc>
          <w:tcPr>
            <w:tcW w:w="705" w:type="dxa"/>
            <w:vMerge w:val="continue"/>
            <w:shd w:val="clear" w:color="auto" w:fill="auto"/>
            <w:vAlign w:val="center"/>
          </w:tcPr>
          <w:p w14:paraId="5A431A9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8502534">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（3*1.0）</w:t>
            </w:r>
          </w:p>
        </w:tc>
        <w:tc>
          <w:tcPr>
            <w:tcW w:w="660" w:type="dxa"/>
            <w:shd w:val="clear" w:color="auto" w:fill="auto"/>
            <w:vAlign w:val="center"/>
          </w:tcPr>
          <w:p w14:paraId="0206D77F">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2210</w:t>
            </w:r>
          </w:p>
        </w:tc>
        <w:tc>
          <w:tcPr>
            <w:tcW w:w="690" w:type="dxa"/>
            <w:shd w:val="clear" w:color="auto" w:fill="auto"/>
            <w:vAlign w:val="center"/>
          </w:tcPr>
          <w:p w14:paraId="7514B172">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lang w:val="en-US" w:eastAsia="zh-CN"/>
              </w:rPr>
              <w:t>米</w:t>
            </w:r>
          </w:p>
        </w:tc>
        <w:tc>
          <w:tcPr>
            <w:tcW w:w="1110" w:type="dxa"/>
            <w:shd w:val="clear" w:color="auto" w:fill="auto"/>
            <w:vAlign w:val="center"/>
          </w:tcPr>
          <w:p w14:paraId="54F2EB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8BCBD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FFEFA9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708062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5B08A4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8738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7E0272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122</w:t>
            </w:r>
          </w:p>
        </w:tc>
        <w:tc>
          <w:tcPr>
            <w:tcW w:w="705" w:type="dxa"/>
            <w:vMerge w:val="continue"/>
            <w:shd w:val="clear" w:color="auto" w:fill="auto"/>
            <w:vAlign w:val="center"/>
          </w:tcPr>
          <w:p w14:paraId="7DFDFA7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ED96BCD">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运营管理单位告知牌</w:t>
            </w:r>
          </w:p>
        </w:tc>
        <w:tc>
          <w:tcPr>
            <w:tcW w:w="660" w:type="dxa"/>
            <w:shd w:val="clear" w:color="auto" w:fill="auto"/>
            <w:vAlign w:val="center"/>
          </w:tcPr>
          <w:p w14:paraId="7A74759C">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90</w:t>
            </w:r>
          </w:p>
        </w:tc>
        <w:tc>
          <w:tcPr>
            <w:tcW w:w="690" w:type="dxa"/>
            <w:shd w:val="clear" w:color="auto" w:fill="auto"/>
            <w:vAlign w:val="center"/>
          </w:tcPr>
          <w:p w14:paraId="5F784EAB">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套</w:t>
            </w:r>
          </w:p>
        </w:tc>
        <w:tc>
          <w:tcPr>
            <w:tcW w:w="1110" w:type="dxa"/>
            <w:shd w:val="clear" w:color="auto" w:fill="auto"/>
            <w:vAlign w:val="center"/>
          </w:tcPr>
          <w:p w14:paraId="53F14B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0494F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F63314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7C2FA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79C1A5E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86E0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AD399D7">
            <w:pPr>
              <w:snapToGrid w:val="0"/>
              <w:ind w:left="0" w:leftChars="0" w:right="0" w:rightChars="0" w:firstLine="0" w:firstLineChars="0"/>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w:t>
            </w:r>
          </w:p>
        </w:tc>
        <w:tc>
          <w:tcPr>
            <w:tcW w:w="705" w:type="dxa"/>
            <w:vMerge w:val="continue"/>
            <w:shd w:val="clear" w:color="auto" w:fill="auto"/>
            <w:vAlign w:val="center"/>
          </w:tcPr>
          <w:p w14:paraId="09A0D61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5FE7EFCB">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default" w:ascii="宋体" w:hAnsi="等线" w:eastAsia="宋体" w:cs="等线"/>
                <w:b/>
                <w:bCs/>
                <w:i w:val="0"/>
                <w:iCs w:val="0"/>
                <w:color w:val="000000"/>
                <w:kern w:val="0"/>
                <w:sz w:val="20"/>
                <w:szCs w:val="20"/>
                <w:u w:val="none"/>
                <w:lang w:val="en-US" w:eastAsia="zh-CN" w:bidi="ar"/>
              </w:rPr>
              <w:t>电警卡口设备配套</w:t>
            </w:r>
          </w:p>
        </w:tc>
        <w:tc>
          <w:tcPr>
            <w:tcW w:w="585" w:type="dxa"/>
            <w:vMerge w:val="continue"/>
            <w:shd w:val="clear" w:color="auto" w:fill="auto"/>
            <w:vAlign w:val="center"/>
          </w:tcPr>
          <w:p w14:paraId="1F2C385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AF40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7D8559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123</w:t>
            </w:r>
          </w:p>
        </w:tc>
        <w:tc>
          <w:tcPr>
            <w:tcW w:w="705" w:type="dxa"/>
            <w:vMerge w:val="continue"/>
            <w:shd w:val="clear" w:color="auto" w:fill="auto"/>
            <w:vAlign w:val="center"/>
          </w:tcPr>
          <w:p w14:paraId="7756B6F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37E1873">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光缆终端盒</w:t>
            </w:r>
          </w:p>
        </w:tc>
        <w:tc>
          <w:tcPr>
            <w:tcW w:w="660" w:type="dxa"/>
            <w:shd w:val="clear" w:color="auto" w:fill="auto"/>
            <w:vAlign w:val="center"/>
          </w:tcPr>
          <w:p w14:paraId="4372B178">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101</w:t>
            </w:r>
          </w:p>
        </w:tc>
        <w:tc>
          <w:tcPr>
            <w:tcW w:w="690" w:type="dxa"/>
            <w:shd w:val="clear" w:color="auto" w:fill="auto"/>
            <w:vAlign w:val="center"/>
          </w:tcPr>
          <w:p w14:paraId="54A4DE25">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套</w:t>
            </w:r>
          </w:p>
        </w:tc>
        <w:tc>
          <w:tcPr>
            <w:tcW w:w="1110" w:type="dxa"/>
            <w:shd w:val="clear" w:color="auto" w:fill="auto"/>
            <w:vAlign w:val="center"/>
          </w:tcPr>
          <w:p w14:paraId="1DB1E7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DE9FF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3D2A794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2E294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7EE0058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723C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2961D5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124</w:t>
            </w:r>
          </w:p>
        </w:tc>
        <w:tc>
          <w:tcPr>
            <w:tcW w:w="705" w:type="dxa"/>
            <w:vMerge w:val="continue"/>
            <w:shd w:val="clear" w:color="auto" w:fill="auto"/>
            <w:vAlign w:val="center"/>
          </w:tcPr>
          <w:p w14:paraId="565C472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2F0C700">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熔纤点</w:t>
            </w:r>
          </w:p>
        </w:tc>
        <w:tc>
          <w:tcPr>
            <w:tcW w:w="660" w:type="dxa"/>
            <w:shd w:val="clear" w:color="auto" w:fill="auto"/>
            <w:vAlign w:val="center"/>
          </w:tcPr>
          <w:p w14:paraId="79BAF9FC">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404</w:t>
            </w:r>
          </w:p>
        </w:tc>
        <w:tc>
          <w:tcPr>
            <w:tcW w:w="690" w:type="dxa"/>
            <w:shd w:val="clear" w:color="auto" w:fill="auto"/>
            <w:vAlign w:val="center"/>
          </w:tcPr>
          <w:p w14:paraId="0F6605C5">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芯</w:t>
            </w:r>
          </w:p>
        </w:tc>
        <w:tc>
          <w:tcPr>
            <w:tcW w:w="1110" w:type="dxa"/>
            <w:shd w:val="clear" w:color="auto" w:fill="auto"/>
            <w:vAlign w:val="center"/>
          </w:tcPr>
          <w:p w14:paraId="045DE6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019350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B84B66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15EF5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197038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21E4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737670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705" w:type="dxa"/>
            <w:vMerge w:val="continue"/>
            <w:shd w:val="clear" w:color="auto" w:fill="auto"/>
            <w:vAlign w:val="center"/>
          </w:tcPr>
          <w:p w14:paraId="03432D6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7F5187A5">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（4芯）</w:t>
            </w:r>
          </w:p>
        </w:tc>
        <w:tc>
          <w:tcPr>
            <w:tcW w:w="660" w:type="dxa"/>
            <w:shd w:val="clear" w:color="auto" w:fill="auto"/>
            <w:vAlign w:val="center"/>
          </w:tcPr>
          <w:p w14:paraId="69E6F79E">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14140</w:t>
            </w:r>
          </w:p>
        </w:tc>
        <w:tc>
          <w:tcPr>
            <w:tcW w:w="690" w:type="dxa"/>
            <w:shd w:val="clear" w:color="auto" w:fill="auto"/>
            <w:vAlign w:val="center"/>
          </w:tcPr>
          <w:p w14:paraId="5BFD45F8">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lang w:val="en-US" w:eastAsia="zh-CN"/>
              </w:rPr>
              <w:t>米</w:t>
            </w:r>
          </w:p>
        </w:tc>
        <w:tc>
          <w:tcPr>
            <w:tcW w:w="1110" w:type="dxa"/>
            <w:shd w:val="clear" w:color="auto" w:fill="auto"/>
            <w:vAlign w:val="center"/>
          </w:tcPr>
          <w:p w14:paraId="74CDFC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340D0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55D9EE8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3D0FB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7F3ACD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1B23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303456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w:t>
            </w:r>
          </w:p>
        </w:tc>
        <w:tc>
          <w:tcPr>
            <w:tcW w:w="705" w:type="dxa"/>
            <w:vMerge w:val="continue"/>
            <w:shd w:val="clear" w:color="auto" w:fill="auto"/>
            <w:vAlign w:val="center"/>
          </w:tcPr>
          <w:p w14:paraId="49EBE01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00D0DCA">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（3*6）</w:t>
            </w:r>
          </w:p>
        </w:tc>
        <w:tc>
          <w:tcPr>
            <w:tcW w:w="660" w:type="dxa"/>
            <w:shd w:val="clear" w:color="auto" w:fill="auto"/>
            <w:vAlign w:val="center"/>
          </w:tcPr>
          <w:p w14:paraId="75518EF2">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14140</w:t>
            </w:r>
          </w:p>
        </w:tc>
        <w:tc>
          <w:tcPr>
            <w:tcW w:w="690" w:type="dxa"/>
            <w:shd w:val="clear" w:color="auto" w:fill="auto"/>
            <w:vAlign w:val="center"/>
          </w:tcPr>
          <w:p w14:paraId="28D777CF">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lang w:val="en-US" w:eastAsia="zh-CN"/>
              </w:rPr>
              <w:t>米</w:t>
            </w:r>
          </w:p>
        </w:tc>
        <w:tc>
          <w:tcPr>
            <w:tcW w:w="1110" w:type="dxa"/>
            <w:shd w:val="clear" w:color="auto" w:fill="auto"/>
            <w:vAlign w:val="center"/>
          </w:tcPr>
          <w:p w14:paraId="26262B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0779E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690E7D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7F603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72C0644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C012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659989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127</w:t>
            </w:r>
          </w:p>
        </w:tc>
        <w:tc>
          <w:tcPr>
            <w:tcW w:w="705" w:type="dxa"/>
            <w:vMerge w:val="continue"/>
            <w:shd w:val="clear" w:color="auto" w:fill="auto"/>
            <w:vAlign w:val="center"/>
          </w:tcPr>
          <w:p w14:paraId="6FA91B8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679FBE2">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（CAT6类）</w:t>
            </w:r>
          </w:p>
        </w:tc>
        <w:tc>
          <w:tcPr>
            <w:tcW w:w="660" w:type="dxa"/>
            <w:shd w:val="clear" w:color="auto" w:fill="auto"/>
            <w:vAlign w:val="center"/>
          </w:tcPr>
          <w:p w14:paraId="4314E4DD">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3315</w:t>
            </w:r>
          </w:p>
        </w:tc>
        <w:tc>
          <w:tcPr>
            <w:tcW w:w="690" w:type="dxa"/>
            <w:shd w:val="clear" w:color="auto" w:fill="auto"/>
            <w:vAlign w:val="center"/>
          </w:tcPr>
          <w:p w14:paraId="183CBEB7">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lang w:val="en-US" w:eastAsia="zh-CN"/>
              </w:rPr>
              <w:t>米</w:t>
            </w:r>
          </w:p>
        </w:tc>
        <w:tc>
          <w:tcPr>
            <w:tcW w:w="1110" w:type="dxa"/>
            <w:shd w:val="clear" w:color="auto" w:fill="auto"/>
            <w:vAlign w:val="center"/>
          </w:tcPr>
          <w:p w14:paraId="100E29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48A99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0DCB0E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D7BA0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B3BCAA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289B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20C1AD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128</w:t>
            </w:r>
          </w:p>
        </w:tc>
        <w:tc>
          <w:tcPr>
            <w:tcW w:w="705" w:type="dxa"/>
            <w:vMerge w:val="continue"/>
            <w:shd w:val="clear" w:color="auto" w:fill="auto"/>
            <w:vAlign w:val="center"/>
          </w:tcPr>
          <w:p w14:paraId="27B4461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25885438">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（3*1.5）</w:t>
            </w:r>
          </w:p>
        </w:tc>
        <w:tc>
          <w:tcPr>
            <w:tcW w:w="660" w:type="dxa"/>
            <w:shd w:val="clear" w:color="auto" w:fill="auto"/>
            <w:vAlign w:val="center"/>
          </w:tcPr>
          <w:p w14:paraId="439A667E">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10545</w:t>
            </w:r>
          </w:p>
        </w:tc>
        <w:tc>
          <w:tcPr>
            <w:tcW w:w="690" w:type="dxa"/>
            <w:shd w:val="clear" w:color="auto" w:fill="auto"/>
            <w:vAlign w:val="center"/>
          </w:tcPr>
          <w:p w14:paraId="4BC855B4">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lang w:val="en-US" w:eastAsia="zh-CN"/>
              </w:rPr>
              <w:t>米</w:t>
            </w:r>
          </w:p>
        </w:tc>
        <w:tc>
          <w:tcPr>
            <w:tcW w:w="1110" w:type="dxa"/>
            <w:shd w:val="clear" w:color="auto" w:fill="auto"/>
            <w:vAlign w:val="center"/>
          </w:tcPr>
          <w:p w14:paraId="6301F9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AD0E1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756828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F6E82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0BAA99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6166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82E8F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129</w:t>
            </w:r>
          </w:p>
        </w:tc>
        <w:tc>
          <w:tcPr>
            <w:tcW w:w="705" w:type="dxa"/>
            <w:vMerge w:val="continue"/>
            <w:shd w:val="clear" w:color="auto" w:fill="auto"/>
            <w:vAlign w:val="center"/>
          </w:tcPr>
          <w:p w14:paraId="38E0B27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43634C1">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（4*1.0）</w:t>
            </w:r>
          </w:p>
        </w:tc>
        <w:tc>
          <w:tcPr>
            <w:tcW w:w="660" w:type="dxa"/>
            <w:shd w:val="clear" w:color="auto" w:fill="auto"/>
            <w:vAlign w:val="center"/>
          </w:tcPr>
          <w:p w14:paraId="033E6E14">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6897</w:t>
            </w:r>
          </w:p>
        </w:tc>
        <w:tc>
          <w:tcPr>
            <w:tcW w:w="690" w:type="dxa"/>
            <w:shd w:val="clear" w:color="auto" w:fill="auto"/>
            <w:vAlign w:val="center"/>
          </w:tcPr>
          <w:p w14:paraId="68D4C7CB">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lang w:val="en-US" w:eastAsia="zh-CN"/>
              </w:rPr>
              <w:t>米</w:t>
            </w:r>
          </w:p>
        </w:tc>
        <w:tc>
          <w:tcPr>
            <w:tcW w:w="1110" w:type="dxa"/>
            <w:shd w:val="clear" w:color="auto" w:fill="auto"/>
            <w:vAlign w:val="center"/>
          </w:tcPr>
          <w:p w14:paraId="638AD9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10DB58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9885F3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5CE21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61A37E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974F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3E8267F8">
            <w:pPr>
              <w:snapToGrid w:val="0"/>
              <w:ind w:left="0" w:leftChars="0" w:right="0" w:rightChars="0" w:firstLine="0" w:firstLineChars="0"/>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w:t>
            </w:r>
          </w:p>
        </w:tc>
        <w:tc>
          <w:tcPr>
            <w:tcW w:w="705" w:type="dxa"/>
            <w:vMerge w:val="continue"/>
            <w:shd w:val="clear" w:color="auto" w:fill="auto"/>
            <w:vAlign w:val="center"/>
          </w:tcPr>
          <w:p w14:paraId="56EFC64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37E9226B">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default" w:ascii="宋体" w:hAnsi="等线" w:eastAsia="宋体" w:cs="等线"/>
                <w:b/>
                <w:bCs/>
                <w:i w:val="0"/>
                <w:iCs w:val="0"/>
                <w:color w:val="000000"/>
                <w:kern w:val="0"/>
                <w:sz w:val="20"/>
                <w:szCs w:val="20"/>
                <w:u w:val="none"/>
                <w:lang w:val="en-US" w:eastAsia="zh-CN" w:bidi="ar"/>
              </w:rPr>
              <w:t>视频监控设备配套</w:t>
            </w:r>
          </w:p>
        </w:tc>
        <w:tc>
          <w:tcPr>
            <w:tcW w:w="585" w:type="dxa"/>
            <w:vMerge w:val="continue"/>
            <w:shd w:val="clear" w:color="auto" w:fill="auto"/>
            <w:vAlign w:val="center"/>
          </w:tcPr>
          <w:p w14:paraId="75F369C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5E7D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36794A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w:t>
            </w:r>
          </w:p>
        </w:tc>
        <w:tc>
          <w:tcPr>
            <w:tcW w:w="705" w:type="dxa"/>
            <w:vMerge w:val="continue"/>
            <w:shd w:val="clear" w:color="auto" w:fill="auto"/>
            <w:vAlign w:val="center"/>
          </w:tcPr>
          <w:p w14:paraId="1BA330F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288FCB2F">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光缆终端盒</w:t>
            </w:r>
          </w:p>
        </w:tc>
        <w:tc>
          <w:tcPr>
            <w:tcW w:w="660" w:type="dxa"/>
            <w:shd w:val="clear" w:color="auto" w:fill="auto"/>
            <w:vAlign w:val="center"/>
          </w:tcPr>
          <w:p w14:paraId="3AEB9942">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49</w:t>
            </w:r>
          </w:p>
        </w:tc>
        <w:tc>
          <w:tcPr>
            <w:tcW w:w="690" w:type="dxa"/>
            <w:shd w:val="clear" w:color="auto" w:fill="auto"/>
            <w:vAlign w:val="center"/>
          </w:tcPr>
          <w:p w14:paraId="7B55787F">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个</w:t>
            </w:r>
          </w:p>
        </w:tc>
        <w:tc>
          <w:tcPr>
            <w:tcW w:w="1110" w:type="dxa"/>
            <w:shd w:val="clear" w:color="auto" w:fill="auto"/>
            <w:vAlign w:val="center"/>
          </w:tcPr>
          <w:p w14:paraId="303B33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84148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5786C0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76469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54031A6">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CF6A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403BC9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131</w:t>
            </w:r>
          </w:p>
        </w:tc>
        <w:tc>
          <w:tcPr>
            <w:tcW w:w="705" w:type="dxa"/>
            <w:vMerge w:val="continue"/>
            <w:shd w:val="clear" w:color="auto" w:fill="auto"/>
            <w:vAlign w:val="center"/>
          </w:tcPr>
          <w:p w14:paraId="3CAC2A8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E5A0DEB">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熔纤点</w:t>
            </w:r>
          </w:p>
        </w:tc>
        <w:tc>
          <w:tcPr>
            <w:tcW w:w="660" w:type="dxa"/>
            <w:shd w:val="clear" w:color="auto" w:fill="auto"/>
            <w:vAlign w:val="center"/>
          </w:tcPr>
          <w:p w14:paraId="7A1FCEEB">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196</w:t>
            </w:r>
          </w:p>
        </w:tc>
        <w:tc>
          <w:tcPr>
            <w:tcW w:w="690" w:type="dxa"/>
            <w:shd w:val="clear" w:color="auto" w:fill="auto"/>
            <w:vAlign w:val="center"/>
          </w:tcPr>
          <w:p w14:paraId="37131380">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芯</w:t>
            </w:r>
          </w:p>
        </w:tc>
        <w:tc>
          <w:tcPr>
            <w:tcW w:w="1110" w:type="dxa"/>
            <w:shd w:val="clear" w:color="auto" w:fill="auto"/>
            <w:vAlign w:val="center"/>
          </w:tcPr>
          <w:p w14:paraId="5C7699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51614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6C59D7E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CC2F9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13BB80F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495C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352507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132</w:t>
            </w:r>
          </w:p>
        </w:tc>
        <w:tc>
          <w:tcPr>
            <w:tcW w:w="705" w:type="dxa"/>
            <w:vMerge w:val="continue"/>
            <w:shd w:val="clear" w:color="auto" w:fill="auto"/>
            <w:vAlign w:val="center"/>
          </w:tcPr>
          <w:p w14:paraId="50FC1F5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7F79F711">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（2芯）</w:t>
            </w:r>
          </w:p>
        </w:tc>
        <w:tc>
          <w:tcPr>
            <w:tcW w:w="660" w:type="dxa"/>
            <w:shd w:val="clear" w:color="auto" w:fill="auto"/>
            <w:vAlign w:val="center"/>
          </w:tcPr>
          <w:p w14:paraId="21F9931D">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4900</w:t>
            </w:r>
          </w:p>
        </w:tc>
        <w:tc>
          <w:tcPr>
            <w:tcW w:w="690" w:type="dxa"/>
            <w:shd w:val="clear" w:color="auto" w:fill="auto"/>
            <w:vAlign w:val="center"/>
          </w:tcPr>
          <w:p w14:paraId="3D2CA116">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lang w:val="en-US" w:eastAsia="zh-CN"/>
              </w:rPr>
              <w:t>米</w:t>
            </w:r>
          </w:p>
        </w:tc>
        <w:tc>
          <w:tcPr>
            <w:tcW w:w="1110" w:type="dxa"/>
            <w:shd w:val="clear" w:color="auto" w:fill="auto"/>
            <w:vAlign w:val="center"/>
          </w:tcPr>
          <w:p w14:paraId="6FEC26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D0FC8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2B0DE2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87DFE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9F4C1D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4C85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49E1AF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133</w:t>
            </w:r>
          </w:p>
        </w:tc>
        <w:tc>
          <w:tcPr>
            <w:tcW w:w="705" w:type="dxa"/>
            <w:vMerge w:val="continue"/>
            <w:shd w:val="clear" w:color="auto" w:fill="auto"/>
            <w:vAlign w:val="center"/>
          </w:tcPr>
          <w:p w14:paraId="6FE94396">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C649674">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（3*6）</w:t>
            </w:r>
          </w:p>
        </w:tc>
        <w:tc>
          <w:tcPr>
            <w:tcW w:w="660" w:type="dxa"/>
            <w:shd w:val="clear" w:color="auto" w:fill="auto"/>
            <w:vAlign w:val="center"/>
          </w:tcPr>
          <w:p w14:paraId="1CC04F42">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4900</w:t>
            </w:r>
          </w:p>
        </w:tc>
        <w:tc>
          <w:tcPr>
            <w:tcW w:w="690" w:type="dxa"/>
            <w:shd w:val="clear" w:color="auto" w:fill="auto"/>
            <w:vAlign w:val="center"/>
          </w:tcPr>
          <w:p w14:paraId="19CB0852">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lang w:val="en-US" w:eastAsia="zh-CN"/>
              </w:rPr>
              <w:t>米</w:t>
            </w:r>
          </w:p>
        </w:tc>
        <w:tc>
          <w:tcPr>
            <w:tcW w:w="1110" w:type="dxa"/>
            <w:shd w:val="clear" w:color="auto" w:fill="auto"/>
            <w:vAlign w:val="center"/>
          </w:tcPr>
          <w:p w14:paraId="22CAF4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7859C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6325A0D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7E34B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07E2AE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1BB1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454883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134</w:t>
            </w:r>
          </w:p>
        </w:tc>
        <w:tc>
          <w:tcPr>
            <w:tcW w:w="705" w:type="dxa"/>
            <w:vMerge w:val="continue"/>
            <w:shd w:val="clear" w:color="auto" w:fill="auto"/>
            <w:vAlign w:val="center"/>
          </w:tcPr>
          <w:p w14:paraId="3D826D9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4B6C5F0">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（3*1.5）</w:t>
            </w:r>
          </w:p>
        </w:tc>
        <w:tc>
          <w:tcPr>
            <w:tcW w:w="660" w:type="dxa"/>
            <w:shd w:val="clear" w:color="auto" w:fill="auto"/>
            <w:vAlign w:val="center"/>
          </w:tcPr>
          <w:p w14:paraId="1ED705C3">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735</w:t>
            </w:r>
          </w:p>
        </w:tc>
        <w:tc>
          <w:tcPr>
            <w:tcW w:w="690" w:type="dxa"/>
            <w:shd w:val="clear" w:color="auto" w:fill="auto"/>
            <w:vAlign w:val="center"/>
          </w:tcPr>
          <w:p w14:paraId="038DB06D">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lang w:val="en-US" w:eastAsia="zh-CN"/>
              </w:rPr>
              <w:t>米</w:t>
            </w:r>
          </w:p>
        </w:tc>
        <w:tc>
          <w:tcPr>
            <w:tcW w:w="1110" w:type="dxa"/>
            <w:shd w:val="clear" w:color="auto" w:fill="auto"/>
            <w:vAlign w:val="center"/>
          </w:tcPr>
          <w:p w14:paraId="79AC67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08910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3C44F02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7F5D47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B97A7B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5E3B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D81FB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w:t>
            </w:r>
          </w:p>
        </w:tc>
        <w:tc>
          <w:tcPr>
            <w:tcW w:w="705" w:type="dxa"/>
            <w:vMerge w:val="continue"/>
            <w:shd w:val="clear" w:color="auto" w:fill="auto"/>
            <w:vAlign w:val="center"/>
          </w:tcPr>
          <w:p w14:paraId="0899697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5287027">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（CAT6类）</w:t>
            </w:r>
          </w:p>
        </w:tc>
        <w:tc>
          <w:tcPr>
            <w:tcW w:w="660" w:type="dxa"/>
            <w:shd w:val="clear" w:color="auto" w:fill="auto"/>
            <w:vAlign w:val="center"/>
          </w:tcPr>
          <w:p w14:paraId="55F87583">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735</w:t>
            </w:r>
          </w:p>
        </w:tc>
        <w:tc>
          <w:tcPr>
            <w:tcW w:w="690" w:type="dxa"/>
            <w:shd w:val="clear" w:color="auto" w:fill="auto"/>
            <w:vAlign w:val="center"/>
          </w:tcPr>
          <w:p w14:paraId="27E92DB8">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lang w:val="en-US" w:eastAsia="zh-CN"/>
              </w:rPr>
              <w:t>米</w:t>
            </w:r>
          </w:p>
        </w:tc>
        <w:tc>
          <w:tcPr>
            <w:tcW w:w="1110" w:type="dxa"/>
            <w:shd w:val="clear" w:color="auto" w:fill="auto"/>
            <w:vAlign w:val="center"/>
          </w:tcPr>
          <w:p w14:paraId="494AC9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DAB4F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A8E37F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84913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15E9F5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5571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A206DA6">
            <w:pPr>
              <w:snapToGrid w:val="0"/>
              <w:ind w:left="0" w:leftChars="0" w:right="0" w:rightChars="0" w:firstLine="0" w:firstLineChars="0"/>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w:t>
            </w:r>
          </w:p>
        </w:tc>
        <w:tc>
          <w:tcPr>
            <w:tcW w:w="705" w:type="dxa"/>
            <w:vMerge w:val="continue"/>
            <w:shd w:val="clear" w:color="auto" w:fill="auto"/>
            <w:vAlign w:val="center"/>
          </w:tcPr>
          <w:p w14:paraId="5CA0A4D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1E952163">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default" w:ascii="宋体" w:hAnsi="等线" w:eastAsia="宋体" w:cs="等线"/>
                <w:b/>
                <w:bCs/>
                <w:i w:val="0"/>
                <w:iCs w:val="0"/>
                <w:color w:val="000000"/>
                <w:kern w:val="0"/>
                <w:sz w:val="20"/>
                <w:szCs w:val="20"/>
                <w:u w:val="none"/>
                <w:lang w:val="en-US" w:eastAsia="zh-CN" w:bidi="ar"/>
              </w:rPr>
              <w:t>智慧管控配电配网工程</w:t>
            </w:r>
          </w:p>
        </w:tc>
        <w:tc>
          <w:tcPr>
            <w:tcW w:w="585" w:type="dxa"/>
            <w:vMerge w:val="continue"/>
            <w:shd w:val="clear" w:color="auto" w:fill="auto"/>
            <w:vAlign w:val="center"/>
          </w:tcPr>
          <w:p w14:paraId="0E88103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D4B1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339DBF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136</w:t>
            </w:r>
          </w:p>
        </w:tc>
        <w:tc>
          <w:tcPr>
            <w:tcW w:w="705" w:type="dxa"/>
            <w:vMerge w:val="continue"/>
            <w:shd w:val="clear" w:color="auto" w:fill="auto"/>
            <w:vAlign w:val="center"/>
          </w:tcPr>
          <w:p w14:paraId="5C9446B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05FCBA7">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光纤</w:t>
            </w:r>
            <w:r>
              <w:rPr>
                <w:rFonts w:hint="eastAsia" w:ascii="宋体" w:hAnsi="等线" w:eastAsia="宋体" w:cs="等线"/>
                <w:i w:val="0"/>
                <w:iCs w:val="0"/>
                <w:color w:val="000000"/>
                <w:kern w:val="0"/>
                <w:sz w:val="20"/>
                <w:szCs w:val="20"/>
                <w:u w:val="none"/>
                <w:lang w:val="en-US" w:eastAsia="zh-CN" w:bidi="ar"/>
              </w:rPr>
              <w:t>（48芯）</w:t>
            </w:r>
          </w:p>
        </w:tc>
        <w:tc>
          <w:tcPr>
            <w:tcW w:w="660" w:type="dxa"/>
            <w:shd w:val="clear" w:color="auto" w:fill="auto"/>
            <w:vAlign w:val="center"/>
          </w:tcPr>
          <w:p w14:paraId="36CF19DD">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22.5</w:t>
            </w:r>
          </w:p>
        </w:tc>
        <w:tc>
          <w:tcPr>
            <w:tcW w:w="690" w:type="dxa"/>
            <w:shd w:val="clear" w:color="auto" w:fill="auto"/>
            <w:vAlign w:val="center"/>
          </w:tcPr>
          <w:p w14:paraId="60CCD79E">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千米</w:t>
            </w:r>
          </w:p>
        </w:tc>
        <w:tc>
          <w:tcPr>
            <w:tcW w:w="1110" w:type="dxa"/>
            <w:shd w:val="clear" w:color="auto" w:fill="auto"/>
            <w:vAlign w:val="center"/>
          </w:tcPr>
          <w:p w14:paraId="6D8D6E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8DE76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34DC197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7D299E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5E969F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5C7F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08870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137</w:t>
            </w:r>
          </w:p>
        </w:tc>
        <w:tc>
          <w:tcPr>
            <w:tcW w:w="705" w:type="dxa"/>
            <w:vMerge w:val="continue"/>
            <w:shd w:val="clear" w:color="auto" w:fill="auto"/>
            <w:vAlign w:val="center"/>
          </w:tcPr>
          <w:p w14:paraId="1464CEC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B740FFF">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租用管道</w:t>
            </w:r>
            <w:r>
              <w:rPr>
                <w:rFonts w:hint="eastAsia" w:ascii="宋体" w:hAnsi="等线" w:eastAsia="宋体" w:cs="等线"/>
                <w:i w:val="0"/>
                <w:iCs w:val="0"/>
                <w:color w:val="000000"/>
                <w:kern w:val="0"/>
                <w:sz w:val="20"/>
                <w:szCs w:val="20"/>
                <w:u w:val="none"/>
                <w:lang w:val="en-US" w:eastAsia="zh-CN" w:bidi="ar"/>
              </w:rPr>
              <w:t>（3年）</w:t>
            </w:r>
          </w:p>
        </w:tc>
        <w:tc>
          <w:tcPr>
            <w:tcW w:w="660" w:type="dxa"/>
            <w:shd w:val="clear" w:color="auto" w:fill="auto"/>
            <w:vAlign w:val="center"/>
          </w:tcPr>
          <w:p w14:paraId="7673E088">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7.5</w:t>
            </w:r>
          </w:p>
        </w:tc>
        <w:tc>
          <w:tcPr>
            <w:tcW w:w="690" w:type="dxa"/>
            <w:shd w:val="clear" w:color="auto" w:fill="auto"/>
            <w:vAlign w:val="center"/>
          </w:tcPr>
          <w:p w14:paraId="43ED85F4">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千米</w:t>
            </w:r>
          </w:p>
        </w:tc>
        <w:tc>
          <w:tcPr>
            <w:tcW w:w="1110" w:type="dxa"/>
            <w:shd w:val="clear" w:color="auto" w:fill="auto"/>
            <w:vAlign w:val="center"/>
          </w:tcPr>
          <w:p w14:paraId="4A3CD3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C7A96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F55718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20140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376229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94F3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261A54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w:t>
            </w:r>
          </w:p>
        </w:tc>
        <w:tc>
          <w:tcPr>
            <w:tcW w:w="705" w:type="dxa"/>
            <w:vMerge w:val="continue"/>
            <w:shd w:val="clear" w:color="auto" w:fill="auto"/>
            <w:vAlign w:val="center"/>
          </w:tcPr>
          <w:p w14:paraId="1D52937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5C9F42C">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新建子管</w:t>
            </w:r>
          </w:p>
        </w:tc>
        <w:tc>
          <w:tcPr>
            <w:tcW w:w="660" w:type="dxa"/>
            <w:shd w:val="clear" w:color="auto" w:fill="auto"/>
            <w:vAlign w:val="center"/>
          </w:tcPr>
          <w:p w14:paraId="1FFC141F">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13.9</w:t>
            </w:r>
          </w:p>
        </w:tc>
        <w:tc>
          <w:tcPr>
            <w:tcW w:w="690" w:type="dxa"/>
            <w:shd w:val="clear" w:color="auto" w:fill="auto"/>
            <w:vAlign w:val="center"/>
          </w:tcPr>
          <w:p w14:paraId="2DC3C7B7">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千米</w:t>
            </w:r>
          </w:p>
        </w:tc>
        <w:tc>
          <w:tcPr>
            <w:tcW w:w="1110" w:type="dxa"/>
            <w:shd w:val="clear" w:color="auto" w:fill="auto"/>
            <w:vAlign w:val="center"/>
          </w:tcPr>
          <w:p w14:paraId="00112D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EA547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661F152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31173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969793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DED1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9BB5C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w:t>
            </w:r>
          </w:p>
        </w:tc>
        <w:tc>
          <w:tcPr>
            <w:tcW w:w="705" w:type="dxa"/>
            <w:vMerge w:val="continue"/>
            <w:shd w:val="clear" w:color="auto" w:fill="auto"/>
            <w:vAlign w:val="center"/>
          </w:tcPr>
          <w:p w14:paraId="2401D16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BA0D224">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lang w:val="en-US"/>
              </w:rPr>
            </w:pPr>
            <w:r>
              <w:rPr>
                <w:rFonts w:hint="default" w:ascii="宋体" w:hAnsi="等线" w:eastAsia="宋体" w:cs="等线"/>
                <w:i w:val="0"/>
                <w:iCs w:val="0"/>
                <w:color w:val="000000"/>
                <w:kern w:val="0"/>
                <w:sz w:val="20"/>
                <w:szCs w:val="20"/>
                <w:u w:val="none"/>
                <w:lang w:val="en-US" w:eastAsia="zh-CN" w:bidi="ar"/>
              </w:rPr>
              <w:t>光纤</w:t>
            </w:r>
            <w:r>
              <w:rPr>
                <w:rFonts w:hint="eastAsia" w:ascii="宋体" w:hAnsi="等线" w:eastAsia="宋体" w:cs="等线"/>
                <w:i w:val="0"/>
                <w:iCs w:val="0"/>
                <w:color w:val="000000"/>
                <w:kern w:val="0"/>
                <w:sz w:val="20"/>
                <w:szCs w:val="20"/>
                <w:u w:val="none"/>
                <w:lang w:val="en-US" w:eastAsia="zh-CN" w:bidi="ar"/>
              </w:rPr>
              <w:t>（6芯）</w:t>
            </w:r>
          </w:p>
        </w:tc>
        <w:tc>
          <w:tcPr>
            <w:tcW w:w="660" w:type="dxa"/>
            <w:shd w:val="clear" w:color="auto" w:fill="auto"/>
            <w:vAlign w:val="center"/>
          </w:tcPr>
          <w:p w14:paraId="7304E855">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18</w:t>
            </w:r>
          </w:p>
        </w:tc>
        <w:tc>
          <w:tcPr>
            <w:tcW w:w="690" w:type="dxa"/>
            <w:shd w:val="clear" w:color="auto" w:fill="auto"/>
            <w:vAlign w:val="center"/>
          </w:tcPr>
          <w:p w14:paraId="5BC84001">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千米</w:t>
            </w:r>
          </w:p>
        </w:tc>
        <w:tc>
          <w:tcPr>
            <w:tcW w:w="1110" w:type="dxa"/>
            <w:shd w:val="clear" w:color="auto" w:fill="auto"/>
            <w:vAlign w:val="center"/>
          </w:tcPr>
          <w:p w14:paraId="16E545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5CC9C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9E5DF0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2AD69A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A1DA2D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16EA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4148BF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705" w:type="dxa"/>
            <w:vMerge w:val="continue"/>
            <w:shd w:val="clear" w:color="auto" w:fill="auto"/>
            <w:vAlign w:val="center"/>
          </w:tcPr>
          <w:p w14:paraId="331A10E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0B20A4B">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交通监控配电箱进电缆</w:t>
            </w:r>
          </w:p>
        </w:tc>
        <w:tc>
          <w:tcPr>
            <w:tcW w:w="660" w:type="dxa"/>
            <w:shd w:val="clear" w:color="auto" w:fill="auto"/>
            <w:vAlign w:val="center"/>
          </w:tcPr>
          <w:p w14:paraId="796BA9F2">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402</w:t>
            </w:r>
          </w:p>
        </w:tc>
        <w:tc>
          <w:tcPr>
            <w:tcW w:w="690" w:type="dxa"/>
            <w:shd w:val="clear" w:color="auto" w:fill="auto"/>
            <w:vAlign w:val="center"/>
          </w:tcPr>
          <w:p w14:paraId="43EE748D">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lang w:val="en-US" w:eastAsia="zh-CN"/>
              </w:rPr>
              <w:t>米</w:t>
            </w:r>
          </w:p>
        </w:tc>
        <w:tc>
          <w:tcPr>
            <w:tcW w:w="1110" w:type="dxa"/>
            <w:shd w:val="clear" w:color="auto" w:fill="auto"/>
            <w:vAlign w:val="center"/>
          </w:tcPr>
          <w:p w14:paraId="551EE5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9FE19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50726D6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3C59B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C822B6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028D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32889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141</w:t>
            </w:r>
          </w:p>
        </w:tc>
        <w:tc>
          <w:tcPr>
            <w:tcW w:w="705" w:type="dxa"/>
            <w:vMerge w:val="continue"/>
            <w:shd w:val="clear" w:color="auto" w:fill="auto"/>
            <w:vAlign w:val="center"/>
          </w:tcPr>
          <w:p w14:paraId="1E6E480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D5F9DB1">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交通监控干线电缆</w:t>
            </w:r>
            <w:r>
              <w:rPr>
                <w:rFonts w:hint="eastAsia" w:ascii="宋体" w:hAnsi="等线" w:eastAsia="宋体" w:cs="等线"/>
                <w:i w:val="0"/>
                <w:iCs w:val="0"/>
                <w:color w:val="000000"/>
                <w:kern w:val="0"/>
                <w:sz w:val="20"/>
                <w:szCs w:val="20"/>
                <w:u w:val="none"/>
                <w:lang w:val="en-US" w:eastAsia="zh-CN" w:bidi="ar"/>
              </w:rPr>
              <w:t>（16）</w:t>
            </w:r>
          </w:p>
        </w:tc>
        <w:tc>
          <w:tcPr>
            <w:tcW w:w="660" w:type="dxa"/>
            <w:shd w:val="clear" w:color="auto" w:fill="auto"/>
            <w:vAlign w:val="center"/>
          </w:tcPr>
          <w:p w14:paraId="284DABD9">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1027</w:t>
            </w:r>
          </w:p>
        </w:tc>
        <w:tc>
          <w:tcPr>
            <w:tcW w:w="690" w:type="dxa"/>
            <w:shd w:val="clear" w:color="auto" w:fill="auto"/>
            <w:vAlign w:val="center"/>
          </w:tcPr>
          <w:p w14:paraId="221572ED">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lang w:val="en-US" w:eastAsia="zh-CN"/>
              </w:rPr>
              <w:t>米</w:t>
            </w:r>
          </w:p>
        </w:tc>
        <w:tc>
          <w:tcPr>
            <w:tcW w:w="1110" w:type="dxa"/>
            <w:shd w:val="clear" w:color="auto" w:fill="auto"/>
            <w:vAlign w:val="center"/>
          </w:tcPr>
          <w:p w14:paraId="41B97E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C550A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AA0D21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2E1FA6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EDBCC1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74C7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7D3FD9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142</w:t>
            </w:r>
          </w:p>
        </w:tc>
        <w:tc>
          <w:tcPr>
            <w:tcW w:w="705" w:type="dxa"/>
            <w:vMerge w:val="continue"/>
            <w:shd w:val="clear" w:color="auto" w:fill="auto"/>
            <w:vAlign w:val="center"/>
          </w:tcPr>
          <w:p w14:paraId="0CA19CF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7FC9DC3">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交通监控干线电缆</w:t>
            </w:r>
            <w:r>
              <w:rPr>
                <w:rFonts w:hint="eastAsia" w:ascii="宋体" w:hAnsi="等线" w:eastAsia="宋体" w:cs="等线"/>
                <w:i w:val="0"/>
                <w:iCs w:val="0"/>
                <w:color w:val="000000"/>
                <w:kern w:val="0"/>
                <w:sz w:val="20"/>
                <w:szCs w:val="20"/>
                <w:u w:val="none"/>
                <w:lang w:val="en-US" w:eastAsia="zh-CN" w:bidi="ar"/>
              </w:rPr>
              <w:t>（3*6）</w:t>
            </w:r>
          </w:p>
        </w:tc>
        <w:tc>
          <w:tcPr>
            <w:tcW w:w="660" w:type="dxa"/>
            <w:shd w:val="clear" w:color="auto" w:fill="auto"/>
            <w:vAlign w:val="center"/>
          </w:tcPr>
          <w:p w14:paraId="664AD056">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17430</w:t>
            </w:r>
          </w:p>
        </w:tc>
        <w:tc>
          <w:tcPr>
            <w:tcW w:w="690" w:type="dxa"/>
            <w:shd w:val="clear" w:color="auto" w:fill="auto"/>
            <w:vAlign w:val="center"/>
          </w:tcPr>
          <w:p w14:paraId="7C94B7B1">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lang w:val="en-US" w:eastAsia="zh-CN"/>
              </w:rPr>
              <w:t>米</w:t>
            </w:r>
          </w:p>
        </w:tc>
        <w:tc>
          <w:tcPr>
            <w:tcW w:w="1110" w:type="dxa"/>
            <w:shd w:val="clear" w:color="auto" w:fill="auto"/>
            <w:vAlign w:val="center"/>
          </w:tcPr>
          <w:p w14:paraId="1F200F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0ED26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3A7660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B974D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45569B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AEC7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606DDBBB">
            <w:pPr>
              <w:snapToGrid w:val="0"/>
              <w:ind w:left="0" w:leftChars="0" w:right="0" w:rightChars="0" w:firstLine="0" w:firstLineChars="0"/>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w:t>
            </w:r>
          </w:p>
        </w:tc>
        <w:tc>
          <w:tcPr>
            <w:tcW w:w="705" w:type="dxa"/>
            <w:vMerge w:val="continue"/>
            <w:shd w:val="clear" w:color="auto" w:fill="auto"/>
            <w:vAlign w:val="center"/>
          </w:tcPr>
          <w:p w14:paraId="6F0FF2F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5BDE088C">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default" w:ascii="宋体" w:hAnsi="等线" w:eastAsia="宋体" w:cs="等线"/>
                <w:b/>
                <w:bCs/>
                <w:i w:val="0"/>
                <w:iCs w:val="0"/>
                <w:color w:val="000000"/>
                <w:kern w:val="0"/>
                <w:sz w:val="20"/>
                <w:szCs w:val="20"/>
                <w:u w:val="none"/>
                <w:lang w:val="en-US" w:eastAsia="zh-CN" w:bidi="ar"/>
              </w:rPr>
              <w:t>智慧道路配电配网工程</w:t>
            </w:r>
          </w:p>
        </w:tc>
        <w:tc>
          <w:tcPr>
            <w:tcW w:w="585" w:type="dxa"/>
            <w:vMerge w:val="continue"/>
            <w:shd w:val="clear" w:color="auto" w:fill="auto"/>
            <w:vAlign w:val="center"/>
          </w:tcPr>
          <w:p w14:paraId="14E1BF6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5B36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FEB4F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143</w:t>
            </w:r>
          </w:p>
        </w:tc>
        <w:tc>
          <w:tcPr>
            <w:tcW w:w="705" w:type="dxa"/>
            <w:vMerge w:val="continue"/>
            <w:shd w:val="clear" w:color="auto" w:fill="auto"/>
            <w:vAlign w:val="center"/>
          </w:tcPr>
          <w:p w14:paraId="1A203CB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DA97E61">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光纤</w:t>
            </w:r>
            <w:r>
              <w:rPr>
                <w:rFonts w:hint="eastAsia" w:ascii="宋体" w:hAnsi="等线" w:eastAsia="宋体" w:cs="等线"/>
                <w:i w:val="0"/>
                <w:iCs w:val="0"/>
                <w:color w:val="000000"/>
                <w:kern w:val="0"/>
                <w:sz w:val="20"/>
                <w:szCs w:val="20"/>
                <w:u w:val="none"/>
                <w:lang w:val="en-US" w:eastAsia="zh-CN" w:bidi="ar"/>
              </w:rPr>
              <w:t>（12芯）</w:t>
            </w:r>
          </w:p>
        </w:tc>
        <w:tc>
          <w:tcPr>
            <w:tcW w:w="660" w:type="dxa"/>
            <w:shd w:val="clear" w:color="auto" w:fill="auto"/>
            <w:vAlign w:val="center"/>
          </w:tcPr>
          <w:p w14:paraId="16BF466A">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6</w:t>
            </w:r>
          </w:p>
        </w:tc>
        <w:tc>
          <w:tcPr>
            <w:tcW w:w="690" w:type="dxa"/>
            <w:shd w:val="clear" w:color="auto" w:fill="auto"/>
            <w:vAlign w:val="center"/>
          </w:tcPr>
          <w:p w14:paraId="17A2CF2A">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千米</w:t>
            </w:r>
          </w:p>
        </w:tc>
        <w:tc>
          <w:tcPr>
            <w:tcW w:w="1110" w:type="dxa"/>
            <w:shd w:val="clear" w:color="auto" w:fill="auto"/>
            <w:vAlign w:val="center"/>
          </w:tcPr>
          <w:p w14:paraId="33AB66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0E68A0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572D03F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E9391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773926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6B33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E158A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144</w:t>
            </w:r>
          </w:p>
        </w:tc>
        <w:tc>
          <w:tcPr>
            <w:tcW w:w="705" w:type="dxa"/>
            <w:vMerge w:val="continue"/>
            <w:shd w:val="clear" w:color="auto" w:fill="auto"/>
            <w:vAlign w:val="center"/>
          </w:tcPr>
          <w:p w14:paraId="2B40C51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0D9CDFC">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sz w:val="20"/>
                <w:szCs w:val="20"/>
                <w:u w:val="none"/>
                <w:lang w:val="en-US" w:eastAsia="zh-CN"/>
              </w:rPr>
            </w:pPr>
            <w:r>
              <w:rPr>
                <w:rFonts w:hint="default" w:ascii="宋体" w:hAnsi="等线" w:eastAsia="宋体" w:cs="等线"/>
                <w:i w:val="0"/>
                <w:iCs w:val="0"/>
                <w:color w:val="000000"/>
                <w:kern w:val="0"/>
                <w:sz w:val="20"/>
                <w:szCs w:val="20"/>
                <w:u w:val="none"/>
                <w:lang w:val="en-US" w:eastAsia="zh-CN" w:bidi="ar"/>
              </w:rPr>
              <w:t>租用管道</w:t>
            </w:r>
            <w:r>
              <w:rPr>
                <w:rFonts w:hint="eastAsia" w:ascii="宋体" w:hAnsi="等线" w:eastAsia="宋体" w:cs="等线"/>
                <w:i w:val="0"/>
                <w:iCs w:val="0"/>
                <w:color w:val="000000"/>
                <w:kern w:val="0"/>
                <w:sz w:val="20"/>
                <w:szCs w:val="20"/>
                <w:u w:val="none"/>
                <w:lang w:val="en-US" w:eastAsia="zh-CN" w:bidi="ar"/>
              </w:rPr>
              <w:t>（3年）</w:t>
            </w:r>
          </w:p>
        </w:tc>
        <w:tc>
          <w:tcPr>
            <w:tcW w:w="660" w:type="dxa"/>
            <w:shd w:val="clear" w:color="auto" w:fill="auto"/>
            <w:noWrap/>
            <w:vAlign w:val="center"/>
          </w:tcPr>
          <w:p w14:paraId="4770B46F">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10.2</w:t>
            </w:r>
          </w:p>
        </w:tc>
        <w:tc>
          <w:tcPr>
            <w:tcW w:w="690" w:type="dxa"/>
            <w:shd w:val="clear" w:color="auto" w:fill="auto"/>
            <w:noWrap/>
            <w:vAlign w:val="center"/>
          </w:tcPr>
          <w:p w14:paraId="59D9F0E6">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千米</w:t>
            </w:r>
          </w:p>
        </w:tc>
        <w:tc>
          <w:tcPr>
            <w:tcW w:w="1110" w:type="dxa"/>
            <w:shd w:val="clear" w:color="auto" w:fill="auto"/>
            <w:vAlign w:val="center"/>
          </w:tcPr>
          <w:p w14:paraId="14687F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158CD9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5F1926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2D59CA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CD5FA4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7C79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022AF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145</w:t>
            </w:r>
          </w:p>
        </w:tc>
        <w:tc>
          <w:tcPr>
            <w:tcW w:w="705" w:type="dxa"/>
            <w:vMerge w:val="continue"/>
            <w:shd w:val="clear" w:color="auto" w:fill="auto"/>
            <w:vAlign w:val="center"/>
          </w:tcPr>
          <w:p w14:paraId="5C1170D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EBBD5E6">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新建子管</w:t>
            </w:r>
          </w:p>
        </w:tc>
        <w:tc>
          <w:tcPr>
            <w:tcW w:w="660" w:type="dxa"/>
            <w:shd w:val="clear" w:color="auto" w:fill="auto"/>
            <w:noWrap/>
            <w:vAlign w:val="center"/>
          </w:tcPr>
          <w:p w14:paraId="5B826320">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10.2</w:t>
            </w:r>
          </w:p>
        </w:tc>
        <w:tc>
          <w:tcPr>
            <w:tcW w:w="690" w:type="dxa"/>
            <w:shd w:val="clear" w:color="auto" w:fill="auto"/>
            <w:noWrap/>
            <w:vAlign w:val="center"/>
          </w:tcPr>
          <w:p w14:paraId="52A68BCB">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千米</w:t>
            </w:r>
          </w:p>
        </w:tc>
        <w:tc>
          <w:tcPr>
            <w:tcW w:w="1110" w:type="dxa"/>
            <w:shd w:val="clear" w:color="auto" w:fill="auto"/>
            <w:vAlign w:val="center"/>
          </w:tcPr>
          <w:p w14:paraId="4C21FE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DDACE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042C28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E50D7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6971B5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136D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1022E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146</w:t>
            </w:r>
          </w:p>
        </w:tc>
        <w:tc>
          <w:tcPr>
            <w:tcW w:w="705" w:type="dxa"/>
            <w:vMerge w:val="continue"/>
            <w:shd w:val="clear" w:color="auto" w:fill="auto"/>
            <w:vAlign w:val="center"/>
          </w:tcPr>
          <w:p w14:paraId="4558838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20509499">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光纤</w:t>
            </w:r>
            <w:r>
              <w:rPr>
                <w:rFonts w:hint="eastAsia" w:ascii="宋体" w:hAnsi="等线" w:eastAsia="宋体" w:cs="等线"/>
                <w:i w:val="0"/>
                <w:iCs w:val="0"/>
                <w:color w:val="000000"/>
                <w:kern w:val="0"/>
                <w:sz w:val="20"/>
                <w:szCs w:val="20"/>
                <w:u w:val="none"/>
                <w:lang w:val="en-US" w:eastAsia="zh-CN" w:bidi="ar"/>
              </w:rPr>
              <w:t>（144芯）</w:t>
            </w:r>
          </w:p>
        </w:tc>
        <w:tc>
          <w:tcPr>
            <w:tcW w:w="660" w:type="dxa"/>
            <w:shd w:val="clear" w:color="auto" w:fill="auto"/>
            <w:noWrap/>
            <w:vAlign w:val="center"/>
          </w:tcPr>
          <w:p w14:paraId="4A924642">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18.92</w:t>
            </w:r>
          </w:p>
        </w:tc>
        <w:tc>
          <w:tcPr>
            <w:tcW w:w="690" w:type="dxa"/>
            <w:shd w:val="clear" w:color="auto" w:fill="auto"/>
            <w:noWrap/>
            <w:vAlign w:val="center"/>
          </w:tcPr>
          <w:p w14:paraId="0F0EA0E6">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千米</w:t>
            </w:r>
          </w:p>
        </w:tc>
        <w:tc>
          <w:tcPr>
            <w:tcW w:w="1110" w:type="dxa"/>
            <w:shd w:val="clear" w:color="auto" w:fill="auto"/>
            <w:vAlign w:val="center"/>
          </w:tcPr>
          <w:p w14:paraId="1F19D9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29A54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7677E4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03B3E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E7BC44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3B7C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5856BB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147</w:t>
            </w:r>
          </w:p>
        </w:tc>
        <w:tc>
          <w:tcPr>
            <w:tcW w:w="705" w:type="dxa"/>
            <w:vMerge w:val="continue"/>
            <w:shd w:val="clear" w:color="auto" w:fill="auto"/>
            <w:vAlign w:val="center"/>
          </w:tcPr>
          <w:p w14:paraId="6555AF66">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3F6597B">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光纤</w:t>
            </w:r>
            <w:r>
              <w:rPr>
                <w:rFonts w:hint="eastAsia" w:ascii="宋体" w:hAnsi="等线" w:eastAsia="宋体" w:cs="等线"/>
                <w:i w:val="0"/>
                <w:iCs w:val="0"/>
                <w:color w:val="000000"/>
                <w:kern w:val="0"/>
                <w:sz w:val="20"/>
                <w:szCs w:val="20"/>
                <w:u w:val="none"/>
                <w:lang w:val="en-US" w:eastAsia="zh-CN" w:bidi="ar"/>
              </w:rPr>
              <w:t>（12芯）</w:t>
            </w:r>
          </w:p>
        </w:tc>
        <w:tc>
          <w:tcPr>
            <w:tcW w:w="660" w:type="dxa"/>
            <w:shd w:val="clear" w:color="auto" w:fill="auto"/>
            <w:noWrap/>
            <w:vAlign w:val="center"/>
          </w:tcPr>
          <w:p w14:paraId="5ED48782">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37.84</w:t>
            </w:r>
          </w:p>
        </w:tc>
        <w:tc>
          <w:tcPr>
            <w:tcW w:w="690" w:type="dxa"/>
            <w:shd w:val="clear" w:color="auto" w:fill="auto"/>
            <w:noWrap/>
            <w:vAlign w:val="center"/>
          </w:tcPr>
          <w:p w14:paraId="6281FCFA">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千米</w:t>
            </w:r>
          </w:p>
        </w:tc>
        <w:tc>
          <w:tcPr>
            <w:tcW w:w="1110" w:type="dxa"/>
            <w:shd w:val="clear" w:color="auto" w:fill="auto"/>
            <w:vAlign w:val="center"/>
          </w:tcPr>
          <w:p w14:paraId="747B1F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A67CA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327F62E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9062D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A06A3A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B3D8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68DAA5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148</w:t>
            </w:r>
          </w:p>
        </w:tc>
        <w:tc>
          <w:tcPr>
            <w:tcW w:w="705" w:type="dxa"/>
            <w:vMerge w:val="continue"/>
            <w:shd w:val="clear" w:color="auto" w:fill="auto"/>
            <w:vAlign w:val="center"/>
          </w:tcPr>
          <w:p w14:paraId="0A7690B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CE0419C">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光纤</w:t>
            </w:r>
            <w:r>
              <w:rPr>
                <w:rFonts w:hint="eastAsia" w:ascii="宋体" w:hAnsi="等线" w:eastAsia="宋体" w:cs="等线"/>
                <w:i w:val="0"/>
                <w:iCs w:val="0"/>
                <w:color w:val="000000"/>
                <w:kern w:val="0"/>
                <w:sz w:val="20"/>
                <w:szCs w:val="20"/>
                <w:u w:val="none"/>
                <w:lang w:val="en-US" w:eastAsia="zh-CN" w:bidi="ar"/>
              </w:rPr>
              <w:t>（6芯）</w:t>
            </w:r>
          </w:p>
        </w:tc>
        <w:tc>
          <w:tcPr>
            <w:tcW w:w="660" w:type="dxa"/>
            <w:shd w:val="clear" w:color="auto" w:fill="auto"/>
            <w:noWrap/>
            <w:vAlign w:val="center"/>
          </w:tcPr>
          <w:p w14:paraId="31C5743E">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8.1</w:t>
            </w:r>
          </w:p>
        </w:tc>
        <w:tc>
          <w:tcPr>
            <w:tcW w:w="690" w:type="dxa"/>
            <w:shd w:val="clear" w:color="auto" w:fill="auto"/>
            <w:noWrap/>
            <w:vAlign w:val="center"/>
          </w:tcPr>
          <w:p w14:paraId="65317B5D">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千米</w:t>
            </w:r>
          </w:p>
        </w:tc>
        <w:tc>
          <w:tcPr>
            <w:tcW w:w="1110" w:type="dxa"/>
            <w:shd w:val="clear" w:color="auto" w:fill="auto"/>
            <w:vAlign w:val="center"/>
          </w:tcPr>
          <w:p w14:paraId="68FCCD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462A1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6EABEEF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C1334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D43147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5E8C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3836D1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149</w:t>
            </w:r>
          </w:p>
        </w:tc>
        <w:tc>
          <w:tcPr>
            <w:tcW w:w="705" w:type="dxa"/>
            <w:vMerge w:val="continue"/>
            <w:shd w:val="clear" w:color="auto" w:fill="auto"/>
            <w:vAlign w:val="center"/>
          </w:tcPr>
          <w:p w14:paraId="3426E58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06E98F89">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防水接线盒</w:t>
            </w:r>
          </w:p>
        </w:tc>
        <w:tc>
          <w:tcPr>
            <w:tcW w:w="660" w:type="dxa"/>
            <w:shd w:val="clear" w:color="auto" w:fill="auto"/>
            <w:vAlign w:val="center"/>
          </w:tcPr>
          <w:p w14:paraId="3FBF3185">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373</w:t>
            </w:r>
          </w:p>
        </w:tc>
        <w:tc>
          <w:tcPr>
            <w:tcW w:w="690" w:type="dxa"/>
            <w:shd w:val="clear" w:color="auto" w:fill="auto"/>
            <w:vAlign w:val="center"/>
          </w:tcPr>
          <w:p w14:paraId="2F7393A1">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套</w:t>
            </w:r>
          </w:p>
        </w:tc>
        <w:tc>
          <w:tcPr>
            <w:tcW w:w="1110" w:type="dxa"/>
            <w:shd w:val="clear" w:color="auto" w:fill="auto"/>
            <w:vAlign w:val="center"/>
          </w:tcPr>
          <w:p w14:paraId="5B739F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197914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617290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03418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D6449E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4EAC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5225CD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705" w:type="dxa"/>
            <w:vMerge w:val="continue"/>
            <w:shd w:val="clear" w:color="auto" w:fill="auto"/>
            <w:vAlign w:val="center"/>
          </w:tcPr>
          <w:p w14:paraId="6C8B3C9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C1E0668">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漏电保护模块</w:t>
            </w:r>
          </w:p>
        </w:tc>
        <w:tc>
          <w:tcPr>
            <w:tcW w:w="660" w:type="dxa"/>
            <w:shd w:val="clear" w:color="auto" w:fill="auto"/>
            <w:vAlign w:val="center"/>
          </w:tcPr>
          <w:p w14:paraId="205D8438">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373</w:t>
            </w:r>
          </w:p>
        </w:tc>
        <w:tc>
          <w:tcPr>
            <w:tcW w:w="690" w:type="dxa"/>
            <w:shd w:val="clear" w:color="auto" w:fill="auto"/>
            <w:vAlign w:val="center"/>
          </w:tcPr>
          <w:p w14:paraId="6D8A545F">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套</w:t>
            </w:r>
          </w:p>
        </w:tc>
        <w:tc>
          <w:tcPr>
            <w:tcW w:w="1110" w:type="dxa"/>
            <w:shd w:val="clear" w:color="auto" w:fill="auto"/>
            <w:vAlign w:val="center"/>
          </w:tcPr>
          <w:p w14:paraId="5197A2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0E34E3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54D2E2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895BE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1C04455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88BF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072BB4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151</w:t>
            </w:r>
          </w:p>
        </w:tc>
        <w:tc>
          <w:tcPr>
            <w:tcW w:w="705" w:type="dxa"/>
            <w:vMerge w:val="continue"/>
            <w:shd w:val="clear" w:color="auto" w:fill="auto"/>
            <w:vAlign w:val="center"/>
          </w:tcPr>
          <w:p w14:paraId="3C588A0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127FF79">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智慧路灯干线电缆</w:t>
            </w:r>
          </w:p>
        </w:tc>
        <w:tc>
          <w:tcPr>
            <w:tcW w:w="660" w:type="dxa"/>
            <w:shd w:val="clear" w:color="auto" w:fill="auto"/>
            <w:noWrap/>
            <w:vAlign w:val="center"/>
          </w:tcPr>
          <w:p w14:paraId="4226CE52">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26849</w:t>
            </w:r>
          </w:p>
        </w:tc>
        <w:tc>
          <w:tcPr>
            <w:tcW w:w="690" w:type="dxa"/>
            <w:shd w:val="clear" w:color="auto" w:fill="auto"/>
            <w:noWrap/>
            <w:vAlign w:val="center"/>
          </w:tcPr>
          <w:p w14:paraId="43AC73AA">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米</w:t>
            </w:r>
          </w:p>
        </w:tc>
        <w:tc>
          <w:tcPr>
            <w:tcW w:w="1110" w:type="dxa"/>
            <w:shd w:val="clear" w:color="auto" w:fill="auto"/>
            <w:vAlign w:val="center"/>
          </w:tcPr>
          <w:p w14:paraId="19F0DA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E05E3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BE3E4E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46810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074F39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172F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17D39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152</w:t>
            </w:r>
          </w:p>
        </w:tc>
        <w:tc>
          <w:tcPr>
            <w:tcW w:w="705" w:type="dxa"/>
            <w:vMerge w:val="continue"/>
            <w:shd w:val="clear" w:color="auto" w:fill="auto"/>
            <w:vAlign w:val="center"/>
          </w:tcPr>
          <w:p w14:paraId="08803C7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08D51FE4">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智慧路灯支线电缆</w:t>
            </w:r>
            <w:r>
              <w:rPr>
                <w:rFonts w:hint="eastAsia" w:ascii="宋体" w:hAnsi="等线" w:eastAsia="宋体" w:cs="等线"/>
                <w:i w:val="0"/>
                <w:iCs w:val="0"/>
                <w:color w:val="000000"/>
                <w:kern w:val="0"/>
                <w:sz w:val="20"/>
                <w:szCs w:val="20"/>
                <w:u w:val="none"/>
                <w:lang w:val="en-US" w:eastAsia="zh-CN" w:bidi="ar"/>
              </w:rPr>
              <w:t>（3*2.5）</w:t>
            </w:r>
          </w:p>
        </w:tc>
        <w:tc>
          <w:tcPr>
            <w:tcW w:w="660" w:type="dxa"/>
            <w:shd w:val="clear" w:color="auto" w:fill="auto"/>
            <w:vAlign w:val="center"/>
          </w:tcPr>
          <w:p w14:paraId="663DF0C2">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2870</w:t>
            </w:r>
          </w:p>
        </w:tc>
        <w:tc>
          <w:tcPr>
            <w:tcW w:w="690" w:type="dxa"/>
            <w:shd w:val="clear" w:color="auto" w:fill="auto"/>
            <w:noWrap/>
            <w:vAlign w:val="center"/>
          </w:tcPr>
          <w:p w14:paraId="3E33D83C">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米</w:t>
            </w:r>
          </w:p>
        </w:tc>
        <w:tc>
          <w:tcPr>
            <w:tcW w:w="1110" w:type="dxa"/>
            <w:shd w:val="clear" w:color="auto" w:fill="auto"/>
            <w:vAlign w:val="center"/>
          </w:tcPr>
          <w:p w14:paraId="2344A2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F0FA7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2A44EA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739BD1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7A8EDD6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0AEC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688ECB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153</w:t>
            </w:r>
          </w:p>
        </w:tc>
        <w:tc>
          <w:tcPr>
            <w:tcW w:w="705" w:type="dxa"/>
            <w:vMerge w:val="continue"/>
            <w:shd w:val="clear" w:color="auto" w:fill="auto"/>
            <w:vAlign w:val="center"/>
          </w:tcPr>
          <w:p w14:paraId="22AA04E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28DEB98A">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智慧路灯支线电缆</w:t>
            </w:r>
            <w:r>
              <w:rPr>
                <w:rFonts w:hint="eastAsia" w:ascii="宋体" w:hAnsi="等线" w:eastAsia="宋体" w:cs="等线"/>
                <w:i w:val="0"/>
                <w:iCs w:val="0"/>
                <w:color w:val="000000"/>
                <w:kern w:val="0"/>
                <w:sz w:val="20"/>
                <w:szCs w:val="20"/>
                <w:u w:val="none"/>
                <w:lang w:val="en-US" w:eastAsia="zh-CN" w:bidi="ar"/>
              </w:rPr>
              <w:t>（3*6）</w:t>
            </w:r>
          </w:p>
        </w:tc>
        <w:tc>
          <w:tcPr>
            <w:tcW w:w="660" w:type="dxa"/>
            <w:shd w:val="clear" w:color="auto" w:fill="auto"/>
            <w:vAlign w:val="center"/>
          </w:tcPr>
          <w:p w14:paraId="368C4B3A">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746</w:t>
            </w:r>
          </w:p>
        </w:tc>
        <w:tc>
          <w:tcPr>
            <w:tcW w:w="690" w:type="dxa"/>
            <w:shd w:val="clear" w:color="auto" w:fill="auto"/>
            <w:noWrap/>
            <w:vAlign w:val="center"/>
          </w:tcPr>
          <w:p w14:paraId="40107CA1">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米</w:t>
            </w:r>
          </w:p>
        </w:tc>
        <w:tc>
          <w:tcPr>
            <w:tcW w:w="1110" w:type="dxa"/>
            <w:shd w:val="clear" w:color="auto" w:fill="auto"/>
            <w:vAlign w:val="center"/>
          </w:tcPr>
          <w:p w14:paraId="083C7D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8E08B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9DFBFF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18B56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33633B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5F4D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025185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154</w:t>
            </w:r>
          </w:p>
        </w:tc>
        <w:tc>
          <w:tcPr>
            <w:tcW w:w="705" w:type="dxa"/>
            <w:vMerge w:val="continue"/>
            <w:shd w:val="clear" w:color="auto" w:fill="auto"/>
            <w:vAlign w:val="center"/>
          </w:tcPr>
          <w:p w14:paraId="356B832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B61D92E">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挂载设备线缆</w:t>
            </w:r>
          </w:p>
        </w:tc>
        <w:tc>
          <w:tcPr>
            <w:tcW w:w="660" w:type="dxa"/>
            <w:shd w:val="clear" w:color="auto" w:fill="auto"/>
            <w:vAlign w:val="center"/>
          </w:tcPr>
          <w:p w14:paraId="577CB820">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2870</w:t>
            </w:r>
          </w:p>
        </w:tc>
        <w:tc>
          <w:tcPr>
            <w:tcW w:w="690" w:type="dxa"/>
            <w:shd w:val="clear" w:color="auto" w:fill="auto"/>
            <w:vAlign w:val="center"/>
          </w:tcPr>
          <w:p w14:paraId="2BA5FC6E">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米</w:t>
            </w:r>
          </w:p>
        </w:tc>
        <w:tc>
          <w:tcPr>
            <w:tcW w:w="1110" w:type="dxa"/>
            <w:shd w:val="clear" w:color="auto" w:fill="auto"/>
            <w:vAlign w:val="center"/>
          </w:tcPr>
          <w:p w14:paraId="4595E9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9F31F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3ACBC5F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7171B1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7017BB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A537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4A4A16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155</w:t>
            </w:r>
          </w:p>
        </w:tc>
        <w:tc>
          <w:tcPr>
            <w:tcW w:w="705" w:type="dxa"/>
            <w:vMerge w:val="continue"/>
            <w:shd w:val="clear" w:color="auto" w:fill="auto"/>
            <w:vAlign w:val="center"/>
          </w:tcPr>
          <w:p w14:paraId="68C1B46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0C57DEB5">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智驾设备电源线</w:t>
            </w:r>
          </w:p>
        </w:tc>
        <w:tc>
          <w:tcPr>
            <w:tcW w:w="660" w:type="dxa"/>
            <w:shd w:val="clear" w:color="auto" w:fill="auto"/>
            <w:vAlign w:val="center"/>
          </w:tcPr>
          <w:p w14:paraId="72A4C48A">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2700</w:t>
            </w:r>
          </w:p>
        </w:tc>
        <w:tc>
          <w:tcPr>
            <w:tcW w:w="690" w:type="dxa"/>
            <w:shd w:val="clear" w:color="auto" w:fill="auto"/>
            <w:vAlign w:val="center"/>
          </w:tcPr>
          <w:p w14:paraId="0D88D955">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米</w:t>
            </w:r>
          </w:p>
        </w:tc>
        <w:tc>
          <w:tcPr>
            <w:tcW w:w="1110" w:type="dxa"/>
            <w:shd w:val="clear" w:color="auto" w:fill="auto"/>
            <w:vAlign w:val="center"/>
          </w:tcPr>
          <w:p w14:paraId="59FA08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0726FE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6E6B499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5C958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80CC13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9F59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7011707B">
            <w:pPr>
              <w:snapToGrid w:val="0"/>
              <w:ind w:left="0" w:leftChars="0" w:right="0" w:rightChars="0" w:firstLine="0" w:firstLineChars="0"/>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w:t>
            </w:r>
          </w:p>
        </w:tc>
        <w:tc>
          <w:tcPr>
            <w:tcW w:w="705" w:type="dxa"/>
            <w:vMerge w:val="continue"/>
            <w:shd w:val="clear" w:color="auto" w:fill="auto"/>
            <w:vAlign w:val="center"/>
          </w:tcPr>
          <w:p w14:paraId="0B3630B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5CCA8202">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default" w:ascii="宋体" w:hAnsi="等线" w:eastAsia="宋体" w:cs="等线"/>
                <w:b/>
                <w:bCs/>
                <w:i w:val="0"/>
                <w:iCs w:val="0"/>
                <w:color w:val="000000"/>
                <w:kern w:val="0"/>
                <w:sz w:val="20"/>
                <w:szCs w:val="20"/>
                <w:u w:val="none"/>
                <w:lang w:val="en-US" w:eastAsia="zh-CN" w:bidi="ar"/>
              </w:rPr>
              <w:t>智慧公交站台</w:t>
            </w:r>
          </w:p>
        </w:tc>
        <w:tc>
          <w:tcPr>
            <w:tcW w:w="585" w:type="dxa"/>
            <w:vMerge w:val="continue"/>
            <w:shd w:val="clear" w:color="auto" w:fill="auto"/>
            <w:vAlign w:val="center"/>
          </w:tcPr>
          <w:p w14:paraId="7566F17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8229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76A374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156</w:t>
            </w:r>
          </w:p>
        </w:tc>
        <w:tc>
          <w:tcPr>
            <w:tcW w:w="705" w:type="dxa"/>
            <w:vMerge w:val="continue"/>
            <w:shd w:val="clear" w:color="auto" w:fill="auto"/>
            <w:vAlign w:val="center"/>
          </w:tcPr>
          <w:p w14:paraId="39B24D6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712092FE">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智慧公交干线电缆</w:t>
            </w:r>
          </w:p>
        </w:tc>
        <w:tc>
          <w:tcPr>
            <w:tcW w:w="660" w:type="dxa"/>
            <w:shd w:val="clear" w:color="auto" w:fill="auto"/>
            <w:vAlign w:val="center"/>
          </w:tcPr>
          <w:p w14:paraId="5254C8D4">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11806</w:t>
            </w:r>
          </w:p>
        </w:tc>
        <w:tc>
          <w:tcPr>
            <w:tcW w:w="690" w:type="dxa"/>
            <w:shd w:val="clear" w:color="auto" w:fill="auto"/>
            <w:vAlign w:val="center"/>
          </w:tcPr>
          <w:p w14:paraId="48EE093F">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米</w:t>
            </w:r>
          </w:p>
        </w:tc>
        <w:tc>
          <w:tcPr>
            <w:tcW w:w="1110" w:type="dxa"/>
            <w:shd w:val="clear" w:color="auto" w:fill="auto"/>
            <w:vAlign w:val="center"/>
          </w:tcPr>
          <w:p w14:paraId="67AE65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5E526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DCCAC9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796C2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71F045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E8FC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4351CC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157</w:t>
            </w:r>
          </w:p>
        </w:tc>
        <w:tc>
          <w:tcPr>
            <w:tcW w:w="705" w:type="dxa"/>
            <w:vMerge w:val="continue"/>
            <w:shd w:val="clear" w:color="auto" w:fill="auto"/>
            <w:vAlign w:val="center"/>
          </w:tcPr>
          <w:p w14:paraId="164ADF4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E15D10D">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电源线缆</w:t>
            </w:r>
          </w:p>
        </w:tc>
        <w:tc>
          <w:tcPr>
            <w:tcW w:w="660" w:type="dxa"/>
            <w:shd w:val="clear" w:color="auto" w:fill="auto"/>
            <w:vAlign w:val="center"/>
          </w:tcPr>
          <w:p w14:paraId="62043E79">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11400</w:t>
            </w:r>
          </w:p>
        </w:tc>
        <w:tc>
          <w:tcPr>
            <w:tcW w:w="690" w:type="dxa"/>
            <w:shd w:val="clear" w:color="auto" w:fill="auto"/>
            <w:vAlign w:val="center"/>
          </w:tcPr>
          <w:p w14:paraId="5A8C2BFD">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米</w:t>
            </w:r>
          </w:p>
        </w:tc>
        <w:tc>
          <w:tcPr>
            <w:tcW w:w="1110" w:type="dxa"/>
            <w:shd w:val="clear" w:color="auto" w:fill="auto"/>
            <w:vAlign w:val="center"/>
          </w:tcPr>
          <w:p w14:paraId="664029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EFC50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5A7D268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0EAFE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D8C21F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6952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1773BCAE">
            <w:pPr>
              <w:snapToGrid w:val="0"/>
              <w:ind w:left="0" w:leftChars="0" w:right="0" w:rightChars="0" w:firstLine="0" w:firstLineChars="0"/>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w:t>
            </w:r>
          </w:p>
        </w:tc>
        <w:tc>
          <w:tcPr>
            <w:tcW w:w="705" w:type="dxa"/>
            <w:vMerge w:val="continue"/>
            <w:shd w:val="clear" w:color="auto" w:fill="auto"/>
            <w:vAlign w:val="center"/>
          </w:tcPr>
          <w:p w14:paraId="2F3090D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0BA7A168">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default" w:ascii="宋体" w:hAnsi="等线" w:eastAsia="宋体" w:cs="等线"/>
                <w:b/>
                <w:bCs/>
                <w:i w:val="0"/>
                <w:iCs w:val="0"/>
                <w:color w:val="000000"/>
                <w:kern w:val="0"/>
                <w:sz w:val="20"/>
                <w:szCs w:val="20"/>
                <w:u w:val="none"/>
                <w:lang w:val="en-US" w:eastAsia="zh-CN" w:bidi="ar"/>
              </w:rPr>
              <w:t>智慧照明</w:t>
            </w:r>
          </w:p>
        </w:tc>
        <w:tc>
          <w:tcPr>
            <w:tcW w:w="585" w:type="dxa"/>
            <w:vMerge w:val="continue"/>
            <w:shd w:val="clear" w:color="auto" w:fill="auto"/>
            <w:vAlign w:val="center"/>
          </w:tcPr>
          <w:p w14:paraId="18DAF33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58F7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806DE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158</w:t>
            </w:r>
          </w:p>
        </w:tc>
        <w:tc>
          <w:tcPr>
            <w:tcW w:w="705" w:type="dxa"/>
            <w:vMerge w:val="continue"/>
            <w:shd w:val="clear" w:color="auto" w:fill="auto"/>
            <w:vAlign w:val="center"/>
          </w:tcPr>
          <w:p w14:paraId="5C94B9E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705DC1F">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吸顶灯电缆</w:t>
            </w:r>
          </w:p>
        </w:tc>
        <w:tc>
          <w:tcPr>
            <w:tcW w:w="660" w:type="dxa"/>
            <w:shd w:val="clear" w:color="auto" w:fill="auto"/>
            <w:vAlign w:val="center"/>
          </w:tcPr>
          <w:p w14:paraId="3CC63FF8">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400</w:t>
            </w:r>
          </w:p>
        </w:tc>
        <w:tc>
          <w:tcPr>
            <w:tcW w:w="690" w:type="dxa"/>
            <w:shd w:val="clear" w:color="auto" w:fill="auto"/>
            <w:vAlign w:val="center"/>
          </w:tcPr>
          <w:p w14:paraId="69FA5DD1">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米</w:t>
            </w:r>
          </w:p>
        </w:tc>
        <w:tc>
          <w:tcPr>
            <w:tcW w:w="1110" w:type="dxa"/>
            <w:shd w:val="clear" w:color="auto" w:fill="auto"/>
            <w:vAlign w:val="center"/>
          </w:tcPr>
          <w:p w14:paraId="765C33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A9B1D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F32B8D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C7584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9735A8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0B84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6DAC9A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159</w:t>
            </w:r>
          </w:p>
        </w:tc>
        <w:tc>
          <w:tcPr>
            <w:tcW w:w="705" w:type="dxa"/>
            <w:vMerge w:val="continue"/>
            <w:shd w:val="clear" w:color="auto" w:fill="auto"/>
            <w:vAlign w:val="center"/>
          </w:tcPr>
          <w:p w14:paraId="32D3AF5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248EA3FA">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照明干线电缆</w:t>
            </w:r>
          </w:p>
        </w:tc>
        <w:tc>
          <w:tcPr>
            <w:tcW w:w="660" w:type="dxa"/>
            <w:shd w:val="clear" w:color="auto" w:fill="auto"/>
            <w:vAlign w:val="center"/>
          </w:tcPr>
          <w:p w14:paraId="5101F423">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39871</w:t>
            </w:r>
          </w:p>
        </w:tc>
        <w:tc>
          <w:tcPr>
            <w:tcW w:w="690" w:type="dxa"/>
            <w:shd w:val="clear" w:color="auto" w:fill="auto"/>
            <w:vAlign w:val="center"/>
          </w:tcPr>
          <w:p w14:paraId="239CFF5A">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米</w:t>
            </w:r>
          </w:p>
        </w:tc>
        <w:tc>
          <w:tcPr>
            <w:tcW w:w="1110" w:type="dxa"/>
            <w:shd w:val="clear" w:color="auto" w:fill="auto"/>
            <w:vAlign w:val="center"/>
          </w:tcPr>
          <w:p w14:paraId="34F9E9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D54A8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607B164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6C1D7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91C308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10D6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29B07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705" w:type="dxa"/>
            <w:vMerge w:val="continue"/>
            <w:shd w:val="clear" w:color="auto" w:fill="auto"/>
            <w:vAlign w:val="center"/>
          </w:tcPr>
          <w:p w14:paraId="6A5AC89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AF7DC87">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路灯支线电缆</w:t>
            </w:r>
            <w:r>
              <w:rPr>
                <w:rFonts w:hint="eastAsia" w:ascii="宋体" w:hAnsi="等线" w:eastAsia="宋体" w:cs="等线"/>
                <w:i w:val="0"/>
                <w:iCs w:val="0"/>
                <w:color w:val="000000"/>
                <w:kern w:val="0"/>
                <w:sz w:val="20"/>
                <w:szCs w:val="20"/>
                <w:u w:val="none"/>
                <w:lang w:val="en-US" w:eastAsia="zh-CN" w:bidi="ar"/>
              </w:rPr>
              <w:t>（3*6）</w:t>
            </w:r>
          </w:p>
        </w:tc>
        <w:tc>
          <w:tcPr>
            <w:tcW w:w="660" w:type="dxa"/>
            <w:shd w:val="clear" w:color="auto" w:fill="auto"/>
            <w:vAlign w:val="center"/>
          </w:tcPr>
          <w:p w14:paraId="2397E88A">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1499</w:t>
            </w:r>
          </w:p>
        </w:tc>
        <w:tc>
          <w:tcPr>
            <w:tcW w:w="690" w:type="dxa"/>
            <w:shd w:val="clear" w:color="auto" w:fill="auto"/>
            <w:vAlign w:val="center"/>
          </w:tcPr>
          <w:p w14:paraId="16BC7D20">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米</w:t>
            </w:r>
          </w:p>
        </w:tc>
        <w:tc>
          <w:tcPr>
            <w:tcW w:w="1110" w:type="dxa"/>
            <w:shd w:val="clear" w:color="auto" w:fill="auto"/>
            <w:vAlign w:val="center"/>
          </w:tcPr>
          <w:p w14:paraId="75E5D5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1021A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69F2D57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B31BA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159ED2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4439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7A3F04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161</w:t>
            </w:r>
          </w:p>
        </w:tc>
        <w:tc>
          <w:tcPr>
            <w:tcW w:w="705" w:type="dxa"/>
            <w:vMerge w:val="continue"/>
            <w:shd w:val="clear" w:color="auto" w:fill="auto"/>
            <w:vAlign w:val="center"/>
          </w:tcPr>
          <w:p w14:paraId="20F3AFE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C06A6DA">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路灯支线电缆</w:t>
            </w:r>
            <w:r>
              <w:rPr>
                <w:rFonts w:hint="eastAsia" w:ascii="宋体" w:hAnsi="等线" w:eastAsia="宋体" w:cs="等线"/>
                <w:i w:val="0"/>
                <w:iCs w:val="0"/>
                <w:color w:val="000000"/>
                <w:kern w:val="0"/>
                <w:sz w:val="20"/>
                <w:szCs w:val="20"/>
                <w:u w:val="none"/>
                <w:lang w:val="en-US" w:eastAsia="zh-CN" w:bidi="ar"/>
              </w:rPr>
              <w:t>（2.5）</w:t>
            </w:r>
          </w:p>
        </w:tc>
        <w:tc>
          <w:tcPr>
            <w:tcW w:w="660" w:type="dxa"/>
            <w:shd w:val="clear" w:color="auto" w:fill="auto"/>
            <w:vAlign w:val="center"/>
          </w:tcPr>
          <w:p w14:paraId="7DF16531">
            <w:pPr>
              <w:keepNext w:val="0"/>
              <w:keepLines w:val="0"/>
              <w:widowControl/>
              <w:suppressLineNumbers w:val="0"/>
              <w:snapToGrid w:val="0"/>
              <w:ind w:left="0" w:leftChars="0" w:right="0" w:rightChars="0" w:firstLine="0" w:firstLineChars="0"/>
              <w:jc w:val="left"/>
              <w:textAlignment w:val="center"/>
              <w:rPr>
                <w:rFonts w:hint="default" w:ascii="宋体" w:hAnsi="等线" w:eastAsia="宋体" w:cs="等线"/>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47520</w:t>
            </w:r>
          </w:p>
        </w:tc>
        <w:tc>
          <w:tcPr>
            <w:tcW w:w="690" w:type="dxa"/>
            <w:shd w:val="clear" w:color="auto" w:fill="auto"/>
            <w:vAlign w:val="center"/>
          </w:tcPr>
          <w:p w14:paraId="52A08E07">
            <w:pPr>
              <w:keepNext w:val="0"/>
              <w:keepLines w:val="0"/>
              <w:widowControl/>
              <w:suppressLineNumbers w:val="0"/>
              <w:snapToGrid w:val="0"/>
              <w:ind w:left="0" w:leftChars="0" w:right="0" w:rightChars="0" w:firstLine="0" w:firstLineChars="0"/>
              <w:jc w:val="center"/>
              <w:textAlignment w:val="center"/>
              <w:rPr>
                <w:rFonts w:hint="default" w:ascii="宋体" w:hAnsi="等线" w:eastAsia="宋体" w:cs="等线"/>
                <w:i w:val="0"/>
                <w:iCs w:val="0"/>
                <w:color w:val="000000"/>
                <w:sz w:val="20"/>
                <w:szCs w:val="20"/>
                <w:u w:val="none"/>
              </w:rPr>
            </w:pPr>
            <w:r>
              <w:rPr>
                <w:rFonts w:hint="eastAsia" w:ascii="宋体" w:hAnsi="等线" w:eastAsia="宋体" w:cs="等线"/>
                <w:i w:val="0"/>
                <w:iCs w:val="0"/>
                <w:color w:val="000000"/>
                <w:kern w:val="0"/>
                <w:sz w:val="20"/>
                <w:szCs w:val="20"/>
                <w:u w:val="none"/>
                <w:lang w:val="en-US" w:eastAsia="zh-CN" w:bidi="ar"/>
              </w:rPr>
              <w:t>米</w:t>
            </w:r>
          </w:p>
        </w:tc>
        <w:tc>
          <w:tcPr>
            <w:tcW w:w="1110" w:type="dxa"/>
            <w:shd w:val="clear" w:color="auto" w:fill="auto"/>
            <w:vAlign w:val="center"/>
          </w:tcPr>
          <w:p w14:paraId="0E073C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EFBB6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3572360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C9089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0C4C39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6F09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63A8AA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三</w:t>
            </w:r>
          </w:p>
        </w:tc>
        <w:tc>
          <w:tcPr>
            <w:tcW w:w="705" w:type="dxa"/>
            <w:vMerge w:val="continue"/>
            <w:shd w:val="clear" w:color="auto" w:fill="auto"/>
            <w:vAlign w:val="center"/>
          </w:tcPr>
          <w:p w14:paraId="5C2C1C9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5291CC61">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后台资源</w:t>
            </w:r>
          </w:p>
        </w:tc>
        <w:tc>
          <w:tcPr>
            <w:tcW w:w="585" w:type="dxa"/>
            <w:vMerge w:val="continue"/>
            <w:shd w:val="clear" w:color="auto" w:fill="auto"/>
            <w:vAlign w:val="center"/>
          </w:tcPr>
          <w:p w14:paraId="418A06A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057A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0D5E4E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w:t>
            </w:r>
          </w:p>
        </w:tc>
        <w:tc>
          <w:tcPr>
            <w:tcW w:w="705" w:type="dxa"/>
            <w:vMerge w:val="continue"/>
            <w:shd w:val="clear" w:color="auto" w:fill="auto"/>
            <w:vAlign w:val="center"/>
          </w:tcPr>
          <w:p w14:paraId="1AF9416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63097359">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智慧管控网络及后台资源</w:t>
            </w:r>
          </w:p>
        </w:tc>
        <w:tc>
          <w:tcPr>
            <w:tcW w:w="585" w:type="dxa"/>
            <w:vMerge w:val="continue"/>
            <w:shd w:val="clear" w:color="auto" w:fill="auto"/>
            <w:vAlign w:val="center"/>
          </w:tcPr>
          <w:p w14:paraId="1F36FF7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6571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403D67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162</w:t>
            </w:r>
          </w:p>
        </w:tc>
        <w:tc>
          <w:tcPr>
            <w:tcW w:w="705" w:type="dxa"/>
            <w:vMerge w:val="continue"/>
            <w:shd w:val="clear" w:color="auto" w:fill="auto"/>
            <w:vAlign w:val="center"/>
          </w:tcPr>
          <w:p w14:paraId="539C41D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B98C2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图片云存储设备</w:t>
            </w:r>
          </w:p>
        </w:tc>
        <w:tc>
          <w:tcPr>
            <w:tcW w:w="660" w:type="dxa"/>
            <w:shd w:val="clear" w:color="auto" w:fill="auto"/>
            <w:vAlign w:val="center"/>
          </w:tcPr>
          <w:p w14:paraId="443B716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90" w:type="dxa"/>
            <w:shd w:val="clear" w:color="auto" w:fill="auto"/>
            <w:vAlign w:val="center"/>
          </w:tcPr>
          <w:p w14:paraId="582D04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782669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03FED7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1131D9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706D69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47688F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4A1E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77A98A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163</w:t>
            </w:r>
          </w:p>
        </w:tc>
        <w:tc>
          <w:tcPr>
            <w:tcW w:w="705" w:type="dxa"/>
            <w:vMerge w:val="continue"/>
            <w:shd w:val="clear" w:color="auto" w:fill="auto"/>
            <w:vAlign w:val="center"/>
          </w:tcPr>
          <w:p w14:paraId="3159AD3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D0FDA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图片云存储管理设备</w:t>
            </w:r>
          </w:p>
        </w:tc>
        <w:tc>
          <w:tcPr>
            <w:tcW w:w="660" w:type="dxa"/>
            <w:shd w:val="clear" w:color="auto" w:fill="auto"/>
            <w:vAlign w:val="center"/>
          </w:tcPr>
          <w:p w14:paraId="69A9B5C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066764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3E570E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9FFE3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A06032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3E27C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E53617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D7F3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315E01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164</w:t>
            </w:r>
          </w:p>
        </w:tc>
        <w:tc>
          <w:tcPr>
            <w:tcW w:w="705" w:type="dxa"/>
            <w:vMerge w:val="continue"/>
            <w:shd w:val="clear" w:color="auto" w:fill="auto"/>
            <w:vAlign w:val="center"/>
          </w:tcPr>
          <w:p w14:paraId="182C2A8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7A705F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云存储软件</w:t>
            </w:r>
          </w:p>
        </w:tc>
        <w:tc>
          <w:tcPr>
            <w:tcW w:w="660" w:type="dxa"/>
            <w:shd w:val="clear" w:color="auto" w:fill="auto"/>
            <w:vAlign w:val="center"/>
          </w:tcPr>
          <w:p w14:paraId="685FC74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648625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281522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CE9EB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EE694C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5C0302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FDD56F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C962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7D2C1A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165</w:t>
            </w:r>
          </w:p>
        </w:tc>
        <w:tc>
          <w:tcPr>
            <w:tcW w:w="705" w:type="dxa"/>
            <w:vMerge w:val="continue"/>
            <w:shd w:val="clear" w:color="auto" w:fill="auto"/>
            <w:vAlign w:val="center"/>
          </w:tcPr>
          <w:p w14:paraId="74C073A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8C1E7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高清平台接入设备</w:t>
            </w:r>
          </w:p>
        </w:tc>
        <w:tc>
          <w:tcPr>
            <w:tcW w:w="660" w:type="dxa"/>
            <w:shd w:val="clear" w:color="auto" w:fill="auto"/>
            <w:vAlign w:val="center"/>
          </w:tcPr>
          <w:p w14:paraId="6B1B200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90" w:type="dxa"/>
            <w:shd w:val="clear" w:color="auto" w:fill="auto"/>
            <w:vAlign w:val="center"/>
          </w:tcPr>
          <w:p w14:paraId="2542A3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1B9632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DC1A0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4375A3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DF121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76291C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3DF4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42D33E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166</w:t>
            </w:r>
          </w:p>
        </w:tc>
        <w:tc>
          <w:tcPr>
            <w:tcW w:w="705" w:type="dxa"/>
            <w:vMerge w:val="continue"/>
            <w:shd w:val="clear" w:color="auto" w:fill="auto"/>
            <w:vAlign w:val="center"/>
          </w:tcPr>
          <w:p w14:paraId="3B9ABE4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DCAC9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图文库系统存储设备</w:t>
            </w:r>
          </w:p>
        </w:tc>
        <w:tc>
          <w:tcPr>
            <w:tcW w:w="660" w:type="dxa"/>
            <w:shd w:val="clear" w:color="auto" w:fill="auto"/>
            <w:vAlign w:val="center"/>
          </w:tcPr>
          <w:p w14:paraId="1927300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shd w:val="clear" w:color="auto" w:fill="auto"/>
            <w:vAlign w:val="center"/>
          </w:tcPr>
          <w:p w14:paraId="5B20A5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192846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7EB31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D36077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F6BB3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B3DC48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9536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25456EC0">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167</w:t>
            </w:r>
          </w:p>
        </w:tc>
        <w:tc>
          <w:tcPr>
            <w:tcW w:w="705" w:type="dxa"/>
            <w:vMerge w:val="continue"/>
            <w:shd w:val="clear" w:color="auto" w:fill="auto"/>
            <w:vAlign w:val="center"/>
          </w:tcPr>
          <w:p w14:paraId="2F4ECDC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AF448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图文库软件</w:t>
            </w:r>
          </w:p>
        </w:tc>
        <w:tc>
          <w:tcPr>
            <w:tcW w:w="660" w:type="dxa"/>
            <w:shd w:val="clear" w:color="auto" w:fill="auto"/>
            <w:vAlign w:val="center"/>
          </w:tcPr>
          <w:p w14:paraId="4863C4C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11975A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003AB0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5D2170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079E06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01403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6F8297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196E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7F0978BA">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168</w:t>
            </w:r>
          </w:p>
        </w:tc>
        <w:tc>
          <w:tcPr>
            <w:tcW w:w="705" w:type="dxa"/>
            <w:vMerge w:val="continue"/>
            <w:shd w:val="clear" w:color="auto" w:fill="auto"/>
            <w:vAlign w:val="center"/>
          </w:tcPr>
          <w:p w14:paraId="7BF3FFA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E4532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图片云存储交换机</w:t>
            </w:r>
          </w:p>
        </w:tc>
        <w:tc>
          <w:tcPr>
            <w:tcW w:w="660" w:type="dxa"/>
            <w:shd w:val="clear" w:color="auto" w:fill="auto"/>
            <w:vAlign w:val="center"/>
          </w:tcPr>
          <w:p w14:paraId="0830BF3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shd w:val="clear" w:color="auto" w:fill="auto"/>
            <w:vAlign w:val="center"/>
          </w:tcPr>
          <w:p w14:paraId="20FC86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07D861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3D406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54982C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7669DE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74665B5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E511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F7EFDA5">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169</w:t>
            </w:r>
          </w:p>
        </w:tc>
        <w:tc>
          <w:tcPr>
            <w:tcW w:w="705" w:type="dxa"/>
            <w:vMerge w:val="continue"/>
            <w:shd w:val="clear" w:color="auto" w:fill="auto"/>
            <w:vAlign w:val="center"/>
          </w:tcPr>
          <w:p w14:paraId="21D9B15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D0ECC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大数据存储节点</w:t>
            </w:r>
          </w:p>
        </w:tc>
        <w:tc>
          <w:tcPr>
            <w:tcW w:w="660" w:type="dxa"/>
            <w:shd w:val="clear" w:color="auto" w:fill="auto"/>
            <w:vAlign w:val="center"/>
          </w:tcPr>
          <w:p w14:paraId="5E16EA2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shd w:val="clear" w:color="auto" w:fill="auto"/>
            <w:vAlign w:val="center"/>
          </w:tcPr>
          <w:p w14:paraId="0DE89E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7CDA5B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BCA44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6833C70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54A803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1599C86">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6AA0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46BF9E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705" w:type="dxa"/>
            <w:vMerge w:val="continue"/>
            <w:shd w:val="clear" w:color="auto" w:fill="auto"/>
            <w:vAlign w:val="center"/>
          </w:tcPr>
          <w:p w14:paraId="38DE11E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05AC65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视频云存储设备（交警部分）</w:t>
            </w:r>
          </w:p>
        </w:tc>
        <w:tc>
          <w:tcPr>
            <w:tcW w:w="660" w:type="dxa"/>
            <w:shd w:val="clear" w:color="auto" w:fill="auto"/>
            <w:vAlign w:val="center"/>
          </w:tcPr>
          <w:p w14:paraId="148CAE1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90" w:type="dxa"/>
            <w:shd w:val="clear" w:color="auto" w:fill="auto"/>
            <w:vAlign w:val="center"/>
          </w:tcPr>
          <w:p w14:paraId="63BA4B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4F74AB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A5D8D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BED037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D90FB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A6338D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FA7D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603D0E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171</w:t>
            </w:r>
          </w:p>
        </w:tc>
        <w:tc>
          <w:tcPr>
            <w:tcW w:w="705" w:type="dxa"/>
            <w:vMerge w:val="continue"/>
            <w:shd w:val="clear" w:color="auto" w:fill="auto"/>
            <w:vAlign w:val="center"/>
          </w:tcPr>
          <w:p w14:paraId="2514B96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0279D9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视频云存储千兆交换机</w:t>
            </w:r>
          </w:p>
        </w:tc>
        <w:tc>
          <w:tcPr>
            <w:tcW w:w="660" w:type="dxa"/>
            <w:shd w:val="clear" w:color="auto" w:fill="auto"/>
            <w:vAlign w:val="center"/>
          </w:tcPr>
          <w:p w14:paraId="3A69D5F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shd w:val="clear" w:color="auto" w:fill="auto"/>
            <w:vAlign w:val="center"/>
          </w:tcPr>
          <w:p w14:paraId="41EC91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6AD53B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C06FE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32AFEB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DB0A5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7C281A3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002A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F7627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172</w:t>
            </w:r>
          </w:p>
        </w:tc>
        <w:tc>
          <w:tcPr>
            <w:tcW w:w="705" w:type="dxa"/>
            <w:vMerge w:val="continue"/>
            <w:shd w:val="clear" w:color="auto" w:fill="auto"/>
            <w:vAlign w:val="center"/>
          </w:tcPr>
          <w:p w14:paraId="6ABE60F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23FE41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视频云存储万兆交换机</w:t>
            </w:r>
          </w:p>
        </w:tc>
        <w:tc>
          <w:tcPr>
            <w:tcW w:w="660" w:type="dxa"/>
            <w:shd w:val="clear" w:color="auto" w:fill="auto"/>
            <w:vAlign w:val="center"/>
          </w:tcPr>
          <w:p w14:paraId="7F04178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shd w:val="clear" w:color="auto" w:fill="auto"/>
            <w:vAlign w:val="center"/>
          </w:tcPr>
          <w:p w14:paraId="4B430E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105270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79218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49EFA5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26287F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95FFED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0880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463E57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173</w:t>
            </w:r>
          </w:p>
        </w:tc>
        <w:tc>
          <w:tcPr>
            <w:tcW w:w="705" w:type="dxa"/>
            <w:vMerge w:val="continue"/>
            <w:shd w:val="clear" w:color="auto" w:fill="auto"/>
            <w:vAlign w:val="center"/>
          </w:tcPr>
          <w:p w14:paraId="0CA4235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24ACF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BMC交换机</w:t>
            </w:r>
          </w:p>
        </w:tc>
        <w:tc>
          <w:tcPr>
            <w:tcW w:w="660" w:type="dxa"/>
            <w:shd w:val="clear" w:color="auto" w:fill="auto"/>
            <w:vAlign w:val="center"/>
          </w:tcPr>
          <w:p w14:paraId="3FCC7DE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60B57F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7CA999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33B5F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877144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71F31B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6DEBD8B6">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4EEE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0D3F3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174</w:t>
            </w:r>
          </w:p>
        </w:tc>
        <w:tc>
          <w:tcPr>
            <w:tcW w:w="705" w:type="dxa"/>
            <w:vMerge w:val="continue"/>
            <w:shd w:val="clear" w:color="auto" w:fill="auto"/>
            <w:vAlign w:val="center"/>
          </w:tcPr>
          <w:p w14:paraId="6347121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5C327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OLT设备</w:t>
            </w:r>
          </w:p>
        </w:tc>
        <w:tc>
          <w:tcPr>
            <w:tcW w:w="660" w:type="dxa"/>
            <w:shd w:val="clear" w:color="auto" w:fill="auto"/>
            <w:vAlign w:val="center"/>
          </w:tcPr>
          <w:p w14:paraId="3351D9D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03644C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10" w:type="dxa"/>
            <w:shd w:val="clear" w:color="auto" w:fill="auto"/>
            <w:vAlign w:val="center"/>
          </w:tcPr>
          <w:p w14:paraId="7F5FA1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B0603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049D00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59F3F0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12BE51B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0ECF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67DD00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175</w:t>
            </w:r>
          </w:p>
        </w:tc>
        <w:tc>
          <w:tcPr>
            <w:tcW w:w="705" w:type="dxa"/>
            <w:vMerge w:val="continue"/>
            <w:shd w:val="clear" w:color="auto" w:fill="auto"/>
            <w:vAlign w:val="center"/>
          </w:tcPr>
          <w:p w14:paraId="6F45235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7637B9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10GE多模光模块</w:t>
            </w:r>
          </w:p>
        </w:tc>
        <w:tc>
          <w:tcPr>
            <w:tcW w:w="660" w:type="dxa"/>
            <w:shd w:val="clear" w:color="auto" w:fill="auto"/>
            <w:vAlign w:val="center"/>
          </w:tcPr>
          <w:p w14:paraId="1E34FFA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w:t>
            </w:r>
          </w:p>
        </w:tc>
        <w:tc>
          <w:tcPr>
            <w:tcW w:w="690" w:type="dxa"/>
            <w:shd w:val="clear" w:color="auto" w:fill="auto"/>
            <w:vAlign w:val="center"/>
          </w:tcPr>
          <w:p w14:paraId="75B888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10" w:type="dxa"/>
            <w:shd w:val="clear" w:color="auto" w:fill="auto"/>
            <w:vAlign w:val="center"/>
          </w:tcPr>
          <w:p w14:paraId="58D2A7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CD00C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2682D6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226177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0A6878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5ED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377E3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176</w:t>
            </w:r>
          </w:p>
        </w:tc>
        <w:tc>
          <w:tcPr>
            <w:tcW w:w="705" w:type="dxa"/>
            <w:vMerge w:val="continue"/>
            <w:shd w:val="clear" w:color="auto" w:fill="auto"/>
            <w:vAlign w:val="center"/>
          </w:tcPr>
          <w:p w14:paraId="378FD1F6">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1EF279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100GE多模光模块</w:t>
            </w:r>
          </w:p>
        </w:tc>
        <w:tc>
          <w:tcPr>
            <w:tcW w:w="660" w:type="dxa"/>
            <w:shd w:val="clear" w:color="auto" w:fill="auto"/>
            <w:vAlign w:val="center"/>
          </w:tcPr>
          <w:p w14:paraId="12F3661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690" w:type="dxa"/>
            <w:shd w:val="clear" w:color="auto" w:fill="auto"/>
            <w:vAlign w:val="center"/>
          </w:tcPr>
          <w:p w14:paraId="45D85E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10" w:type="dxa"/>
            <w:shd w:val="clear" w:color="auto" w:fill="auto"/>
            <w:vAlign w:val="center"/>
          </w:tcPr>
          <w:p w14:paraId="6C907E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5DA51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55827FE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B5143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A52D5C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911E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228E86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w:t>
            </w:r>
          </w:p>
        </w:tc>
        <w:tc>
          <w:tcPr>
            <w:tcW w:w="705" w:type="dxa"/>
            <w:vMerge w:val="continue"/>
            <w:shd w:val="clear" w:color="auto" w:fill="auto"/>
            <w:vAlign w:val="center"/>
          </w:tcPr>
          <w:p w14:paraId="33EE321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7576" w:type="dxa"/>
            <w:gridSpan w:val="7"/>
            <w:shd w:val="clear" w:color="auto" w:fill="auto"/>
            <w:vAlign w:val="center"/>
          </w:tcPr>
          <w:p w14:paraId="3028B90D">
            <w:pPr>
              <w:snapToGrid w:val="0"/>
              <w:ind w:left="0" w:leftChars="0" w:right="0" w:rightChars="0" w:firstLine="0" w:firstLineChars="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智慧道路网络安全及后台资源</w:t>
            </w:r>
          </w:p>
        </w:tc>
        <w:tc>
          <w:tcPr>
            <w:tcW w:w="585" w:type="dxa"/>
            <w:vMerge w:val="continue"/>
            <w:shd w:val="clear" w:color="auto" w:fill="auto"/>
            <w:vAlign w:val="center"/>
          </w:tcPr>
          <w:p w14:paraId="4ADF9483">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7072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305420DE">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177</w:t>
            </w:r>
          </w:p>
        </w:tc>
        <w:tc>
          <w:tcPr>
            <w:tcW w:w="705" w:type="dxa"/>
            <w:vMerge w:val="continue"/>
            <w:shd w:val="clear" w:color="auto" w:fill="auto"/>
            <w:vAlign w:val="center"/>
          </w:tcPr>
          <w:p w14:paraId="4C49C32B">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E0B29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视频云存储设备</w:t>
            </w:r>
          </w:p>
        </w:tc>
        <w:tc>
          <w:tcPr>
            <w:tcW w:w="660" w:type="dxa"/>
            <w:shd w:val="clear" w:color="auto" w:fill="auto"/>
            <w:vAlign w:val="center"/>
          </w:tcPr>
          <w:p w14:paraId="2F84C35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90" w:type="dxa"/>
            <w:shd w:val="clear" w:color="auto" w:fill="auto"/>
            <w:vAlign w:val="center"/>
          </w:tcPr>
          <w:p w14:paraId="623F02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0D7C94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D80AB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1FC03EC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E62F6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E8E5FF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23AA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71FEB82A">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178</w:t>
            </w:r>
          </w:p>
        </w:tc>
        <w:tc>
          <w:tcPr>
            <w:tcW w:w="705" w:type="dxa"/>
            <w:vMerge w:val="continue"/>
            <w:shd w:val="clear" w:color="auto" w:fill="auto"/>
            <w:vAlign w:val="center"/>
          </w:tcPr>
          <w:p w14:paraId="62B375A9">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0AD58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视频云存储万兆交换机</w:t>
            </w:r>
          </w:p>
        </w:tc>
        <w:tc>
          <w:tcPr>
            <w:tcW w:w="660" w:type="dxa"/>
            <w:shd w:val="clear" w:color="auto" w:fill="auto"/>
            <w:vAlign w:val="center"/>
          </w:tcPr>
          <w:p w14:paraId="1DCB4E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shd w:val="clear" w:color="auto" w:fill="auto"/>
            <w:vAlign w:val="center"/>
          </w:tcPr>
          <w:p w14:paraId="0D6263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2F781C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2D7CD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C10353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59EC59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062F8B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123A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2CF06D0B">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179</w:t>
            </w:r>
          </w:p>
        </w:tc>
        <w:tc>
          <w:tcPr>
            <w:tcW w:w="705" w:type="dxa"/>
            <w:vMerge w:val="continue"/>
            <w:shd w:val="clear" w:color="auto" w:fill="auto"/>
            <w:vAlign w:val="center"/>
          </w:tcPr>
          <w:p w14:paraId="56D7409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775015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视频云存储千兆交换机</w:t>
            </w:r>
          </w:p>
        </w:tc>
        <w:tc>
          <w:tcPr>
            <w:tcW w:w="660" w:type="dxa"/>
            <w:shd w:val="clear" w:color="auto" w:fill="auto"/>
            <w:vAlign w:val="center"/>
          </w:tcPr>
          <w:p w14:paraId="75C3699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shd w:val="clear" w:color="auto" w:fill="auto"/>
            <w:vAlign w:val="center"/>
          </w:tcPr>
          <w:p w14:paraId="570A8E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19E395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DB780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30DA11F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503852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E0E6C7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6F8E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07A7DF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705" w:type="dxa"/>
            <w:vMerge w:val="continue"/>
            <w:shd w:val="clear" w:color="auto" w:fill="auto"/>
            <w:vAlign w:val="center"/>
          </w:tcPr>
          <w:p w14:paraId="349325E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74775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BMC交换机</w:t>
            </w:r>
          </w:p>
        </w:tc>
        <w:tc>
          <w:tcPr>
            <w:tcW w:w="660" w:type="dxa"/>
            <w:shd w:val="clear" w:color="auto" w:fill="auto"/>
            <w:vAlign w:val="center"/>
          </w:tcPr>
          <w:p w14:paraId="1D5AE62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636464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63DDA4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CBCAC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2CE147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3601A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15F6E0F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7172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3EBC9B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181</w:t>
            </w:r>
          </w:p>
        </w:tc>
        <w:tc>
          <w:tcPr>
            <w:tcW w:w="705" w:type="dxa"/>
            <w:vMerge w:val="continue"/>
            <w:shd w:val="clear" w:color="auto" w:fill="auto"/>
            <w:vAlign w:val="center"/>
          </w:tcPr>
          <w:p w14:paraId="0C9CCD1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7EC24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10GE多模光模块</w:t>
            </w:r>
          </w:p>
        </w:tc>
        <w:tc>
          <w:tcPr>
            <w:tcW w:w="660" w:type="dxa"/>
            <w:shd w:val="clear" w:color="auto" w:fill="auto"/>
            <w:vAlign w:val="center"/>
          </w:tcPr>
          <w:p w14:paraId="0FCC004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w:t>
            </w:r>
          </w:p>
        </w:tc>
        <w:tc>
          <w:tcPr>
            <w:tcW w:w="690" w:type="dxa"/>
            <w:shd w:val="clear" w:color="auto" w:fill="auto"/>
            <w:vAlign w:val="center"/>
          </w:tcPr>
          <w:p w14:paraId="26CA79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10" w:type="dxa"/>
            <w:shd w:val="clear" w:color="auto" w:fill="auto"/>
            <w:vAlign w:val="center"/>
          </w:tcPr>
          <w:p w14:paraId="6157BB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66A56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91A406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177059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FFEFDB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4ED5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67A372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182</w:t>
            </w:r>
          </w:p>
        </w:tc>
        <w:tc>
          <w:tcPr>
            <w:tcW w:w="705" w:type="dxa"/>
            <w:vMerge w:val="continue"/>
            <w:shd w:val="clear" w:color="auto" w:fill="auto"/>
            <w:vAlign w:val="center"/>
          </w:tcPr>
          <w:p w14:paraId="7FAAF06C">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B303A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100GE多模光模块</w:t>
            </w:r>
          </w:p>
        </w:tc>
        <w:tc>
          <w:tcPr>
            <w:tcW w:w="660" w:type="dxa"/>
            <w:shd w:val="clear" w:color="auto" w:fill="auto"/>
            <w:vAlign w:val="center"/>
          </w:tcPr>
          <w:p w14:paraId="3B119C5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690" w:type="dxa"/>
            <w:shd w:val="clear" w:color="auto" w:fill="auto"/>
            <w:vAlign w:val="center"/>
          </w:tcPr>
          <w:p w14:paraId="02D474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10" w:type="dxa"/>
            <w:shd w:val="clear" w:color="auto" w:fill="auto"/>
            <w:vAlign w:val="center"/>
          </w:tcPr>
          <w:p w14:paraId="1CF065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E5785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012CAC1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A58AC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726C8CB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AE6A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4DCE05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183</w:t>
            </w:r>
          </w:p>
        </w:tc>
        <w:tc>
          <w:tcPr>
            <w:tcW w:w="705" w:type="dxa"/>
            <w:vMerge w:val="continue"/>
            <w:shd w:val="clear" w:color="auto" w:fill="auto"/>
            <w:vAlign w:val="center"/>
          </w:tcPr>
          <w:p w14:paraId="6F8DC6B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6957E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AC管理器</w:t>
            </w:r>
          </w:p>
        </w:tc>
        <w:tc>
          <w:tcPr>
            <w:tcW w:w="660" w:type="dxa"/>
            <w:shd w:val="clear" w:color="auto" w:fill="auto"/>
            <w:vAlign w:val="center"/>
          </w:tcPr>
          <w:p w14:paraId="1F49D8D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641E47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6422D9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608DEB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69D691F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B22DB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0AB0A4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4B0D2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1688E6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184</w:t>
            </w:r>
          </w:p>
        </w:tc>
        <w:tc>
          <w:tcPr>
            <w:tcW w:w="705" w:type="dxa"/>
            <w:vMerge w:val="continue"/>
            <w:shd w:val="clear" w:color="auto" w:fill="auto"/>
            <w:vAlign w:val="center"/>
          </w:tcPr>
          <w:p w14:paraId="0D5EAE7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7225B1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安全单向导入系统(万兆)-导入前置机</w:t>
            </w:r>
          </w:p>
        </w:tc>
        <w:tc>
          <w:tcPr>
            <w:tcW w:w="660" w:type="dxa"/>
            <w:shd w:val="clear" w:color="auto" w:fill="auto"/>
            <w:vAlign w:val="center"/>
          </w:tcPr>
          <w:p w14:paraId="30DFE4E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6EFF20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12B254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1733F9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111919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46F98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A8A078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2AD3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5AE345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185</w:t>
            </w:r>
          </w:p>
        </w:tc>
        <w:tc>
          <w:tcPr>
            <w:tcW w:w="705" w:type="dxa"/>
            <w:vMerge w:val="continue"/>
            <w:shd w:val="clear" w:color="auto" w:fill="auto"/>
            <w:vAlign w:val="center"/>
          </w:tcPr>
          <w:p w14:paraId="168A097E">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200AE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安全单向导入系统(万兆)-安全单向隔离光闸</w:t>
            </w:r>
          </w:p>
        </w:tc>
        <w:tc>
          <w:tcPr>
            <w:tcW w:w="660" w:type="dxa"/>
            <w:shd w:val="clear" w:color="auto" w:fill="auto"/>
            <w:vAlign w:val="center"/>
          </w:tcPr>
          <w:p w14:paraId="4EAC238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2359FA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0406D3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2391E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A5A102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CBDC2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4405D80">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0BCA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2647BE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186</w:t>
            </w:r>
          </w:p>
        </w:tc>
        <w:tc>
          <w:tcPr>
            <w:tcW w:w="705" w:type="dxa"/>
            <w:vMerge w:val="continue"/>
            <w:shd w:val="clear" w:color="auto" w:fill="auto"/>
            <w:vAlign w:val="center"/>
          </w:tcPr>
          <w:p w14:paraId="5B232E8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2EB1A1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安全单向导入系统(万兆)</w:t>
            </w:r>
          </w:p>
        </w:tc>
        <w:tc>
          <w:tcPr>
            <w:tcW w:w="660" w:type="dxa"/>
            <w:shd w:val="clear" w:color="auto" w:fill="auto"/>
            <w:vAlign w:val="center"/>
          </w:tcPr>
          <w:p w14:paraId="1A82F42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53339B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2175CB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77AA03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2AEB235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360838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8C7D092">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67A5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2B4A101C">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187</w:t>
            </w:r>
          </w:p>
        </w:tc>
        <w:tc>
          <w:tcPr>
            <w:tcW w:w="705" w:type="dxa"/>
            <w:vMerge w:val="continue"/>
            <w:shd w:val="clear" w:color="auto" w:fill="auto"/>
            <w:vAlign w:val="center"/>
          </w:tcPr>
          <w:p w14:paraId="37421277">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47473C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集控探针</w:t>
            </w:r>
          </w:p>
        </w:tc>
        <w:tc>
          <w:tcPr>
            <w:tcW w:w="660" w:type="dxa"/>
            <w:shd w:val="clear" w:color="auto" w:fill="auto"/>
            <w:vAlign w:val="center"/>
          </w:tcPr>
          <w:p w14:paraId="718D304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126311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22D418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174A95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FC0C6E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FC8EC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593DC24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5920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5E3F5DB1">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188</w:t>
            </w:r>
          </w:p>
        </w:tc>
        <w:tc>
          <w:tcPr>
            <w:tcW w:w="705" w:type="dxa"/>
            <w:vMerge w:val="continue"/>
            <w:shd w:val="clear" w:color="auto" w:fill="auto"/>
            <w:vAlign w:val="center"/>
          </w:tcPr>
          <w:p w14:paraId="0220168F">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50E68D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可信边界安全网关（万兆）</w:t>
            </w:r>
          </w:p>
        </w:tc>
        <w:tc>
          <w:tcPr>
            <w:tcW w:w="660" w:type="dxa"/>
            <w:shd w:val="clear" w:color="auto" w:fill="auto"/>
            <w:vAlign w:val="center"/>
          </w:tcPr>
          <w:p w14:paraId="696E802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259228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755282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2F5668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42511A7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0C0AB5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4DC397DA">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D9E0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1421DC77">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189</w:t>
            </w:r>
          </w:p>
        </w:tc>
        <w:tc>
          <w:tcPr>
            <w:tcW w:w="705" w:type="dxa"/>
            <w:vMerge w:val="continue"/>
            <w:shd w:val="clear" w:color="auto" w:fill="auto"/>
            <w:vAlign w:val="center"/>
          </w:tcPr>
          <w:p w14:paraId="45B2F90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77FD39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防火墙（万兆）</w:t>
            </w:r>
          </w:p>
        </w:tc>
        <w:tc>
          <w:tcPr>
            <w:tcW w:w="660" w:type="dxa"/>
            <w:shd w:val="clear" w:color="auto" w:fill="auto"/>
            <w:vAlign w:val="center"/>
          </w:tcPr>
          <w:p w14:paraId="0061BCA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622226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16EAE9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D00AD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5C60793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62AC12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B1E232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60D2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454F0E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190</w:t>
            </w:r>
          </w:p>
        </w:tc>
        <w:tc>
          <w:tcPr>
            <w:tcW w:w="705" w:type="dxa"/>
            <w:vMerge w:val="continue"/>
            <w:shd w:val="clear" w:color="auto" w:fill="auto"/>
            <w:vAlign w:val="center"/>
          </w:tcPr>
          <w:p w14:paraId="2439B645">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2B0095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入侵防御系统（万兆）</w:t>
            </w:r>
          </w:p>
        </w:tc>
        <w:tc>
          <w:tcPr>
            <w:tcW w:w="660" w:type="dxa"/>
            <w:shd w:val="clear" w:color="auto" w:fill="auto"/>
            <w:vAlign w:val="center"/>
          </w:tcPr>
          <w:p w14:paraId="5F5F218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442E13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45547F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1433C1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6AEFDDC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4A576C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38AD03AD">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A0F2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8" w:type="dxa"/>
            <w:shd w:val="clear" w:color="auto" w:fill="auto"/>
            <w:vAlign w:val="center"/>
          </w:tcPr>
          <w:p w14:paraId="3E042C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191</w:t>
            </w:r>
          </w:p>
        </w:tc>
        <w:tc>
          <w:tcPr>
            <w:tcW w:w="705" w:type="dxa"/>
            <w:vMerge w:val="continue"/>
            <w:shd w:val="clear" w:color="auto" w:fill="auto"/>
            <w:vAlign w:val="center"/>
          </w:tcPr>
          <w:p w14:paraId="7C8D16D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31303B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集中监控审计系统</w:t>
            </w:r>
          </w:p>
        </w:tc>
        <w:tc>
          <w:tcPr>
            <w:tcW w:w="660" w:type="dxa"/>
            <w:shd w:val="clear" w:color="auto" w:fill="auto"/>
            <w:vAlign w:val="center"/>
          </w:tcPr>
          <w:p w14:paraId="64135BE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0959A7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5C76A6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47A10B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661D37C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258DE4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05E629E8">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2F3A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658" w:type="dxa"/>
            <w:shd w:val="clear" w:color="auto" w:fill="auto"/>
            <w:vAlign w:val="center"/>
          </w:tcPr>
          <w:p w14:paraId="489141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192</w:t>
            </w:r>
          </w:p>
        </w:tc>
        <w:tc>
          <w:tcPr>
            <w:tcW w:w="705" w:type="dxa"/>
            <w:vMerge w:val="continue"/>
            <w:shd w:val="clear" w:color="auto" w:fill="auto"/>
            <w:vAlign w:val="center"/>
          </w:tcPr>
          <w:p w14:paraId="703422C4">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2497" w:type="dxa"/>
            <w:shd w:val="clear" w:color="auto" w:fill="auto"/>
            <w:vAlign w:val="center"/>
          </w:tcPr>
          <w:p w14:paraId="62F89C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边界三层交换机</w:t>
            </w:r>
          </w:p>
        </w:tc>
        <w:tc>
          <w:tcPr>
            <w:tcW w:w="660" w:type="dxa"/>
            <w:shd w:val="clear" w:color="auto" w:fill="auto"/>
            <w:vAlign w:val="center"/>
          </w:tcPr>
          <w:p w14:paraId="386B50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shd w:val="clear" w:color="auto" w:fill="auto"/>
            <w:vAlign w:val="center"/>
          </w:tcPr>
          <w:p w14:paraId="7C3EBC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10" w:type="dxa"/>
            <w:shd w:val="clear" w:color="auto" w:fill="auto"/>
            <w:vAlign w:val="center"/>
          </w:tcPr>
          <w:p w14:paraId="7ADE04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110" w:type="dxa"/>
            <w:shd w:val="clear" w:color="auto" w:fill="auto"/>
            <w:vAlign w:val="center"/>
          </w:tcPr>
          <w:p w14:paraId="383732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699" w:type="dxa"/>
            <w:shd w:val="clear" w:color="auto" w:fill="auto"/>
            <w:vAlign w:val="center"/>
          </w:tcPr>
          <w:p w14:paraId="7F98870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810" w:type="dxa"/>
            <w:shd w:val="clear" w:color="auto" w:fill="auto"/>
            <w:vAlign w:val="center"/>
          </w:tcPr>
          <w:p w14:paraId="2DF08D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c>
          <w:tcPr>
            <w:tcW w:w="585" w:type="dxa"/>
            <w:vMerge w:val="continue"/>
            <w:shd w:val="clear" w:color="auto" w:fill="auto"/>
            <w:vAlign w:val="center"/>
          </w:tcPr>
          <w:p w14:paraId="2CB1B4E1">
            <w:pPr>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bl>
    <w:p w14:paraId="39C623E3">
      <w:pPr>
        <w:ind w:firstLine="0" w:firstLineChars="0"/>
        <w:rPr>
          <w:rFonts w:hint="eastAsia" w:ascii="宋体" w:hAnsi="宋体"/>
          <w:b/>
          <w:color w:val="FF0000"/>
          <w:szCs w:val="21"/>
        </w:rPr>
      </w:pPr>
      <w:r>
        <w:rPr>
          <w:rFonts w:hint="eastAsia" w:ascii="宋体" w:hAnsi="宋体"/>
          <w:b/>
          <w:color w:val="FF0000"/>
          <w:szCs w:val="21"/>
        </w:rPr>
        <w:t>备注：</w:t>
      </w:r>
    </w:p>
    <w:p w14:paraId="0BB0519C">
      <w:pPr>
        <w:ind w:firstLine="422" w:firstLineChars="200"/>
        <w:rPr>
          <w:rFonts w:ascii="宋体" w:hAnsi="宋体"/>
          <w:b/>
          <w:color w:val="FF0000"/>
          <w:szCs w:val="21"/>
        </w:rPr>
      </w:pPr>
      <w:r>
        <w:rPr>
          <w:rFonts w:hint="eastAsia" w:ascii="宋体" w:hAnsi="宋体"/>
          <w:b/>
          <w:color w:val="FF0000"/>
          <w:szCs w:val="21"/>
        </w:rPr>
        <w:t>1.</w:t>
      </w:r>
      <w:r>
        <w:rPr>
          <w:rFonts w:hint="eastAsia" w:ascii="宋体" w:hAnsi="宋体"/>
          <w:b/>
          <w:color w:val="FF0000"/>
          <w:szCs w:val="21"/>
          <w:lang w:eastAsia="zh-CN"/>
        </w:rPr>
        <w:t>“是否接受进口”</w:t>
      </w:r>
      <w:r>
        <w:rPr>
          <w:rFonts w:hint="eastAsia" w:ascii="宋体" w:hAnsi="宋体"/>
          <w:b/>
          <w:color w:val="FF0000"/>
          <w:szCs w:val="21"/>
        </w:rPr>
        <w:t>栏注明“拒绝进口”的产品不接受投标人选用进口产品参与投标；注明“接受进口”的产品允许投标人选用进口产品参与投标，但不排斥国内产品。</w:t>
      </w:r>
    </w:p>
    <w:p w14:paraId="4DDFFEC2">
      <w:pPr>
        <w:spacing w:line="276" w:lineRule="auto"/>
        <w:ind w:firstLine="422" w:firstLineChars="200"/>
        <w:rPr>
          <w:rFonts w:ascii="宋体" w:hAnsi="宋体" w:eastAsia="宋体" w:cs="宋体"/>
          <w:b/>
          <w:color w:val="FF0000"/>
          <w:szCs w:val="21"/>
          <w:highlight w:val="yellow"/>
        </w:rPr>
      </w:pPr>
      <w:r>
        <w:rPr>
          <w:rFonts w:hint="eastAsia" w:ascii="宋体" w:hAnsi="宋体" w:eastAsia="宋体" w:cs="宋体"/>
          <w:b/>
          <w:color w:val="FF0000"/>
          <w:szCs w:val="21"/>
        </w:rPr>
        <w:t>2.如货物需求明细含配件、辅材、安装类，以上部分无需填报《中小企业声明函》，如填报亦不作为认定依据，不影响声明函有效性。</w:t>
      </w:r>
    </w:p>
    <w:p w14:paraId="46D81C57">
      <w:pPr>
        <w:spacing w:line="276" w:lineRule="auto"/>
        <w:ind w:firstLine="422" w:firstLineChars="200"/>
        <w:rPr>
          <w:rFonts w:ascii="宋体" w:hAnsi="宋体" w:eastAsia="宋体" w:cs="宋体"/>
          <w:b/>
          <w:color w:val="FF0000"/>
          <w:szCs w:val="21"/>
        </w:rPr>
      </w:pPr>
      <w:r>
        <w:rPr>
          <w:rFonts w:hint="eastAsia" w:ascii="宋体" w:hAnsi="宋体" w:eastAsia="宋体" w:cs="宋体"/>
          <w:b/>
          <w:color w:val="FF0000"/>
          <w:szCs w:val="21"/>
        </w:rPr>
        <w:t>3.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号文和财办库〔2008〕248号文的相关规定为准。</w:t>
      </w:r>
    </w:p>
    <w:p w14:paraId="612F3DB2">
      <w:pPr>
        <w:ind w:firstLine="422" w:firstLineChars="200"/>
        <w:rPr>
          <w:rFonts w:hint="eastAsia" w:ascii="宋体" w:hAnsi="宋体"/>
          <w:b/>
          <w:color w:val="FF0000"/>
          <w:szCs w:val="21"/>
          <w:lang w:val="en-US" w:eastAsia="zh-CN"/>
        </w:rPr>
      </w:pPr>
      <w:r>
        <w:rPr>
          <w:rFonts w:hint="eastAsia" w:ascii="宋体" w:hAnsi="宋体"/>
          <w:b/>
          <w:color w:val="FF0000"/>
          <w:szCs w:val="21"/>
          <w:lang w:val="en-US" w:eastAsia="zh-CN"/>
        </w:rPr>
        <w:t>4.“是否为节能产品”一栏，由采购人根据《关于印发节能产品政府采购品目清单的通知》（财库〔2019〕19号）的品目清单填写，填写为“优先采购”则给与相应评审加分，填写为“★强制采购”则要求供应商必须提供符合规定的节能产品，否则投标无效。</w:t>
      </w:r>
    </w:p>
    <w:p w14:paraId="797A0F50">
      <w:pPr>
        <w:pStyle w:val="62"/>
        <w:ind w:firstLine="422" w:firstLineChars="200"/>
        <w:rPr>
          <w:rFonts w:hint="default"/>
          <w:lang w:val="en-US" w:eastAsia="zh-CN"/>
        </w:rPr>
      </w:pPr>
      <w:r>
        <w:rPr>
          <w:rFonts w:hint="eastAsia" w:ascii="宋体" w:hAnsi="宋体"/>
          <w:b/>
          <w:color w:val="FF0000"/>
          <w:szCs w:val="21"/>
          <w:lang w:val="en-US" w:eastAsia="zh-CN"/>
        </w:rPr>
        <w:t>5.“是否为环境标志产品”一栏，由采购人根据《关于印发环境标志产品政府采购品目清单的通知》（财库〔2019〕18号）的品目清单填写，填写为“优先采购”则给与相应评审加分。</w:t>
      </w:r>
    </w:p>
    <w:p w14:paraId="07DC2987">
      <w:pPr>
        <w:spacing w:line="276" w:lineRule="auto"/>
        <w:ind w:firstLine="422" w:firstLineChars="200"/>
        <w:rPr>
          <w:rFonts w:hint="eastAsia" w:ascii="宋体" w:hAnsi="宋体" w:eastAsia="宋体" w:cs="宋体"/>
          <w:b/>
          <w:bCs/>
          <w:color w:val="FF0000"/>
          <w:szCs w:val="21"/>
        </w:rPr>
      </w:pPr>
      <w:r>
        <w:rPr>
          <w:rFonts w:hint="eastAsia" w:ascii="宋体" w:hAnsi="宋体" w:eastAsia="宋体" w:cs="宋体"/>
          <w:b/>
          <w:color w:val="FF0000"/>
          <w:szCs w:val="21"/>
          <w:lang w:val="en-US" w:eastAsia="zh-CN"/>
        </w:rPr>
        <w:t>6</w:t>
      </w:r>
      <w:r>
        <w:rPr>
          <w:rFonts w:hint="eastAsia" w:ascii="宋体" w:hAnsi="宋体" w:eastAsia="宋体" w:cs="宋体"/>
          <w:b/>
          <w:color w:val="FF0000"/>
          <w:szCs w:val="21"/>
        </w:rPr>
        <w:t>.本项目核心产品为：</w:t>
      </w:r>
      <w:r>
        <w:rPr>
          <w:rFonts w:hint="eastAsia" w:ascii="宋体" w:hAnsi="宋体" w:eastAsia="宋体" w:cs="宋体"/>
          <w:b/>
          <w:bCs/>
          <w:i w:val="0"/>
          <w:iCs w:val="0"/>
          <w:color w:val="FF0000"/>
          <w:kern w:val="0"/>
          <w:sz w:val="20"/>
          <w:szCs w:val="20"/>
          <w:u w:val="single"/>
          <w:lang w:val="en-US" w:eastAsia="zh-CN" w:bidi="ar"/>
        </w:rPr>
        <w:t>站台结构</w:t>
      </w:r>
      <w:r>
        <w:rPr>
          <w:rFonts w:hint="eastAsia" w:ascii="宋体" w:hAnsi="宋体" w:eastAsia="宋体" w:cs="宋体"/>
          <w:b/>
          <w:bCs/>
          <w:color w:val="FF0000"/>
          <w:szCs w:val="21"/>
          <w:u w:val="single"/>
        </w:rPr>
        <w:t>（序号</w:t>
      </w:r>
      <w:r>
        <w:rPr>
          <w:rFonts w:hint="eastAsia" w:ascii="宋体" w:hAnsi="宋体" w:eastAsia="宋体" w:cs="宋体"/>
          <w:b/>
          <w:bCs/>
          <w:color w:val="FF0000"/>
          <w:szCs w:val="21"/>
          <w:u w:val="single"/>
          <w:lang w:val="en-US" w:eastAsia="zh-CN"/>
        </w:rPr>
        <w:t>56</w:t>
      </w:r>
      <w:r>
        <w:rPr>
          <w:rFonts w:hint="eastAsia" w:ascii="宋体" w:hAnsi="宋体" w:eastAsia="宋体" w:cs="宋体"/>
          <w:b/>
          <w:bCs/>
          <w:color w:val="FF0000"/>
          <w:szCs w:val="21"/>
          <w:u w:val="single"/>
        </w:rPr>
        <w:t>）</w:t>
      </w:r>
      <w:r>
        <w:rPr>
          <w:rFonts w:hint="eastAsia" w:ascii="宋体" w:hAnsi="宋体" w:eastAsia="宋体" w:cs="宋体"/>
          <w:b/>
          <w:bCs/>
          <w:color w:val="FF0000"/>
          <w:szCs w:val="21"/>
        </w:rPr>
        <w:t>。</w:t>
      </w:r>
    </w:p>
    <w:p w14:paraId="6CFD671F">
      <w:pPr>
        <w:spacing w:line="276" w:lineRule="auto"/>
        <w:ind w:firstLine="422" w:firstLineChars="200"/>
        <w:rPr>
          <w:rFonts w:hint="eastAsia" w:ascii="宋体" w:hAnsi="宋体" w:eastAsia="宋体" w:cs="宋体"/>
          <w:b/>
          <w:bCs/>
          <w:color w:val="FF0000"/>
          <w:szCs w:val="21"/>
        </w:rPr>
      </w:pPr>
    </w:p>
    <w:p w14:paraId="4E0F94D9">
      <w:pPr>
        <w:spacing w:line="276" w:lineRule="auto"/>
        <w:ind w:firstLine="422" w:firstLineChars="200"/>
        <w:rPr>
          <w:rFonts w:hint="eastAsia" w:ascii="宋体" w:hAnsi="宋体" w:eastAsia="宋体" w:cs="宋体"/>
          <w:b/>
          <w:bCs/>
          <w:color w:val="FF0000"/>
          <w:szCs w:val="21"/>
        </w:rPr>
      </w:pPr>
    </w:p>
    <w:p w14:paraId="0C99D8F7">
      <w:pPr>
        <w:keepNext/>
        <w:keepLines/>
        <w:numPr>
          <w:ilvl w:val="0"/>
          <w:numId w:val="8"/>
        </w:numPr>
        <w:adjustRightInd w:val="0"/>
        <w:ind w:left="0"/>
        <w:jc w:val="center"/>
        <w:textAlignment w:val="baseline"/>
        <w:outlineLvl w:val="1"/>
        <w:rPr>
          <w:rFonts w:ascii="Times New Roman" w:hAnsi="Times New Roman" w:eastAsia="宋体" w:cs="Times New Roman"/>
          <w:b/>
          <w:bCs/>
          <w:spacing w:val="0"/>
          <w:kern w:val="0"/>
          <w:sz w:val="24"/>
          <w:szCs w:val="24"/>
        </w:rPr>
      </w:pPr>
      <w:r>
        <w:rPr>
          <w:rFonts w:ascii="Times New Roman" w:hAnsi="Times New Roman" w:eastAsia="宋体" w:cs="Times New Roman"/>
          <w:b/>
          <w:bCs/>
          <w:spacing w:val="0"/>
          <w:kern w:val="0"/>
          <w:sz w:val="24"/>
          <w:szCs w:val="24"/>
        </w:rPr>
        <w:t>软件开发要求</w:t>
      </w:r>
      <w:r>
        <w:rPr>
          <w:rFonts w:hint="default" w:ascii="Times New Roman" w:hAnsi="Times New Roman" w:eastAsia="宋体" w:cs="Times New Roman"/>
          <w:b/>
          <w:bCs/>
          <w:spacing w:val="0"/>
          <w:kern w:val="0"/>
          <w:sz w:val="24"/>
          <w:szCs w:val="24"/>
          <w:lang w:eastAsia="zh-CN"/>
        </w:rPr>
        <w:t>明细</w:t>
      </w:r>
    </w:p>
    <w:p w14:paraId="35EAFF4C">
      <w:pPr>
        <w:keepNext/>
        <w:keepLines/>
        <w:numPr>
          <w:ilvl w:val="0"/>
          <w:numId w:val="0"/>
        </w:numPr>
        <w:adjustRightInd w:val="0"/>
        <w:jc w:val="both"/>
        <w:textAlignment w:val="baseline"/>
        <w:outlineLvl w:val="2"/>
        <w:rPr>
          <w:rFonts w:hint="eastAsia" w:ascii="Times New Roman" w:hAnsi="Times New Roman" w:eastAsia="宋体" w:cs="Times New Roman"/>
          <w:b/>
          <w:bCs/>
          <w:spacing w:val="0"/>
          <w:kern w:val="0"/>
          <w:sz w:val="24"/>
          <w:szCs w:val="24"/>
          <w:lang w:eastAsia="zh-CN"/>
        </w:rPr>
      </w:pPr>
      <w:r>
        <w:rPr>
          <w:rFonts w:hint="eastAsia" w:ascii="Times New Roman" w:hAnsi="Times New Roman" w:eastAsia="宋体" w:cs="Times New Roman"/>
          <w:b/>
          <w:bCs/>
          <w:spacing w:val="0"/>
          <w:kern w:val="0"/>
          <w:sz w:val="24"/>
          <w:szCs w:val="24"/>
        </w:rPr>
        <w:t>1、数字道路实时三维引擎</w:t>
      </w:r>
      <w:r>
        <w:rPr>
          <w:rFonts w:hint="eastAsia" w:ascii="Times New Roman" w:hAnsi="Times New Roman" w:eastAsia="宋体" w:cs="Times New Roman"/>
          <w:b/>
          <w:bCs/>
          <w:spacing w:val="0"/>
          <w:kern w:val="0"/>
          <w:sz w:val="24"/>
          <w:szCs w:val="24"/>
          <w:lang w:eastAsia="zh-CN"/>
        </w:rPr>
        <w:t>（要求支持开源鸿蒙操作系统）</w:t>
      </w:r>
    </w:p>
    <w:tbl>
      <w:tblPr>
        <w:tblStyle w:val="44"/>
        <w:tblpPr w:leftFromText="180" w:rightFromText="180" w:vertAnchor="text" w:horzAnchor="page" w:tblpX="464" w:tblpY="242"/>
        <w:tblOverlap w:val="never"/>
        <w:tblW w:w="103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2"/>
        <w:gridCol w:w="805"/>
        <w:gridCol w:w="1050"/>
        <w:gridCol w:w="1173"/>
        <w:gridCol w:w="1281"/>
        <w:gridCol w:w="4676"/>
        <w:gridCol w:w="697"/>
      </w:tblGrid>
      <w:tr w14:paraId="3B3EF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trPr>
        <w:tc>
          <w:tcPr>
            <w:tcW w:w="632"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712EF2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8090C"/>
                <w:sz w:val="18"/>
                <w:szCs w:val="18"/>
                <w:u w:val="none"/>
              </w:rPr>
            </w:pPr>
            <w:r>
              <w:rPr>
                <w:rFonts w:hint="eastAsia" w:ascii="宋体" w:hAnsi="宋体" w:eastAsia="宋体" w:cs="宋体"/>
                <w:b/>
                <w:bCs/>
                <w:i w:val="0"/>
                <w:iCs w:val="0"/>
                <w:color w:val="08090C"/>
                <w:kern w:val="0"/>
                <w:sz w:val="18"/>
                <w:szCs w:val="18"/>
                <w:u w:val="none"/>
                <w:lang w:val="en-US" w:eastAsia="zh-CN" w:bidi="ar"/>
              </w:rPr>
              <w:t>一级模块</w:t>
            </w:r>
          </w:p>
        </w:tc>
        <w:tc>
          <w:tcPr>
            <w:tcW w:w="805"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65AADB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8090C"/>
                <w:sz w:val="18"/>
                <w:szCs w:val="18"/>
                <w:u w:val="none"/>
              </w:rPr>
            </w:pPr>
            <w:r>
              <w:rPr>
                <w:rFonts w:hint="eastAsia" w:ascii="宋体" w:hAnsi="宋体" w:eastAsia="宋体" w:cs="宋体"/>
                <w:b/>
                <w:bCs/>
                <w:i w:val="0"/>
                <w:iCs w:val="0"/>
                <w:color w:val="08090C"/>
                <w:kern w:val="0"/>
                <w:sz w:val="18"/>
                <w:szCs w:val="18"/>
                <w:u w:val="none"/>
                <w:lang w:val="en-US" w:eastAsia="zh-CN" w:bidi="ar"/>
              </w:rPr>
              <w:t>二级模块</w:t>
            </w:r>
          </w:p>
        </w:tc>
        <w:tc>
          <w:tcPr>
            <w:tcW w:w="1050"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0C95E3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8090C"/>
                <w:sz w:val="18"/>
                <w:szCs w:val="18"/>
                <w:u w:val="none"/>
              </w:rPr>
            </w:pPr>
            <w:r>
              <w:rPr>
                <w:rFonts w:hint="eastAsia" w:ascii="宋体" w:hAnsi="宋体" w:eastAsia="宋体" w:cs="宋体"/>
                <w:b/>
                <w:bCs/>
                <w:i w:val="0"/>
                <w:iCs w:val="0"/>
                <w:color w:val="08090C"/>
                <w:kern w:val="0"/>
                <w:sz w:val="18"/>
                <w:szCs w:val="18"/>
                <w:u w:val="none"/>
                <w:lang w:val="en-US" w:eastAsia="zh-CN" w:bidi="ar"/>
              </w:rPr>
              <w:t>三级模块</w:t>
            </w:r>
          </w:p>
        </w:tc>
        <w:tc>
          <w:tcPr>
            <w:tcW w:w="1173"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30E5B5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8090C"/>
                <w:sz w:val="18"/>
                <w:szCs w:val="18"/>
                <w:u w:val="none"/>
              </w:rPr>
            </w:pPr>
            <w:r>
              <w:rPr>
                <w:rFonts w:hint="eastAsia" w:ascii="宋体" w:hAnsi="宋体" w:eastAsia="宋体" w:cs="宋体"/>
                <w:b/>
                <w:bCs/>
                <w:i w:val="0"/>
                <w:iCs w:val="0"/>
                <w:color w:val="08090C"/>
                <w:kern w:val="0"/>
                <w:sz w:val="18"/>
                <w:szCs w:val="18"/>
                <w:u w:val="none"/>
                <w:lang w:val="en-US" w:eastAsia="zh-CN" w:bidi="ar"/>
              </w:rPr>
              <w:t>四级模块</w:t>
            </w:r>
          </w:p>
        </w:tc>
        <w:tc>
          <w:tcPr>
            <w:tcW w:w="1281"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6C467C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8090C"/>
                <w:sz w:val="18"/>
                <w:szCs w:val="18"/>
                <w:u w:val="none"/>
              </w:rPr>
            </w:pPr>
            <w:r>
              <w:rPr>
                <w:rFonts w:hint="eastAsia" w:ascii="宋体" w:hAnsi="宋体" w:eastAsia="宋体" w:cs="宋体"/>
                <w:b/>
                <w:bCs/>
                <w:i w:val="0"/>
                <w:iCs w:val="0"/>
                <w:color w:val="08090C"/>
                <w:kern w:val="0"/>
                <w:sz w:val="18"/>
                <w:szCs w:val="18"/>
                <w:u w:val="none"/>
                <w:lang w:val="en-US" w:eastAsia="zh-CN" w:bidi="ar"/>
              </w:rPr>
              <w:t>五级模块</w:t>
            </w:r>
          </w:p>
        </w:tc>
        <w:tc>
          <w:tcPr>
            <w:tcW w:w="4676"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289A49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8090C"/>
                <w:sz w:val="18"/>
                <w:szCs w:val="18"/>
                <w:u w:val="none"/>
              </w:rPr>
            </w:pPr>
            <w:r>
              <w:rPr>
                <w:rFonts w:hint="eastAsia" w:ascii="宋体" w:hAnsi="宋体" w:eastAsia="宋体" w:cs="宋体"/>
                <w:b/>
                <w:bCs/>
                <w:i w:val="0"/>
                <w:iCs w:val="0"/>
                <w:color w:val="08090C"/>
                <w:kern w:val="0"/>
                <w:sz w:val="18"/>
                <w:szCs w:val="18"/>
                <w:u w:val="none"/>
                <w:lang w:val="en-US" w:eastAsia="zh-CN" w:bidi="ar"/>
              </w:rPr>
              <w:t>功能描述</w:t>
            </w:r>
          </w:p>
        </w:tc>
        <w:tc>
          <w:tcPr>
            <w:tcW w:w="697"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06A3A1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8090C"/>
                <w:sz w:val="18"/>
                <w:szCs w:val="18"/>
                <w:u w:val="none"/>
              </w:rPr>
            </w:pPr>
            <w:r>
              <w:rPr>
                <w:rFonts w:hint="eastAsia" w:ascii="宋体" w:hAnsi="宋体" w:eastAsia="宋体" w:cs="宋体"/>
                <w:b/>
                <w:bCs/>
                <w:i w:val="0"/>
                <w:iCs w:val="0"/>
                <w:color w:val="08090C"/>
                <w:kern w:val="0"/>
                <w:sz w:val="18"/>
                <w:szCs w:val="18"/>
                <w:u w:val="none"/>
                <w:lang w:val="en-US" w:eastAsia="zh-CN" w:bidi="ar"/>
              </w:rPr>
              <w:t>备注</w:t>
            </w:r>
          </w:p>
        </w:tc>
      </w:tr>
      <w:tr w14:paraId="29EB7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9B70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启动器</w:t>
            </w:r>
          </w:p>
        </w:tc>
        <w:tc>
          <w:tcPr>
            <w:tcW w:w="8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79DB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项目管理模块</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A20F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新建项目</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4477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CFB7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8A32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支持快速创建项目，自动生成独立项目文件存储数据，实现项目数据独立管理，避免数据混存风险，为项目全流程操作提供基础载体。</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2AD2F">
            <w:pPr>
              <w:snapToGrid w:val="0"/>
              <w:ind w:left="0" w:leftChars="0" w:right="0" w:rightChars="0" w:firstLine="0" w:firstLineChars="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w:t>
            </w:r>
          </w:p>
        </w:tc>
      </w:tr>
      <w:tr w14:paraId="2DEAF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7983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2A1E5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BF5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导入项目</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94CA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B670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34E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支持单个项目文件导入，通过可视化文件选择流程完成项目接入，降低项目迁移门槛，满足跨设备 / 跨场景的项目复用需求。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80E0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282C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36C1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B054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858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扫描项目</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6383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58E2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FF40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支持文件夹级批量项目导入，自动识别并加载目标文件夹内所有项目，提升多项目批量接入效率，适配团队集中管理多项目的业务场景。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EE9A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33FD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AD63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2F0F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1D1A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编辑项目</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8F08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B325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3995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提供项目快速编辑入口，一键唤起编辑器并打开目标项目。</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F506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E6B8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A863B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915E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B2A8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运行项目</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512C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DEF1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B873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支持项目快速启动并实时展示运行状态，无需进入编辑器即可查看项目结果，简化项目验证流程，提升项目测试 / 预览的效率。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89B7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7F63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9EFE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A571D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4583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项目重命名</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E354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2A48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33C1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提供可视化重命名功能，弹窗完成项目名称修改，保障项目标识清晰，避免多项目管理混淆。</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5476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6FE0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7963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E1F5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B4A3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移除项目</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ACE0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80F7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E09D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支持项目从列表中快速移除，优化项目列表整洁度，适配团队按需管理项目可见范围的需求。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8C7D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D898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7223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AA14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B9ED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删除缺失项目</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7A24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297C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3D32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自动扫描并清理损坏 / 缺失的项目，减少无效项目占用列表资源，降低人工排查维护成本，保障项目列表的有效性。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12C7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F948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BF19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384B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61B3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搜索项目</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9CB8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FFFC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35E0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提供精准文字搜索功能，快速定位目标项目，缩短多项目场景下的查找时间，提升项目检索效率。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F77A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E272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9220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编辑器</w:t>
            </w:r>
          </w:p>
        </w:tc>
        <w:tc>
          <w:tcPr>
            <w:tcW w:w="8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B663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核心基础模块</w:t>
            </w: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C93D8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基础和功能配置</w:t>
            </w: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BFA44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撤销</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F7FF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0ED8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支持操作步骤的回退（单步 / 多步），降低误操作带来的修改成本，提升场景创作过程中的操作容错性，保障创作流畅度。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AB32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9EFD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C301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727E6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C625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75C28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重做</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5947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C3F0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支持撤销操作的逆向恢复，允许多次撤销 / 重做切换，灵活适配创作过程中的方案调整需求，减少重复操作的时间消耗。</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4A0B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FDDD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4D4B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D1531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ED6A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6655E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退出三维场景编辑</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D823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1C13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支持程序快速退出，未保存三维场景时自动弹窗提醒，兼顾操作便捷性与数据安全性，避免三维场景创作内容因误退出而丢失。</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8003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3371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8F33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E3CA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8EE1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5D8EB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筛选设置</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A6A2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040B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支持按文件属性（类型、名称等）快速过滤资源，精准定位目标内容，减少无效信息干扰，提升资源查找与管理效率。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C87E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4505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A75C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4C11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84C40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F2147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高级设置</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B7ED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6A10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提供更精细的资源管理控制选项，适配复杂业务场景下的资源调度需求，优化资源导入与展示的底层逻辑。</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5D88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DE67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65629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0321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343C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0E8DE9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基础配置</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80AE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名称</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FEFB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支持项目名称的多场景适配（管理、导出等环节自动匹配），保障项目标识的一致性，提升跨环节协作的流畅度。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D4C7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54BB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01E9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14C0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0B44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8F5A0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FDDA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名称本地化</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F208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支持项目名称的场景化适配展示，适配不同业务场景的名称规范需求，提升项目对外展示的合规性与适配性。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297B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A201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2FF3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5160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BCFD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A3A411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DCBB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描述</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3D39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支持项目信息的辅助说明展示，帮助协作人员快速了解项目信息，提升团队沟通效率。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11BF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FB79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8636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389C3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5CC4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0D987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1237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版本</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48DA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支持项目版本标识的自动填充与管理，保障版本信息的准确性，避免多版本项目混淆。</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B747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D406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18B2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575A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E3DE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27166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82F6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使用隐藏的项目数据目录</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998B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支持项目数据的隐私化存储管理，适配敏感数据的安全存储需求，保障数据安全性。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8FB1F">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DA12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50F2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9F69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E323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F115D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BE64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使用自定义用户目录</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EE48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支持项目数据的自定义路径存储，适配不同业务场景的存储管理需求，提升数据管理的灵活性。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D60E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3F50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D423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22E0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689DA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6A3716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A3B2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自定义用户目录名称</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8BEA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支持存储路径的个性化命名，方便多项目数据的分类管理，提升数据检索效率。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1AC8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D9FF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4278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20F6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D96D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B87DB5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42F7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项目设置覆盖</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6BA2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支持项目配置的批量统一管理，简化多项目配置的重复操作，提升配置效率。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9E0D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73C2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356D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976C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961B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FA197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342B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自动接受退出</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8E98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支持操作请求的自动化响应，适配批量操作等高效业务场景，提升流程处理速度。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666D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4B29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83AB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92A0D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74701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CC88E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568F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返回时退出</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3C1E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支持操作行为的关联响应，适配便捷操作的业务场景需求，提升操作的灵活性。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0499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E776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27F7A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CD99F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71DA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1412D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7674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图标</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EFEB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支持项目标识的场景化适配，保障项目在不同展示场景下的一致性，提升品牌 / 项目形象的统一性。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AB60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6B46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341C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4CC0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C084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A9F9AC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运行配置</w:t>
            </w: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44BC4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主场景</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72D1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配置项目运行时的核心内容加载路径，保障项目启动时的核心内容精准加载，支撑业务场景的正常运行。</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22DC1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4FE2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29AC6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E6D5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D6C9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BD9317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76FA1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禁用标准输出</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E109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支持关闭运行过程中的信息输出，减少冗余信息干扰，适配需要简洁运行环境的业务场景。</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C9C2C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B846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AAC8F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BB74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35A3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35A394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618A5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禁用标准错误输出</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FD89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支持关闭运行过程中的错误 / 警告信息输出，避免非必要提示影响操作流程，适配稳定运行场景的需求。</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251B6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5998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447C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1EEE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5BE7C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704E89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4CAEF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输出报头</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762B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支持运行时自动展示核心版本信息，帮助快速确认项目运行环境，提升运维与调试的效率。</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64994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3336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DC3B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DEF3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ECF5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1344F6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C699E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启用快捷菜单</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EF02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支持快捷操作唤起窗口管理菜单，简化窗口操作流程，提升用户对运行界面的管控便捷性。</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589B7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823D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179C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B422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F89A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43A7A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3DCF6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主循环类型</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22C8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配置项目运行的核心逻辑类型，适配不同业务场景的运行需求，保障核心流程的稳定执行。</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045F5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E2F6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AC94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69668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DC33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78F42B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57713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打印时清空标准输出</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019A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支持运行日志的实时刷新输出，保障日志信息的时效性，适配需要实时监控运行状态的业务场景。</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716AB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D4E0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EC11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B80E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62556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07B67F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B4B62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调试模式下打印清空输出</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3C57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支持调试场景下的日志实时刷新，提升调试过程中的信息同步效率，适配开发阶段的调试需求。</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8011D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2568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035D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3291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39EB0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75032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EC53B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最大运行帧率</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36DB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配置项目运行的帧率上限，平衡运行流畅度与资源消耗，适配不同设备的运行承载能力，减少资源占用。</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7B8C3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7D0B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FC67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588C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FD95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7A472E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D5CD8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低处理器模式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199D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启用低资源消耗运行模式，降低设备资源占用，适配对资源消耗敏感的业务场景，提升设备续航与稳定性。</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32E3C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E76E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87BD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1D79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EE686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0FDD1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C1E7B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低处理器模式睡眠</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D42B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配置低资源模式下的休眠间隔，灵活调控资源消耗程度，适配不同场景下的资源优化需求。</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C2CB8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B313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1837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BC86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7D9E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55F6B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6C80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增量平滑</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665F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优化运行过程中的数据波动，提升运行体验的稳定性，减少因数据波动导致的操作卡顿问题。</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8D384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EB60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DFE91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B7010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0918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7ACF7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2A3D2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帧延迟</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0EF5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配置运行过程中的帧间隔时长，辅助调控运行节奏，适配特定业务场景下的运行节奏需求。</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5CB68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2035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73EE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DBE5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97CAD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C55891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启动画面配置</w:t>
            </w: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0F435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背景色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BE86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配置启动界面的底色样式，定义启动环节的视觉基调，适配业务场景的风格需求。</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F649A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6E1F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6D60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249E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2A502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C788D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23600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显示图像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B627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启动时图像路径，会作为启动画面使用。</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72547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B916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3FFF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A882A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EFBE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19E7E4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05FB1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完整大小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6156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控制启动界面的显示尺寸，保障启动界面在不同展示载体下的视觉协调性，适配多终端展示需求。</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5D8F8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7EF8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CB29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B408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B677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76A24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445E8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使用过滤</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C673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配置视觉素材的缩放效果，优化不同清晰度素材的展示效果，提升启动界面的视觉质感。</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AC7DB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54AC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1006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0F42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53E8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644A38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398CA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图像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8D43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设置启动界面的视觉素材路径，实现启动界面的个性化视觉定制，适配业务场景的品牌展示需求。</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CA6BB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C2DF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9EB7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98470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479F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FDDA4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EDA70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最短显示时间</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DC86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配置启动界面的最小展示时长，规范启动流程的节奏，避免界面切换过于仓促影响体验。</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CD8E5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DCBB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324C9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BACD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F4EA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AD65D4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窗口配置</w:t>
            </w: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1D05E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视口宽度/高度</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0647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配置主界面尺寸，作为界面展示与编辑的基础参考标准，适配不同展示场景需求。</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044A4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64FB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BBFF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657A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0B459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1EE6C1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E9B2F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模式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86FD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定义主界面的展示形式，适配不同业务场景下的界面呈现逻辑。</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01D99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3865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63DB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4D2DC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59CB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721A1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30B54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初始位置类型</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EAE1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设置主界面启动时的位置规则，保障界面启动时的展示体验。</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9A8B2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988A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3A8C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3DF8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E16C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35431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62088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初始位置</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276E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配置主界面的启动位置，仅在固定位置规则下生效，适配精准布局需求。</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F437B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CAC2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C21D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5CD8C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5B1A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30605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2E35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初始屏幕</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08F1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指定主界面启动时的显示载体，仅在多载体居中规则下生效，适配多终端场景。</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796A2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EC28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129E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6A9E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29005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18932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125FC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可调整大小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24E9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控制主界面是否支持尺寸调整，适配不同操作场景下的界面灵活度需求。</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ED005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B887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C52E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AA03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22C4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3783A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66D7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无边框</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E136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设置主界面无外框样式，适配简洁视觉展示的业务场景。</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164E8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9087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B275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CA07B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B2279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B5647B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7C8C4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置顶</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21E9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配置主界面始终显示在最上层，适配需要持续操作的业务场景。</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3F013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583B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F304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559D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0ABA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3D8FF2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48265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透明</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75DB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开启主界面背景透明效果，适配特殊视觉展示的业务场景。</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2AD5D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804C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6FF0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5E5EA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8E90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04DBD2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E6087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延伸至标题</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7C71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用于界面内容铺满整个窗口，提升界面展示空间利用率。</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1EC7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3430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62F2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2D578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EA56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FA59D0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3C3CA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关闭聚焦</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883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设置主界面无法获取操作焦点，适配后台运行类业务场景。</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BBB56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554D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26E2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36D72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840A2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B22D6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47172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直角</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594C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配置主界面使用直角样式，适配特定视觉风格的需求。</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04ACA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7714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374F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4B753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37040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22B22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68D7E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窗口宽度/高度覆盖</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80FD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覆盖主界面的初始尺寸，适配特定展示载体的尺寸需求。</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87D37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D580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9969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3820E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CFA7E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E3CC8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8107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屏幕常亮</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7947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保持界面显示载体持续点亮，适配长时间展示的业务场景。</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96EFA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F6F8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96E3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7236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6C7F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03A2B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E8CA7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嵌入式子窗口</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FD0B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控制子界面与主界面的融合方式，适配不同协作场景的操作效率需求。</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7E697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16AC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A2F7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A4FB3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D3DAB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F555D2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79E48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启用帧调节</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697B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开启界面帧频稳定调节功能，提升展示流畅度，适配动态内容场景。</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4392E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51EA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8B79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6BC3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2E5B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55F840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5C858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拉伸模式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7F13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定义界面内容的拉伸规则，适配不同尺寸载体下的内容展示效果。</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6C2DF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7839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FF491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87B64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37EE8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488DA5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A3BEA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比例</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A4CE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设置界面内容的整体显示比例，统一界面元素的展示尺寸。</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856FE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D140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0899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8E77D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837F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D6DC1B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22FDB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缩放</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0E9E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调节界面内容的缩放系数，适配不同视觉需求的展示效果。</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01CAB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A8E5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FBB6A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0DBF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D7DFB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03541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BA3CF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缩放模式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2A0A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控制缩放系数的计算规则，保障特定风格内容的展示精度。</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01FE2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1490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380A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6A83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AF51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E5F85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C7A45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允许高清显示</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C8FB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支持高清显示载体的适配，提升界面展示清晰度。</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B06E3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E458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803D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07B6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B647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AFC37E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2FA90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像素级透明-允许</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BA5E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开启界面背景的逐像素透明效果，适配特殊视觉设计需求。</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D5BC6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A90C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566FE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D2A8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F78C9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B07B0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2B52D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垂直同步模式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7302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配置界面的垂直同步规则，提升动态内容的展示流畅度。</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2C3F6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9EC7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53D3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B1984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1914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92F2E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D07FE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允许高刷新率</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890D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支持高帧率展示，提升动态内容的视觉流畅度。</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6085D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DEAC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1223C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94B5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64F3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5ADA4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4D8AB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隐藏状态栏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9E7E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在界面运行时隐藏状态提示栏，提升界面展示的沉浸感。</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1F27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8349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62FC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9895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1259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1B5C96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鼠标光标配置</w:t>
            </w: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742C8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自定义图像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6D15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支持上传自定义鼠标光标素材，实现光标视觉的个性化适配，匹配业务场景的品牌或风格需求。</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E6BE7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12C4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C2EB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EF1B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56657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F721B6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4883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自定义图像热区</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5074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配置自定义光标素材的操作触发点，保障光标交互的精准性，避免视觉与操作位置错位的问题。</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4ABE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8A39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08BD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434A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6CE8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5B3DB4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ABE7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工具提示位置偏移</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3D5C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调整工具提示相对于光标的显示位置，优化提示信息的展示体验，避免遮挡关键内容或操作区域。</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B4FBD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59E2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2A540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7751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4EAC9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CF0CB6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调试设置</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6FAE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最大函数数</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B0DB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限制单帧分析的函数数量，控制分析过程的资源消耗。</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D188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E126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C101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878A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5E94B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41B2F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B0D9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最大时间戳查询元素数</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86AB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限制单帧分析的时间戳元素数量，平衡分析深度与性能占用。</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73B6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7EB7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F403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216A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2C53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FF348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84FE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消息 / 消息编辑器</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1507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配置系统异常时的提示信息，区分不同场景的提示规则，辅助问题排查。</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D237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9E00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5F03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BB38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54CD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19932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3694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打印帧率</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CF22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实时输出运行帧率，辅助监测性能表现。</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5D1B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AEFB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3A49D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00E0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32715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AD340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387D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输出图形处理器配置</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DB11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实时输出图形资源的配置与耗时信息，支撑图形性能优化。</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29A0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10A3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4899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3CB0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31D5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BE2AC3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C6BB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冗长标准输出</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36AF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开启详细运行信息输出，辅助深度排查系统问题。</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D2B9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FA24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244A3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9B19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E0F0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F9C0F5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E187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启用警告</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9190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开启节点更新异常的警告提示，辅助定位显示异常的根源。</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735D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98A4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C126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CDC4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5858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BC600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8FF6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最大调用堆栈</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BA14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限制调试时的堆栈深度，控制调试过程的资源消耗。</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3F87F">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51BE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4478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7284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9986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B675EE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文件日志配置</w:t>
            </w: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4C7E6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启用文件日志</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E44D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开启运行信息的文件存储，留存系统输出与异常记录，支撑问题回溯。</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DB514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DA60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07BDC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512E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78C0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926559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DAF8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启用文件日志存储</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9763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针对特定场景开启日志存储，适配不同场景的日志访问需求。</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06686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C0D4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7681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E1204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C8748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67F00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1D54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日志路径</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0D5D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配置日志文件的存储位置，规范日志的归档管理，支持手动指定路径。</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EDFD5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5226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F628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3153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4B88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60531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0198E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最大日志文件数</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8AF9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限制日志文件的数量（自动轮转），避免日志占用过多存储资源。</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D09C5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8F35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19B5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AFF8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40D94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B2289F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着色器语言配置</w:t>
            </w: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179FB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DBC2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控制代码检查的开关，按需开启特定检查项的提醒。</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B0191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FC86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50A6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20D8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9C61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FBDF7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79FF1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将警告当成错误</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E397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提升警告的严重级别，强化代码问题的重视程度。</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194CB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E7A1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AA6F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D004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C737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F0896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32D98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浮点数比较</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EC84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检查浮点数值的直接比较操作，规避精度问题带来的异常。</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E4DCE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7A2D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DAD54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257D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3F118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7089C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615D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未使用元素检查</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9375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识别未使用的代码元素（常量、函数等），辅助精简代码，减少冗余。</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A436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ABBF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DBEB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30FC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F36C9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5AEFA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FCC12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格式错误</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4E0A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检查代码格式问题，规范代码编写风格。</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F457E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AB67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831B8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A70B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8CA3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A0F365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B7C91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设备限制超出</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5083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监控代码对设备资源的占用，避免超出设备承载上限。</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63D31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DD02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45AF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CD09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10F3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9B9F6E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83DBE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魔术位置写入</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A46F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检查特定代码写法，规避潜在的运行异常风险。</w:t>
            </w:r>
          </w:p>
        </w:tc>
        <w:tc>
          <w:tcPr>
            <w:tcW w:w="6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A10CD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D30B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F839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07454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229B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368A93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脚本语言配置</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F1C0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脚本语言运行平台-项目</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3BE7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脚本语言运行平台程序集的名称，默认与项目名称一致，修改项目名称不影响程序集。</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7241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B7E7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91BD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D29B4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EC79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9A1DBC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4E7D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解决方案目录</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B503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指定脚本工程文件的存储路径，规范脚本工程的归档管理，便于脚本项目的维护与访问。</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B5BF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F251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2DE5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A8E27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FA7E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85EA6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4777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尝试重新加载程序集</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6CD6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设定脚本语言运行平台 程序集重新构建后，尝试重新加载的次数。</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B8BB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9A91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AFAA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90AFE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1AAE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55AFBD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自动加载配置</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57A5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路径选择</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1B1D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提供脚本、着色器等资源的可视化路径选择与目录导航，方便指定保存位置，确保资源组织清晰、引用路径准确。</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E8D6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6FF9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D8F9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5022D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E3765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0F4D0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51DE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创建脚本</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5FAA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快速新建可自定义语言、模板的脚本文件并自动绑定目标节点，为节点赋予专属逻辑与行为。</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CFFB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9226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A4F4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DA83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8752B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A26F6C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8F4F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添加脚本</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AC7B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快速将已有脚本绑定到当前节点，实现逻辑复用或脚本组件切换，让节点快速获得脚本定义的功能。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950C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5BA1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9BFD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E1CEB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CAFA9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图形用户界面 相关配置</w:t>
            </w: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F7A435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图形用户界面-计时器</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F8E9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增量搜索最大间隔</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92AA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设定控件增量搜索的计时阈值，控制搜索功能的触发节奏，适配控件的交互效率需求。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6095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6634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25E4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6042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4442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3203DE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FF33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工具提示延迟</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C80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工具提示的默认弹出延迟，平衡操作干扰与指引及时性，优化信息查看体验。</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1955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93E1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AFDB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8F31D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9C48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FC8D1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199D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按钮快捷键反馈高亮时间</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B69C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快捷键按下后基础按钮的高亮时长，让用户清晰感知操作生效，强化交互反馈的明确性。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DD76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60F7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866D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7589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DC68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632E95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AC62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文本编辑 空闲检测</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DA73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文本编辑控件的空闲检测时长，为自动保存等后续操作提供触发依据，保障编辑便捷性与数据安全性。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71E4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2D17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2B92C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DDD6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479C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EC8574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图形用户界面-通用</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D04E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控件像素吸附</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C807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让界面控件贴合像素显示，即便相机移动或缩放也能保持清晰锐利，保障界面观感稳定性。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02FF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867C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A53B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A2CB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F133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A15E3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0CC5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默认滚动死区</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0696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避免误触滚动操作，让滑动交互更精准，贴合用户操作习惯。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3571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CC81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99183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C867C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82E7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6D2C1D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D08F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文本编辑 撤消栈最大大小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277A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设定文本编辑控件的撤销 / 重做历史上限，在满足回溯需求的同时合理控制资源占用，平衡功能实用性与使用效率。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9A00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1A89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52215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3671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7FE7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5747B8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D23D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交换取消确定</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86FE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调整 “取消 / 确定” 按钮的功能顺序，适配不同场景操作习惯，提升界面操作的适配性与便捷性。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59A7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69B9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BE963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19F1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C66C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A3B99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图形用户界面-字体</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10A2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动态字体-使用过采样</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8213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提升文字边缘平滑度与清晰度，优化小字号、复杂字体可读性，适配不同分辨率与性能场景，平衡显示质量与运行效率。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E65F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2F1C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8D7C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116C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63B7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56662F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图形用户界面-主题</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0D68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默认主题缩放</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5A87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设定界面控件的默认缩放比例，在无自定义缩放时保障不同屏幕尺寸下的布局一致性与适配性。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72A0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63EA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2DC28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BC88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B3F2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FFDD2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DC7A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自定义文件主体</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59FA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指定自定义主题资源文件路径，支持个性化配置项目界面风格，满足品牌视觉规范与设计需求。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429C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CFEF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2882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46AD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94CD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640CEC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59E3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自定义字体</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12FE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指定自定义字体资源路径，统一项目所有界面元素的字体风格，贴合品牌视觉规范与用户阅读习惯。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FDFF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8D35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E061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7AD9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D99C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DB7BD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2859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默认字体抗锯齿</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2B10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配置项目默认字体的抗锯齿效果，减少文字锯齿感，提升界面文字的视觉舒适度与显示质感。</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C3D8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EFE0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C5B0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B6862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AA3C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CC4E0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B2D3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默认字体微调</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D794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置项目默认字体的微调效果，优化字体字形细节协调性，提升界面文字的显示精致度。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7972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6D30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C306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8004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6C32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C981B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B40B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默认字体次像素定位</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010E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配置项目默认字体的次像素定位效果，提升文字边缘显示精度，让界面文字更清晰锐利，优化视觉观感。</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FABA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7D4B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17728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18FC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9134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50A95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96C7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默认字体多通道带符号距离场</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37B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启用该功能后，字体采用高效渲染方式，实现任意尺寸下的清晰显示，无需重复处理字体数据，避免尺寸调整带来的性能损耗；结合多级纹理技术，可进一步提升小尺寸字体的显示质量。</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7F24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0ED2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A075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B595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4412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BFD81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5177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默认字体生成 多级渐远纹理</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9BFA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生成字体多级渐远纹理，避免缩放或远距离查看时文本出现颗粒感，同时平衡显示质量与资源占用，适配高精度渲染需求。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4D8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4280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0A58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4568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C2765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7921F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52F6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屏幕显示优化配置</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9E3D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调整特定屏幕的次像素排列规则，增强文字显示的抗锯齿效果，提升文字内容的清晰度与视觉舒适度，适配该类屏幕的显示特性以优化阅读体验。</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B2E6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3845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82BC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BA422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86E36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界面-编辑器</w:t>
            </w: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17793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停靠面板标签样式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06AA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B8DC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自定义编辑器停靠面板的选项卡样式，适配个性化界面视觉需求。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C6A7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32E8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AECDE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B6693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37910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74FB2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界面布局方向</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B675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7671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自定义编辑器界面的默认布局方向，适配个性化界面使用习惯。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EBA2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D91E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ADD4C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7EDB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F031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91BE3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显示缩放</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B2CC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DB90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设置编辑器界面显示缩放系数，支持自动适配屏幕每英寸点数或自定义缩放值，适配高每英寸点数显示 /视网膜显示屏等不同显示器需求。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7A38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FBAC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3B50A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25924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4AB5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AC6C7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自定义显示缩放</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C65E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6AF7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设置自定义编辑器缩放系数，适配 200% 缩放不足的超高每英寸点数显示器。</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1B11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E469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2F94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33FCC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30B2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7C574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编辑器屏幕</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CC09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B5FA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指定编辑器的首选显示屏幕，支持自动记忆上一次显示屏幕，适配多显示器使用场景。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A319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3661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8536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81EF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2027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444DE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项目管理器屏幕</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DC51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82AB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指定项目管理器的首选显示屏幕，适配多显示器使用场景，方便精准切换项目管理界面的显示设备。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9830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CE3C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2AC5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D231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7FCC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2B31E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使用原生文件对话框</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B2CB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754E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可设置编辑器使用操作系统原生文件 / 目录选择对话框，适配系统操作习惯，提升文件选择体验。</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93FB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11E0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945D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A236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DF93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9564A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扩展至标题栏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5F04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9B39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支持将主编辑窗口内容扩展至标题区域，优化界面空间利用率。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A8C4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F8DC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9EEB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D393D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C885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7FE8B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代码字体大小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2693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3298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设置脚本编辑器的字体大小，适配个性化代码阅读需求。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DC66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CE08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0107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DE4AE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895D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33EF2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代码字体上下文连字</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8A66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F6E1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为当前代码字体启用上下文连字，默认字体已适配，提升代码排版美观度与可读性。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7F25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1DB3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7BB3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B5EEB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5207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E71EC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代码字体自定义开放式字体格式特性</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F4BC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D1AD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配置代码字体的自定义开放式字体格式特性，默认字体已内置相关特性，满足个性化代码排版需求。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5EC3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0BAF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E4575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2C708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0A46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58998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代码字体自定义变体</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BD08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60D5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可配置代码字体的备选字符列表，默认字体已内置相关备选字符，满足个性化代码显示需求。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ED65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DDD9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33CE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7DB9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7D09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04105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字体抗锯齿</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FF67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1C61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设置编辑器字体的自由字体引擎抗锯齿模式，优化字体显示效果。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69AB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527A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CAEE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164F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0C47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43070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字体微调</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21C0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D847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设置编辑器字体的自由字体引擎提示模式，支持无、轻度、标准三种模式及系统自动适配，平衡字体清晰度与流畅度。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147A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8F32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E3A72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6FCF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19F5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3AAC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字体次像素定位</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FD52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ACCE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设置编辑器字体的子像素定位模式，支持禁用、自动、二分之一 / 四分之一像素，适配不同性能与显示质量需求。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36E7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B02B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BD7C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5A97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8BD8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4D004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字体禁用嵌入式点阵</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581F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607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可设置禁用内嵌字体位图的加载，适配特定字体显示需求。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3225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93B6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BE60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8794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A6BC5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7DDCA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字体允许多距离有符号距离场</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1516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7500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可设置可视化着色器图编辑器启用有符号距离场字体渲染，使用自定义主字体时建议开启，优先从字体官方渠道下载字体以优化渲染效果。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A75F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7DFD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3AFC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E4D5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9998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822BB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主字体</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A124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B3F7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设置编辑器界面的主字体，适配个性化界面字体显示需求。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33CE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0B68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8AD2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E1E5E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32EE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AC20D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主字体粗体</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10B8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58D9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设置编辑器界面中粗体文本的字体，适配个性化界面字体需求。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C92D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5388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AE5C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D651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AE493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6B788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代码字体</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0C8B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DD7F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设置脚本编辑器的专用字体，适配代码编辑场景的阅读与排版需求，提升编码体验。</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9B26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E357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6C9C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4985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9FB7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E3579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单独的专注模式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2CE1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9C9C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指定专注模式下粗体文本的字体样式，提升核心内容视觉突出度，适配专注编辑场景需求。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43DF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6CF3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6D95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2631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4E92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FCB88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自动打开截图</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D228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736D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截图后系统会用默认看图程序自动打开截图文件，不用手动找文件，方便快速查看截图效果。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541A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8399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6C9E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9641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3A5E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14AFF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单窗口模式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93FF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D5BF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将停靠面板、工具提示等嵌入主编辑器窗口，运行更流畅，与项目运行时 “嵌入式子窗口” 取值相反，启用后会禁用游戏内嵌。</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39FA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339A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1CF2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0FC66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4A18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BA9C2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使用专门鼠标按键查看历史</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F91E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2E61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鼠标侧键导航脚本编辑器文件历史，侧键有其他用途时建议关闭。</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F2CFF">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B244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8E64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054D8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7E02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0CA7D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退出时保存各场景</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287F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5BF7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一键保存所有场景提升操作效率，单独保存每个场景保障内容精准性，平衡高效操作与数据安全需求。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FC16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12C2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D7A00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6291C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CD9A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92331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节省注意力损失</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D2C9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17F1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编辑器切换到其他窗口（失去焦点）时会自动保存场景和脚本，比定时自动保存或手动保存更贴合实际操作习惯，省心高效。</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A6A4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065C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35EE5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02A5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4FD4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B188F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接受对话框取消/确定按钮</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E0D6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AC3E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可自定义接受对话框中按钮的展示顺序，打破不同操作系统的默认规则限制，适配跨平台使用的操作习惯，减少因按钮顺序差异导致的误操作，提升跨系统编辑时的操作流畅度。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0FA0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848D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2E12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A7B0F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F819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1B279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显示更新旋转图</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30F6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EEDA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直观判断编辑器是否在无意义耗电，方便排查性能问题，开发插件时用更省心。</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CAC8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D3AC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3248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61E6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1BBE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BFCEB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屏幕常亮</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2CBD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C508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屏幕都会保持常亮，不会触发屏幕保护程序，适合长时间编辑不想让屏幕熄灭的场景。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A17A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7473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BD98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2961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9405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0B6FC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低处理器模式睡眠(微秒)</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E8A7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1A8E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调节编辑器运行时的休眠时长。</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5560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1859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9FAA4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95F3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B9BF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0DF4E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未聚焦低处理器模式睡眠(微秒 )</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46E7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BB5B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编辑器不被使用时，调节休眠时长，越长越省电、不影响同时运行的项目。</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DB69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BF5F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0BB6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D2E0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E3019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D39B5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垂直同步模式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4DAA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EE18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用于优化编辑器视觉流畅度。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982B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65B3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E6186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58F4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C070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41B15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持续更新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ACCC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AE62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专为故障排查场景设计，启用后可实时刷新界面。</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6E4D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1151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8513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0EAC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F12A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163AB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主主题 - 白点 - 标签页（刷新间隔 / 微秒）</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9546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23E2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微调参数控制选项卡交互节奏，提升界面切换流畅度。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0729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85F8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75AE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5AAE9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ECED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BC5CE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标签页（刷新间隔 / 秒）</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D485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C58B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调整前景参数，清晰区分活动与非活动选项卡，提升界面辨识度。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6576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7FD4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0B9D2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3CCD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0F08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0BC23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标签页背景</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6296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0DE7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自定义标签页底色风格，优化界面视觉明度与层次感。</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6607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C949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20C4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468C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816C8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7CE8E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工具（执行耗时 / 微秒）</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7298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ECE0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参数调整优化工具按钮操作响应体验，让工具栏使用更流畅。</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70E1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749C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A766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04F7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C994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8C273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边框颜色</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9124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08D6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自定义边框色彩，强化界面分区与层级感，提升浅色主题下的视觉对比度和可读性。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1ED9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9AAA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1D638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7746A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BBF0A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D5122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主主题 - 黑色 - 标签页（刷新间隔 / 微秒）</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2124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1518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调整参数确保暗色模式下选项卡动画与高亮过渡流畅，提升深色界面交互体验。</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12C3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8EE2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F9097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E22B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5166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41BE8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标签页（刷新间隔 / 秒）</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25B8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16D0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自定义文字与前景颜色，保障深色背景下的视觉对比度，让选项卡状态清晰可辨。</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2A81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4E40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5BE2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8724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D3A2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ACE86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标签页背景</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1FD9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81A8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自定义低亮度底色，营造舒适编辑环境，减轻视觉疲劳。</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E1F8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FC94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C8627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CEB6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71FD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0110D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工具（执行耗时 / 微秒）</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8A25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CE3D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调整参数保障工具按钮动画流畅度，提升深色模式下工具栏操作体验。</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FEA4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7768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74FD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5A73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A56E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D788E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边框颜色</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9BEA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6DA9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自定义边框分隔颜色，强化深色界面的层级感与可见性，提升操作辨识度。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7E2E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5192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24CF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0D41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F427B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编辑器-影片写入器</w:t>
            </w: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8759B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电影文件</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91B2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696B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配置影片输出路径与格式，含压缩、编码特性及适配场景，支持自定义扩展。</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0E68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82CD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283F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66FE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4217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66023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禁用垂直同步</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98BA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D7CF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启用则写入电影时禁用垂直同步，硬件性能足够时可超显示器刷新率渲染、编码、保存视频，加速视频写入。</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A55E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1304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709F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DB8C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D66D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9CC54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帧率</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BB34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6810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设定视频每秒录制帧数。</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D139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EC6F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D311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21E6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51ACE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编辑器-命名</w:t>
            </w: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37258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默认信号回调名称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61F6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92CC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设定信号连接对话框中信号回调名称的默认格式在信号连接对话框中使用)。</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8D27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8366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0C1B5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2463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2B23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69A05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默认信号回调为自身名称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D555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738A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设定信号连接到自身节点时的回调名称默认格式，用于连接到与发出信号相同节点的情况。</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1AA1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5540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3FD3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0334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9136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C7DE5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场景名称大小写</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8D23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0119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设定基于场景根节点生成场景文件名称时的大小写规则。</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D644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898F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0290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5DF7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46F6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0A1D3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脚本名称大小写</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9744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99F5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设定基于所选节点生成脚本文件名称时的大小写规则。</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EA22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D548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24FE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1D4F4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A1113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编辑器-脚本</w:t>
            </w: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B1ADA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搜索文件扩展名</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C199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2B5C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配置脚本编辑器 “在文件中查找” 功能包含的文本类文件扩展名。</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F7AE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786B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7C3D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8B51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3C7A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3AB1A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模板搜索路径</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47C0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A8D5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项目专属脚本模板的查找路径，引擎会同时在编辑器默认路径和该自定义路径中搜索模板，方便快速调用项目特定脚本模板。</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544A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2346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1B56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FC86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B473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编辑器-运行</w:t>
            </w: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36D47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主运行参数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0930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56B5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配置项目运行时附加到引擎的命令行参数，支持用 可调用外部可执行文件的占位符，占位符调用其他可执行文件运行引擎，按 “程序参数在前、引擎参数在后” 的规则配置即可。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013B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F069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B6F7E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A0C5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B7386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编辑器-导入</w:t>
            </w: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F7C4E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重新导入缺失的已导入文件</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EF92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CF19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项目加载时，若检测到资源的已导入文件缺失，编辑器将自动重新导入对应源文件，避免资源引用错误和加载异常。</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B42A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19AC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107A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3290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1726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3C73A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使用多线程</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30A9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8C52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资源导入将以多线程方式执行，提升导入效率。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FAE3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F0DE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9BF1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31DF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76F8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D890B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图集最大宽度</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94A6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0103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设定图集导入纹理的最大宽度，避免纹理在其他方向过度放大。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3B95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919F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08BC7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B162C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F255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编辑器-导出</w:t>
            </w: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694F5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将文本资源转换为二进制</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2DD1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4C30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导出时将文本资源和场景文件转为二进制格式，减小文件体积并提升加载速度。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F725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ECA7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01D1D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0C77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3F651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编辑器-版本控制</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38EC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插件名</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02FB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D103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指定版本控制插件，编辑器加载对应适配器，支持文件差异、提交、回滚等版本控制操作。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4EBF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846E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346F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52D12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5F75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D092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启动时自动加载</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48FA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496E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编辑器启动时自动激活指定的版本控制插件，无需手动开启，打开项目即可同步文件状态、进行版本追踪。</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48E7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BEED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EC957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6ADA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6824B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场景操作</w:t>
            </w: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56A2B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新建场景</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3F11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E598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支持从零创建独立场景，为内容创作提供全新载体，满足多样化场景开发需求，适配不同业务场景的定制化创作。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D14C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F011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1275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41B0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F507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593D5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新建继承场景</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DDDF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3283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支持基于已有场景快速生成继承场景，实现场景资产复用，减少重复搭建成本，同时支持在新场景中拓展个性化节点，提升场景迭代效率。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9AD1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E7E8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DFBD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EC531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056A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4AEB9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打开场景</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054B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EAC5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提供场景文件快速打开入口，简化场景接入流程，保障场景创作的连续性。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C4CE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39CB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E103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7D7D7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C2EC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0947F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重新打开关闭的场景</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E6F1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BB3D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支持恢复误关闭的场景，降低操作失误带来的场景找回成本，提升创作流程的容错性。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7F9F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1FFC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8DB6A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210D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4A0A6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E1967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最近打开</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343D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C7AB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支持查看并快速打开历史场景，缩短高频场景的重复查找路径，适配多场景切换的高效创作需求。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4EAF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1C21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08FB1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ECC1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39EB8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20DBD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保存场景</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24A0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DA5D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支持当前场景实时保存，自动同步数据至对应存储路径，保障场景创作内容不丢失，支撑持续的场景迭代工作。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459C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0141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3922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FC8C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E689B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9B487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场景另存为</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9367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DB74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支持将场景保存至自定义路径，实现场景资产的灵活归档与复用，适配多版本场景管理、跨项目场景迁移的业务需求。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6248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77AB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B17D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8608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A416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AE88A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保存所有场景</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E265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9BBE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支持一键保存当前标签页下全部场景，避免多场景创作时的遗漏保存风险，提升批量场景管理的效率。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C147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4000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DBED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7F85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A6DE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FF334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快速打开</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493A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A6C5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支持场景 / 脚本 / 图标文件的精准搜索与快速打开，缩短多类型文件的查找路径，适配复杂项目中多资产协同创作的场景。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9547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B6EA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BFBEF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3AA72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0C90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C9A9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快速打开场景</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B542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3CCB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提供场景文件专属搜索打开入口（仅展示场景文件），聚焦场景资产检索，进一步提升场景查找与打开的效率。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26DE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88C2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0933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C9070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33B7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A6F38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重载已保存场景</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5C2B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2082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支持已保存场景的状态重置（恢复至打开初始状态），解决场景操作不可逆的风险，降低用户误操作带来的重复创作成本。</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32B7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8251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2701C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AEC4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2B49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3FC0C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关闭场景</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EF70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2272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支持当前场景快速关闭，未保存时自动弹窗提醒，兼顾操作效率与数据安全，避免场景内容意外丢失。</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D7C2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B61A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2E6D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373C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1645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CF83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添加子节点</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72EB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E271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往场景中添加节点。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CAA8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AA63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2268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FD50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A5EDD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4504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实例化子场景</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9C52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E13E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将场景文件实例化为节点。如果没有根节点则创建继承场景。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E593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7F88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2BC12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EEE2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6CE7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75DE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筛选节点</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BE00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36F7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提供根据关键字搜索场景树中的节点功能。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4960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3AFE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8D47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E3509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7EF0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C4AC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脚本路径</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6136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D4D3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为选中节点创建或设置脚本。</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434D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613A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16701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ACDC5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3F38C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3F47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切换可见性</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80CA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B48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切换节点在场景中的可见性。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4E39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5454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089D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916E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4A16F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C05EB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选中节点</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6ED5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增加子节点</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44F3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在选中的节点下中添加节点。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EE5E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2BCC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540C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6663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5DB1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449A1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5088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实例化子场景</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FAD5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在选中的节点下将场景文件实例化为节点。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A8E4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748F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9034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29D3D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AA96C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0AE07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394D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展开/折叠分支</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5FB9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展开/折叠选中节点的子节点。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8FDA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7DDE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955F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97B2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F487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CC21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B6FC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剪切</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BDEE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选中的节点消失在场景树中。</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2507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68FB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09E1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D5AE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0138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1A2D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52CA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复制</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3803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复制选中的节点。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D290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5011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B664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8D67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BA06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8976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4D07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粘贴</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581A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把剪切和复制的节点复制到场景树中用户的指定位置。</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29CA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CDF8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2EC4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CC6F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BB87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24D0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BC7B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分离脚本</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0629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从选中节点分离脚本。</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A72A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E47B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2FEE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A0CBF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0BED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A07AD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2C59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重命名节点</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3F34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重命名选中节点的节点名。</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0DF5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9651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E5111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398F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D84C0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1BD7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2296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更改类型</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9924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更改选中节点的节点类型。</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80C1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BFA5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D9FF9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09F9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A42EC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DB38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BD3A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向上移动</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AEC9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将选中节点在场景树中的位置向上移动。</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5BAD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F868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A1766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C036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C9E7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C35E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06A3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向下移动</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E6B4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将选中节点在场景树中的位置向下移动</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9FCE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FAB1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BC21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7248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1679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4B00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3DF3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创建副本</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4A55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在场景树的相同位置创建一个选中节点的副本。</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EF1E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6012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84C9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D258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313F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718F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C3B5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重设父节点</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800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在场景树中选择一个已有节点重新设置为选中节点的父节点。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A6A9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F16A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7FC1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AC46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58FA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3FF8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461B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重设父节点为新节点</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FEA4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在选中节点的位置创建一个新节点并设置为选中节点的父节点。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79C7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00BC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06ED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3B400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5FCC7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7E2C8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013C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设为场景根节点</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71F6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将选中节点设为场景根节点。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4EAE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0FB8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91D9F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E9013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842D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A28C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4531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将分支保存为场景</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AC11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将所选节点及其子节点保存为子场景。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F126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D83B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BE697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5B8E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4DEB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BC2F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6942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复制节点路径</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E748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复制所选节点在场景树中的路径。</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65A6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673D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52D0B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BBD3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B7A34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A354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C4A7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作为唯一名称访问</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4FF5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设置该节点为唯一名称进行访问。</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BF51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F46E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BF74E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C0E9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0C26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4D2B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1B56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打开文档</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9723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打开所选节点类型的帮助文档。</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99D3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71BD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1D17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98DD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5542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031C6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0EDF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删除节点</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2A8B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删除选中节点。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72D0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B770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1289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99A4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FF461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属性</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7395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筛选属性</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4AE6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9011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根据属性名筛选属性并跳转到筛选的属性。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DB1EF">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712E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1F21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02FB2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FE4D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C0FB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全部展开</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7D22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FB62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将所有属性全部展开。</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6521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AF9A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D05C3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8CC4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5E70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A3DC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全部折叠</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BB91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3B51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将所有属性全部折叠。</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B80C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962E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A9D55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3CA3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70A9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节点</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E5DC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23F6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35B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控制节点信号。</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712C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4581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8E7B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DB14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4A73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历史</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F77D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CB2E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14C8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记录编辑器的历史操作记录，当前场景的操作记录和全局的操作记录，解决用户回溯记录不便的痛点。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F107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5CA3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AB92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5112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21E56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常规</w:t>
            </w: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274EF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停靠面板场景树</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4010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唯一名称废除前询问</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8BE1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提供废除场景唯一节点名称的二次确认机制，有效拦截误操作，避免因唯一名称意外废除导致脚本引用失效、场景功能异常，减少返工调试成本，保障项目开发的稳定性与连续性。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1092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66D5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E2B1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2F29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8BA3C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262D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D6A2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删除相关动画轨道前询问</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16B2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删除含动画轨道引用的节点时，弹出确认对话框，规避误操作风险。</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42C9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5EF4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4188D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28EE1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326F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63948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AA28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打开创建对话框时完全展开</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BA62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创建时所有的部分都会默认展开。</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822B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7B0F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9635F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3D9D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D425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82E67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631B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自动展开至选定项</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DBE7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场景树停靠面板会自动展开该节点已折叠的父节点。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2B56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5016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4C74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FF54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166F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93A78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F8FB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重设新建父节点</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0AF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重新设置节点父级时创建的新节点，将位于所选节点的平均位置。</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6A0C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64CF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7B3B9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A2642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C0A75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265F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163E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隐藏被排除的父节点</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E8FF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场景树面板只会显示与筛选器匹配的节点，不会显示不匹配的父节点，帮助用户高效筛选有用信息。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1239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C2B9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860A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987D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00E2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0110A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停靠面板文件系统</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295A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缩略图大小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E461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“文件系统”面板中使用的缩略图大小。</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2BF5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E80F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86C6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F8A94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E0B8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60A3F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F4C4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总是显示文件夹</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DC29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拆分模式时，在文件系统停靠面板的底部窗格中显示文件夹。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0EA9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A062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9F4B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13694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F533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07608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40B8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文本文件扩展名</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368D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可编辑的文本文件的文件扩展名列表。</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CF78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D0B2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A36E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E632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84511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40D9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E330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其他文件扩展名</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41CE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文件系统面板不支持显示的文件扩展名列表。</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7CA1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765F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BF61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8F0E8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5D9F3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B4AAE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停靠面板属性编辑器</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3175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自动刷新间隔</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0376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检查器停靠面板中属性的刷新间隔。提供不同性能模式满足不同的需求。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D92C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B14D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0006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45EB4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A4A4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B5C7F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CB0E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子资源色相调整</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AAA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检查器停靠面板中子资源背景的着色强度。方便深度定制不同客户的需求习惯。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356B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7B26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25A0F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391F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0761D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C1C2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文件系统目录</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095B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自动扫描项目路径</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ECD5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项目递归地扫描的文件夹，高效处理项目中的各种资源。</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2E30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3F3F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6517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2661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B6CC3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577C2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文件系统保存时</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44B3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压缩二进制资源</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35F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对二进制资源使用无损压缩。</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DEFA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631E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A4F5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3265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9BB5E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6CB88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D28F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安全保存备份后重命名</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9D78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保存文件时，编辑器会将旧文件重命名为不同的名称，保存一个新文件，然后只有在新文件保存后，才删除旧文件。</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C3C8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C510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8619C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EF55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8678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A8704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文件系统文件服务</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3BC9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端口</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45D5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导出使用远程文件系统的项目时，文件服务器的端口。</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B73D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3A4D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1791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8550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CEF58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F5ED8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8F20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密码</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E0BA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导出使用远程文件系统的项目时，文件服务器的密码。</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2260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84FB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ACD2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E1F2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196E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9BB72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文件系统文件对话框</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740C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显示隐藏文件</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784C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在编辑器的文件对话框中显示隐藏文件。</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B79E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717E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8A3D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E411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C5C1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C706B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BB24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显示模式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4A5E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编辑器的文件对话框所使用的显示模式。</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98CB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9EF2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7748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5743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3396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F220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C4EF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缩略图大小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9CB2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编辑器的文件对话框中使用的缩略图大小。</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06D2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60E4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5E55D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F640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2D50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7CC21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文件系统快速打开对话框</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50D9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最大结果</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1ABE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对话框中显示的最大匹配数。</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9222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51FE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C526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AABC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B075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74B3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F512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显示搜索高亮</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53D2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搜索结果中会将匹配内容高亮。</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8229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D109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9B3AB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12D4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0094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D49B3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100C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启用模糊匹配</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71C8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允许对搜索内容进行模糊匹配。</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E677F">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3266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705F0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0578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BD07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1A98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DA78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最大模糊数</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088F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模糊匹配时，匹配中允许缺失的查询字符的数量</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A28B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F7FC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3AB6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E5FA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5843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C49F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E374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包含插件</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0AE3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结果中不包含位于插件文件夹中的文件。</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CA27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7595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C1E5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F536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8913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7F3C3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2A74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默认显示模式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CBBA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对话框将根据请求的类型以列表视图或网格视图打开。方便深度定制不同客户的需求习惯。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C374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5990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06CC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902E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DAC3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AEB9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文件系统-工具</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84D0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降噪器路径</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015E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包含开放图像去噪可执行文件的目录路径，选择用于去噪光照贴图。</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1BB8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2824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7BA7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82BBB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26B76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FB962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文本编辑器主题</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CD73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行间距</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DA85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文本编辑器中使用的纵向行间距。</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4223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371C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8BEB1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A352F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67B4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C9A5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BA25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颜色主题</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55DD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脚本编辑器中，使用的语法主题。方便深度定制不同客户的需求习惯。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14C3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24DC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A7979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6BA54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8176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2E2C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0D34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高亮-符号颜色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5F8B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脚本编辑器中，运算符的颜色。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5096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94D6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3E7C9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20CD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2CA2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315B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4768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关键词颜色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726D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脚本编辑器中，非控制流关键字的颜色。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0875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3B75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CD8CD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379C1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F954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2E61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97E5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流程控制关键词颜色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9876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脚本编辑器中，控制流关键字的颜色。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42EF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5BBA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1BCC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14437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1D53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4480B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16F2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基础类型颜色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A443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脚本编辑器中，基础类型的颜色。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B961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6BF5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D02C8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350F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D672C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23A0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E249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引擎类型颜色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6460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脚本编辑器中引擎类型的颜色。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D7F2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E060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3CF5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AA82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5ADFB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8059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2077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用户类型颜色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1E51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脚本编辑器中，用户定义的类型的颜色。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D9EF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C11E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1454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3026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A2A2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273C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803A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注释颜色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C6B8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脚本编辑器中，注释的颜色。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0B25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CBF6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C1BE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A426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2BEA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2D4D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9255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文档注释颜色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15C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脚本编辑器的文档注释颜色。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5496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9CA7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37E1C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C87D4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1CD0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B9F8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8120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字符串颜色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839F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脚本编辑器中，字符串的颜色。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51A5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FAAF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9179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2995E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0920C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CE64D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AF79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背景色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20B0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脚本编辑器中，背景的颜色。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997F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D7F7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15672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5C29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4514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DD55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0925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自动补全背景色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63E9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脚本编辑器中，自动补全框的背景色。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5B6A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B742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312C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C71A6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4045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6FB9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CEA8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自动补全选中颜色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46F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脚本编辑器中，自动补全当前选中的背景颜色。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D6A5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79EE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0404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6577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57B6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9DE5A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D418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补全存在颜色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2572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脚本编辑器中，自动补全框的背景颜色，用于高亮显示补全结果中的现有字符。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4054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8C70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9343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1F98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D010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B7A5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94CC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补全滚动条颜色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F174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脚本编辑器中，自动补全框的滚动条颜色。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DFBC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FAD0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5E52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9C0D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F551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E73C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03EA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补全滚动条悬停颜色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C732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脚本编辑器中，自动补全框的滚动条被鼠标悬停或按下时的颜色。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A142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94BD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4057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5F501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7B5D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645D4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13D1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补全字体颜色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4E8F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脚本编辑器中，自动补全框的文本颜色。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1C53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F3B6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002D5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9E37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A92D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635D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9154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文本颜色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4E5F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脚本编辑器中，所有语法高亮规则均未高亮显示的文本的颜色。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8735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E5F7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13EC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827D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5654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18C5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A971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行号颜色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E62E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脚本编辑器中，行号的颜色。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0C59F">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5487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A5610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5244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BDE47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600D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193E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安全行号颜色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F580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脚本编辑器中，类型安全行号的颜色。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B8D9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EA20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E122D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16364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FCAB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4701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F527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光标颜色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11CD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脚本编辑器中，文本光标的颜色。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7B5A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156E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E41D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498A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2A9B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A198B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4600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光标背景色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98AB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脚本编辑器中，文本光标的背景色。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9685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13CD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6701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466FF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BCF3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1191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AAEF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文本选中颜色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B51C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脚本编辑器中，文本的背景颜色。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E575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3337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E6B46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2518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005B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983B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27D3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选区颜色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CCE0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脚本编辑器中，当前选中文本的背景色。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D26C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A435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7BED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BD12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19925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3B53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AC84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括号不匹配颜色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1737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脚本编辑器中，括号不匹配的颜色。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D64F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F3D4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81A6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B0699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1C67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8DDD9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4C94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当前行颜色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D262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脚本编辑器中，文本光标当前所在行的背景色。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5C8D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4377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3557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F540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91D4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3DF3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662F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行长度参考线颜色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02C3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脚本编辑器中，行长参考线的颜色。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199F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3126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C182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6BCA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BC173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6DC1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1DD5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单词高亮颜色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5A59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脚本编辑器中，通过选择单词而高亮显示的颜色。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9C01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E442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F25B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F09F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E6C5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114FA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7B3E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数字颜色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B955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脚本编辑器中，数字的颜色。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7335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E15F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308E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E330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CAC6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EC10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C6B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函数颜色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63C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脚本编辑器中，函数调用的颜色。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743E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72BA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DA7D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A59A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520C8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E2C6B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FC39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成员变量颜色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8F5E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脚本编辑器中，对象上成员变量的颜色。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0E83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C948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3C468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F986F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34E49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FE96A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0CC3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标记颜色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D40A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脚本编辑器中，有错误的行的背景颜色。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8139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4523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ABDF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6336D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9A0EA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F2113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92EC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书签颜色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BD39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脚本编辑器中，书签图标的颜色。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CEA3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5360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EDA2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B238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8F03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6478B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AFAF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断点颜色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BA1F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脚本编辑器中，断点图标的颜色。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AEA1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A5AB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E6AC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DD32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6869F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AA89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D38F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运行行颜色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1A39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脚本编辑器中，调试器执行行图标的颜色。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6AE6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9443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8797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D9DD1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EC371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3E16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A5DA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代码折叠颜色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8F56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脚本编辑器中，代码折叠图标的颜色。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292BF">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AB1F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6BB4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03E9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1830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0D9A7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484A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代码折叠区域颜色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D15E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脚本编辑器的背景行高亮颜色，用于折叠代码区块。</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03F7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C105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FF56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91D0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D2E38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D84B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78B8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搜索结果颜色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2139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脚本编辑器中，搜索结果的背景色。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6F60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AC9F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4E034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E137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5A55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3AF7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47CC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脚本函数定义颜色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27A6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用于设置脚本编辑器中函数定义的语法高亮颜色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7B15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57E6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7915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E378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A9EE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B918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DCD9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搜索结果边框颜色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C9C4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脚本编辑器中，搜索结果边框的颜色。有助于进一步关注搜索结果。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118F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9E88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59EF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A88B8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5BCE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656BB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A8D0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全局函数颜色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8E9D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增强代码语义识别效果。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5047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479F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9104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3B9F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14FF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CCD35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83E9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节点路径颜色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4D85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颜色区分场景引用路径，使节点调用语句在视觉上更加突出，便于场景逻辑调试。</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7576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E182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B1F09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757AA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87A8E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01FB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B3C2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节点引用颜色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6DAB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帮助用户快速识别对象引用与依赖关系。</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4295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EADB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C832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3A999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44CC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4F201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2503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注解颜色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7F10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清晰的注解配色有助于快速识别脚本行为修饰符。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3AA2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DF38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C8B9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AAB38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65174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AD09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6123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特定字符串颜色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CAC6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与普通字符串区分，便于用户辨识性能相关的字符串引用。</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8160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8929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94F2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DC7C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80F8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A23A3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0409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注释标记-危急颜色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D6C4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用于提示必须优先处理的高风险问题。</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B453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C0B6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4088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5DD7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11DA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A0D66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0A5D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警告颜色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F538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标识潜在风险或逻辑缺陷。</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F1B5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AA2D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59A2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B9EA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EA42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B0C8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0F9C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注意颜色</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C92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用于标记提示性或参考性注释，提醒用户关注但无需立即处理。</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9B7F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83D5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3A75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D9C6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E1E7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291EE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48E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危急列表</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76AD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包含所有被识别为“危急”注释标记的关键字集合。</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9C46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2A8E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D39CC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47E3C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4C4D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14ED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FAA2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警告列表</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11FA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定义用于检测“警告”类注释的关键字列表。用于统一团队注释规范，自动识别风险项。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315AF">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2D7F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0F64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AC44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C270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BC5D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1254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注意列表</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CB58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列出需高亮显示为“注意”类别的注释关键字，帮助用户快速定位参考信息或辅助说明。</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3DE5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3528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0150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C613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B7F7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55BB9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文件编辑器外观</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743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光标-类型</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7D21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在脚本编辑器中使用的文本光标的形状。会在当前字符的左侧显示一条垂直线。</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8AAF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91D7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B5D65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AD7B6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9DF5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27E04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580B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光标闪烁</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63C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文本光标按照用户自定义间隔来闪烁。</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DBE7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8683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48A2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BCFA7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4D191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5B922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056F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光标闪烁间隔</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40B1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文本光标闪烁的时间间隔。</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C069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9D06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2C03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8AD7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C234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BDA3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479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高亮当前行</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0066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设定文本光标当前所在行的背景着色。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B2B5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895D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20D2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02B7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7308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130AB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B6CB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高亮所有匹配项</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D36D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在脚本编辑器中高亮显示当前所选文本的所有匹配项。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A562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9A52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4049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5019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A7C7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D3BC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7773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辅助线-显示行长度参考线</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8FFF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显示行长度参考线以帮助控制行的长度。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208A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888F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C7C42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A1101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05BF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55E0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522A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行长度软参考线列数</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5CD8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在哪行将一条非常细的线显示为脚本的行长参考线。</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6C9C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3CC4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90E20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7B0BF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DF07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4ACA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DF6E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行长度硬参考线列数</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F702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在哪列将细线显示为脚本的行长参考线。</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AE76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4134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488B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E43C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4119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9520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6B40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边栏-显示行号</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8CE1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会在左侧的装订线中显示行号。</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97A7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41F4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163E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3D92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B6DB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07E6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1B6B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行号补零</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DB58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显示的行号使用零填充。</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9411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8E46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02A8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355B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2A64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B9F7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3794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高亮类型安全的行</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4C4B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由于类型化的指令，这些类型安全的行可能会运行得更快。</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852E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1DA4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11BB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20BF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8974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63CDF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3D25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小地图-显示小地图</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F1CC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会在左侧显示一个装订线，为存在信号连接和覆盖方法的方法显示图标。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5C65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047A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A794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687E1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3950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E911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CF86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小地图宽度</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7D8A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脚本编辑器中小地图的宽度。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B0A2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869F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90D4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8079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15D28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EFAEA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2CA0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行-代码折叠</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46AA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方便用户整理代码模块。</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90DE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A326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1D39A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9C69F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14CC1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AC55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4140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字符循环</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CEFD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将长行换成多行以避免水平滚动。</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F315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2B76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5850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64D9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700C7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579F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FAA7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自动换行模式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9200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文本根据行宽可以执行自动换行操作。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E8C1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E3E8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EA71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17CE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F549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1203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B6E8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空格-绘制制表符</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05CE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会将制表符绘制为人字形。</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07D6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9BA8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36C4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8502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073D8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3E86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ADBF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绘制空格</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A800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会将空格字符绘制为居中的点。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98BC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B90D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E22B4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9993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A6039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0ADD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3EDF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行间距</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BB05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行与行之间要增加的空间。</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6A67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661E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F797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3450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282D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39FBF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文本编辑器行为</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7529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常规-空选剪贴板</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23A5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未选中内容时进行复制或剪切会对光标所在行进行操作。否则需要先选中才能进行复制和剪切。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B309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8500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5F2EC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4703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F868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D8BB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3B47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导航-在右键单击时移动光标</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29D8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快速实现脚本编辑器中文本光标的精准跳转，省去手动拖动定位的繁琐，让代码修改、内容插入等编辑操作更高效便捷。</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03B2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D952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059E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4D5F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9959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90FD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9A2D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滚动越过文件末尾</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88B7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允许滚动越过文件的末尾。</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12BCF">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2A83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A8CF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C0BC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7200E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A533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D168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平滑滚动</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22B4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允许在子行间隔内滚动，并在使用鼠标滚轮滚动时启用平滑的滚动动画。</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4F29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5B7C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A8CA0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66E4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92A71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6C69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05F0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垂直滚动速度</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4523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滚动的速度，即每秒的滚动行数。</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E1FC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635E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649A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083E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8B47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6BF01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292B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拖放选区</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ABE9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支持在脚本编辑器中拖放文本，实现文本移动。</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E22D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244B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D203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5A05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907A5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3C18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878B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节点选择时待着脚本编辑页面</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1D56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防止用户误操作切换开发界面。</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FFD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9628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5D8A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892C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AC80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E323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F9ED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连接信号至已有方法时打开脚本</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516C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节点面板将信号连接到脚本中已有的方法时，会自动打开脚本编辑器。</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D522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04DF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99AC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744B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DDD45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1B0A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8B18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使用默认分词符</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857D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使用以默认字符作为单词导航和单词操作时的默认分隔符。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3B53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6424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4D3D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BB63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5469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6CCEC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0253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使用自定义分词符</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70AC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使用用户自定义分词符中的字符作为单词导航和操作的单词分隔符。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477B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7B94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10F4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0D8A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B922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FFCD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B7C1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缩进-类型</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F938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选择要使用的缩进风格。</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D872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6C94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C772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8F65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17AE9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783E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959A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A4D7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使用制表符缩进时，确定每个制表符的长度。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A2CF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D7ED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25670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F7E5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CC72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31DE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44CD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自动缩进</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54AE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按回车键时，将根据新行上方的代码块，自动缩进代码。</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4417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0191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A491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9B31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E97E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4E8A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DF48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缩进自动换行</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8989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所有换行的行都会缩进，缩进量与展开的行相同。</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EB7C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4D53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3D3A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25CD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EDB9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66E6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B1D8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文件-保存时移除行尾空格</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63C3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在保存脚本时修剪尾随空格。以减少版本控制差异的干扰。</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EE4A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77CC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3F6F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CAECF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AB3F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3A02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C578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自动保存间隔秒数</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C919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按照指定的时间间隔会自动保存当前脚本。可有效防止编辑器崩溃时的数据丢失。</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DEA6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1B49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4246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F25CD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8246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2117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302F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加载时恢复脚本</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4CEE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在给定项目上重新打开编辑器时，重新打开在上次会话中打开的脚本。</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8AD9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1E8B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71F7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6F154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B5F3E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6952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1417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保存时转换缩进</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669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在保存脚本时转换缩进，以匹配脚本编辑器的缩进设置。</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A8C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A779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EB2C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D183C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FDD3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C15F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7482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外部修改时自动重新加载脚本</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C5E9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当脚本被外部编辑器修改和保存时，会自动在编辑器中重新加载脚本。</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AB53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B605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9A29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8DF1C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FB31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BC7C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443B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保存时自动重新加载脚本场景</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C1CC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工具脚本在保存时会自动进行软重载。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0644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0131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75B7B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03663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C33F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14E9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CCDC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场景变化时打开主导脚本</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3B0C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打开场景时会自动打开根节点上附加的脚本，如果根节点没有脚本则为最靠上的节点。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B672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5F9A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BD5E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C66B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62C0B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8EB4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F77F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文档-启用工具提示</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D2B6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悬停在符号上时会出现文档工具提示。</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87A6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1583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12A4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B555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5F1B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1861E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文本编辑器脚本列表</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32CA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显示成员概览</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FB5D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在脚本编辑器的左侧显示当前脚本的成员变量和函数的概览。</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DD30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9853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12E8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FE56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87C8F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81A42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D8F9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启用脚本热度</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C9E2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脚本编辑器中最近打开的脚本名称将以强调颜色突出显示，强度取决于距离最近次打开有多近。</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68E5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E3F8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3396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8AAAF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44B1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34AE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3A7F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脚本热度历史大小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0220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可以突出显示历史脚本名称。</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9317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2E8D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A918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DBA7D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FB53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075EA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797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高亮场景脚本</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C4BC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脚本编辑器的脚本列表中会高亮显示当前场景所使用的脚本。</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4740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B657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FB61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7504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7DCD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8268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AF0D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帮助页分组</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740D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脚本编辑器的脚本列表会将参考页统一放置到底部。</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267A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3473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D411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C07E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39209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8AC7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A861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脚本排序方式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36BA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指定脚本编辑器打开脚本列表的排序方式。</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D2A8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AE06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B850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7FBE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EF89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D83C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D40B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列表中的脚本名称</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246A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指定脚本路径在脚本编辑器的脚本列表中应如何显示。</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33B5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B10F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5351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B10B0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8C66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321A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文本编辑器外部</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8450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可执行文件路径</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741A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用于编辑文本文件的文本编辑器可执行文件路径。</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2579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407E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5AD0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2F42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B4F2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D3B0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0CDC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执行参数</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FD3E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运行外部文本编辑器时传递的命令行参数。</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12D3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34EF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7139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132A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C8F6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DAF3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4AEB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使用外部编辑器</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1D3E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使用外部编辑器，不使用内置脚本编辑器。</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0254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D175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091C5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A68F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8650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6A47E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文本编辑器补全</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DF99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空闲解析延迟</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DA98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用户停止输入后，脚本编辑器应检查错误的延迟时间。</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5F1B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EF1E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5EE44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CD4F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B8B8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F292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54F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空闲解析出错延迟</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2A6C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解析器发现错误时的延迟。</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30E0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0A76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C504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D7C0E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E360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A184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EC5F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自动补全括号</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EA6F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打字或自动补全插入左括号时会自动插入相应的右括号。</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524A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B438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F3909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7114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CCF5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25CB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450E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启用代码补全</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D464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代码补全将在用户设定的时间之后自动触发。</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81A5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EF08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85E61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907D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0DFF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7D9F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638E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代码补全延迟</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2604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用户停止输入后，应显示自动补全建议的延迟时间。</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A7B3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F785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EF636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3CC3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47D8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850F2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0A8B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调用提示放置于当前行下方</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9E10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打字或自动补全插入左括号时会自动插入相应的右括号。</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20AB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9481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58E6F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309B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DFEE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83B5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DD17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补全文件路径</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987E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为文件路径提供自动补全建议。</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27AE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69DD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262A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2248D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1DD9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7E6D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2E8A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添加类型提示</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57BC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使用代码自动补全时，自动将类型提示添加到其方法参数和返回类型中。</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9E24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083E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CCDAC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4C3C9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8530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E522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F064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添加字自定义符串字面量</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A728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代码自动补全在合适时使用自定义字符串而不是通用字符串。</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6237F">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B6D8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54577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FECF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E767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28167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D3A9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添加节点路径类型</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7C3E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在适当的情况下，代码自动补全或将对象属性拖放到脚本编辑器时，会使用节点路径类型而不是字符串类型。</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9AA5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464F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9EBE7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0F834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3A7B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0A05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3ADB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使用单引号</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32CE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执行带单引号的字符串自动补全。</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3D04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2788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6F4E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5B2D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DA25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2FE0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7319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着色建议</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8203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启用自动补全建议中某些项目的着色，例如向量分量。</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4F72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A57F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70C1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5088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1D27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编辑器布局</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5296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8D17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D0C3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优化不同任务的界面布局，提升多任务切换与协作效率。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93DE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797A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0B11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70F3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F4F4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切换全屏模式</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EF25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39B2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A4E6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提供沉浸式开发环境，适配专注工作或小屏幕场景，退出后布局保持一致。</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90C6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EEEA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EF95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840D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5045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管理编辑器功能</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5B50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E9B9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5D16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自定义功能集，适配不同场景的工具需求，灵活定制编辑器能力。</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30A5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0005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005A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BDD7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28D7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重新加载当前项目</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910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7267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5FC3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一键刷新资源与配置，让外部修改或资源变更即时生效。</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6A51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848B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DE64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4A711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74D9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退出到项目列表</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4533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A311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A1F0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关闭当前项目并返回引擎项目选择界面，方便快速切换其他项目或创建新工程。</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9C11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6161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9AD1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B4C5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渲染模块</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8F44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高性能渲染</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16AF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561B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1B1F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默认用于桌面平台，基于现代图形接口，支持众多高级三维渲染特性，适合复杂三维场景或高精度场景。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E37F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02EB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7E91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4F4D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6268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移动端渲染</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4EDB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3350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879F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和高性能渲染相比功能有所精简但渲染速度快，适配新移动端、桌面 扩展现实等平台，兼顾部分高级特性与硬件性能。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8A29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C07C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9B92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4ADBA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4B7B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传统渲染</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9767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3892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FD3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适配老旧设备和网页平台，保障基础三维渲染能力的兼容性。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A434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73FA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585C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90FC5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48B22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渲染-纹理</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7408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默认纹理过滤 / 重复</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AF7B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6583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配置纹理的基础处理规则，定义纹理展示的默认效果。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95C5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B2E1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AC50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CB2B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A524B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C94C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纹理导入压缩</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C560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7B75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选择纹理导入的压缩算法，平衡纹理质量与存储 / 加载效率。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3CCC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6BE6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1F9D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F19C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40F23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708D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 图形处理器压缩</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F2D7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B2CD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借助硬件加速纹理压缩，提升纹理导入速度。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8DB7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91CB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AE82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E58D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142A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1A81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缓存 图形处理器压缩</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6227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4121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缓存压缩资源，换取后续纹理导入的效率提升。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84A5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648E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689F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BDC2F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A32E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D177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图像压缩配置</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75F3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2D76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调控图像压缩的方法与参数，平衡文件大小与画质。</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DE9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1343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E095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E194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11D0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6DFB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纹理过滤模式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D341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B310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选择多级纹理的过滤方式，平衡渲染性能与视觉过渡效果。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61F0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E0D3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D0483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E8A6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D1E1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8927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各向异性过滤级别</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1450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35DD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配置纹理的细节采样精度，平衡画质精细度与计算成本。</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D7A5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A9A3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76E8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3323F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3CC9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9F80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纹理多级近远配置</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5662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78E5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调整纹理的显示清晰度，适配不同观察距离的视觉需求。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1267F">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8486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2183E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7F34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D6EF3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98CE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贴花 / 光投射器过滤</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40E3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9194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控制贴花、投影的纹理过滤质量，保障渲染效果的一致性。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145F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91AC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68CFD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7051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FFF04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渲染-相机</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AF9B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景深散景形状</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E158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5E32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设定景深效果的视觉形状，其中方形渲染速度最快、圆形效果最贴近真实但计算开销最大，需根据画质需求与硬件性能平衡选择。</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B844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7056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C0BC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3CA4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FCD90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8763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景深散景质量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2BB7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AEB7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设置景深效果的质量。质量越高，采样的数量也越多，也会更慢，但看起来更平滑。</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8F28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B15E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6D43E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5D3B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7F85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6FD2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景深使用抖动</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A779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8B52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低采样率下隐藏线条瑕疵，柔化景深效果，画面或略带颗粒感，平衡效果与瑕疵的优化选项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02D1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C3C8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E26E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A34A5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B417B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渲染-环境</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A9C7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屏幕空间环境光遮蔽质量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7F3F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3DC5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调节环境光遮蔽精细度，平衡光影真实感与设备性能，适配多硬件场景。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3547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9B54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EA3E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AC89B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5051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3E03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一半大小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0B09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9929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以半尺寸渲染再放大，提升低性能设备流畅度，适配多硬件需求。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40F0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19F0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9349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3E625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51D2B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24DC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适应目标</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BAA2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8943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调节环境光遮蔽精细度梯度，匹配不同的光影质感需求。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81C1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92AF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ECC8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73DA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4D62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EA0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模糊通道</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0521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2ABA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调节环境光遮蔽平滑度，平衡画质与流畅度，适配不同需求。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69EF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F0D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7F4C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D630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6E30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CE8A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淡出起点</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E193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C385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设定环境光遮蔽的淡出距离，实现远景环境光遮蔽的隐藏效果。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BD18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4508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3859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EB20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4D5D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B5C4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淡出终点</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CE29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A87F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设定环境光遮蔽的淡出距离，实现远景环境光遮蔽的隐藏效果。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CB44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AAFF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DA56B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3709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EB1A5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BD3E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屏幕空间间接光照-质量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6984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D448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调节间接光照精细度，平衡画质表现与运行流畅度。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ABC8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74AC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B339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B61B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4C7B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BD57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辉光-放大模式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F5A5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419F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调节辉光放大方式，平衡运行速度与画面平滑度。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954E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2288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271A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F48E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3FD80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C6B6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放大模式.移动</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848E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DBAD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适配移动端的辉光放大方式，平衡移动端流畅度与画面效果。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7EAF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6AB3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30C9E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3D46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42BA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619F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屏幕空间反射-粗糙度质量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2205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3DC0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调节粗糙反射精细度，平衡反射自然度与运行流畅度。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5E4B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6187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8424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5EAC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966C2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8197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次表面散射质量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7B8C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EA7F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调节散射精细度与范围，平衡视觉效果与性能，适配不同需求。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6474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C7B7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E4DD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0930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0BD2D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1B8F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次表面散射比例</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CE37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A762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调节散射精细度与范围，平衡视觉效果与性能，适配不同需求。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E178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37BC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E7F3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ED80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EA84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9E85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次表面散射深度比例</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FED3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822F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调节散射精细度与范围，平衡视觉效果与性能，适配不同需求。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1774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01C0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6391C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3ADF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01C3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561A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体积雾-体积尺寸</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E6E3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0BB1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调节体积雾的缓冲、切片等参数，平衡雾效表现与性能消耗。</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FF17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AAB6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129C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BA8EF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1509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49A5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体积深度</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DFF8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CF73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调节体积雾的缓冲、切片等参数，平衡雾效表现与性能消耗。</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66CB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ECEC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E6C93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1045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1C7E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EA1F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使用过滤</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6AAC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4AEC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调节体积雾的缓冲、切片等参数，平衡雾效表现与性能消耗。</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3685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3799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82DBB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3B03B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2B1B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98F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默认-默认清屏颜色</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FB5F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4990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设定基础清屏颜色，适配场景视觉基调需求。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9B87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0FC5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D0357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C8EF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C43E7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9900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默认环境</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30DD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1556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配置场景兜底环境，适配场景环境缺失时的视觉呈现。</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05C9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4101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8AB56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5E35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C6010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渲染-视口</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2AC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高动态范围成像 二维</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DE4E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9002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高动态范围成像 二维 可提升三维渲染渲染的动态范围与色彩渐变表现，适配发光、细腻渐变等视觉需求，且兼容三维渲染渲染无需色彩调整。</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9EA0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461F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4F5C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5DDA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70571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A5B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透明背景</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67FB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A132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透明背景可实现根视口逐像素透明，适配场景透明视觉呈现需求。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3528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20F9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7005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73596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234A8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渲染-抗锯齿</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720D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多重采样抗锯齿 二维</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A481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6E2B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调节二维渲染的采样数，平衡边缘平滑度与运行速度，适配不同硬件与画质需求。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1250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8EDB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197A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7F1A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2567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104D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多重采样抗锯齿 三维</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3CD1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BD97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调节三维渲染的采样数，平衡边缘平滑度与运行速度，适配不同硬件与画质需求。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56C3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9F7A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A41A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B0198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CFB5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7BBE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屏幕空间</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1AC9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CC0F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启用快速抗锯齿模式，通过模糊处理优化边缘，适配不同性能与画质需求。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FFC7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6A75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B3FA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9C5D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E9140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0A4F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使用时间抗锯齿</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E0E9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D083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启用临时性抗锯齿，通过图像积累优化效果，适配不同视觉需求。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6F31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D5C0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B24A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62B4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B5585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1755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使用去条带</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694E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589B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优化三维渲染的带状条纹问题，按需提升画面整洁度。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67D2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0A4B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6D1F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A946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B79D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1B8C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屏幕空间粗糙度限制器-启用</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BE65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0292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轻度减少镜面反射锯齿，低性能消耗下优化视觉效果。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1803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5B4C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70EEA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818B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3E6D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EC22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4DD0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427E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轻度减少镜面反射锯齿，低性能消耗下优化视觉效果。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5A61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73DC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65364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E937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E1CF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55D9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限制</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2715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8C5A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避免显存过度占用或性能下降，超出上限时自动降级，保障渲染性能与平台兼容性。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6F35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2A0A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0E2A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E51F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13B97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渲染-缩放三维</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B663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模式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60C2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2360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选择三维缩放方式，平衡视觉效果与设备性能，适配场景需求。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DE5C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C0F6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C44D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9DFC5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61E3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7B72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缩放</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204D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5AC5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调整三维渲染缓冲区大小，适配不同画质与性能需求。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81F3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6290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BD0D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DBF7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29853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9B4B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超级分辨率锐化</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EE94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9649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调节放大模式下的图像锐度，匹配不同视觉清晰度需求。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ED37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2157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0533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786D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17FFE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渲染-光照贴图</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4F04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探针捕获-更新速度</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2463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3E66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设置光子贴图探测器动态对象光照的帧速率无关更新速度：值越高更新越快，可避免快速移动对象间接光照过时，但可能导致亮暗区域切换时闪烁，适配动态光照响应需求。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3625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51AA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B200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298D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CE566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99BA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基本网格-纹素大小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E110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55D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配置基本体网格资源的纹素大小，用于计算启用二级坐标映射后的光照贴图尺寸参考，适配光照烘焙的精度需求。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7815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CBBE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9C93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D790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12DE2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27B7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光照贴图 全局光照-使用双三次过滤</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71C1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E5E5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光照贴图全局光照双三次过滤：滤波优化光照过渡，兼顾画质细腻度与性能可控性，适配多元需求。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C06A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CCA1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D6F7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1239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1993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1D97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烘焙质量-低等质量射线数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B474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402D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设置低质量光照贴图烘焙的射线数量，适配低精度光照烘焙场景的画质与效率需求。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7BB5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4BBC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E498E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2C00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0B31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641D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中等质量射线数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1146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0864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设置中等质量光照贴图烘焙的射线数量，适配中等精度光照烘焙场景的画质与效率平衡需求。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FE93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2156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EBD7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6757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6FBF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D941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高等质量射线数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53BA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1F6F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设置高质量光照贴图烘焙的射线数量，适配高精度光照烘焙场景的画质需求。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3B87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9D78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5BDB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60D1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F750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73B4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超级质量射线数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950D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A383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设置超级质量光照贴图烘焙的射线数量，适配超高精度光照烘焙场景的极致画质需求。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09EB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60D4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697A2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1BAC6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5E7B4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8DAD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低等质量探针射线数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4ACC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1CF8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配置光子贴图探测器的射线数量，以轻量化方式实现动态光照效果，适配低性能设备或对光照精度要求不高的场景。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FE2B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086C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296F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E985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48B7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AC01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中等质量探针射线数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D4DD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B404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平衡动态光照效果与运行效率，适配多数设备及对光照表现有常规要求的场景。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75D4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8017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D51B7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8216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24602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BF5A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高等质量探针射线数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827F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A073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提升动态光照精细度与真实感，适配高性能设备及对光照表现有较高要求的场景。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166B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53EE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B08D4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6DB1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3B7E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6DF9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超高质量探针射线数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DDC2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EE0C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呈现动态光照极致精细度与真实感，适配高端性能设备及对光照表现有顶级要求的场景。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2B55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0408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A090B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2E64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348F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CA3E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烘焙性能-单通道最大射线数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5295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01D2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单通道最大射线数配置，可调整光照贴图烘焙时每遍投射的光线上限，适配不同场景以提升 图形处理器 利用率，缩短烘焙耗时。</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3DFA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2EDB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3A821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A0A6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8B84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365E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区域大小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0C2C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7D03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光照贴图烘焙区域大小配置，适配光照烘焙的区域划分与效率需求。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A1A3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1734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E800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C5F51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F9B6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3A47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最大透明射线数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93D8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916B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透明表面射线重试上限配置，可调整光照贴图烘焙时透明表面的最大重试光线数，适配不同场景以平衡烘焙效率与透明区域光照效果。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3780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A77A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E9CA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7716E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71FA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B67A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探针单阶段最大射线数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BA09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1371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动态光照烘焙单阶段射线上限配置，可调整每遍投射的最大光线数，适配不同场景以提升 图形处理器 利用率，缩短动态光照烘焙耗时。</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7913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231D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E4F14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C8CD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D8DA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F97F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降噪-降噪器</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BEAF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D21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光照贴图降噪工具选择，提供多种降噪方案适配不同需求。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16EB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5D91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0003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1603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9689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渲染-网格多细节层次技术</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3DD9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多细节层次技术更改-阈值像素</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0D45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64CE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反射探针网格自动多细节层次技术阈值配置，数值越高越倾向使用简化细节的多细节层次技术网格，0.0 时禁用自动多细节层次技术，可通过调整平衡几何细节与运行性能。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134D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E6CF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2904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349C7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DDE18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渲染-可变速率着色</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3737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模式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8A59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74FD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主视口可变速率着色默认模式配置，适配主视口渲染需求，平衡画面显示效果与运行性能。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6F56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FDE6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9196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0D5B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A9F9E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2E2A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纹理</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27A7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E388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可变速率着色纹理路径设置，适配可变速率着色的纹理模式需求，通过指定无损格式纹理文件，保障颜色呈现精准度以匹配渲染效果。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FB05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CABF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EC3A2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A3BD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E534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渲染模式</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503C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5A37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07A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选择适配不同设备的渲染模式，平衡性能与视觉效果，针对性优化不同场景下的渲染效率与体验。</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03BA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DA89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2E33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44C3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物理与动画模块</w:t>
            </w: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696AA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物理引擎</w:t>
            </w: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25184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在独立的线程上运行</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5534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5FDC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配置物理计算的运行线程，提升多核心资源利用率，适配不同性能需求的场景。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4BD7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F696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5741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5AC4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9DE2A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89C3F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默认重力</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CD8E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A9BE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 三维 内容的重力强度，定义内容中物体的基础受力规则，适配不同场景的物理表现需求。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B370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5F30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6F88E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E945A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89E04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F1FD4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默认重力向量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3C74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BF36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配置重力的方向，定义物体受力的方向逻辑，支撑场景的物理效果设定。</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AB75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B234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741C3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917C7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CA7C3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959D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默认线性阻尼</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1BD8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8B5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设置物体运动的减速规则，控制物体运动的衰减效果，适配不同场景的动态表现需求。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8D55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7332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62FA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F46C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CBD9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7A8C5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默认角度阻尼</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BA2E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B2D6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设置物体旋转的减速规则，控制物体旋转的衰减效果，优化动态表现的自然度。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C7AA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122B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B7ED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B7B5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5393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A7BD5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睡眠线速度阈值</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8D48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83C6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定义物体进入静止状态的速度条件，降低低动态物体的计算消耗，提升运行效率。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50D9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75B3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6783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C6A7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B76D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41DB2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睡眠角速度阈值</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BADB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A563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定义物体进入静止状态的旋转速度条件，进一步优化低动态场景的计算资源占用。</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3CB2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B12E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E7A9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EA91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3EC5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59CC0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睡眠前时间</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0DAF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CE72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物体进入静止状态的等待时长，平衡动态监测与资源消耗。</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5C5C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27B5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ADC1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DD744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9DEA0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CE03B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求解器迭代数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0FF4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0648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物理碰撞的计算精度，平衡碰撞效果的精准度与运行性能。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C89D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5F10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92D14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02469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63CD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7CD45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接触重迭代半径</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1DEF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9C2E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物体碰撞状态的检测范围，保障碰撞逻辑的连续性与合理性。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C419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CCB0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4D3C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56C7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3AC1B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EE9A6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接触最大分离</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193E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FB54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定义物体碰撞结束的距离条件，明确碰撞状态的边界规则。</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51EE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64D7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A328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153F0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4412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71002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接触最大允许穿透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7410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03A8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物体碰撞的穿透容忍范围，平衡碰撞效果的自然度与计算效率。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0FAB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0EC8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DDD2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321FD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0CE54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DCB4C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默认接触偏置</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7A9F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CDC2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物理碰撞的响应强度，定义物体碰撞后的分离规则，优化碰撞效果表现。</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2DB7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8230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A9F0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D656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74B4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E52D8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每秒物理周期数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CDE9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B60D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物理计算的基础频率，平衡物理效果的流畅度与资源消耗，需配合最大迭代数调整。</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C38C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4EA7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985D5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A232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C65A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8E58D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每帧最大物理迭代数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EFDE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47AC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限制单帧物理计算的最大次数，避免极端场景下的性能过载，保障运行稳定性。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F192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97E8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823A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DA6E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6830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33961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修正物理抖动</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26D6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177A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调控物理计算与实际时间的同步度，平衡场景时间一致性与动态效果流畅度。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32F4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F310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92D6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A6D7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146D3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6A37D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物理插值</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8241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9ECA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优化物理运动的展示平滑度，提升动态内容的视觉体验，需配合抖动修正关闭使用。</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C433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E968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3C76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D2BC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B4BC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439DC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启用对象拾取</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C156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3E77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开启视图内物理对象的选取功能，支撑交互场景下的对象操作需求。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CEE3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1EF6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38C8C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D69AE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A35A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35D9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速度 / 位置步数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41E0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DE9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配置物理计算的迭代次数，平衡模拟精准度与资源消耗，次数越高效果越准但性能占用越大。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6303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4E92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46D3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FF92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A9F5F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6E75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使用增强的内部边移除</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A13D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03F2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优化物体内部碰撞逻辑，减少异常碰撞问题，提升物理效果的合理性。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3900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3B83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396B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B7F39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DB71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1AC45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区域检测静态物体</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CFC8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4415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开启区域与静态物体的碰撞检测，支撑复杂场景的交互逻辑，需合理配置以控制资源消耗。</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3E8D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BB53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9F757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D027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B272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D8C32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生成所有动态约束</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15BC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7A2C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启用特定状态物体的碰撞交互，保障动态场景的物理效果完整性。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36F3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42C6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BD9B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A81D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A6CF4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62771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穿透度</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FC2A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0DA8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定义物体相互穿透的允许范围，平衡碰撞效果的自然度与计算效率。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2AC4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5333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9CDD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0396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4A0B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22496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推测接触距离</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C550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8EC8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设置碰撞检测的预判范围，减少物体穿透问题，需合理设置避免异常碰撞。</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D7D9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A0A0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87719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95DF1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5155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FCDA8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稳定因子</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7138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6BE0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调控物体位置误差的修正程度，优化物理运动的稳定性，避免过度修正导致异常。</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96E5F">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853A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5031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651A6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DCBD8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F382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质点半径</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AC37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5C8B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定义物体质点大小，避免布科类物体的异常贴合行为，提升物理表现合理性。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5C38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56ED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EE1C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FD56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80AE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F2EE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弹跳速度阈值</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FF8C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29EC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设置碰撞产生弹跳的最低速度，控制物体弹跳效果的触发条件。</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AA4A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16C0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0F35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FF330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1CFA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8136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睡眠相关配置</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48D5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5EBD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定义物体进入静止状态的条件，降低静态物体的资源消耗，提升运行效率。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1512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BB89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9B70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BC87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51DE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92EE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连续碰撞检测配置</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18E0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99F3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调控高速物体的碰撞检测规则，减少高速运动物体的穿透问题。</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B2BD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7D62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CDEA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E60D9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EC9A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1B79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物体对接触缓存</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DCE7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3C66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启用物体碰撞结果缓存，减少重复计算消耗，提升物理计算效率。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9E91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42CA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8C66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940DB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E2C9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0A68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查询 / 运动查询边缘移除</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53E2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4678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优化查询场景下的碰撞逻辑，减少异常碰撞问题，提升交互体验。</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7231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DEBA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9A3B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E2992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DC4C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A15C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启用光线投射索引</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53F8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B244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补充光线投射的碰撞信息，支撑更精细的交互需求，需注意资源占用变化。</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882C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D3D7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412F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B5F12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0636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21C3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恢复迭代数 / 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4A85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226A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配置运动查询中的穿透修正规则，提升动态查询场景的物理合理性。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4A7D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9E30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B35F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05FD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C6C7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EE72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碰撞边距小数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159B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436A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优化凸形物体的碰撞检测，提升碰撞逻辑的精准度。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9AA1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124F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21EA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D457D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2BB48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70A5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活动边边缘阈值</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F7B1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8855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优化复杂形状的碰撞逻辑，减少异常碰撞问题，保障物体状态切换合理性。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6460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9D5D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7644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491A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E7BA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7E2B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世界节点</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F76F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0D04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定义关节连接的参考节点，简化关节约束的配置逻辑，提升关节效果的可控性。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1A42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ED46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5998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15D7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52696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FF74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临时内存缓冲区大小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29B5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83A9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配置物理计算的临时内存，支撑复杂物理场景的计算需求。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007C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1424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2A2D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F7D7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4DDF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DF29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世界边界形状尺寸</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40EF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57AD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定义物理模拟的空间范围，避免数值精度问题，需平衡范围与检测精度。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01E3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343D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55BC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91CC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BEB6F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3667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最大线 / 角速度</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A1CB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080D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设置物体运动速度上限，保障物理模拟的稳定性，避免系统失控。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D04D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921A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CB63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B819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EB22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8291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最大物体 / 物体对 / 接触约束数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B84F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6F1D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定义物理系统的承载上限，保障系统运行的稳定性，避免超出后出现异常。</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CD19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05DD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FE5C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78AC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2397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动画编辑器</w:t>
            </w: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D80E2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动画管理</w:t>
            </w: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3F6963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967F66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创建一个空的动画。</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11AA44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8DA4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0BC9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92FC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636D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951C2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EB1E7F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管理动画</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764247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进入动画库，动画库主要用于针对动画物理文件，以及文件分组管理。</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351AD6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05FC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3D3D2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5ACB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D058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EA59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C7FCA1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复制</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C4D0E4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将当前动画复制到指定动画库中。</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912102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EE2F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43715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D79D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A19B9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AB2D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D1C7B2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重命名</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5F3404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名称修改当前动画名称。</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9F3656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053D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D6C7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AC25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68B5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8FD1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C69F17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编辑过渡方式</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C12741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打开跨动画混合时间编辑框。</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CCA1DD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237D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BF8AC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EA3E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0ED1C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C99C7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A9485B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在检查器中打开</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733EA4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在检查器窗口中显示这个动画资源的基础属性。</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3F90ED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799D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006C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2E6C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548C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E558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0F6432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移除</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CD15B1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移除当前动画，确认则移除，取消则关闭确认框。</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72A9C0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AA99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F8DF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CCDE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2063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7DC3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150A7B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复制轨道</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ED9F27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复制当前所选择的动画轨道。</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3E359B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592A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5938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EE3F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DEEF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14A2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368B1F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粘贴轨道</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F5DDB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快速复用已复制的动画轨道至当前动画，无需重新创建相同轨道逻辑，减少重复操作，提升动画制作的效率与一致性，助力动画效果的快速迭代与整合。</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EB27A0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448C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1ABA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E0A92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D816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A324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3BED0D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优化动画</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7A08FE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调用动画优化工具，精简冗余内容。</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1AC73FF">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1390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A58F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6B67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81DB5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49437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FDAC44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清理动画</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8FD4D6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调用动画清理工具，智能剔除冗余关键帧。</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9B61A3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6D4F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0832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7215D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D1DF7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35CB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131E9B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动画库</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0EC596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统一存储：将分散在场景中的动画资源整合到单个库中，避免重复创建。</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AA5AA2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FA59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BA3F3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1193C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776B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55C3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动画列表</w:t>
            </w: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99B579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下拉列表显示</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ACAE55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选择动画，当前属性列表和动画轨道区数据更新成选择的动画的数据，并且上一个动画如果在播放，也需要停止播放。</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D25208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7F53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FFAA7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69A5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E8C5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3EE0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动画步长</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FEF4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56D4BA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步长值的设定决定，动画帧与帧之间的间隔时间，同时也会影响动画的流畅度。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A66C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782C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AFF3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05F3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878F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7C55F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播放工具</w:t>
            </w: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6E0EB1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自动播放</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3FF1F2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用于动画播放操作，播放、停止播放、倒放等。</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39813B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9DF6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0F84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0A64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68ED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E23A3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393F47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倒放</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D1EB70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在编辑界面倒放动画，运行后不受影响。</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D20164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0227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7BD1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9C86F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E786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BDEF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A9A05A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结尾倒放</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2F84DC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在编辑界面从结尾帧倒放动画，运行后不受影响鼠标移动到按钮。</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D025E1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E56A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6507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4433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E147B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AFFB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320B11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暂停</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2256BC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暂停播放当前动画。</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50F178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BD6E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A47F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D4C0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2CBF0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4BBCD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5D44A0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从头播放</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1AA573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在编辑界面从动画开头正放动画，运行后不受影响。</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AF5CD9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DF4F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1AED2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2928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AA78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6884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92E535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播放动画</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EB33BC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在编辑界面从当前动画位置播放动画，不影响运行后。</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EC9971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FC6B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C1FE0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6C71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BF1D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108D5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B1DF26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动画循环</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F4E90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切换动画的三种循环方式包括不循环、正循环播放和反向循环播放。</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0F87E8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118C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0A48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501D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5656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50C05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1D8687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动画位置</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1CD841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在动画播放时，按当前动画播放进度百分比，显示在文本框中。在动画暂停时，手动输入数值，动画时间轴的播放线的位置，移动到文本框输入的比率数字的位置。</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FA99EB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DF43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9289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E15E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F2D3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A6AF0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时间轴</w:t>
            </w: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C885BA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内容展示</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CD1C26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展示整个动画工具的时间轴，灰色区域为当前动画的时间，白色区域作为预备时间区域。</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2EE089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B6DD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3B899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788C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B7D8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0A62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E29FBE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动画标记</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5E0F58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在时间轴添加标记，实现动画特定片段的单独播放，无需额外制作动画文件，提升动画复用效率。</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86AD22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68B0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5318A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0EAB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63DB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000000" w:fill="FFFFFF"/>
            <w:vAlign w:val="center"/>
          </w:tcPr>
          <w:p w14:paraId="49B4679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关键帧</w:t>
            </w: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5DD87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插入各类关键帧</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EF39A7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快速添加对应轨道类型的关键帧，支撑不同动画属性的编辑。</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59C2F1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3F97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6B39A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C4D6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095E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000000" w:fill="FFFFFF"/>
            <w:vAlign w:val="center"/>
          </w:tcPr>
          <w:p w14:paraId="42CB6D2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52B47B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插入方法调用关键帧</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93EAAF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针对方法轨道添加关键帧，弹出方法选择面板，实现动画中方法的触发配置。</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3686AC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D0E0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08E5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A6AFE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2C81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000000" w:fill="FFFFFF"/>
            <w:vAlign w:val="center"/>
          </w:tcPr>
          <w:p w14:paraId="6C9BB6A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AB70F9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多选关键帧</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718A34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支持点选或框选批量选中关键帧，提升动画关键帧的批量编辑效率。</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C6D012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0605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5E3E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D88D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F55A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000000" w:fill="FFFFFF"/>
            <w:vAlign w:val="center"/>
          </w:tcPr>
          <w:p w14:paraId="5890212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20DB60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剪切/复制/删除/粘贴关键帧</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AE60F9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关键帧的快速编辑操作，灵活管理动画关键帧数据，提升动画制作与调整效率。</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467A8F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5A6E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ED2E6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36BB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5361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71689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轨道帧设置</w:t>
            </w: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677C8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删除轨道</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BF2B41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一键删除整条动画轨道，快速清理不需要的动画数据。</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4BD796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6E74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1CC50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0E92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2FD4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F484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6BBACA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更新模式</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A4C1D6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选择属性更新的频率规则，适配不同动画细节的编辑需求。</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1A5255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7E23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1384C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6172F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3759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D83C3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BD3FDC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插值模式</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C0B5DC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配置关键帧间的数值计算方式，控制动画过渡的平滑度与效果。</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E20C3C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F90B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3F16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BF97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D693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0C360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7C93AD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循环模式</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6B687A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设定轨道的循环规则，实现动画的重复播放逻辑。</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AD891C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787E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322C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9768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0B19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C6925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D462C1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混合模式（音频轨道专用）</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B25BFD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控制音频轨道的音量调整权限，适配动画中的音频混合需求。</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318670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BD51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3AD1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59D7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BC95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652A37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时间轴控制</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51D1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7F52E2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用于设置当前动画的总时间</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399D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6F79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FC734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0220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1FC7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000000" w:fill="FFFFFF"/>
            <w:vAlign w:val="center"/>
          </w:tcPr>
          <w:p w14:paraId="5315D1E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轨道新增</w:t>
            </w: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D54721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属性轨道</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1B926E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用于筛选关联场景中符合条件的网格实例节点，给该节点添加属性轨道。</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7001A5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00A8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F008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4D5A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8AD4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000000" w:fill="FFFFFF"/>
            <w:vAlign w:val="center"/>
          </w:tcPr>
          <w:p w14:paraId="4FA3E67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948B41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三维位置轨道</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53D35B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用于筛选关联场景中符合条件的网格实例节点，给该节点添加三维位置轨道。</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088311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19E7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BE2F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608E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1EBF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000000" w:fill="FFFFFF"/>
            <w:vAlign w:val="center"/>
          </w:tcPr>
          <w:p w14:paraId="38A9021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BC0825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三维旋转轨道</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C1253F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用于筛选关联场景中符合条件的网格实例节点，给该节点添加三维旋转轨道。</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193DAA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3312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18E8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5218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1B17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000000" w:fill="FFFFFF"/>
            <w:vAlign w:val="center"/>
          </w:tcPr>
          <w:p w14:paraId="24F15C6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AB1757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三维缩放轨道</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602794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用于筛选关联场景中符合条件的网格实例节点，给该节点添加三维缩放轨道。</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1167D8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7A2D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92BF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3ED4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E5D9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000000" w:fill="FFFFFF"/>
            <w:vAlign w:val="center"/>
          </w:tcPr>
          <w:p w14:paraId="37DFA68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BE6A17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混合形状轨道</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77AC82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用于筛选准关联场景中符合条件的网格实例节点，简化混合形状动画配置，提升动画制作的精准度与效率。</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EE66FE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3869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EAB3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32F9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9A7D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000000" w:fill="FFFFFF"/>
            <w:vAlign w:val="center"/>
          </w:tcPr>
          <w:p w14:paraId="54A7954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3E1754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方法调用轨道</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844F64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支持场景全节点检索与名称模糊筛选，为方法调用轨道匹配目标关联节点，提升节点选取的灵活性与精准度。</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E3AD67F">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2E84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FEB1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86A5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23E1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000000" w:fill="FFFFFF"/>
            <w:vAlign w:val="center"/>
          </w:tcPr>
          <w:p w14:paraId="73F3D8D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31C148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贝塞尔曲线轨道</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3AF1C3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提供场景全节点检索与名称模糊筛选能力，为贝塞尔曲线轨道匹配目标关联节点，提升轨道节点选取的灵活性与精准度。</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700DC7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D0A8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3DF2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A704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92B1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000000" w:fill="FFFFFF"/>
            <w:vAlign w:val="center"/>
          </w:tcPr>
          <w:p w14:paraId="5410117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463316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音频播放轨道</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6DCB5D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为音频播放轨道提供专属节点筛选机制，仅支持选取音频流播放器节点及其子类节点，确保轨道关联节点的类型有效性与功能兼容性。</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E1249E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B42A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FE44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D477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D8C11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000000" w:fill="FFFFFF"/>
            <w:vAlign w:val="center"/>
          </w:tcPr>
          <w:p w14:paraId="7F53F42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48C70B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动画播放轨道</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12BD02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动画播放轨道提供专属节点筛选能力，仅支持选取动画播放节点及其子类节点，保障轨道关联节点的类型合规性与功能匹配度。</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C3C7C9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175B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4567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B7C0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E2EB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F2846D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轨道属性面板</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1F4A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5CD34D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展示动画属性列表，以及修改属性绑定等基础操作。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FD2F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5B5A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F3FD2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A24AB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E001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4EF3BA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时间轴缩放</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2227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D67F0A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用于缩放时间线和编辑轨道。</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3AD3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CB32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4491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94A6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0F5E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000000" w:fill="FFFFFF"/>
            <w:vAlign w:val="center"/>
          </w:tcPr>
          <w:p w14:paraId="5CE2863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显示工具</w:t>
            </w: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5B3FA6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贝塞尔曲线/普通轨道</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0E37AE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支持在贝塞尔曲线轨道与普通轨道间切换显示，仅对包含贝塞尔曲线属性轨道的动画生效，满足不同动画编辑精度的适配需求。</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9AA470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D41C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0AD3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23A6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36274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000000" w:fill="FFFFFF"/>
            <w:vAlign w:val="center"/>
          </w:tcPr>
          <w:p w14:paraId="42274E7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42EE23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点击场景树显示轨道</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A10099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只显示场景树中选中的节点的轨道，没有选择节点则显示空轨道。</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1E4057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15D9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132A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C82D5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42AF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000000" w:fill="FFFFFF"/>
            <w:vAlign w:val="center"/>
          </w:tcPr>
          <w:p w14:paraId="24CB44A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05C1CA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普通列表/节点分组</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66A085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切换成普通的列表或者分组的列表。</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C1360C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AACE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63FD3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ADCF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C9DB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000000" w:fill="FFFFFF"/>
            <w:vAlign w:val="center"/>
          </w:tcPr>
          <w:p w14:paraId="10FA794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吸附工具</w:t>
            </w: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477927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帧吸附</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597CD0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将当前选中的关键帧对齐到最近的吸附点。</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73CCDE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234D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0FCB2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565F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65F6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000000" w:fill="FFFFFF"/>
            <w:vAlign w:val="center"/>
          </w:tcPr>
          <w:p w14:paraId="1BB1D5C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555400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时间线吸附</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06BAE2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将时间线光标对齐到最近的吸附点。</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B8080E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6459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D351F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B5EE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交互与逻辑模块</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FB4D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运行此项目</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5ED9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A765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3E62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启动项目默认主场景，模拟最终发布行为，适配开发中后期的整体功能验证场景。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9A9B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4B2B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D2346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2CD33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233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暂停运行中的项目以进行调试</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0545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6A3E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E35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冻结项目状态，支持检查节点、变量等信息并实时修改，适配逻辑错误调试、性能分析等场景。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E1DB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683A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3EA7F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615BE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BC4B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导入</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0C83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6F22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BB9D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将模型导入引擎，并能对模型的参数进行修改。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8BDC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6B28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CA73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29F3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8BD7A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输入设备-指点</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429C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用鼠标模拟触摸</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61DC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D8BB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开启后鼠标点击 / 拖动可触发触摸输入事件，适配触摸相关功能的开发与测试场景，提升跨输入设备的功能适配效率。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A6E7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B4E9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DE82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83FD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2589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8045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用触摸模拟鼠标</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56FB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9005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开启后触摸屏点击 / 滑动可触发鼠标输入事件，适配鼠标相关功能的使用场景，保障触摸设备对鼠标依赖型功能的兼容适配。</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040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C8CC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D7E3E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DAAB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8731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输入设备-兼容</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2576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旧有刚刚按下行为</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DCDA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BFBF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控制输入动作按压 / 释放状态的判定规则，可选择忽略同一帧内的快速按压释放动作或捕获所有输入，适配不同场景的输入响应需求。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01C1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EDCF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0F8C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874D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2B8D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输入设备-数位板</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80F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驱动</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B4FB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2E34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指定平板设备的专用驱动，留空则启用默认驱动，保障平板设备的硬件适配与正常运行，适配不同平板硬件的使用需求。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94FA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B920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501A7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3856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879D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输入设备-缓冲</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9F87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敏捷事件处理</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D629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F6DC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控制输入事件的刷新频率，启用后可在空闲帧与物理帧前刷新输入事件，显著提升输入响应速度，适配高帧率需求或性能受限设备的交互体验。</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B291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F8E2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446E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7C8E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66435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扩展现实-开源扩展现实标准</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623B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8A88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704A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引擎启动时将自动设置并初始化开源扩展现实标准，支持虚拟现实 / 增强现实相关功能的运行，适配 扩展现实 设备的开发与使用场景需求。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FCD1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BEB2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A3BE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F0E3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C16B4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ADED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默认动作映射</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BBC9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3D45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配置默认加载的动作映射规则，统一输入操作与功能指令的对应关系，简化 扩展现实 设备等场景的操作适配，提升交互一致性。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3B8D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6096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750B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478F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A3D1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E366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构成因素</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AFCA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6874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指定开源扩展现实标准的配置对象为头显设备或手持设备，适配不同硬件形态的 扩展现实 设备运行需求，保障功能适配的精准性。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AF0A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5020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361B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6F991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0725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BABE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视图配置</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B359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45A3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指定开源扩展现实标准的视图配置，可选择单视场或立体渲染模式，适配不同 扩展现实 场景的视觉呈现需求，保障虚拟 / 增强现实体验的沉浸感与适配性。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BC5E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EC64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C172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7761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0D2D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8345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参照空间</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6631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ECB0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指定开源扩展现实标准的默认参照空间，为 扩展现实 设备的位置、姿态追踪提供统一空间基准，保障虚拟场景与现实空间的坐标一致性，适配 扩展现实 交互的空间定位需求。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111F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0C08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E980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5B2A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963A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E78D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环境混合模式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A802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28A5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指定开源扩展现实标准的环境混合模式，针对部分 增强现实 及穿透设备，由 扩展现实 合成器混合相机图像，适配不同 增强现实 场景的现实与虚拟画面融合需求，保障沉浸式体验效果。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11EC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361B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4C1E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6791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30AF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BBDF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注视点级别</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0148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5558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设定应用的注视点级别，控制 扩展现实 场景中注视点渲染的精度，平衡视觉效果与性能消耗，适配不同 扩展现实 交互的视觉需求。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B6BC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5FCF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E9AC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2BC29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E9CC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AE48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动态注视点</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F7DC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EBCD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根据帧率自动调整注视点级别，直至匹配预设的注视点级别配置，平衡 扩展现实 场景的视觉精度与运行性能，适配动态负载下的 扩展现实 交互需求。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7414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89A7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5B3D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6F59E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2F5C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12DA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提交深度缓冲区</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29EE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78F2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开源扩展现实标准将管理深度缓冲区并用于高级再投影，提升 扩展现实 场景的视觉连贯性，需注意部分引擎渲染特性可能无法兼容，适配对画面流畅度有高要求的 扩展现实 场景需求。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D1E0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676D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E17B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B39D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C32B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5F86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启动警报</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4A3B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977A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若开源扩展现实标准初始化失败，引擎启动时将显示警告弹框，及时反馈配置异常，便于用户排查 扩展现实 设备适配问题，保障调试与部署效率。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0C1A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F162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3A51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17B6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95A0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213C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拓展-调试工具</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BB17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A83A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在支持该扩展的 扩展现实 运行时上启用调试工具，可设置报告的最大严重性，助力 扩展现实 功能调试与问题排查，适配 扩展现实 开发场景的调试需求。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D6D1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F085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F515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FE18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BD22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A79A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调试消息类型</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4A2A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2AF5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指定请求调试消息的类型，精准筛选 扩展现实 调试过程中的消息类别，提升问题定位效率，适配 扩展现实 开发的精细化调试需求。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BC10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11FB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916D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1B488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CD19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扩展现实-着色器</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8D82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0EBA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6632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引擎将编译 扩展现实 功能所需的着色器，为 扩展现实 场景的渲染提供底层支持，保障虚拟 / 增强现实画面的正常呈现，适配 扩展现实 开发与运行的底层资源需求。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8C86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EBAF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2A19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9450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38387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输出面板</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69C3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清除输出</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93B2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32FC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清除输出控制台中展示的所有消息。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ADD5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F5CD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10F5F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2646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2AD6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27A9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复制选中项</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A3E9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632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用于复制用户在输出控制台中框选的消息内容。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A2E3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284E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9EF0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1F97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BEDF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AA4D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归纳重复信息条目</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9A90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EDE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将输出控制台中完全相同的消息合并成1条，同时显示该消息的出现次数。</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3AC8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F3BF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BA554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9AB8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082F5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9F43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聚焦搜索/过滤栏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9431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96E9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用于切换"消息筛选"框的可见性。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C40C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CF43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DF72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9927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A4242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76A7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切换标准信息输出的可见性</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6FB0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0C05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决定输出控制台中的白色消息(即标准输出消息)可见还是不可见。</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7581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5710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9FE4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28CD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3A55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0BDE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切换错误的可见性</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7B1A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3FF8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决定输出控制台中的红色消息(即错误消息)可见还是不可见。</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AD85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E2BF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CE9E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711B2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026B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2DB0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切换警告的可见性</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62E0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A37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决定输出控制台中的黄色消息(即警告消息)可见还是不可见。</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2338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1256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81E9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5FF0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DFE9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3C0B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切换编辑器消息的可见性</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4251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17CE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决定输出控制台中的灰色消息(即编辑器消息)可见还是不可见。</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B3D8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ED6F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1D14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FE43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09E1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删除事件</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3E07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20AB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ECA1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移除当前输入动作中绑定的指定输入事件，清理重复或无效绑定，删除后该事件不再触发对应输入动作。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5FAA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6F5A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FD6A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8781E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1DCF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分组</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A1ED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A9C3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2D36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支持为节点创建并添加到指定分组，实现运行时批量访问、控制节点，高效管理同类节点逻辑。</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850C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F835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B1A9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058A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6B6A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着色器全局量</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0BC2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添加着色器</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92A5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BFE2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为选定材质或对象创建并绑定新着色器文件，支持自定义渲染效果、光照模型及后处理逻辑。</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9FA3F">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D310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216A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E407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3601D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着色编辑器</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D6BF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可视化编辑器</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B471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E48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可视化拖拽连线编辑器，控制脚本编写着色器代码。</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FA79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5BA7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FBE3C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2AE0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5D0C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864E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脚本编辑器</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72C9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9C7B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手写着色器代码，适配复杂着色需求代码编辑器编写。</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BA3BF">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443D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D21A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DB55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2EF0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场景选项卡</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E558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D745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2E7E22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管理场景层级、节点与实例化操作。</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FEB8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6958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EA71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9361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4857D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基础工具</w:t>
            </w:r>
          </w:p>
        </w:tc>
        <w:tc>
          <w:tcPr>
            <w:tcW w:w="117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4B5675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选择模式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8E3C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73871F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快速定位目标操作对象，为后续编辑、调整、修改等操作提供精准指向，提升操作效率，避免误操作无关内容。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24D1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C4C8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C0CBD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EE80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2F19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E65851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移动模式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516B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F130FF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显示三维轴移动装置，支持单轴移动、平面移动。</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AA66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EDB4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41A8D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9593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98CC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085EDB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旋转模式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EDE7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8EC44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显示三维轴旋转圆环，支持单轴旋转、自由空间旋转。</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F082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5D29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489B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77786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1CF4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BBB773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缩放模式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F10A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CCCDF3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显示三维轴缩放，支持单轴缩放、统一比例缩放。</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A247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1629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0295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58AA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29E10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辅助工具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E86A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锁定节点</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6A04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5F0D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锁定节点无法被选中、无法通过鼠标操控。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0994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D49A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5459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8491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7869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DE8C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编组节点</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51B7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DAD7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编组后子节点被点击时，焦点会触发到编组的父节点。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7FEE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B322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8A31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7C98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7AFD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B811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标尺</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9AF2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B943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精准测量任意两点间的距离，为空间布局、尺寸校准等场景提供直观数据支撑，助力精准设计。</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5822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9721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4E14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84493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439EA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7AC6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使用本地空间</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BBF6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F2B3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场景坐标将切换为对象专属本地坐标系，相关操作装置的坐标轴会与对象自身方向对齐，所有变换操作均基于对象自身方位执行，适配需按对象固有姿态进行精准调整的设计场景，提升定向编辑的准确性。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6440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12F5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3744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5B54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A3556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95D4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吸附</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A86C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77DD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节点在移动、旋转或缩放时，会自动对齐至预设网格点、角度增量等基准值，确保操作精准规范，助力场景元素布局统一、尺寸 / 角度一致，提升设计效率与成品规整度。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3548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3501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66FF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9FEE5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09E9E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视图工具</w:t>
            </w:r>
          </w:p>
        </w:tc>
        <w:tc>
          <w:tcPr>
            <w:tcW w:w="117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79D00C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预览阳光</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80C1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755E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场景将即时渲染默认光照效果，直观呈现光影分布，也可隐藏光照显示。便于快速查看光照对场景的影响，辅助光影布局调整与视觉效果优化，提升光照设计效率。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4A8E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838C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39D7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9213F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D012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2149AE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预览环境</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8B9A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B048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提供场景默认环境的快速预览与关闭功能，直观呈现环境效果对场景视觉呈现的影响，助力环境配置调整与整体视觉风格优化，提升场景设计的精准度与效率。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5F56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F3D6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CD4C3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1C93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EFE9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03509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变换</w:t>
            </w: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8B59DB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聚焦原点</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BA0F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使相机移动到世界原点三维向量(0, 0, 0)，快速重置视角，便于检查场景布局或对齐对象。</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968C3D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0BD6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5B88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7E268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5102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E403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C97598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聚焦选中项</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999D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相机自动对准选中节点，放大至对象边界框，适配特定模型或节点的详细编辑场景。</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80E2C3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CBEB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97A3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BFC6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4602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9425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EB3304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将变换与视图对其</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9A96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使移动、旋转、缩放工具操作轴与相机视图对齐，按视角调整变换方向，适配复杂角度对象操作场景。</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7D03DF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BF4D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2569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445B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B9725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9DF5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09E57A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将旋转与视图对其</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3A976C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旋转操作轴与相机视图对齐，简化倾斜视角旋转控制，适配对象角度跟随相机调整场景。</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D6D910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F656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FCC9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B46A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10E3C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B232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BBE6CB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吸附到物体地面</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DB4D76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选中对象吸附至其他物体表面或地面，自动对齐高度，省去手动调整 坐标轴轴，适配场景构建场景。</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E48B17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B07E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4556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F62F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DAFB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9764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850BA0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变换对话框</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72ABD4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支持手动输入对象位置、旋转、缩放数值，支持多轴同步编辑，精准控制对象变换参数。</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B076F2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77F8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D9E0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92A7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E6CD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0E71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307787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设置吸附</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BABA63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支持网格、表面、增量三类吸附，精准控制对象变换吸附粒度，启用复选框后调整吸附距离与类型（点 / 边 / 面），实现对象精确对齐。</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05A92D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D5E7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9F6D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1BC79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3FD10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DB325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视图</w:t>
            </w: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7429D1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查看环境</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FF6E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场景环境的预览。</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2AE0A1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F9DD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FF8A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D4557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4138C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798F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B7BF33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查看原点</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2D7E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显示世界坐标原点的标记。</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60ABAB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82F6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E417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8653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4D9A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0793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0ED676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查看栅格</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29B7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三维网格线显示，定义单大小和颜色。</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1EDE99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6DA3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92B36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8042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0FABB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E661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7FB79E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查看小工具</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3DA4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显示或隐藏所有三维小工具</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FA5906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6FF8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FE7A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573E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0E49C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AE66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2FE2E7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查看变换小工具</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B62F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查看变换小工具显示移动、旋转、缩放的方向轴</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41108A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6EDA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866C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936C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207F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4BF2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AA9DB1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查看信息</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B2E3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查看信息显示选中对象的属性信息</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14AC26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3AA4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FCCF5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99BE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3B00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DD58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BA13C0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查看帧时间</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D697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显示实时帧时间和帧数数据。</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E8D24A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008A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768C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3CEA6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0529A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506E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7FCD95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音频监听器</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156C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启用相机作为音频监听点，预览三维音效。</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54E3A1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B581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5734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A424F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632D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9520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975E06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启动多普勒效应</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3597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启动多普勒效应，启用音频的多普勒效果，模拟移动音源的频率变化</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61EA8D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4677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8FA53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FE5C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6D69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0E4E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49A6DF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半分辨率</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907A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将渲染分辨率降至一半，加快预览速度。</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AC9AF3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7CAB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DB51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635B8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4F08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CDBF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工具设置</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7F25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74AB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预览阳光,预览环境设置</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9B4A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78D7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7536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FEA0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BE2C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85A8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切换（三维、界面、应用、脚本）</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5A59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BCA1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在不同编辑模式间切换，优化特定工作流。</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5C01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0E64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525F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CA73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8909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三维视图</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A6A0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6521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B439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三维开发模式，包含与三维场景开发相关的功能和工具。</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2033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1D3E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39AA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C376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898E9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脚本管理</w:t>
            </w: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24240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脚本文件管理</w:t>
            </w: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60CEE4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新建脚本</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E471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作用是初始化脚本模板，用户可立即编写节点逻辑或功能。</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2C56FC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09FE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6CB8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9F7B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33C31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8B60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507865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新建文本文件</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B990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创建纯文本文件。</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7D7780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54E3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FB0D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E804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5C42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38A0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659F6E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导入脚本文件</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F7A7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从本地文件加载现有文件。</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44D0ED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E04C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ACA88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1C27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829E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0ADA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4CD1F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重新打开关闭的脚本</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377B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重新打开关闭的脚本恢复最近关闭的脚本文件。</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E5BF4E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4CD4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E183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CD0F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1365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D2D4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5D3C8B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最近打开</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3395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列出近期访问的文件，允许快速重新加载。</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7037A4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1344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10129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055A6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A529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FE22B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A773EF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保存脚本</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B093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文件保存当前编辑的脚本或场景。</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3345D9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E552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D4443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A5AD5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8B42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75C9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D2C535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另存为脚本</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8287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另存为将当前文件保存为新名称或新位置。</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EF23EB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2C68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9E8C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A238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F38B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3D52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48A587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全部保存</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BD65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全部保存保存所有打开的脚本和场景。</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329EFD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EE82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0712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33280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F84E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9183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1A9675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软重载工具脚本</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FA43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重新加载工具脚本而不重启编辑器。</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B5DA49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7065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BD12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8F30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8443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7BF3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F683AB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复制脚本路径</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707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复制脚本路径复制当前脚本的文件路径到剪贴板。</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9361BB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ACB8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0A4A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D5504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6349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3EE2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0E97D2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在文件系统中显示</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23B2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在文件系统中显示在操作系统文件管理器中打开脚本目录。</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B6B9DC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2917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01CC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C83C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F83B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46B00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0177DE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前进/后退</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6177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回溯或前进浏览的文件。</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B5B72D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5B50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1B57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0EB8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E7D5A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D700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A7AB5A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主题显示</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1241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自定义语法高亮和界面外观。</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BE24C9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D217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2897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39E71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E290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662E5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DF3770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脚本关闭</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814D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关闭当前脚本。</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A429B2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137D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4EE96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7B421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5899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4ED9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2E389E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关闭全部</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885B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关闭所有打开脚本。</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623738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EF9B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D305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8072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C5CD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6CFC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FF1285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关闭其他选项卡</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1460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关闭其他选项卡功能。</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C7957BF">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C7D9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1555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C2C0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4F1B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BCDB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AAF2BC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关闭文档</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5607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快速关闭当前打开的场景、脚本或帮助文档等编辑页面，清理编辑器界面冗余的基础操作功能。</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611D6C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4B23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580F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61888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40ACD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EEB5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FDC64A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程序运行</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231B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实时预览场景运行效果,支持快速调试逻辑、验证交互与渲染表现的核心编辑器功能。</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4D0923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BAFA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8A16B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A3D9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4659E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2129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113F7B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开关脚本面板</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C299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快速显示隐藏编辑器中脚本编辑区域、切换场景编辑与代码编写视图的核心操作入口。</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6DD8FC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B673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7894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E6FB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1245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1345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脚本搜索</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0A6C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835C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快速定位代码中的关键字、函数或字符串，支持正则表达式和范围限制。</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DD67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50C4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E506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B016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B10EE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4346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搜索帮助</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A1B0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F1B5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本地或在线搜索关键字，提供结果列表和预览，支持过滤类别。</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B401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1FA5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D76A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0EF7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1754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86E0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前往上一个或下一个编辑文档</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7E38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7707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快速导航历史或最近文档，支持循环浏览所有标签页。</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8509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649D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9B83B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836F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643B7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651E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浮动脚本编辑器</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5A61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958B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支持多显示器布局或独立调整大小，便于同时查看代码和场景预览。</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0D8E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E787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F2780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6AFE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AFF6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C6C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筛选脚本（搜索框）</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D2F6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43DF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动态隐藏不相关脚本，支持名称或路径匹配，快速定位特定文件。</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862C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E205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F3F3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A543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E048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方法列表</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7CFD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7691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471C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提供一个可折叠的导航树，列出方法名称、参数和注释，便于快速跳转到特定代码段。</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F3FA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F625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B8DF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4964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6F80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自定义工具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A6C0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4D0C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F737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动态隐藏不相关脚本，支持名称或路径匹配，快速定位特定文件</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F2F6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01DE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55E64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A93D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资源管理与部署</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2AE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命令面板</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3641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BE92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6D21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高效导航工具，关键字快速执行操作，适配高频操作与命令行习惯。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3BBA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8177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15DA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1964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C96A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管理导出模板</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89A0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D71E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DB53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构建目标载体的文件，简化跨载体发布流程，保障模板与工具版本兼容。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B28E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406D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6E82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C11C6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A91B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停止目前运行中的项目</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35DA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E97A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806A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终止运行并释放资源、重置环境，快速退出测试或异常场景。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9B7E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BA2D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BCBB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E1ED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ED77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运行正在编辑的场景</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C022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35CA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B89D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直接运行当前编辑的场景，快速测试单一场景功能，适配早期开发调试。</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67AE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2F99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C434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F3F5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DFF1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运行自定义场景</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2CD3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2AED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5CA4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选择指定场景运行，灵活测试非主场景功能，无需修改主场景配置。</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3EE9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ED16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2257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5DCC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A76B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三维模型导入环境光</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AE70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D494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9310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控制三维模型导入时的环境光处理规则，适配不同场景的光照需求。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50EE3">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442C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D281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7AED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4DBC1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文件系统</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FAFE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跳转到之前/之后选定的文件夹/文件</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F06A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3BD125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记录用户在文件系统中的操作轨迹，帮助用户快速追溯和定位到上一次操作所在的文件夹或文件以及下一次操作所在的文件夹或文件。</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522F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126F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4917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CACA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DBAF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B3EEE3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文件路径</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74C4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03A026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展示当前选中的文件夹的路径。</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74FA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A166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07A5A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FF269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82BF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362A6B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修改拆分模式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9E9C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6A8F17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修改文件目录树和文件列表的布局呈现方式。</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9B24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60AA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3625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8676C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7819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565806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文件路径选择</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9F09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D6FDC2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选中某个文件夹,展示该文件夹中的所有文件。</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E531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3BA5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10DD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65FAF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45B8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749C69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筛选文件</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D321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C66B3C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用于在整个文件系统中快速筛选名称包含特定字符串的文件夹和文件。</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ACC0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24EA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897CD">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58B3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F418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8F06E6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文件排序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E16D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D351A0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更改文件排序方式。</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AF7E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D35D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29BC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949D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93CF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1F912B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查看项目方式变更</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7A92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C2C5E8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调整文件列表的展示布局，适配不同的资源浏览习惯。</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3179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B0CD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868F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A757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18A2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12861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文件夹列表</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A549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新建文件夹</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2CA24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创建新文件夹，实现资源的层级归类。</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80DD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774D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37F5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3812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A037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5214A">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E0F4B2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新建三维场景</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4E45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选择三维场景类型、自定义名称等参数，生成三维场景文件，支持查看文件基础信息。</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A730031">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AD3A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E6C9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CE7A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C226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6AC23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98F201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新建脚本</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2DD8AB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配置语言、模板等参数，生成脚本文件，支持查看文件基础信息。</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A68C9E5">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3879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DDDD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8BA8C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3D172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35BF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97D0FB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新建资源</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3E9122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新建不同类型资源文件。</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136297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818A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CDA57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87BD5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FE9A4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F6F7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103F08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新建文本文件</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C4B88D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自定义路径、名称等，生成文本文件，支持查看文件基础信息。</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B954C2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312C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1F20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6FC9D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30B33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32FE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749541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在文件管理器中打开</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7BD42B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在文件管理器中打开所选文件夹。</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3B5A27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9AB9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0BBE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E67D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5AED5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4D0A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文件列表</w:t>
            </w: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73F79D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打开</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CEC179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打开所选文件的编辑面板。</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014F17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D2AE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6999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1E22E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6282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9560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D8D171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编辑依赖</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2EA6B3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编辑当前所选文件的依赖项。</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0A9C2EF">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BC10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3152F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6F80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E39B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F9B4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148CA6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查看所有者</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F6C1A0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查看当前所选文件被哪些文件依赖。</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90E2F5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F34E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477C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54C1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5F34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F5DB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5FB3F0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D2EF1A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当前所选文件夹下新建子文件夹或各种资源文件。</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0DB9FC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6356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7F19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F3C8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C31DC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F3DE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BEECCC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复制路径</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00C5E8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将所选文件夹或文件的相对路径复制到粘贴板中。</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A3DB41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580A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1E3A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D30B8">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7F55C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5114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B7F041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复制绝对路径</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67A828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将所选文件夹或文件的绝对路径复制到粘贴板中。</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86E8A5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ABFF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B5DD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E39D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8C4E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7055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3DBCAC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重命名</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5F7F5E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修改文件夹或文件的名称。</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6487AE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A155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1643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AF7F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83C7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A4B59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FFFB1B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复制为</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1B72BC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将所选文件夹或文件拷贝一份到同级目录下。</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FDE769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61C47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8E51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68A8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9CD53">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1D08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021F7D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移动/复制到</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2FDD58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将某个文件夹或文件拷贝一份或者剪切到指定目录下。</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4B76160">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9FE9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9AF5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9A49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22FB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31A7E">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9112B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删除</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2D4765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删除某个文件夹或文件。</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98E5864">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DA06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3BA3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A3026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3FE7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51C8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D9770F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添加到收藏</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FF89C0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将文件夹或文件添加到收藏列表。</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DE5CCD6">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930A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75B4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C78A5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8F17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273A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4E2194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在终端中打开文件夹在外部程序中打开</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15E9F2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打开操作系统终端窗口并定位到当前所选文件夹。</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E09DB7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A42E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1500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21FFA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C6C5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F391F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E58AD9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在文件管理器中显示</w:t>
            </w:r>
          </w:p>
        </w:tc>
        <w:tc>
          <w:tcPr>
            <w:tcW w:w="46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F573B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打开操作系统的文件管理器并定位到当前所选文件夹。</w:t>
            </w:r>
          </w:p>
        </w:tc>
        <w:tc>
          <w:tcPr>
            <w:tcW w:w="6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C33944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CAB6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9F00F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952B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07E1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内存-限制</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DB2B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8B55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8858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配置消息队列的内存上限，保障高负载场景下的任务调度有序性，避免内存耗尽问题。</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2AE2F">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A8E5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ABDDA">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0F60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E410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文件系统-导入</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7F51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6DDE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2F95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启用特定格式三维文件的自动转换导入，适配不同工具的资源格式需求。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65E12">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A53C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A399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55BEE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AAA7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重置默认</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27A8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F26EB">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A682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一键恢复所有资源导入器参数至引擎初始默认值，快速回退误改或兼容性问题导致的异常导入配置。</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681BC">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D714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AC34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9F7E6">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9749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文件保存</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1D08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856B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7688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存储资源导入配置为默认规则，统一资源导入规范，保障跨场景的资源质量一致性。</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BA1D8">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4751D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DEC57">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32E9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高性能技术栈</w:t>
            </w: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EAD28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多线程-工作池</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A9A6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最大线程数</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4E715">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52F2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设定工作线程池的最大线程数，合理分配系统线程资源，保障多任务处理的效率与稳定性，适配不同计算负载的场景需求。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236E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1B22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C7823">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F623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9BC89">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BF87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低优先级线程比率</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E172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D303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设定工作线程池中为低优先级任务保留的线程比例，取值不超过中央处理器核心数减一且至少保留一个低优先级线程，优化线程资源分配，适配不同优先级任务的并发处理需求。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1AC5E">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2D60E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6F217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41730">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CCDF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全局光-半分辨率</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980B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511D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1196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精简渲染计算量，降低设备硬件资源占用与运行耗时，实现中低端设备流畅运行含全局光照的三维场景，提升场景适配性与用户使用体验。</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7DF6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3DAA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CF2DC">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D9D9E">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B5B0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体素全局光照质量</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4DAEF">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98F6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EFDE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渲染模块中 “全局照明” 子模块的核心配置项，无需重烘焙体素光照数据，通过调整质量等级平衡光照 / 反射真实性与渲染效率，适配不同硬件及业务的三维场景需求。</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D563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8558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AE57B">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09395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DCA0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探针射线数</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A1552">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D6AD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32A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调整每帧射线发射数量，平衡画面效果与渲染性能，适配不同画质及设备</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F0EC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5C9D2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C301F9">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2826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91E7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收敛帧数</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AC5A1">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EBA8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EC95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设定带符号距离场全局光照达到稳定效果所需的帧数，帧数越高噪点越少，但光照完全收敛耗时越长。</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9C457">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1D026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DA93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4B884">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2C1D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更新灯光帧数</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74498">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3886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00DC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设定带符号距离场全局光照中动态光照间接效果的更新所需帧数，帧数越高动态光照间接光照更新越慢，但在动态灯光数量较多时能降低硬件负载、提升整体渲染性能。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88D2A">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3BCD4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C8C525">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C1DC1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C663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强制顶点着色</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A7C0D">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B7A30">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9DB4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所有渲染采用顶点着色方式，显著提升性能，同时大幅降低画面质量，是平衡低端硬件与基础渲染需求的优化选项。</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205D9">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7E17D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40CFF">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31E8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7758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强制轻量材质照明</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4E027">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5D3BC">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9F87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替换材质照明模型，提升渲染速度，适配对效率要求较高的场景；对应移动载体的配置则优先保障流畅度。</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415EB">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r w14:paraId="00B68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AAC32">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A3FD1">
            <w:pPr>
              <w:snapToGrid w:val="0"/>
              <w:ind w:left="0" w:leftChars="0" w:right="0" w:rightChars="0" w:firstLine="0" w:firstLineChars="0"/>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AABA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脚本扩展</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831C4">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4156">
            <w:pPr>
              <w:snapToGrid w:val="0"/>
              <w:ind w:left="0" w:leftChars="0" w:right="0" w:rightChars="0" w:firstLine="0" w:firstLineChars="0"/>
              <w:jc w:val="left"/>
              <w:rPr>
                <w:rFonts w:hint="eastAsia" w:ascii="宋体" w:hAnsi="宋体" w:eastAsia="宋体" w:cs="宋体"/>
                <w:i w:val="0"/>
                <w:iCs w:val="0"/>
                <w:color w:val="000000"/>
                <w:sz w:val="18"/>
                <w:szCs w:val="18"/>
                <w:u w:val="none"/>
              </w:rPr>
            </w:pP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4453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基于系统级编程语言现引擎脚本层的性能加速。</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DC67D">
            <w:pPr>
              <w:snapToGrid w:val="0"/>
              <w:ind w:left="0" w:leftChars="0" w:right="0" w:rightChars="0" w:firstLine="0" w:firstLineChars="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w:t>
            </w:r>
          </w:p>
        </w:tc>
      </w:tr>
    </w:tbl>
    <w:p w14:paraId="7443C386">
      <w:pPr>
        <w:pStyle w:val="62"/>
        <w:rPr>
          <w:rFonts w:hint="eastAsia"/>
          <w:lang w:val="en-US" w:eastAsia="zh-CN"/>
        </w:rPr>
      </w:pPr>
    </w:p>
    <w:p w14:paraId="53F8A553">
      <w:pPr>
        <w:pStyle w:val="19"/>
        <w:widowControl/>
        <w:kinsoku w:val="0"/>
        <w:autoSpaceDE w:val="0"/>
        <w:autoSpaceDN w:val="0"/>
        <w:adjustRightInd w:val="0"/>
        <w:snapToGrid w:val="0"/>
        <w:spacing w:before="225" w:after="0" w:line="220" w:lineRule="auto"/>
        <w:ind w:left="139"/>
        <w:jc w:val="left"/>
        <w:textAlignment w:val="baseline"/>
        <w:outlineLvl w:val="2"/>
        <w:rPr>
          <w:rFonts w:hint="eastAsia" w:ascii="宋体" w:hAnsi="宋体" w:eastAsia="宋体" w:cs="宋体"/>
          <w:b/>
          <w:bCs/>
          <w:snapToGrid w:val="0"/>
          <w:color w:val="000000"/>
          <w:spacing w:val="-4"/>
          <w:kern w:val="0"/>
          <w:sz w:val="24"/>
          <w:szCs w:val="24"/>
          <w:lang w:val="en-US" w:eastAsia="zh-CN"/>
        </w:rPr>
      </w:pPr>
      <w:r>
        <w:rPr>
          <w:rFonts w:hint="eastAsia" w:ascii="宋体" w:hAnsi="宋体" w:eastAsia="宋体" w:cs="宋体"/>
          <w:b/>
          <w:bCs/>
          <w:snapToGrid w:val="0"/>
          <w:color w:val="000000"/>
          <w:spacing w:val="-4"/>
          <w:kern w:val="0"/>
          <w:sz w:val="24"/>
          <w:szCs w:val="24"/>
          <w:lang w:val="en-US" w:eastAsia="zh-CN"/>
        </w:rPr>
        <w:t>2、数字道路孪生应用</w:t>
      </w:r>
    </w:p>
    <w:tbl>
      <w:tblPr>
        <w:tblStyle w:val="44"/>
        <w:tblW w:w="9165" w:type="dxa"/>
        <w:tblInd w:w="-28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01"/>
        <w:gridCol w:w="716"/>
        <w:gridCol w:w="1075"/>
        <w:gridCol w:w="1616"/>
        <w:gridCol w:w="4351"/>
        <w:gridCol w:w="506"/>
      </w:tblGrid>
      <w:tr w14:paraId="3455D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2AA6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系统</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8C33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模块名称</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CF80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一级</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DFE5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二级</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8833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业务事项</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B4EA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14:paraId="6AEE1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1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359E7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创新大道可视化孪生展示</w:t>
            </w:r>
          </w:p>
        </w:tc>
      </w:tr>
      <w:tr w14:paraId="50563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49F5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设备接入管理</w:t>
            </w:r>
          </w:p>
        </w:tc>
        <w:tc>
          <w:tcPr>
            <w:tcW w:w="7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E75A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智慧道路设备管理</w:t>
            </w: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23F8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创新大道智慧道路设备管理</w:t>
            </w: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B6A4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道路边缘计算单元管理</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1C9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边缘计算单元基础信息清单</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54BC88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8474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AE5E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1EAA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8D6C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4B6009">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107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边缘计算单元基础信息列表</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0F5DBE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8C78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207F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D2AC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401E1">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4253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111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新增边缘计算单元设备管理</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206355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1B23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FE6C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ECAB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3622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E319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00D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边缘计算单元设备基础信息</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153817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3C63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958B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5088E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203CA">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688A2">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FBA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边缘计算单元设备基础信息展示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87805F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9CC1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A8044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F57F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65D40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DCAB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8E5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编辑边缘计算单元</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60C221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1F36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C09F0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EA6F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0E525F">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17D89">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105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删除边缘计算单元</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394016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64F7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2D42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8D76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05E7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FCAC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DC1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查询边缘计算单元</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B413A3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0111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27396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3B39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F1D6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30F8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BCC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边缘计算单元操作更新</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BD6126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82DA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EE2F8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A100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3BE53">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A5868">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8FB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边缘计算单元建立关联关系</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948A4C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B1E5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0066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CE8E2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6AA7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A3FD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6F5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边缘计算单元关联关系</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872ECD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1CE9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F55F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9650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E7A6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8EBE3">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A6D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边缘计算单元注册</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4F736A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779D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F358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E912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63C24A">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CE011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3D2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边缘计算单元远程控制连接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47CECE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20B3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FBBA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A1E8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A9FD1">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F911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F06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边缘计算单元在离线状态信息</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C9F913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BB71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9261C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CFD68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D4303">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85837">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260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边缘计算单元在离线状态展示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E88119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88A2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6D7F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C3D30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9D44A5">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D0A889">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395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边缘计算单元设备远程控制</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1944AA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AE2B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407D3">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B471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52AC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08A1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9FF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边缘计算单元设备远程开机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68222B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64A1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FD7A9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5F59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F49D1">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CF3D2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082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边缘计算单元设备远程开机操作是否成功状态显示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FF7F46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0E94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BD9F0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4812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F9CBC">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FA19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FA5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边缘计算单元设备远程关机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F26D4F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8DCB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24A86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1BA4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422A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5612D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9B1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边缘计算单元设备远程关机操作是否成功状态显示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FD7288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C73C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5D84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43D7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7F83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5E902">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6B9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边缘计算单元设备远程重启</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5564A6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D23A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764C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2BDC1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119C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F4FD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2CE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边缘计算单元设备远程重启操作是否成功状态显示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57BBB5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114F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E4393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7D52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913F6">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646A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道路摄像头管理</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CF0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摄像头管理配置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750B2E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9706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781C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C3D05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FA47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C4C972">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0DD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摄像头批量新增</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710BCC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6758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B6F2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BA64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640A3">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9794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B2A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摄像头编辑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8A3F0C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B038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900B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02234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E19D9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EB23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1C6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摄像头信息导出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F8E14A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A7BF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1C30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6787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7C6C0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5AF7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6F0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摄像头删除</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2D8C4E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0354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10B7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AD16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9C38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5129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BD7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摄像头列表展示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3954C0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3A56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BE7A2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2932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074F0C">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9572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224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摄像头查询</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ECBC74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7D52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72137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1E8C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042E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189C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100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摄像头与其他设备关联</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461C55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EB7D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E00C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10F2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0603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521B3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757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摄像头注册</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B361FF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D191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15AD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6D3B2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6A8B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D6AB1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463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摄像头拉流管理</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3780F6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EAC4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D2A7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EB41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FCF08">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7D2F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道路雷达管理</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17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雷达管理</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DE1982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7B18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22F4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42F2C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77D43">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F977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8A7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雷达批量新增</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3B8DE6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8E6A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5A6C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DD6A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997D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001FA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EF1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雷达编辑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B8D5E9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1461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DA833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EC58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5614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19414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65C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雷达信息导出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403478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70C7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5D7A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E1C1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F2B8C5">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BB17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C6E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雷达删除</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CD043F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003C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D00C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594A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8C42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BD711">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E53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雷达列表展示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0FC585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0CC1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E03F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9DAE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549BB5">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697C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933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雷达查询</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7AD8A1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B2BD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F1AA0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3670A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A524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62B31">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04D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雷达与其他设备关联</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263FD7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956F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1AE0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51E4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CA12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7DEB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345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雷达注册</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06B932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014A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33134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288D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421E4">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288F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道路信号灯采集器管理</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C7A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信号灯采集器管理</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029567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2208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1BC3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47544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D5055">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6F3F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0F2E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信号灯采集器批量新增</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80CBC4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BB4E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95B4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5E1F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A7D8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9E691">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A87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信号灯采集器编辑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8B1658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FA52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229D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84ABC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EA62E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82C96">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CCD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信号灯采集器信息导出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C0CF4B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1376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E96B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DAA2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E5670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DFFB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BFF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信号灯采集器删除</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E3F23B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96F8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1565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E6475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82963">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12F34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634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信号灯采集器列表展示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309DAE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DA96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72FA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E851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A232D5">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05BE3">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04E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信号灯采集器查询</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65E0B1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618E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E5DF8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44B7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CFB2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E57F7">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620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信号灯采集器与其他设备关联</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D32602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FB65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5146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F9E7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E2CD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6AB28">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C46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信号灯采集器注册</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4EC475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15E2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56C5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AB8A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6FB5D">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49B8F6">
            <w:pPr>
              <w:keepNext w:val="0"/>
              <w:keepLines w:val="0"/>
              <w:widowControl/>
              <w:suppressLineNumbers w:val="0"/>
              <w:spacing w:after="200" w:afterAutospacing="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道路信号灯数据管理</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FF1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信号灯拓扑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129819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06F4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916A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927E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3130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8902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86D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新增信号灯灯组数据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17CC6F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ABEE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91CA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6F9E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4BE53">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7C65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2B0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新增信号灯灯组数据展示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5F894F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1E31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C3B5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7A03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34D0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4A56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E6D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编辑当前信号灯灯组数据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36ADEC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8B06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F9F23">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2DA5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68C7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2B2B6">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885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编辑后対应更新信号灯灯组数据展示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22DD997">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CF13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17AF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1E89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0B73E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F02A32">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7DA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删除当前信号灯灯组数据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360DC0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FF2A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0D04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23A9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E855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93E1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27D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删除后対应更新信号灯灯组状态更新展示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DEACDE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FE20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D629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8AD4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E73D9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BDB12">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87D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信号灯灯组配置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F8FCB5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0DFD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EDCDE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A21E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4FBE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02AA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BCB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新增机动车信号灯数据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CDFFFE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31A3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49206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093C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396DC">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57C37">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B28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新增机动车信号灯数据展示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18BD42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9730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B2E6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FFF7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E9D6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8EAC1">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48D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编辑当前机动车信号灯数据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66E738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C9EF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26353">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BBEC3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3BED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9BA6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E57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编辑后対应更新机动车信号灯数据展示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AB5D96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584B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1A60E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5EE7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304E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D8468">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3FF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删除当前机动车信号灯数据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21EB54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4F5D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D518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95C3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C6FF5">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036E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06B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删除后対应更新机动车信号灯状态更新展示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FBFCE67">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C5CD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CF07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B4245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E948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DD50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F58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机动车信号灯基础数据配置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746B4D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78A9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2F24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56AA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4872F">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3EA5C1">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AA9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机动车信号灯道路方向展示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ED47BC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0699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03BD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36B1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68761">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D5957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8C3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机动车信号灯高精地图坐标位置展示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9916A0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0F13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E5EB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5C3E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CCB4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7A4E8">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345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新增非机动车信号灯数据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8F3347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6CA9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38396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7D6C1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BB8EC">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CB401">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380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新增非机动车信号灯数据展示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1F51F9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038D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BD562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8E96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6D753">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0FA509">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747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编辑当前非机动车信号灯数据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F23489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99EB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76A8F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D00B3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68214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024C7">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2EF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编辑后対应更新非机动车信号灯数据展示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9E5E0E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8BA7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0C91B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EB771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F84AA">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284D5">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CDD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删除当前非机动车信号灯数据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74D4FA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E71A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F718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A93A0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262F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25F1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BA8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删除后対应更新非机动车信号灯状态更新展示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CCA47C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6F86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4A4E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4221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4051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925D8">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37D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非机动车信号灯基础数据配置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D51F98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2797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F306A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216B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C802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73942">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7A8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非机动车信号灯高精地图坐标位置展示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F4157D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719F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0C9E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B26B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9104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2E54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2FC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新增行人信号灯数据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20D33B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3538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C5C0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313D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7B22A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DCCE5">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6C3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新增行人信号灯数据展示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5999EA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3169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5024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3AC6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D1BB6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36463">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9B1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编辑当前行人信号灯数据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D55847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E5DE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9A473">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1C21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6D8275">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69F27">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CD9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编辑后対应更新行人信号灯数据展示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EEFB6A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540C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81C7C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D9CD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1A319F">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C72DB2">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1AB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删除当前行人信号灯数据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EC5D32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8755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39D64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356F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98D3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1A2E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1AC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删除后対应更新行人信号灯状态更新展示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8AF69E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51D9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0EF8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2EC6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E704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D2555">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AE4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行人信号灯基础数据配置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85B7B97">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1471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91998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288EA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D291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13855">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A5D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行人信号灯高精地图坐标位置展示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80C043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B009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26B2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5467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28540">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ABAF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道路路侧点管理</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7FF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路侧点管理</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6827717">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190B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44B3C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28B5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6B226F">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960B3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179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路侧点批量新增</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77EB5D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2D1A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1936B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3FD2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19E8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3166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DDF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路侧点信息导出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E0EECC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AE14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976FD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3139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C8FA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444A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47C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路侧点删除</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8D92AF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E4AD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1DE0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CC2E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0209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8F87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C96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路侧点列表展示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3512E6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D73C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8DA6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01B0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8429B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48335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E1D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路侧点查询</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F97D49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5710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A021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BD4C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EFA8E">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00C7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道路路口数据管理</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CB3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路口数据管理</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6F0F5D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79AA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D23E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46F5C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026B1">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1C45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46C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路口数据批量新增</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84E784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DE48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6660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DBAE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DAFF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4D6C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415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路口数据信息导出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D24AD8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DD60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2278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400D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09E1A">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60A03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E64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路口数据删除</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115DAF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52BA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33D3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61E0D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C913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2A23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42B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路口数据列表展示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A25977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72B9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6C83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8E344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2865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2581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122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路口数据查询</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BF3CCC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9596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B3A5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BC12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BD0364">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7B02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道路数据管理</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C96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道路数据管理</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D4D64C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54C6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C22D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6E82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0362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DE506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3CA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道路数据批量新增</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3BC7E7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2964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4FF64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640C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7243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73F9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603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道路数据信息导出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B4A986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2CE7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6A9C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7F7F2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FE92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796732">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F84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道路数据删除</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587340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170B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04FD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9BC5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8A285">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DCD17">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036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道路数据列表展示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0A7196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E870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13464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CD88A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D5B9F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B509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EE3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道路数据查询</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F195EE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4FC1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5C2B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5897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05110">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BC0D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基础数据管理</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2B7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设备厂商管理</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DEF41B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B398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9C4C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9DC6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5CE2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420335">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5D3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设备型号管理</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402F7E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DDE8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FF7880">
            <w:pPr>
              <w:jc w:val="center"/>
              <w:rPr>
                <w:rFonts w:hint="eastAsia" w:ascii="宋体" w:hAnsi="宋体" w:eastAsia="宋体" w:cs="宋体"/>
                <w:i w:val="0"/>
                <w:iCs w:val="0"/>
                <w:color w:val="000000"/>
                <w:sz w:val="20"/>
                <w:szCs w:val="20"/>
                <w:u w:val="none"/>
              </w:rPr>
            </w:pPr>
          </w:p>
        </w:tc>
        <w:tc>
          <w:tcPr>
            <w:tcW w:w="7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615F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交通监控</w:t>
            </w: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DF7F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交通事件统计</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C29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今日交通事件类型分布</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C46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按照交通事件类型以横向柱状图的形式展示出今日发生的交通事件数量</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6E14B9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9F01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5575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072F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B24E97">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5DA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近1个月事件趋势分析</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DB7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以曲线图的方式展示出近一个月事件数量的趋势变化</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08650A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71B7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05D2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624B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4B016">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3C67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今日事件高发点位分析</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A35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对今日每个点位的事件数量进行统计分析，</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2600DB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5C63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D1CEE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060C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29F2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F13C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CF6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横向柱状图的形式展示出今日排名靠前的点位编号和事件数量</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26C034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6288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86B56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5896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69B0B">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3B10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近一周事件高发点位分析</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893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对近一周每个点位的事件数量进行统计分析</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4EE046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E316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F755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31BDD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91C26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05C44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EF6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横向柱状图的形式展示出近一周排名靠前的点位编号和事件数量</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84F3F1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7AE9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9FDB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4A2E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19DBC">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ECAC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近一月事件高发点位分析</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456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对近一月每个点位的事件数量进行统计分析</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D72333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9A83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1C4D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0949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1F4AA">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DC655">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12F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横向柱状图的形式展示出近一月排名靠前的点位编号和事件数量</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469EF5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C00B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6FE3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4CE7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1C2DE">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6018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今日路口拥堵时长分析</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081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对今日路口拥堵时长进行统计分析，</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54293D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F477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8461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6A60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57DF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EB8B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210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横向柱状图的形式展示出今日靠前的路口点位和拥堵时长</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2528DD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71DB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5DF8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B5F6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48EA25">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895C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近一周路口拥堵时长分析</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9B0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对近一周路口拥堵时长进行统计分析，</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0BC61F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97C2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71B2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854DD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233D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5A398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03B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横向柱状图的形式展示出近一周靠前的路口点位和拥堵时长</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916CC2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5073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6D4E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E054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8443A9">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1196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近一月路口拥堵时长分析</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306E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对近一月路口拥堵时长进行统计分析，</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5139B6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314B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C63D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CDC2F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3A91F">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22630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121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横向柱状图的形式展示出近一月靠前的路口点位和拥堵时长</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DDD326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7867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0C04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4FED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764CC2">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2708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路口路况类型分布</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9AE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按照实时拥堵和畅通情况统计路口数量</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9344E2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3952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1E57A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F830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AA29F">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11C0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9C7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对统计的路口类型分布以饼图形式进行展示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324F0C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F1B6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9206E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FC9E1">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4E31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交通事件列表</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2EE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全部事件列表</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C0D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以列表的形式展示出多类、当前及历史事件的详细信息，包含事件编号、事件类型、事件位置、事件状态、发生时间和结束时间；</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66A3B1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2650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464B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3177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8AEEEE">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9B0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交通事件查询</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DA3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支持按照事件类型、事件状态和发生时间进行查询</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06EB69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7239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F42C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65FB1">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7F88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交通事件详情</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2D8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事件基本信息</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E9C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选中列表或者地图上的事件图标均可进入详情页面，可查看事件编号、事件类型、事件时间等基本信息</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D1C2D87">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08A1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EA3F0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7A7C0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AD94D4">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4F6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事件位置标记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AF8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在地图上标记出事件的中心点位置，并详细展示的经纬度信息</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3905CA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92DC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125A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F129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366D5">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226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事件实时视频</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F3C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若事件未结束，则拉取发生事件对应路口的实时视频流</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3FE708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4BB1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7D465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31AC3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C0E7A">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7FA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事件历史视频</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A9D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若事件已结束，则根据事件的开始时间和结束时间匹配事件发生路口的历史视频流</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FC9E207">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D981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0F78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A1392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8A953">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178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事件视频切换</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0B0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用户可按需切换事件路口的摄像头，选择需要查看的视频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1BF528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813B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7"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28542">
            <w:pPr>
              <w:jc w:val="center"/>
              <w:rPr>
                <w:rFonts w:hint="eastAsia" w:ascii="宋体" w:hAnsi="宋体" w:eastAsia="宋体" w:cs="宋体"/>
                <w:i w:val="0"/>
                <w:iCs w:val="0"/>
                <w:color w:val="000000"/>
                <w:sz w:val="20"/>
                <w:szCs w:val="20"/>
                <w:u w:val="none"/>
              </w:rPr>
            </w:pPr>
          </w:p>
        </w:tc>
        <w:tc>
          <w:tcPr>
            <w:tcW w:w="7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95AE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设备监控</w:t>
            </w: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939D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信号灯分布</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CFA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信号灯地图可视化</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B5F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基于地图呈现平台接入信号灯分布情况</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83120C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A91B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34ED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8419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C9C15">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8B2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信号灯离线状态标记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BFE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若信号灯离线，则通过离线图标的方式标记出离线信号灯</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D539DC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9572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F53E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58A0B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9568D7">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9BD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信号灯故障状态标记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90A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若信号灯故障，则通过故障图标的方式标记出故障信号灯</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CE145C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FE8C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F2FA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C031E">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0849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信号灯详情</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F7A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信号灯基本信息</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3F9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信号灯所在路口信息和信号灯数据源信息</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0CFA2B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9B10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D31A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A2C9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7A2EF">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B94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信号灯灯组分布</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263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根据信号灯数据的配置信息，显示出路口内信号灯灯组分布</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DBE1A8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DD31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E397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5970E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4DB85">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E0E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信号灯实时灯色</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7F4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按照信号灯相位展示出信号灯的实时灯色</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94E046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83BA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53BF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9BE3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73F47">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8FA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信号灯倒计时</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1DF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按照信号灯相位展示出信号灯的倒计时</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8AF5F67">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60E9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F60B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1819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2ED902">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F85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故障详情</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9CE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若信号灯出现故障，支持查看信号灯故障详情</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44A0A8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5C67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E86E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DD9F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D34D09">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389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信号详情查看展示</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678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选择具体的信号灯，可查看信号灯的实时数据，包含全部相位的信号灯可视化模型、灯色状态、倒计时信息；</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483FDC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5069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9"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50EEB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B31C6">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F1B8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设备统计分析</w:t>
            </w: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8276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设备统计分析</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FBE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对平台接入的多类设备进行统计，包括计算单元、路侧通信单元、摄像机、雷达等设备数量统计；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82BDA8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5399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19597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CB35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A06F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2B932">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928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实时监测设备的在线状态，统计在线的设备数量，并进行展示。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97FC8C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2F0A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824C0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A27C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9744D">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2D70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设备数据量统计分析</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A78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平台接入路侧基础设施多类业务数据，并对数据量进行实时统计；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24762E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01DA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D2F1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3255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49D0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A8657">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569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支持以曲线图的方式展示出近5分钟的设备实时数据量。</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ECA10D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2E42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3F92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50AEB7">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2E67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边缘计算单元实时监控</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D04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边缘计算单元设备分布</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56D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根据项目中设备建设的边缘计算单元位置信息在地图上进行展示，能够直观表达出设备的分布情况</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803A23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D50C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B8CDB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7485D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36ED5">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7F3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边缘计算单元离线标记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A3C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若边缘计算单元离线，则通过离线图标的方式标记出离线设备</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A3B6D1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106F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9EEE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3272A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05153">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112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边缘计算单元故障标记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CB0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若边缘计算单元故障，则通过故障图标的方式标记出故障设备</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90785A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B58C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AFF8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1AE5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8DDE2">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28E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边缘计算单元快速查询</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CBE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支持通过输入设备序列号快速定位至具体的设备，点击设备可查看设备详情</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045F14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9570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C6129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024EBF">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2A4B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边缘计算单元详情</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96A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边缘计算单元基本信息</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C83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展示设备安装位置、编号、联网状态等基本信息</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F9EB00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761D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FBBBA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13D8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123C7">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A8A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边缘计算单元远程重启</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B7F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设备开机时，支持对边缘计算单元进行远程重启</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924DCB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D6DF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219B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36AA7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4579D">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7DF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边缘计算单元远程开机</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44A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设备关机时，支持对边缘计算单元进行远程开机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AB316F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3CA5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539E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2B77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706C8">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E3D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边缘计算单元远程关机</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4D9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设备开机时，支持对边缘计算单元进行远程关机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0AF01B7">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0760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62E8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5393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82F63">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2E2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关联设备列表</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25A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通过查询设备之间的拓扑结构，可自动关联设备，并以列表的形式展示关联设备的基础信息和联网状态</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F7F6AB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D046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B8C3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4460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2DA67">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6BC9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实时数据量监控</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D64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监控当前边缘计算单元上报的数据情况，对数据量进行实时统计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C6F3D4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C72E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D55A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FDFC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01F8F">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7D745">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658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支持展示数据量出近5分钟的趋势图</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7F15E7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8501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5FF2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3F42A">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15CE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路侧通信单元实时监控</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FAD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路侧通信单元设备分布</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3DF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根据项目中设备建设的路侧通信单元位置信息在地图上进行展示，能够直观表达出设备的分布情况</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89CC49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78A9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1EF6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BA6A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99A23">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E27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路侧通信单元离线标记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BF4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若路侧通信单元离线，则通过离线图标的方式标记出离线设备</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DE7754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B609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533A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6A642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7C436">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406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路侧通信单元故障标记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1F0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若路侧通信单元故障，则通过故障图标的方式标记出故障设备</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4EBC77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5E44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F3FCF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04EE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87E3F">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4CC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路侧通信单元快速查询</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638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支持通过输入设备序列号快速定位至具体的设备，点击设备可查看设备详情</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2429CA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6324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FBCF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12B7F">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0CEE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路侧通信单元详情</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07F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路侧通信单元基本信息</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F88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展示设备安装位置、编号、联网状态等基本信息</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C2ACC9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2283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38BF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D873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6078E">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11B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关联设备列表</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F9F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通过查询设备之间的拓扑结构，可自动关联设备，并以列表的形式展示关联设备的基础信息和联网状态</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1C9E127">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49AD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04A1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70B40">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EC2B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红绿灯采集器实时监控</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A02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红绿灯采集器设备分布</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BD5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根据项目中设备建设的红绿灯采集器位置信息在地图上进行展示，能够直观表达出设备的分布情况</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F66916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6850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A992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DDA4B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D74C03">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822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红绿灯采集器离线标记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23D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若红绿灯采集器离线，则通过离线图标的方式标记出离线设备</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68761B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D59C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F53F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A64A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A699F">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835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红绿灯采集器故障标记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166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若红绿灯采集器故障，则通过故障图标的方式标记出故障设备</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60B51A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8400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2079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3DE8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5F42A">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10B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红绿灯采集器快速查询</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B3A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支持通过输入设备序列号快速定位至具体的设备，点击设备可查看设备详情</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092A25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5296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F21D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883BB5">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1192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红绿灯采集器详情</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A3A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红绿灯采集器基本信息</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2D1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展示设备安装位置、编号、联网状态等基本信息</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4A8074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469C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3"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AA883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1301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F1A3C4">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EF1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关联设备列表</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4B8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通过查询设备之间的拓扑结构，可自动关联设备，并以列表的形式展示关联设备的基础信息和联网状态</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62AD9D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04B5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5393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67EAD">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F40E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摄像头实时监控</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840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摄像头设备分布</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25E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根据项目中设备建设的摄像头位置信息在地图上进行展示，能够直观表达出设备的分布情况</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9CAAEF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5A9A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7"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4AA7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93D25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BD895">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75D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摄像头离线标记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269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若摄像头离线，则通过离线图标的方式标记出离线设备</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53F3BF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550F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9C60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BCD3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971E7">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59C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摄像头故障标记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145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若摄像头故障，则通过故障图标的方式标记出故障设备</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DA991F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D0F3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8E7C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658ED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22AB90">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D84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摄像头快速查询</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7F8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支持通过输入设备序列号快速定位至具体的设备，点击设备可查看设备详情</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F1DC4D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6A9A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4A00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613F2">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BCCF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摄像头详情</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D7F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摄像头基本信息</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CF0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展示设备安装位置、编号、联网状态等基本信息</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205C55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6123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9"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4D74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D6E2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3655B">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0C9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关联设备列表</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241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通过查询设备之间的拓扑结构，可自动关联设备，并以列表的形式展示关联设备的基础信息和联网状态</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C16884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F5D1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9CE6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D9C7F0">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22AC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雷达实时监控</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5A1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雷达设备分布</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CD3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根据项目中设备建设的雷达位置信息在地图上进行展示，能够直观表达出设备的分布情况</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25095B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A918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1120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7752C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75559">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E81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雷达离线标记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AD6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若雷达离线，则通过离线图标的方式标记出离线设备</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282553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ABF5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C5A9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AB07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B095C">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499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雷达故障标记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481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若雷达故障，则通过故障图标的方式标记出故障设备</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E77C72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9626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7"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AB12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BA56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04613">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F21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雷达快速查询</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E4D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支持通过输入设备序列号快速定位至具体的设备，点击设备可查看设备详情</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D311C7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407C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C071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3E6DA">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424D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雷达详情</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08A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雷达基本信息</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9AA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展示设备安装位置、编号、联网状态等基本信息</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6EBDD7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9B65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8"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23F7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D5BC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38151">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E65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关联设备列表</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C72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通过查询设备之间的拓扑结构，可自动关联设备，并以列表的形式展示关联设备的基础信息和联网状态</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E30F48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B17C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68B9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1074D6">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FE77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设备告警</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C8B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设备网联异常告警</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040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台接入设备联网状态数据，并进行处理、存储，分析设备联网异常的情况。例如，边缘计算单元离线；路侧通信单元离线；Camera离线；雷达离线；平台监控到设备出现联网异常，会以消息栏的方式实时通知新出现的联网异常设备</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003CAA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4CD5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B7FE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93C62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303B2">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20E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设备进程故障告警</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0A7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平台接入设备进程故障数据，并进行处理、存储；平台监控到设备出现进程故障，会以消息栏的方式实时通知新出现的进程故障的设备</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DB5530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EACB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8"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838A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5469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5831E">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942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设备硬件异常告警</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284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平台接入设备硬件故障数据，并进行处理、存储；平台监控到设备出现硬件故障，会以消息栏的方式实时通知新出现的硬件故障的设备</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B53306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302D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C77B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13C3E">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E1FB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设备历史故障</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71A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故障列表</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418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以列表的形式展示出设备的故障信息，包含设备类型、编号、故障类型、故障开始时间和结束时间</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3AA6DD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0105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0E28F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7AA5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5A9E0">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B03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故障查询</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985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通过输入查询条件，可快速查询到设备历史故障信息</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5ECD61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72B2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89E6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创新大道数字孪生支撑平台</w:t>
            </w:r>
          </w:p>
        </w:tc>
        <w:tc>
          <w:tcPr>
            <w:tcW w:w="7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64FA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创新大道道路孪生</w:t>
            </w: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178B08">
            <w:pPr>
              <w:keepNext w:val="0"/>
              <w:keepLines w:val="0"/>
              <w:widowControl/>
              <w:suppressLineNumbers w:val="0"/>
              <w:spacing w:after="200" w:afterAutospacing="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道路孪生静态要素构建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FDBD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3D高精度地图路面车道线展示</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A94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车道白色实线建模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005B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3C0D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2A4D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9D7D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96608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2D836">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51D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车道白色实线模型数据导入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310F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D21A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CAED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F787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E137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5DC7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F0C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车道白色实线模型展示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8395B1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FA12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32CF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3BC2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C9280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A76E39">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233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车道黄色实线建模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9B52F6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2AB2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5151C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09A00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D1BCC">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29AC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3D6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车道黄色实线模型数据导入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40EBE0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CD21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DD86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454D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74E9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2456D7">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297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车道黄色实线模型展示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3C2161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B529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DE54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BB6F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516D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AF685">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AA2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车道双白实线建模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FF2BFE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B0F5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B371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4B1D2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5130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BA4F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670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车道双白实线模型数据导入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2D79D5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8979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5DB73">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C72E5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ED58FF">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6CCE1">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455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车道双白实线模型展示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E62267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04D6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6DF6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748B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504C5">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F2839">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912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车道双黄实线建模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EAE825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2759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55C8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F2A4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DF129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2726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86B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车道双黄实线模型数据导入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F89018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CA6B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DF33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4A19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9236F">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4287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5FE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车道双黄实线模型展示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B7AF3A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1C9C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0269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3E59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C072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7AC17">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4E5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车道黄白双实线建模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7066DB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4313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DA86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E63F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C5DCC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C2AE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850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车道黄白双实线模型数据导入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ED635F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4297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0185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48A8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DE3D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5F573">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2F0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车道黄白双实线模型展示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275ACF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A6FC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3"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C015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2954F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00D7A">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6EDA9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BA8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车道黄色实线（左实右虚、左虚右实）建模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0BA336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5BCB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C1B3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9D88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811A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8E728">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3D1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车道黄色实线（左实右虚、左虚右实）模型数据导入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04EB07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441D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AFB9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6CD9D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E4BD63">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9CF0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3E0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车道黄色实线（左实右虚、左虚右实）模型展示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13BD60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A989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F867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F5A6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1233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A1F85">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B53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车道虚线建模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8518BC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CEE8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7B9E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5A61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78F3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A7D87">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C3D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车道虚线模型数据导入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773BA7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B3D9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2CA6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E7180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A0EA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5C6A8">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A3F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车道虚线模型展示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3D1A3D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BF9D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7F206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86BD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DFD7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A04CE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55E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路面白色长虚线建模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CCE7DF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893F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EB94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78C69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25731">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7623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49E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路面白色长虚线模型数据导入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E4489B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8B57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9528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7D14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0666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F916F8">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C9D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路面白色长虚线模型展示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95554D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23C4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C0BC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AE21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852C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613B81">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CD3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路面白色短虚线建模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627BF2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2B17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C4CE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75E94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0417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3EE15">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D7E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路面白色短虚线模型数据导入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EA23A9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FC93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9F31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10FB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248F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59EB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C93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路面白色短虚线模型展示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A2537E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4C0D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A9CE1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EF362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C677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85FB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54C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黄色虚线建模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D39C2B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DB38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E4BDF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936F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8802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638C4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8A0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黄色虚线模型数据导入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F049A2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5541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D2D2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E5AA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73F0A">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0FF2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DE0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黄色虚线模型展示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3E6FBC7">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8A93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94C6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415B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EFDF9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D0EE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B11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双白虚线建模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66884B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5B89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9559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169C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C48D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A4AC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C84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双白虚线模型数据导入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AC47DC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E94C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570B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F409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CEDB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DBF335">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013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双白虚线模型展示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C9D736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EE5E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CC7B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78767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2AE1D">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D5BE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3D高精度地图路面横向标线展示</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7BA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停止线建模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1CDC5F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2161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7D5A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344A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E8E0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7925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C90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停止线模型数据导入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213582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B6E3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2907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BDEC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EF95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87B0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489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停止线模型展示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80DE34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53D2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7E89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8ED12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4434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029D7">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17B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让行线（停车让行）建模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C72B20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5F4E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22AD23">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9A8E0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5F867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C92FA8">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A3A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让行线（停车让行）模型数据导入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3291B6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1285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6094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F663A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3B98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D5DEB1">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7EE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让行线（停车让行）模型展示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7D6CD6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A898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3D39F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80D8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EEC9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8648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661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让行线（减速让行）建模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47FE1C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7933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9"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DDD6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82CB9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FD19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57E35">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9C0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让行线（减速让行）模型数据导入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AB543F7">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866F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E2A9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60413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5D39D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C365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78E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让行线（减速让行）模型展示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F141C5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4181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29617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A0DD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31ED1">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4674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3D高精度地图路面交通标识层展示</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3D4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人行横道(斑马线)建模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7534A0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46A0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4A5A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F64B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BECD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07EF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3C6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人行横道(斑马线)模型数据导入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1237C4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5E48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4376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F69F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F3571">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0A87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88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人行横道(斑马线)模型展示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508B38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1D22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0B8A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E681E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CBB3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47D671">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22A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人行横道（平行线）建模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5AC6B3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FD7A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73F8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E0D2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3AAE0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D8771">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49E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人行横道（平行线）模型数据导入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F9A937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AABC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3A69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BA4A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0DCE5">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0E129">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193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人行横道（平行线）模型展示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68CBE87">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6D8E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9E2C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2610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3748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8D248">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D77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非机动车过街通道面建模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ED0350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1070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C872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32F2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86EB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2BEF7">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EC6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非机动车过街通道面模型数据导入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B0AC1D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8FDEE55">
        <w:tblPrEx>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C86A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2E069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F28DC">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7D7A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32E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非机动车过街通道面模型展示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77C5A7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BC46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ACE0D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0BBA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3489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4304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906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导向箭头标记建模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62FD89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F5FD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CCC8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E3D17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93CF4A">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E9E01">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3F9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导向箭头标记模型数据导入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D5EDA6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CDF2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DFFC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8AEA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3711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5A6C2">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6E8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导向箭头标记模型展示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5D4491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9FA2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E266D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DFA1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097C1">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903A9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FD1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禁止转向标记建模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31FB1F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5346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1469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1521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213B3">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FBFD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2AC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禁止转向标记模型数据导入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6E3EFB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F238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2BB13">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B5A4C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8448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55EE9">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553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禁止转向标记模型展示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C78C5A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619F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BC6D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206A5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CC08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19061">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AEC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人行横道预告标识建模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145780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FEC5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A326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6BFE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DF7F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769D9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C26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人行横道预告标识模型数据导入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C48646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0CB6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8C74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42B0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B6351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BA7E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6E9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人行横道预告标识模型展示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B54EB1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2CD5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9823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6B49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ABF12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2AD83">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E06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导流区建模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66630B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E9E9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6DE4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6FC0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C53AF">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4CC2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7CD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导流区模型数据导入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BC7770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916D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339C8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C1AE5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02D33">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3032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30A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导流区模型展示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93CC34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78F4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E2BB4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B194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D50E91">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5320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88C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安全岛建模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E31F45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211D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3814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CE284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BC539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6E4F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95F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安全岛模型数据导入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28B430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86E4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10EF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3ADF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C64BF">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CC33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A09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安全岛模型展示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CE73BB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CC08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D59A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F681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5C1A5">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A33B12">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D74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路面文字标记（地面文字）建模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D25927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04ED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492F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62A97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1C5965">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DB28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11E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路面文字标记（地面文字）模型数据导入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F6F262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CDFD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A516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E99A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084B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C6A826">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BE5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路面文字标记（地面文字）模型展示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FA63CE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9BFD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D01E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3BF3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D570AA">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7D2C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22A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网状线禁停面（网状线区）建模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2FA823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41AD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03DF3">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ADAD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4381C">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E34D6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30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网状线禁停面（网状线区）模型数据导入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CF1BA0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AF5C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8E14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D63D2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B2E0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88A76">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62B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网状线禁停面（网状线区）模型展示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DE7224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7A96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8B7A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DA48F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C1550A">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45B0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D17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地面限速建模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29A978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901E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86CA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9F48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71DA51">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94879">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9EA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地面限速模型数据导入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C04191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A0AD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14AC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A513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6B43E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4B29B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02F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地面限速模型展示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C234C8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CEE0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DDE0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49BE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52D2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4B479">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542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横向减速标线建模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0D97DC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C9C1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79C37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47FC8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FFE0D1">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CB4D8">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C27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横向减速标线模型数据导入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6E24CA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DE95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2E84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B0346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37E88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F94B7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CDD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横向减速标线模型展示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AEA683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5A0D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6A28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D949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06F5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091E99">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706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减速带建模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F418CD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1F33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438AB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9EEB2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AA48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4A2409">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63E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减速带模型数据导入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D898F6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BE10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21B2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98FB4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A5903">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789F7">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850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减速带模型展示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25AA92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9E08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890E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3DDB6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87B03">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5AAC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995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车距确认标线（白色折线）建模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01C9A5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D5EA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4160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3D8A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048BA">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20F7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ABF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车距确认标线（白色折线）模型数据导入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20D5B1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AA2A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04E9D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AABD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BDD4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92F523">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E27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车距确认标线（白色折线）模型展示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C61022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08B7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DB8BB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DA8B7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AD1E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1D1B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FFA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路面图形标记（非机动车）建模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D80F24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92C6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3DCE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B997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37D8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8787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9B0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路面图形标记（非机动车）模型数据导入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256538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F871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3"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D96D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7BE29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3F4E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D4A86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63A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路面图形标记（非机动车）模型展示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DEC922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F5D1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E95BE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8ED2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22C4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AC925">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F8C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路面图形标记（公交车）建模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D28C66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6504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B6D3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A5E5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1BF6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F4C7D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08B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路面图形标记（公交车）模型数据导入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B99196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F03E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3306B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B152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CA4B43">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17283">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6ED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路面图形标记（公交车）模型展示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840C5A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C954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9E50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AA0F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9C2D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662B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08F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路面图形标记（行人）建模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EF3FAF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402F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D2C2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8E29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A2E1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99C2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A3B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路面图形标记（行人）模型数据导入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9337EC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D266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DEA4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7697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BDF8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C345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D18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路面图形标记（行人）模型展示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67C540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E789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B8BD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0A99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E5E377">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9FC4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3D高精度地图道路基础附属设施层</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8CC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横臂建模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F2EEEA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A336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1930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D6D9F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4083C">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45FA3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FCA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横臂模型数据导入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263D63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784E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F8C2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D5F3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8FA31">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8F6E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703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横臂模型展示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792894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3F3A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F54A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084E0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2540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29E91">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956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竖杆建模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5729DA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CD62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60B8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6A28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5C1E5">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FFF2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8D7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竖杆模型数据导入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FE3358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040F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93BC8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6C1FB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24C60A">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1EA26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EA6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竖杆模型展示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5BA375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ACFB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1D40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5422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031D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3F30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1A1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方向指示信号灯建模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4EA40A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2A48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C766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136B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2DA2A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BFD1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183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方向指示信号灯模型数据导入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79657A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C89C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64F9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5FB68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44D3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B74B2">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085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方向指示信号灯模型展示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5D9322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F37C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164F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083B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008B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F1DA6">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EC2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信号灯读秒倒计时建模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7293B8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1FFF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FFD0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28B8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1337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ABE93">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A5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信号灯读秒倒计时模型数据导入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CB956F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2565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101A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608A5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D595E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C96E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BAB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信号灯读秒倒计时模型展示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70DB64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8BCD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884C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114E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AB75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631F8">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07D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人行横道信号灯建模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628162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0AA2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D4EE5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360C6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4D115">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CA09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2A1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人行横道信号灯模型数据导入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FC8790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6002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A9B0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F893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4CAC3A">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854B9">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B8A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人行横道信号灯模型展示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0BF612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9C89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52FC3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9CE6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5234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8AC6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97B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交通电子显示屏建模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E46192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44CA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3BE5C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7A3A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4BEE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CA85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A7F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交通电子显示屏模型数据导入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EFF4A0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8671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D8FE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BCEA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473D9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D1A456">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90F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交通电子显示屏模型展示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971BB3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27E3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A389E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9CE5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7E4FC">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BD58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1A7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标志牌建模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204956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CCFD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BCF7D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DE9A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335C7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8C403">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F64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标志牌模型数据导入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E3C9DF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FBCE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15C4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B233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F6AEF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A20F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81C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标志牌模型展示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EE6F0A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2E73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58261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A06A1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F3750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BFCB9">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F3B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过街天桥建模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1FE048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69BB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B580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14D4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1E39C">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95B6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FE1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过街天桥模型数据导入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321DE0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095A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5C71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34C25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47106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39CD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D47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过街天桥模型展示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B2AF4E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C583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2A7E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A8AF0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EFE2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C58ED2">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129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调头口信号灯建模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DB6EE7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220A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69F7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9F95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08192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98FB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29C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调头口信号灯模型数据导入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BEC95D7">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9D15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39EB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DF9C1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8889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0215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2BA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调头口信号灯模型展示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E5DEA0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B803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CC1E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507E5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2D20A">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E97C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3D高精度地图道路交通渠化层</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59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路段面建模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F48A5B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4AA2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090A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70FA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D133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2154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943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路段面模型数据导入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98E072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C30D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9A76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8811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948E5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3E9D4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955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路段面模型展示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18A579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033E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19F9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E797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7120A">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4FF46">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2AB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路口面建模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6E636D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FE9A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A8E59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D7755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754AE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BE0A1">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F94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路口面模型数据导入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BC7B71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75D7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1C79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AD2A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02575">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C5A02">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081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路口面模型展示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7F6307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A941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C3A3D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F1D6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537FA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CEC9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007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绿化带面建模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3F1BB9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6306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66B9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E003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E004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CE27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97A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绿化带面模型数据导入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2AA162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D866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13B8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C641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2FD1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D8BF8">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6AB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绿化带面模型展示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20C115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0BC6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14423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677B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FF2B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5C2D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674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中央隔离带面建模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01135C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997F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C551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F28E9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CD5A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D1FD5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728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中央隔离带面模型数据导入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FEBCA9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8A02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4AEB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419B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C23F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843B1">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139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中央隔离带面模型展示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ABC3507">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572F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00CB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D3D2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3B6DF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EC645">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F81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路口安全岛建模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33571D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0F87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5D1D4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ECA5A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C39A1">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489DA2">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524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路口安全岛模型数据导入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0701FE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17F4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D24B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C507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3F095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53793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A5C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路口安全岛模型展示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DF88D7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039D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A071A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1E9A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7D9E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023D22">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332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路侧带面建模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E08B7B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060D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4E7D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076A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1646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A92BE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170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路侧带面模型数据导入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F75A32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244D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1E13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04484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619A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1959D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C53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路侧带面模型展示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622FCD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5096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2DEF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3241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5D9EC1">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C05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L2楼块还原</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8C7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支持L2\L3级别建筑物简模型还原</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3864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223E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D1743">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BB89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67CAB">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1135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路侧建模展示</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EFA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智能网联路口杆件建模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9D10B5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6EC2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F4DE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D45BE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DE4AB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156F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1FC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智能网联路口杆件模型数据导入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49010E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CF92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50A12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427C7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4457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A1DE86">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6A1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智能网联路口杆件模型展示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D37F5B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A275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79EF4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4490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6801BA">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341C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91E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路侧枪式相机建模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4EACDD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2B93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6D56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8891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0377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1E536">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877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路侧枪式相机模型数据导入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33F929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1B3E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F1C2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43E9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E810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E59A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7E8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路侧枪式相机模型展示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301F31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BE7D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E0E5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7C8C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CA6E6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E4C8E6">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7CD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路侧全景鱼眼摄像机建模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167055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C2DB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F9DF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5000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6A2F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653056">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2B4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路侧全景鱼眼摄像机模型数据导入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B5EE32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63DE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9"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8DF7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9CB9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5F39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4E93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56A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路侧全景鱼眼摄像机模型展示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7D18EC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A667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0C5F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2EEF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B21B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EFA6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F0B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路侧边缘计算单元建模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DC1E2B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A03F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93D9F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925A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0796F">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37D8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B43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路侧边缘计算单元模型数据导入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F8D563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E704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90BA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2126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DF2D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68595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C28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路侧边缘计算单元模型展示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48C3D5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BBEA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BFF34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CBC25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F9CAE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0C95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1DB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路侧通讯单元建模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F7BE70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9615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4D3E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CC18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C1BD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92D0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464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路侧通讯单元模型数据导入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F35567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484D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BCFD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E26A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619AC">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CCAD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5B8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路侧通讯单元模型展示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BD64AC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435F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6108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C460B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47D87">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77A1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植被要素</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850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核心区域行道树建模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753BE7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EA88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A33F4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C45C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9938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2A22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BF9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核心区域行道树模型数据导入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4FD59E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10CD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158C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1E70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AD950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9255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C63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核心区域行道树模型展示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5F4510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15D0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B407D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5C3B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8B741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A83E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6C7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核心区域草地建模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185C08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3F09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CBC4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FF38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118C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D4B5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FC3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核心区域草地模型数据导入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020734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C604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BA107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28CA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3C7EC">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84539">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B8E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核心区域草地模型展示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6CB639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3ACE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BC81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EC4588">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1E2E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道路事件可视化</w:t>
            </w: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A22B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事件可视化</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8E0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路侧感知识别事件类型模型建模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EE88AB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F605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5EAC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346F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6B54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7DEE5">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507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路侧感知识别事件数据（类型、位置、图像）</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B4C81B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0060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D621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3977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7F59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969B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C22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路侧感知事件标签颜色展示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DF6680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8CB0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AE99A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268C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4145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209C7">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514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路侧感知事件标签与数字底图坐标匹配</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132A1E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37FD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6AE7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C2247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349E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79A3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895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路侧感知事件在高精地图中展示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4F43BA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9ACC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75D8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E0CB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FCC6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FBBE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9A9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路侧事件标签聚合策略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82E044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846C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9EF2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02B07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8BD6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39A607">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5FA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路侧事件标签聚合展示（数量多、位置相近）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24A3D3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6143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FCBC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AFFD9">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18B0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路口视角孪生可视化</w:t>
            </w: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D066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路侧感知物</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F98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路侧实时感知的大型机动车位置数据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C35728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04F2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C370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6B14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EA24E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73AC39">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672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大型机动车模型建模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6ED94F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9A95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7B8F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0A0C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304C4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1797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86D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大型机动车模型导入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A18A1D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37CE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85000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405E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C390CF">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FE23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F28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大型机动车模型位置与坐标系匹配，形成动态轨迹</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983B0B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A62A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9799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9272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EFFF4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3DA19">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61D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基于大型机动车动态移动轨迹，将模型展示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C86B8E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70AB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1EAA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CA3D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44CFF">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12C5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87E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路侧实时感知的公交车车辆位置数据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2A44FB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FFD5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D83B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6416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7C0C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C411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ECF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公交车车辆模型建模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C0D5CB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083C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ECF6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BE85C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8D425">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2094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887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公交车车辆车模型导入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400A56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7221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BED5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9F152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468D71">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7F35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FEE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公交车车辆模型位置与坐标系匹配，形成动态轨迹</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32BC92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ECE9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D8FC6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AF31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3F00A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429D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FE7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基于公交车车辆动态移动轨迹，将模型展示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A6A8B2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3E63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8DC3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8208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577A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F2319">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FD0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路侧实时感知的小型机动车辆位置数据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41C196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E40F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3040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044E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55791">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523D37">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11B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小型机动车辆模型建模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28DAC4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0C96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6BF8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2405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A82D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41E2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5E2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小型机动车辆模型导入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B98B19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6CEC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DCE0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35D77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D9661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DF158">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97F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小型机动车辆模型位置与坐标系匹配，形成动态轨迹</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DEFC85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F757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8B553">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5759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AD36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E7DF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9D2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基于小型机动车动态移动轨迹，将模型展示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E4BA5A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1495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D29E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33C27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C0F4E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C9223">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129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路侧实时感知的行人位置数据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2D64AD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B468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1AF8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781B0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9BDAC">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DCC2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566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行人模型建模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1E66E8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950E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BDD13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0B7C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85AF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041D8">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6F0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行人模型导入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C96D33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255A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000E1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EC629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E3C53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CBC3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328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行人模型位置与坐标系匹配，形成动态轨迹</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157C83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44D0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D5C2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29ED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BC451">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40E547">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00F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基于行人动态移动轨迹，将模型展示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34CF15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4081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FA48E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34AE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AC3F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AC5D1">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931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路侧实时感知的非机动车位置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50C4FE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7F6A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C662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43CE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55CF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261C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E4A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非机动车模型建模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C8C340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53CC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B29A4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9CA39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C3BA7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FA60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D6E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非机动车模型导入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AABF81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C4C8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0952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1B78D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5B920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5AC51">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C2E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非机动车模型位置与坐标系匹配，形成动态轨迹</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FB3F75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A5BE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DB47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EB8A8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5831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5E543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A14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基于非机动车动态移动轨迹，将模型展示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1582BD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24AE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08C7E0">
            <w:pPr>
              <w:jc w:val="center"/>
              <w:rPr>
                <w:rFonts w:hint="eastAsia" w:ascii="宋体" w:hAnsi="宋体" w:eastAsia="宋体" w:cs="宋体"/>
                <w:i w:val="0"/>
                <w:iCs w:val="0"/>
                <w:color w:val="000000"/>
                <w:sz w:val="20"/>
                <w:szCs w:val="20"/>
                <w:u w:val="none"/>
              </w:rPr>
            </w:pPr>
          </w:p>
        </w:tc>
        <w:tc>
          <w:tcPr>
            <w:tcW w:w="7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3678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智慧道路总览</w:t>
            </w: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C462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路网概览</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21C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覆盖里程</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B6D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统计路网里程并展示高精路网覆盖里程数</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ED8743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505C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6BE33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0BBA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4C903">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42A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路口数量</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0C5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统计项目路口数量，展示路侧设备覆盖的路口总数</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4A5A65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0C3A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1509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AB8F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3A0E6E">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938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95E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统计大道覆盖的信号灯数量，并展示接入的红绿灯个数</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E8C9BC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CEA4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523E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BC1A0">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3D8E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设备总览</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479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多类设备总数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FBF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计算多类设备总数，包括边缘计算单元、路侧通信单元、摄像头等项目建设设备</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A631A6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B7C6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F1D3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0824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AF9C3">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6DC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多类设备在线率</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521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计算并展示展示多类设备的实时在线率</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3AF805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BA6E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0681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3BCC6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B5FD23">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A67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边缘计算单元设备总数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1DE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计算并展示展示边缘计算单元设备总数</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C9AB84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A9DB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8F44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5C36D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50E59B">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A1F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边缘计算单元设备在线率</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274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计算边缘计算单元设备在线率，并进行展示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D19710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16FC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D6AA4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6EC71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CEA5C">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0B4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通信单元设备总数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A5C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统计展示通信单元设备数量，并展示通信单元设备总数</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33988C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6CA0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6574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14C8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188E1">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829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通信单元设备在线率</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13C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计算通信单元设备在线率，并进行展示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3CA110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B6D7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50B71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4529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47035">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CB7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摄像头总数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B6C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计算并展示摄像头总数</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E2092D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BC8E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93E0E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FF05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E4DF6">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E27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摄像头在线率</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A1D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计算摄像头在线率，并进行展示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070980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13C3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4EE1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84DC3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766105">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69B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雷达总数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98E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计算并展示展示雷达总数</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86F62B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5EC2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BE20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F85A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54855">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7A7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雷达在线率</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FA1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计算雷达在线率，并进行展示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39213F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F70D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9"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9EA0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D8D6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2F635">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397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信号灯采集器总数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18F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统计并展示展示信号灯采集器总数</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15F694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B0A8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2155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0194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C15420">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E45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信号灯采集器在线率</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A3A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计算信号灯采集器在线率，并进行展示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4D9DC8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72F2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604EE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584B7">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CDF8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设备运行趋势</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5A9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多类设备在线趋势</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DA4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计算近7日多类设备的在线率，并以折线图的形式展示趋势变化</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56938A7">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28FE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8B516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2A509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73389">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981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边缘计算单元设备在线趋势</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873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计算近7日边缘计算单元设备的在线率，并以折线图的形式展示趋势变化</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27AE70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1ED7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1CA0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B49F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6F90C">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2CC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摄像头在线趋势</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8D8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计算近7日摄像头设备的在线率，并以折线图的形式展示趋势变化</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891280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384B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7F54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01D5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0D093">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8C1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雷达在线趋势</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EAF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计算近7日雷达设备的在线率，并以折线图的形式展示趋势变化</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DEEE27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E00E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20D21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EEF5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9FA1D">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D42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信号灯采集器在线趋势</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DCD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计算近7日信号灯采集器设备的在线率，并以折线图的形式展示趋势变化</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F25CCC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90AD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D2E0C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8A82E1">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D313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网联路口列表</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F2F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路口列表信息</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7B0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展示接入平台的路口总清单列表，选择具体路口可快速进去单路口视角</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871D0D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D1A1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7644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C920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1147B">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C8F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路侧点详情入口</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695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选中具体路侧点，可在地图宏观视角下查看点位的名称、视频、核心设备数量；点击“进入路口”则进入路口视角的孪生刻画。</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6BCB75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83ED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DC08C">
            <w:pPr>
              <w:jc w:val="center"/>
              <w:rPr>
                <w:rFonts w:hint="eastAsia" w:ascii="宋体" w:hAnsi="宋体" w:eastAsia="宋体" w:cs="宋体"/>
                <w:i w:val="0"/>
                <w:iCs w:val="0"/>
                <w:color w:val="000000"/>
                <w:sz w:val="20"/>
                <w:szCs w:val="20"/>
                <w:u w:val="none"/>
              </w:rPr>
            </w:pPr>
          </w:p>
        </w:tc>
        <w:tc>
          <w:tcPr>
            <w:tcW w:w="7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9ECA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交通事件可视化</w:t>
            </w: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57DE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交通事件实时分布</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A60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交通事件地图可视化</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054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基于地图实现当前不同交通事件的分布展现；</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30BCC3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E82B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A1520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1459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AA41E2">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B99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事件类型筛选</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7F1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支持手动选择地图上展示的事件类型，可多选；</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414C7D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0F3C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58164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5FDE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7DF1EA">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D01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交通事件通知</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6FD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平台接入路侧基础设施感知的实时交通事件，当事件新发生时，后端将事件推送至前端，通过消息栏方式实时通知新事件信息并进行前端展示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6C262D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8DF5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8"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326C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9C23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9B54D">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7B0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拥堵路口实时分布</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3E5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基于地图实现当前的拥堵路口和畅通路口的实时分布；</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BE92FF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41A6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F113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AD888">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B7EE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当日事件</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F9E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当日事件总数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865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基于当天识别的事件，进行数据统计，展示事件总数</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E6EB87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A1CD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BE88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FC3E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A16E7C">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AE1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当日事件趋势分析</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B7A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展示当日事件随时间的分布趋势</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FC3E747">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5F62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3B78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98E0C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6B2C5">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E4C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当日事件类型分析</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152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展示当日事件各类型名称和各类型数量</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917ACC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2F2F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9"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DDAA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B7D91B">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1B26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事件研判</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7AC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高发路口研判</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A55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近段时间内，发生事件较多的路口名称，显示其发生事件总数和路口名称及排名</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302633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10E3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3ADB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80BAC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FF24ED">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00E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高发时段研判</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8A2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近段时间内，发生事件最多的时段统计，显示其发生事件总数、路口名称和高发时段及排名</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E8353D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BD85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65C2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B779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2452C">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77C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高发类型</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42C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近段时间内，发生事件最多的类型，显示其发生事件总数和发生次数及排名</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E5C223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B4C3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09A24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9C6143">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8262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事件预警</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E70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交通事件列表</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CC5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路侧感知的事件数据接入，并以列表形式展现查看，包括事件类型、时间、地点等信息</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717E79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1210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16362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3E904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A3D7CB">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D15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交通事件详情</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3F5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选择具体事件，可在地图宏观视角下查看对应事件的关联路口名称、视频和时间</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CAE177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44F5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7"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BAEC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EF67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CB1424">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B00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实时事件视频查询</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F4D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若事件未结束，则拉取对应路口的实时视频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C20DDC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FAC6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FDD38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FC39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9AB83">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DB9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历史事件视频查询</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6FB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若事件已结束，则拉取对应路口的历史视频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000DA5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03D8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7997E">
            <w:pPr>
              <w:jc w:val="center"/>
              <w:rPr>
                <w:rFonts w:hint="eastAsia" w:ascii="宋体" w:hAnsi="宋体" w:eastAsia="宋体" w:cs="宋体"/>
                <w:i w:val="0"/>
                <w:iCs w:val="0"/>
                <w:color w:val="000000"/>
                <w:sz w:val="20"/>
                <w:szCs w:val="20"/>
                <w:u w:val="none"/>
              </w:rPr>
            </w:pPr>
          </w:p>
        </w:tc>
        <w:tc>
          <w:tcPr>
            <w:tcW w:w="7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FA65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全息路口可视化</w:t>
            </w: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1774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智慧路口分布</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B85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智慧路口地图可视化</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BEA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对车路协同覆盖的点位进行高亮显示，点击后支持进入点位（路口）画像详情页</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9B59DE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8F2D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6F7A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5D3F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6972E">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1AD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路口/点位快速定位</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97B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支持通过输入路口/点位编号在地图上实现快速定位</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E7CAF27">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3A4D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1A34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37E49">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B5CD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单路口概览</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A48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路口信息</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DE7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对路口包括路口名称、路口编号进行展示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35683B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2B64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A77E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804A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5B665">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DC9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路口视频播放</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99B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获取路口实时视频流进行播放，同时可支持多路同时展示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AC0D6C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9B3D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9323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420C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71682">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937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路口摄像头切换</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04D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展示摄像头朝向、编号、种类信息，按需切换摄像头进行视频播放</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1E66BC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7208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C0AB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ECC6BE">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804E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单路口设备分析</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28E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多类设备总数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F03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计算多类设备总数，包括边缘计算单元、路侧通信单元、摄像头等项目建设设备</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37E652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36C3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7EAD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A4EB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D6426D">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1F5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多类设备在线率</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A64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计算不同类设备的展现情况，并展示多类设备的实时在线率</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E343CD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2B3E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25B4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FDAF4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16746">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95F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边缘计算单元设备总数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5E9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统计边缘计算单元设备数，并展示边缘计算单元设备总数</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BE0121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9DF6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BA8D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E1306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8B8070">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D26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边缘计算单元设备在线率</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AB2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计算边缘计算单元设备在线率，并进行展示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482D3C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FCA4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93AE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F750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CB599A">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A5E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摄像头总数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5B9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统计摄像头数据，并进行总数展示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2FCC58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CE9A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3D113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F84C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D0668">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888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摄像头在线率</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633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计算摄像头在线率，并进行展示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DFDB2E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C359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96FA9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2B734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7A336">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02E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雷达总数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0B6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统计雷达数据，并进行总数展示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926D79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19C4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21DD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F855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12172">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4E4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雷达在线率</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485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计算雷达在线率，并进行展示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B19E46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050D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7026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6C791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BE1FAD">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6F2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信号灯采集器总数</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247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计算信号灯采集器数量，并展示信号灯采集器总数</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4A8930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CE8A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9A7E1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EC718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4761C">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C76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信号灯采集器在线率</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DDA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计算信号灯采集器在线率，并进行展示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B04603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9703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1634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991D3">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14F6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感知交通对象统计分析</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429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机动车总数实时统计</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C02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实时统计当前路口机动车总数量</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FCD1B0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F2C2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C159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4403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8C1D68">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031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机动车数量趋势</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928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以曲线图的方式展示机动车数量变化</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B42C22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C016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5CD0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3CDF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C14B2">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FC6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非机动车总数实时统计</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0D1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实时统计当前路口非机动车总数量并进行展示</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CE4927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EF4E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9021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27F7B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D025E8">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7D8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非机动车数量趋势</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ECC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统计非机动车数量以曲线图的方式展示非机动车数量变化</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CF3145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53E3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4A11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EF1A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BD88A">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ECB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行人总数实时统计</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02F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统实时统计当前路口行人总数量</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630B0D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C1AD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136A3">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DE26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FFD76">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014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行人数量趋势</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4FF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以曲线图的方式展示行人数量变化</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0E1DE1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8DD3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D7993">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9A65A">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8A93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路口事件监控</w:t>
            </w: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200B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路口违法事件监控</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348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基于当前路口基础设施识别的交通违法事件，将数据对接导入</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386C127">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4B54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8"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A30B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870C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56785A">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5869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516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对交通事件数据进行分类展示，同时包括事件的一些基础信息、图像</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238FEA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A84A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2AE5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4B3D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4A157">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3B25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路口违法事件排名</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3F9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对当前路口的违法事件进行统计和排名分析</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F33260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94B6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63BC2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311A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44AB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45C86">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2E2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展示TOP3违章事件类型。包括事件类型、近期发生是事件数量以及排名</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3CE6E37">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B59F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B52E0">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EE71E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B81C9C">
            <w:pPr>
              <w:jc w:val="center"/>
              <w:rPr>
                <w:rFonts w:hint="eastAsia" w:ascii="宋体" w:hAnsi="宋体" w:eastAsia="宋体" w:cs="宋体"/>
                <w:i w:val="0"/>
                <w:iCs w:val="0"/>
                <w:color w:val="000000"/>
                <w:sz w:val="20"/>
                <w:szCs w:val="20"/>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FE7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路口事件列表</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305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展示路口事件列表，包括事件发生时间、事件类型相关基础信息。</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29EFCD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5051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03697">
            <w:pPr>
              <w:jc w:val="center"/>
              <w:rPr>
                <w:rFonts w:hint="eastAsia" w:ascii="宋体" w:hAnsi="宋体" w:eastAsia="宋体" w:cs="宋体"/>
                <w:i w:val="0"/>
                <w:iCs w:val="0"/>
                <w:color w:val="000000"/>
                <w:sz w:val="20"/>
                <w:szCs w:val="20"/>
                <w:u w:val="none"/>
              </w:rPr>
            </w:pPr>
          </w:p>
        </w:tc>
        <w:tc>
          <w:tcPr>
            <w:tcW w:w="7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67F5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互联网数据可视化</w:t>
            </w: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22E0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互联网数据分析展示</w:t>
            </w: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23E6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实时路口分析展示</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42E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支持对核心路口的实时通行状态的可视化展示，并以红黄绿三色标识拥堵 / 缓行 / 畅通状态</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1904EF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6315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07B09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B13F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A67F3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C64F8">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E07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支持匹配展示对应路口的平均通行速度，排队长度等数据</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8D3B0C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2A1F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5"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5A41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9F8D9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C8297C">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B724D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02E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支持路口名称快速检索与状态刷新，直观呈现重点路口交通实况</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671D97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2F97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80D5B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2796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A26BD">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DBAF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道路拥堵指数分析展示</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986E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针对预置道路（如城市主干道、高速路段），展示的拥堵指数数值及对应等级标签</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0363F4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B668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4"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5E712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B11D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B2DF3F">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63442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58B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针对预置道路（如城市主干道、高速路段），展示的拥堵指数变化曲线及趋势</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59CE2B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4F54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9422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6240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E591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0630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0B0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针对预置道路（如城市主干道、高速路段），展示的拥堵指数早晚高峰等相关峰值时段</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A84B74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0B4C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208A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5DA9E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9896D">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89D3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区域拥堵指数分析展示</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3F8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以行政区划或预置区域为单位，展示区域整体的拥堵指数数值及对应等级标签</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2461E1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6A43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7C8B2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30F6B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41D6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8D879">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9FF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以行政区划或预置区域为单位，展示区域整体的拥堵指数变化曲线及趋势</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074E12A">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19E2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AC5C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7FBF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D4596">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90077">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14F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以行政区划或预置区域为单位，展示区域整体的拥堵指数早晚高峰等相关峰值时段</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FC1F5A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D403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EB25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6702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718E2">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5021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区域人流活力指数分析展示</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D18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以行政区划或预置区域为单位，基于实时人流数据，展示区域人流情况分布</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F3378B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5B35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8EA8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B5D2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1B46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25F1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A5C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以行政区划或预置区域为单位，基于实时人流数据，展示区域人流活力评分</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D1E9C2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27C0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5A95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C241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501CC">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41C3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区域网格人流数量分析展示</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9CD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对于重大活动下区域的网格人流实时监测，基于实时人流数据，展示网格人流情况分布</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3618A0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908D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12CA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FD5A6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55E1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24015">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D35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对于重大活动下区域的网格人流实时监测，基于实时人流数据，展示网格人流活力指数</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ACE3A2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1271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5"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F2EB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B19D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12E67">
            <w:pPr>
              <w:jc w:val="center"/>
              <w:rPr>
                <w:rFonts w:hint="eastAsia" w:ascii="宋体" w:hAnsi="宋体" w:eastAsia="宋体" w:cs="宋体"/>
                <w:i w:val="0"/>
                <w:iCs w:val="0"/>
                <w:color w:val="000000"/>
                <w:sz w:val="20"/>
                <w:szCs w:val="20"/>
                <w:u w:val="none"/>
              </w:rPr>
            </w:pP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087F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区域人流洞察分析展示</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884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对于重大活动下区域人流分析，展示区域人流的特征数据，包括性别、职业、年龄等维度</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CABE60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8AC6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AF248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7F8FC">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AE48F">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220611">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037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对于重大活动下区域人流分析，展示不同特征人群的常驻活动区域</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E18C99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346F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1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461F0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创新大道路侧及互联网数据开发和计算</w:t>
            </w:r>
          </w:p>
        </w:tc>
      </w:tr>
      <w:tr w14:paraId="239F1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 w:hRule="atLeast"/>
        </w:trPr>
        <w:tc>
          <w:tcPr>
            <w:tcW w:w="9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F1A5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创新大道路侧及互联网数据开发和计算</w:t>
            </w:r>
          </w:p>
        </w:tc>
        <w:tc>
          <w:tcPr>
            <w:tcW w:w="7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8EAF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路侧感知设备协议开发和对接</w:t>
            </w: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FD00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设备状态链路对接开发</w:t>
            </w: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F4D4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设备状态链路对接及接口协议开发</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4720E">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开发设备在线状态、运行参数、告警数据数据的采集、解析与传输链路</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A559177">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7A9C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15A79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7EC56">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13631">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E7B1F">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A8B38">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实现设备状态实时上报开发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BDF254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1AC5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41C86">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D044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7119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73F4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C79A4">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实现设备异常主动推送开发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785D8B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96DF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6ADD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A480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A871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7ADE8">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00087">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实现设备历史状态回溯开发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93B07A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4033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8B41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87E60">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4072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红绿灯数据链路对接开发</w:t>
            </w: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58A9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红绿灯数据链路对接及接口协议开发</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90BE2">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开发红绿灯相位、灯色、倒计时数据实时采集链路</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009F86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ACEE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3EC13">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E311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FDE4A">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F07B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7244E">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实现红绿灯数据格式转换开发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3F8369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E29E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51843">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9B29D">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2CADA">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9BD97">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C1B66">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实现红绿灯数据精准同步开发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8386AF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EB2A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584E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ED288">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A165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感知链路对接开发</w:t>
            </w: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5CE1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感知链路对接及接口协议开发</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F2DEA">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开发车辆、行人目标检测及轨迹跟踪、数据的解析与传输模块</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51B43A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7E2D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859A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3B95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416B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025B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88B95">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开发交通参数（流量、速度、密度）数据的解析与传输模块</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DBCAFF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1340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8744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00A44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478E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64556">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31622">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实现感知数据标准化处理开发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E35D27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1944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504C7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8D0A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1E8C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FA0D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91ACD">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实现感知数据实时上传开发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611027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AAD3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FD93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00C98E">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1516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事件数据对接开发</w:t>
            </w: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C25B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事件数据对接及接口协议开发</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BF950">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开发事件类型、等级、位置识别对接链路接口开发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8F50BD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F553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8DB0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86AB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1DBB8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BD75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71FB1">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实现事件数据快速上报开发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663417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6A94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EA35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4C2B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7B8E7">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2C96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95D70">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实现事件数据结构化存储开发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905B0D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34AD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93155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32B78">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554A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设备远程控制链路对接开发</w:t>
            </w: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677E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设备远程控制链路对接及接口协议开发</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C0B88">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设备参数配置、设备模式切换、故障复位的远程控制接口开发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D3F65C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6C89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856D8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0DA1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A571D5">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A00F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5E443">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实现远程控制指令下发开发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5990B4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56AE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9E86E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3D91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F7F20">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DE86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9A800">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实现远程控制执行反馈开发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AA156E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4052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2B0C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59EA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CC06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BEDA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4F03D">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实现远程控制结果校验开发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292AB3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DF61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90B2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26D4F">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B7AC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视频链路对接开发</w:t>
            </w: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B95A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视频链路对接及接口协议开发</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C184C">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实时视频流解码、流转码、传输、存储开发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595495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F82F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46667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0CCBD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2B453A">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5D7E5">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8B949">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视频流实时预览开发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16B1EA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5DDC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58E4E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38EA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E1A7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BD32E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D6032">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视频流历史回放开发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57952F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38852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3DEA2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2639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BAB6E">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FB012">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4ACA3">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视频关键帧截取开发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6FEA92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2E62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BD46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7BE08E">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43C9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部署和质量测试验证</w:t>
            </w: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338F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部署和质量测试验证</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8D4EB">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完成对接链路的环境部署</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D36B18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BEA8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75F22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933C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14445F">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69E8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1E579">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完成对接链路的配置调试</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D1E9CF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5D8B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564B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C5852">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5E27F">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0AD34">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38619">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进行对接链路的单元测试</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09AF62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BAAC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AF1F3">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EC94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B8DC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6F856">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C605F">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进行对接链路集成测试</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F5AC7F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3282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D396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0C2B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DC48A">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EE34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7EC97">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进行对接链路的测试</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95050B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2C5C6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FE78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A07C03">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D6DB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06477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EF48C">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进行对接链路的兼容性测试</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FD15D5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36B1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DE2FCB">
            <w:pPr>
              <w:jc w:val="center"/>
              <w:rPr>
                <w:rFonts w:hint="eastAsia" w:ascii="宋体" w:hAnsi="宋体" w:eastAsia="宋体" w:cs="宋体"/>
                <w:i w:val="0"/>
                <w:iCs w:val="0"/>
                <w:color w:val="000000"/>
                <w:sz w:val="20"/>
                <w:szCs w:val="20"/>
                <w:u w:val="none"/>
              </w:rPr>
            </w:pPr>
          </w:p>
        </w:tc>
        <w:tc>
          <w:tcPr>
            <w:tcW w:w="7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C346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互联网数据协议开发和计算</w:t>
            </w: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3A4B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交通路况</w:t>
            </w: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9DAA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交通路况接对接及接口协议开发计算</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25635">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定义交通路况请求参数（区域范围、时间粒度、道路等级）</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6F8212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5B9E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6A2A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E53248">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50493">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07E73">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CAD13">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定语交通路况数据格式（JSON/XML）及交通路况响应字段（道路ID、拥堵等级、平均速度、通行状态）</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12E83B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54E3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CB3D2">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B7C8F">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F3AC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4E58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7EE98">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开发接口适配模块实现数据实时拉取</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2D2DA8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E6BA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2068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E0BA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CACE0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7A4EB6">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3A748">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开发接口适配模块实现签名验证</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ED3579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A993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E265A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C602A9">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04DC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D39F3">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5CD71">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开发接口适配模块实现异常重试</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E7F5162">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E870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F179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31014A">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E522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交通指数</w:t>
            </w: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20DD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交通指数对接及接口协议开发计算</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8F7C9">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明确交通指数计算标准（基于行程速度与自由流速度比值）</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E15971C">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AC12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4B2F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E41C7">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3326B">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23508">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9936B">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交通指数请求频率、交通指数返回数据结构（区域ID、时间片、交通指数、等级评价）</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AA3DB3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8C27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41214">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1585D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352992">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27EB9B">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B2091">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开发数据解析与标准化模块</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D42D4C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712DB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54718">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2A0CE">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9FC4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B3E95">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A8BC7">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实现指数数据的批量接入和结构化存储</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7A0C0D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429C8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912EE">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F1E34">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AEB0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实时人流</w:t>
            </w: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FA7A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实时人流对接及接口协议开发计算</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DDC5">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确定实时人流请求范围，如商圈、交通枢纽、景区等</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87833AF">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1F4E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AAFA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3326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57C45">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7902A">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FFB4A">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确定实时人流数据字段，如区域编码、实时人数、人流密度、趋势方向</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2AFE0F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1088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BE293">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E2954">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08058">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EC9ED">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BE1ED">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开发接口对接模块实现人流数据实时采集、数据格式转换、数据脱敏处理</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2A8827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426F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BEE6A1">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095A5">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345E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职住数据</w:t>
            </w: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33FC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职住数据对接及接口协议开发计算</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93859">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定义职住数据请求参数，如区域边界、统计口径等</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C168DD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5F814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553AB">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42E4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46F7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AC0E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2B34A">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定义职住数据返回字段，如入职住区域匹配关系、人口规模、通勤距离分布</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3877678">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5BBC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29B49">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A1A29A">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CCAD4">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9DD1E1">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51236">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开发接口适配和数据同步模块</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9D2747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C07C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8D42FC">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2FC51">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A5889">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F0C6C">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BF1AD">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职住数据的定期更新和职住数据的结构化存储</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803516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4C99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5"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3F89A">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804A0">
            <w:pPr>
              <w:jc w:val="center"/>
              <w:rPr>
                <w:rFonts w:hint="eastAsia" w:ascii="宋体" w:hAnsi="宋体" w:eastAsia="宋体" w:cs="宋体"/>
                <w:i w:val="0"/>
                <w:iCs w:val="0"/>
                <w:color w:val="000000"/>
                <w:sz w:val="20"/>
                <w:szCs w:val="20"/>
                <w:u w:val="none"/>
              </w:rPr>
            </w:pPr>
          </w:p>
        </w:tc>
        <w:tc>
          <w:tcPr>
            <w:tcW w:w="10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D546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OD 数据</w:t>
            </w:r>
          </w:p>
        </w:tc>
        <w:tc>
          <w:tcPr>
            <w:tcW w:w="16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0281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OD 数据对接及接口协议开发计算</w:t>
            </w: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D2664">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明确起讫点（O/D）编码规则、数据返回格式如：OD对、出行量、平均行程时间</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269E09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5179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3E147">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C7B20">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67DF5">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BF64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80DAD">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明确出行方式分类，如自驾、公交、地铁等</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EB5FAB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9451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B4412F">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B686E5">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F23CAD">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C2D0E">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7A53D">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开发接口对接模块和数据解析模块</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C16551D">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DFEE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E658D">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0F71B">
            <w:pPr>
              <w:jc w:val="center"/>
              <w:rPr>
                <w:rFonts w:hint="eastAsia" w:ascii="宋体" w:hAnsi="宋体" w:eastAsia="宋体" w:cs="宋体"/>
                <w:i w:val="0"/>
                <w:iCs w:val="0"/>
                <w:color w:val="000000"/>
                <w:sz w:val="20"/>
                <w:szCs w:val="20"/>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C84C2F">
            <w:pPr>
              <w:jc w:val="center"/>
              <w:rPr>
                <w:rFonts w:hint="eastAsia" w:ascii="宋体" w:hAnsi="宋体" w:eastAsia="宋体" w:cs="宋体"/>
                <w:i w:val="0"/>
                <w:iCs w:val="0"/>
                <w:color w:val="000000"/>
                <w:sz w:val="20"/>
                <w:szCs w:val="20"/>
                <w:u w:val="none"/>
              </w:rPr>
            </w:pPr>
          </w:p>
        </w:tc>
        <w:tc>
          <w:tcPr>
            <w:tcW w:w="16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3A440">
            <w:pPr>
              <w:jc w:val="center"/>
              <w:rPr>
                <w:rFonts w:hint="eastAsia" w:ascii="宋体" w:hAnsi="宋体" w:eastAsia="宋体" w:cs="宋体"/>
                <w:i w:val="0"/>
                <w:iCs w:val="0"/>
                <w:color w:val="000000"/>
                <w:sz w:val="20"/>
                <w:szCs w:val="20"/>
                <w:u w:val="none"/>
              </w:rPr>
            </w:pPr>
          </w:p>
        </w:tc>
        <w:tc>
          <w:tcPr>
            <w:tcW w:w="4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4E2C5">
            <w:pPr>
              <w:keepNext w:val="0"/>
              <w:keepLines w:val="0"/>
              <w:widowControl/>
              <w:suppressLineNumbers w:val="0"/>
              <w:jc w:val="left"/>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OD数据的批量接入和异常数据过滤</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72FF006">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bl>
    <w:p w14:paraId="7ACE3150">
      <w:pPr>
        <w:spacing w:before="0"/>
        <w:jc w:val="left"/>
        <w:outlineLvl w:val="9"/>
        <w:rPr>
          <w:rFonts w:asciiTheme="minorHAnsi" w:hAnsiTheme="minorHAnsi" w:eastAsiaTheme="minorEastAsia" w:cstheme="minorBidi"/>
          <w:b w:val="0"/>
          <w:bCs w:val="0"/>
          <w:spacing w:val="0"/>
          <w:sz w:val="21"/>
          <w:szCs w:val="22"/>
        </w:rPr>
      </w:pPr>
      <w:r>
        <w:rPr>
          <w:rFonts w:asciiTheme="minorHAnsi" w:hAnsiTheme="minorHAnsi" w:eastAsiaTheme="minorEastAsia" w:cstheme="minorBidi"/>
          <w:b w:val="0"/>
          <w:bCs w:val="0"/>
          <w:spacing w:val="0"/>
          <w:sz w:val="21"/>
          <w:szCs w:val="22"/>
        </w:rPr>
        <w:br w:type="page"/>
      </w:r>
    </w:p>
    <w:p w14:paraId="49C787C4">
      <w:pPr>
        <w:keepNext/>
        <w:keepLines/>
        <w:numPr>
          <w:ilvl w:val="0"/>
          <w:numId w:val="8"/>
        </w:numPr>
        <w:adjustRightInd w:val="0"/>
        <w:spacing w:before="156" w:beforeLines="50" w:after="156" w:afterLines="50"/>
        <w:jc w:val="center"/>
        <w:textAlignment w:val="baseline"/>
        <w:outlineLvl w:val="1"/>
        <w:rPr>
          <w:rFonts w:ascii="Times New Roman" w:hAnsi="Times New Roman" w:eastAsia="宋体" w:cs="Times New Roman"/>
          <w:b/>
          <w:bCs/>
          <w:spacing w:val="0"/>
          <w:kern w:val="0"/>
          <w:sz w:val="24"/>
          <w:szCs w:val="24"/>
        </w:rPr>
      </w:pPr>
      <w:r>
        <w:rPr>
          <w:rFonts w:hint="eastAsia" w:ascii="Times New Roman" w:hAnsi="Times New Roman" w:eastAsia="宋体" w:cs="Times New Roman"/>
          <w:b/>
          <w:bCs/>
          <w:spacing w:val="0"/>
          <w:kern w:val="0"/>
          <w:sz w:val="24"/>
          <w:szCs w:val="24"/>
          <w:lang w:eastAsia="zh-CN"/>
        </w:rPr>
        <w:t>数据</w:t>
      </w:r>
      <w:r>
        <w:rPr>
          <w:rFonts w:ascii="Times New Roman" w:hAnsi="Times New Roman" w:eastAsia="宋体" w:cs="Times New Roman"/>
          <w:b/>
          <w:bCs/>
          <w:spacing w:val="0"/>
          <w:kern w:val="0"/>
          <w:sz w:val="24"/>
          <w:szCs w:val="24"/>
        </w:rPr>
        <w:t>服务</w:t>
      </w:r>
      <w:r>
        <w:rPr>
          <w:rFonts w:hint="eastAsia" w:ascii="Times New Roman" w:hAnsi="Times New Roman" w:eastAsia="宋体" w:cs="Times New Roman"/>
          <w:b/>
          <w:bCs/>
          <w:spacing w:val="0"/>
          <w:kern w:val="0"/>
          <w:sz w:val="24"/>
          <w:szCs w:val="24"/>
          <w:lang w:eastAsia="zh-CN"/>
        </w:rPr>
        <w:t>明细</w:t>
      </w:r>
    </w:p>
    <w:p w14:paraId="6C420507">
      <w:pPr>
        <w:pStyle w:val="19"/>
        <w:widowControl/>
        <w:kinsoku w:val="0"/>
        <w:autoSpaceDE w:val="0"/>
        <w:autoSpaceDN w:val="0"/>
        <w:adjustRightInd w:val="0"/>
        <w:snapToGrid w:val="0"/>
        <w:spacing w:before="225" w:after="0" w:line="220" w:lineRule="auto"/>
        <w:ind w:left="139"/>
        <w:jc w:val="left"/>
        <w:textAlignment w:val="baseline"/>
        <w:outlineLvl w:val="2"/>
        <w:rPr>
          <w:rFonts w:hint="eastAsia" w:ascii="宋体" w:hAnsi="宋体" w:eastAsia="宋体" w:cs="宋体"/>
          <w:b/>
          <w:bCs/>
          <w:snapToGrid w:val="0"/>
          <w:color w:val="000000"/>
          <w:spacing w:val="-4"/>
          <w:kern w:val="0"/>
          <w:sz w:val="24"/>
          <w:szCs w:val="24"/>
          <w:lang w:val="en-US" w:eastAsia="zh-CN"/>
        </w:rPr>
      </w:pPr>
      <w:r>
        <w:rPr>
          <w:rFonts w:hint="eastAsia" w:ascii="宋体" w:hAnsi="宋体" w:eastAsia="宋体" w:cs="宋体"/>
          <w:b/>
          <w:bCs/>
          <w:snapToGrid w:val="0"/>
          <w:color w:val="000000"/>
          <w:spacing w:val="-4"/>
          <w:kern w:val="0"/>
          <w:sz w:val="24"/>
          <w:szCs w:val="24"/>
          <w:lang w:val="en-US" w:eastAsia="zh-CN"/>
        </w:rPr>
        <w:t>1、互联网数据采购</w:t>
      </w:r>
    </w:p>
    <w:tbl>
      <w:tblPr>
        <w:tblStyle w:val="44"/>
        <w:tblW w:w="9162" w:type="dxa"/>
        <w:tblInd w:w="-28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5"/>
        <w:gridCol w:w="692"/>
        <w:gridCol w:w="1099"/>
        <w:gridCol w:w="3429"/>
        <w:gridCol w:w="1132"/>
        <w:gridCol w:w="670"/>
        <w:gridCol w:w="1415"/>
      </w:tblGrid>
      <w:tr w14:paraId="6CD0A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9162"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CE4A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互联网数据采购</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采购起始时间依据项目实际需要由采购人与中标人另行约定，数据采购服务不包含免费维保期</w:t>
            </w:r>
            <w:r>
              <w:rPr>
                <w:rFonts w:hint="eastAsia" w:ascii="宋体" w:hAnsi="宋体" w:eastAsia="宋体" w:cs="宋体"/>
                <w:b/>
                <w:bCs/>
                <w:i w:val="0"/>
                <w:iCs w:val="0"/>
                <w:color w:val="000000"/>
                <w:kern w:val="0"/>
                <w:sz w:val="20"/>
                <w:szCs w:val="20"/>
                <w:u w:val="none"/>
                <w:lang w:val="en-US" w:eastAsia="zh-CN" w:bidi="ar"/>
              </w:rPr>
              <w:t>）</w:t>
            </w:r>
          </w:p>
        </w:tc>
      </w:tr>
      <w:tr w14:paraId="340EE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DFEF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5078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分类</w:t>
            </w:r>
          </w:p>
        </w:tc>
        <w:tc>
          <w:tcPr>
            <w:tcW w:w="1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68DA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数据项</w:t>
            </w:r>
          </w:p>
        </w:tc>
        <w:tc>
          <w:tcPr>
            <w:tcW w:w="3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4D29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数据内容</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D0F5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9DE0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14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5742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14:paraId="75229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5945" w:type="dxa"/>
            <w:gridSpan w:val="4"/>
            <w:tcBorders>
              <w:top w:val="single" w:color="000000" w:sz="4" w:space="0"/>
              <w:left w:val="single" w:color="000000" w:sz="4" w:space="0"/>
              <w:bottom w:val="single" w:color="000000" w:sz="4" w:space="0"/>
              <w:right w:val="single" w:color="000000" w:sz="4" w:space="0"/>
            </w:tcBorders>
            <w:shd w:val="clear" w:color="auto" w:fill="BDD7EE"/>
            <w:noWrap/>
            <w:vAlign w:val="center"/>
          </w:tcPr>
          <w:p w14:paraId="24D6F9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一、互联网大数据</w:t>
            </w:r>
          </w:p>
        </w:tc>
        <w:tc>
          <w:tcPr>
            <w:tcW w:w="1132" w:type="dxa"/>
            <w:tcBorders>
              <w:top w:val="single" w:color="000000" w:sz="4" w:space="0"/>
              <w:left w:val="single" w:color="000000" w:sz="4" w:space="0"/>
              <w:bottom w:val="single" w:color="000000" w:sz="4" w:space="0"/>
              <w:right w:val="single" w:color="000000" w:sz="4" w:space="0"/>
            </w:tcBorders>
            <w:shd w:val="clear" w:color="auto" w:fill="BDD7EE"/>
            <w:noWrap/>
            <w:vAlign w:val="center"/>
          </w:tcPr>
          <w:p w14:paraId="0D58E32B">
            <w:pPr>
              <w:jc w:val="center"/>
              <w:rPr>
                <w:rFonts w:hint="eastAsia" w:ascii="宋体" w:hAnsi="宋体" w:eastAsia="宋体" w:cs="宋体"/>
                <w:i w:val="0"/>
                <w:iCs w:val="0"/>
                <w:color w:val="000000"/>
                <w:sz w:val="20"/>
                <w:szCs w:val="20"/>
                <w:u w:val="none"/>
              </w:rPr>
            </w:pPr>
          </w:p>
        </w:tc>
        <w:tc>
          <w:tcPr>
            <w:tcW w:w="670" w:type="dxa"/>
            <w:tcBorders>
              <w:top w:val="single" w:color="000000" w:sz="4" w:space="0"/>
              <w:left w:val="single" w:color="000000" w:sz="4" w:space="0"/>
              <w:bottom w:val="single" w:color="000000" w:sz="4" w:space="0"/>
              <w:right w:val="single" w:color="000000" w:sz="4" w:space="0"/>
            </w:tcBorders>
            <w:shd w:val="clear" w:color="auto" w:fill="BDD7EE"/>
            <w:noWrap/>
            <w:vAlign w:val="center"/>
          </w:tcPr>
          <w:p w14:paraId="2DE25CEF">
            <w:pPr>
              <w:jc w:val="center"/>
              <w:rPr>
                <w:rFonts w:hint="eastAsia" w:ascii="宋体" w:hAnsi="宋体" w:eastAsia="宋体" w:cs="宋体"/>
                <w:i w:val="0"/>
                <w:iCs w:val="0"/>
                <w:color w:val="000000"/>
                <w:sz w:val="20"/>
                <w:szCs w:val="20"/>
                <w:u w:val="none"/>
              </w:rPr>
            </w:pPr>
          </w:p>
        </w:tc>
        <w:tc>
          <w:tcPr>
            <w:tcW w:w="1415" w:type="dxa"/>
            <w:tcBorders>
              <w:top w:val="single" w:color="000000" w:sz="4" w:space="0"/>
              <w:left w:val="single" w:color="000000" w:sz="4" w:space="0"/>
              <w:bottom w:val="single" w:color="000000" w:sz="4" w:space="0"/>
              <w:right w:val="single" w:color="000000" w:sz="4" w:space="0"/>
            </w:tcBorders>
            <w:shd w:val="clear" w:color="auto" w:fill="BDD7EE"/>
            <w:noWrap/>
            <w:vAlign w:val="center"/>
          </w:tcPr>
          <w:p w14:paraId="63700193">
            <w:pPr>
              <w:jc w:val="center"/>
              <w:rPr>
                <w:rFonts w:hint="eastAsia" w:ascii="宋体" w:hAnsi="宋体" w:eastAsia="宋体" w:cs="宋体"/>
                <w:i w:val="0"/>
                <w:iCs w:val="0"/>
                <w:color w:val="000000"/>
                <w:sz w:val="20"/>
                <w:szCs w:val="20"/>
                <w:u w:val="none"/>
              </w:rPr>
            </w:pPr>
          </w:p>
        </w:tc>
      </w:tr>
      <w:tr w14:paraId="3DB36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E37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1661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交通态势类指标</w:t>
            </w:r>
          </w:p>
        </w:tc>
        <w:tc>
          <w:tcPr>
            <w:tcW w:w="1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FC9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实时路况</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574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获取城市实时路况信息。动态路况查询、道路静态表查询，1分钟更新一次。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互联网实时交通路况，数据粒度为link级，信息项包括时间、路段平均车速、旅行时间、拥堵状态（畅通/缓行/拥堵等）、路段坐标</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7D6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南山区/年</w:t>
            </w:r>
          </w:p>
        </w:tc>
        <w:tc>
          <w:tcPr>
            <w:tcW w:w="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05E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43E9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686E0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40F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39218">
            <w:pPr>
              <w:jc w:val="center"/>
              <w:rPr>
                <w:rFonts w:hint="eastAsia" w:ascii="宋体" w:hAnsi="宋体" w:eastAsia="宋体" w:cs="宋体"/>
                <w:i w:val="0"/>
                <w:iCs w:val="0"/>
                <w:color w:val="000000"/>
                <w:sz w:val="20"/>
                <w:szCs w:val="20"/>
                <w:u w:val="none"/>
              </w:rPr>
            </w:pP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386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交通拥堵指数-区域实时</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7F0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交通指数-实时-区域（城市/行政区/商圈/大队）指数排行。城市/行政区等区域实时指数，包括指数、速度、自由流速度。</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7E7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南山区/年</w:t>
            </w:r>
          </w:p>
        </w:tc>
        <w:tc>
          <w:tcPr>
            <w:tcW w:w="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7AE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8A0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包括关键字搜索等配套接口</w:t>
            </w:r>
          </w:p>
        </w:tc>
      </w:tr>
      <w:tr w14:paraId="5A1AD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54B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80767">
            <w:pPr>
              <w:jc w:val="center"/>
              <w:rPr>
                <w:rFonts w:hint="eastAsia" w:ascii="宋体" w:hAnsi="宋体" w:eastAsia="宋体" w:cs="宋体"/>
                <w:i w:val="0"/>
                <w:iCs w:val="0"/>
                <w:color w:val="000000"/>
                <w:sz w:val="20"/>
                <w:szCs w:val="20"/>
                <w:u w:val="none"/>
              </w:rPr>
            </w:pP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482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交通拥堵指数-道路实时</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606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交通指数-实时-道路指数排行。道路实时指数，包括指数、速度、自由流速度。</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D55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南山区/年</w:t>
            </w:r>
          </w:p>
        </w:tc>
        <w:tc>
          <w:tcPr>
            <w:tcW w:w="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FD4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7BE6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163DA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200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A34C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客流分析类指标</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AFE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人-区域/网格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实时人数&amp;人流活力指数&amp;洞察（升级版）</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353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任意区域实时人流预警&amp;人流活力指数（15分钟批次）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网格实时人数预警&amp;人流活力指数（15分钟批次）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任意区域实时人流洞察（15分钟批次）</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C81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南山区/年</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D7A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8DBF9">
            <w:pPr>
              <w:jc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000000"/>
                <w:sz w:val="20"/>
                <w:szCs w:val="20"/>
                <w:u w:val="none"/>
                <w:lang w:val="en-US" w:eastAsia="zh-CN"/>
              </w:rPr>
              <w:t>/</w:t>
            </w:r>
          </w:p>
        </w:tc>
      </w:tr>
      <w:tr w14:paraId="19059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E86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954CFD">
            <w:pPr>
              <w:jc w:val="center"/>
              <w:rPr>
                <w:rFonts w:hint="eastAsia" w:ascii="宋体" w:hAnsi="宋体" w:eastAsia="宋体" w:cs="宋体"/>
                <w:i w:val="0"/>
                <w:iCs w:val="0"/>
                <w:color w:val="000000"/>
                <w:sz w:val="20"/>
                <w:szCs w:val="20"/>
                <w:u w:val="none"/>
              </w:rPr>
            </w:pP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3AE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职住数据</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CE3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职住表：用于计算网格内居住人数、工作人数。内容包括：网格的编号，网格中心点坐标（坐标系：GCJ-02），网格边长：目前支持规格100*100m/500*500m/1000*1000m；居住人数；工作人数。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勤表：用于整体计算上班下班的起讫点。内容包括：起点网格ID、起点坐标：起点网格中心点坐标（坐标系：GCJ-02）；终点网格ID、终点坐标：终点网格中心点坐标（坐标系：GCJ-02）；网格边长：网格边长：目前规格100*100m/500*500m/1000*1000m；ODID：该OD的标签；用于对应通勤明细表的ODID；总出行人数：从起点到终点的总出行ID数（半年累计去重值且不录入半年内容出行次数小于10天的数据）；出行类型：标识该出行是上班还是下班。</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E6E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南山区/年</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A9C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776B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r>
      <w:tr w14:paraId="03A60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atLeast"/>
        </w:trPr>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093C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E64B8">
            <w:pPr>
              <w:jc w:val="center"/>
              <w:rPr>
                <w:rFonts w:hint="eastAsia" w:ascii="宋体" w:hAnsi="宋体" w:eastAsia="宋体" w:cs="宋体"/>
                <w:i w:val="0"/>
                <w:iCs w:val="0"/>
                <w:color w:val="000000"/>
                <w:sz w:val="20"/>
                <w:szCs w:val="20"/>
                <w:highlight w:val="none"/>
                <w:u w:val="none"/>
              </w:rPr>
            </w:pP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40D6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全量OD数据</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8EBF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出发栅格ID、到达栅格ID、出发时间(15min精度)、到达时间(15min精度)、出发栅格中心坐标、到达栅格中心坐标、出行方式(骑步行、地铁、公交、驾车、大巴、高铁、飞机、未知)、出行时耗、出行距离、出行人数、置信度，T+2天级更新。</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数据范围为OD出发点或目的地在南山区的所有数据。</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使用场景举例：跨区进入南山区（或软件园等自定义区域）的OD分析；重点办公区/商圈/医院OD分析等。</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DF68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南山区/年</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4783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906B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含跨区OD数据</w:t>
            </w:r>
          </w:p>
        </w:tc>
      </w:tr>
    </w:tbl>
    <w:p w14:paraId="257CAF0B">
      <w:pPr>
        <w:spacing w:before="156" w:beforeLines="50" w:after="156" w:afterLines="50"/>
        <w:rPr>
          <w:rFonts w:ascii="Times New Roman" w:hAnsi="Times New Roman" w:eastAsia="宋体" w:cs="Times New Roman"/>
          <w:szCs w:val="24"/>
          <w:highlight w:val="none"/>
        </w:rPr>
      </w:pPr>
    </w:p>
    <w:p w14:paraId="6A10764E">
      <w:pPr>
        <w:pStyle w:val="19"/>
        <w:rPr>
          <w:rFonts w:ascii="Times New Roman" w:hAnsi="Times New Roman" w:eastAsia="宋体" w:cs="Times New Roman"/>
          <w:szCs w:val="24"/>
          <w:highlight w:val="none"/>
        </w:rPr>
      </w:pPr>
    </w:p>
    <w:bookmarkEnd w:id="39"/>
    <w:p w14:paraId="23D08B2E">
      <w:pPr>
        <w:pStyle w:val="62"/>
        <w:rPr>
          <w:rFonts w:hint="eastAsia"/>
          <w:highlight w:val="none"/>
          <w:lang w:val="en-US" w:eastAsia="zh-CN"/>
        </w:rPr>
      </w:pPr>
    </w:p>
    <w:p w14:paraId="6556E91D">
      <w:pPr>
        <w:keepNext/>
        <w:keepLines/>
        <w:adjustRightInd w:val="0"/>
        <w:spacing w:before="156" w:beforeLines="50" w:after="156" w:afterLines="50"/>
        <w:jc w:val="center"/>
        <w:textAlignment w:val="baseline"/>
        <w:outlineLvl w:val="1"/>
        <w:rPr>
          <w:rFonts w:ascii="Times New Roman" w:hAnsi="Times New Roman" w:eastAsia="宋体" w:cs="Times New Roman"/>
          <w:b/>
          <w:szCs w:val="21"/>
          <w:highlight w:val="none"/>
        </w:rPr>
      </w:pPr>
      <w:bookmarkStart w:id="40" w:name="_Toc128884461"/>
      <w:r>
        <w:rPr>
          <w:rFonts w:hint="eastAsia" w:ascii="Times New Roman" w:hAnsi="Times New Roman" w:eastAsia="宋体" w:cs="Times New Roman"/>
          <w:b/>
          <w:bCs/>
          <w:kern w:val="0"/>
          <w:sz w:val="24"/>
          <w:szCs w:val="24"/>
          <w:highlight w:val="none"/>
          <w:lang w:val="en-US" w:eastAsia="zh-CN"/>
        </w:rPr>
        <w:t>六</w:t>
      </w:r>
      <w:r>
        <w:rPr>
          <w:rFonts w:ascii="Times New Roman" w:hAnsi="Times New Roman" w:eastAsia="宋体" w:cs="Times New Roman"/>
          <w:b/>
          <w:bCs/>
          <w:kern w:val="0"/>
          <w:sz w:val="24"/>
          <w:szCs w:val="24"/>
          <w:highlight w:val="none"/>
        </w:rPr>
        <w:t>、实质性条款</w:t>
      </w:r>
      <w:bookmarkEnd w:id="40"/>
    </w:p>
    <w:tbl>
      <w:tblPr>
        <w:tblStyle w:val="44"/>
        <w:tblW w:w="84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7780"/>
      </w:tblGrid>
      <w:tr w14:paraId="25206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0" w:hRule="atLeast"/>
        </w:trPr>
        <w:tc>
          <w:tcPr>
            <w:tcW w:w="695" w:type="dxa"/>
            <w:vAlign w:val="center"/>
          </w:tcPr>
          <w:p w14:paraId="1081CF73">
            <w:pPr>
              <w:adjustRightInd w:val="0"/>
              <w:snapToGrid w:val="0"/>
              <w:spacing w:line="276" w:lineRule="auto"/>
              <w:jc w:val="center"/>
              <w:rPr>
                <w:rFonts w:ascii="宋体" w:hAnsi="宋体" w:eastAsia="宋体" w:cs="Times New Roman"/>
                <w:kern w:val="0"/>
                <w:szCs w:val="21"/>
                <w:highlight w:val="none"/>
              </w:rPr>
            </w:pPr>
            <w:r>
              <w:rPr>
                <w:rFonts w:hint="eastAsia" w:ascii="宋体" w:hAnsi="宋体" w:eastAsia="宋体" w:cs="Times New Roman"/>
                <w:kern w:val="0"/>
                <w:szCs w:val="21"/>
                <w:highlight w:val="none"/>
              </w:rPr>
              <w:t>序号</w:t>
            </w:r>
          </w:p>
        </w:tc>
        <w:tc>
          <w:tcPr>
            <w:tcW w:w="7780" w:type="dxa"/>
            <w:vAlign w:val="center"/>
          </w:tcPr>
          <w:p w14:paraId="447FE713">
            <w:pPr>
              <w:adjustRightInd w:val="0"/>
              <w:snapToGrid w:val="0"/>
              <w:spacing w:line="276" w:lineRule="auto"/>
              <w:jc w:val="center"/>
              <w:rPr>
                <w:rFonts w:ascii="宋体" w:hAnsi="宋体" w:eastAsia="宋体" w:cs="Times New Roman"/>
                <w:kern w:val="0"/>
                <w:szCs w:val="21"/>
                <w:highlight w:val="none"/>
              </w:rPr>
            </w:pPr>
            <w:r>
              <w:rPr>
                <w:rFonts w:hint="eastAsia" w:ascii="Times New Roman" w:hAnsi="Times New Roman" w:eastAsia="宋体" w:cs="Times New Roman"/>
                <w:b/>
                <w:bCs/>
                <w:color w:val="FF0000"/>
                <w:szCs w:val="21"/>
                <w:highlight w:val="none"/>
              </w:rPr>
              <w:t>★</w:t>
            </w:r>
            <w:r>
              <w:rPr>
                <w:rFonts w:hint="eastAsia" w:ascii="宋体" w:hAnsi="宋体" w:eastAsia="宋体" w:cs="Times New Roman"/>
                <w:b/>
                <w:bCs/>
                <w:kern w:val="0"/>
                <w:szCs w:val="21"/>
                <w:highlight w:val="none"/>
              </w:rPr>
              <w:t>实质性条款具体内容</w:t>
            </w:r>
          </w:p>
        </w:tc>
      </w:tr>
      <w:tr w14:paraId="3DC6B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695" w:type="dxa"/>
            <w:vAlign w:val="center"/>
          </w:tcPr>
          <w:p w14:paraId="4A61DD28">
            <w:pPr>
              <w:adjustRightInd w:val="0"/>
              <w:snapToGrid w:val="0"/>
              <w:jc w:val="center"/>
              <w:rPr>
                <w:rFonts w:ascii="宋体" w:hAnsi="宋体" w:eastAsia="宋体" w:cs="Times New Roman"/>
                <w:kern w:val="0"/>
                <w:szCs w:val="21"/>
                <w:highlight w:val="none"/>
              </w:rPr>
            </w:pPr>
            <w:r>
              <w:rPr>
                <w:rFonts w:hint="eastAsia" w:ascii="宋体" w:hAnsi="宋体" w:eastAsia="宋体" w:cs="Times New Roman"/>
                <w:kern w:val="0"/>
                <w:szCs w:val="21"/>
                <w:highlight w:val="none"/>
              </w:rPr>
              <w:t>1</w:t>
            </w:r>
          </w:p>
        </w:tc>
        <w:tc>
          <w:tcPr>
            <w:tcW w:w="7780" w:type="dxa"/>
            <w:vAlign w:val="center"/>
          </w:tcPr>
          <w:p w14:paraId="594D6BD7">
            <w:pPr>
              <w:pStyle w:val="17"/>
              <w:rPr>
                <w:rFonts w:ascii="Times New Roman" w:hAnsi="宋体" w:eastAsia="宋体" w:cs="Times New Roman"/>
                <w:kern w:val="0"/>
                <w:szCs w:val="21"/>
                <w:highlight w:val="none"/>
              </w:rPr>
            </w:pPr>
            <w:r>
              <w:rPr>
                <w:rFonts w:hint="eastAsia" w:ascii="Times New Roman" w:hAnsi="宋体"/>
                <w:b/>
                <w:bCs/>
                <w:color w:val="FF0000"/>
                <w:spacing w:val="0"/>
                <w:sz w:val="21"/>
                <w:szCs w:val="21"/>
                <w:highlight w:val="none"/>
              </w:rPr>
              <w:t>满足本项目标★的条款要求</w:t>
            </w:r>
            <w:r>
              <w:rPr>
                <w:rFonts w:hint="eastAsia" w:ascii="Times New Roman" w:hAnsi="宋体"/>
                <w:b/>
                <w:bCs/>
                <w:color w:val="FF0000"/>
                <w:spacing w:val="0"/>
                <w:sz w:val="21"/>
                <w:szCs w:val="21"/>
                <w:highlight w:val="none"/>
                <w:lang w:eastAsia="zh-CN"/>
              </w:rPr>
              <w:t>。</w:t>
            </w:r>
          </w:p>
        </w:tc>
      </w:tr>
    </w:tbl>
    <w:p w14:paraId="5AC2FF5D">
      <w:pPr>
        <w:spacing w:line="276" w:lineRule="auto"/>
        <w:rPr>
          <w:rFonts w:ascii="Times New Roman" w:hAnsi="Times New Roman" w:eastAsia="宋体" w:cs="Times New Roman"/>
          <w:b/>
          <w:szCs w:val="21"/>
          <w:highlight w:val="none"/>
        </w:rPr>
      </w:pPr>
    </w:p>
    <w:p w14:paraId="50CEBF43">
      <w:pPr>
        <w:spacing w:line="276" w:lineRule="auto"/>
        <w:rPr>
          <w:rFonts w:ascii="Times New Roman" w:hAnsi="Times New Roman" w:eastAsia="宋体" w:cs="Times New Roman"/>
          <w:b/>
          <w:szCs w:val="21"/>
          <w:highlight w:val="none"/>
        </w:rPr>
      </w:pPr>
      <w:r>
        <w:rPr>
          <w:rFonts w:ascii="Times New Roman" w:hAnsi="Times New Roman" w:eastAsia="宋体" w:cs="Times New Roman"/>
          <w:b/>
          <w:szCs w:val="21"/>
          <w:highlight w:val="none"/>
        </w:rPr>
        <w:t>注：上表所列内容为不可负偏离条款，负偏离将视为未实质性满足招标文件要求和条件作投标无效处理。</w:t>
      </w:r>
    </w:p>
    <w:p w14:paraId="6300E57B">
      <w:pPr>
        <w:rPr>
          <w:rFonts w:ascii="Times New Roman" w:hAnsi="Times New Roman" w:eastAsia="宋体" w:cs="Times New Roman"/>
          <w:b/>
          <w:szCs w:val="21"/>
          <w:highlight w:val="none"/>
        </w:rPr>
      </w:pPr>
    </w:p>
    <w:p w14:paraId="5F2C9AD2">
      <w:pPr>
        <w:keepNext/>
        <w:keepLines/>
        <w:adjustRightInd w:val="0"/>
        <w:spacing w:before="156" w:beforeLines="50" w:after="156" w:afterLines="50"/>
        <w:jc w:val="center"/>
        <w:textAlignment w:val="baseline"/>
        <w:outlineLvl w:val="1"/>
        <w:rPr>
          <w:rFonts w:ascii="Times New Roman" w:hAnsi="Times New Roman" w:eastAsia="宋体" w:cs="Times New Roman"/>
          <w:b/>
          <w:bCs/>
          <w:kern w:val="0"/>
          <w:sz w:val="24"/>
          <w:szCs w:val="24"/>
          <w:highlight w:val="none"/>
        </w:rPr>
      </w:pPr>
      <w:r>
        <w:rPr>
          <w:rFonts w:hint="eastAsia" w:ascii="Times New Roman" w:hAnsi="Times New Roman" w:eastAsia="宋体" w:cs="Times New Roman"/>
          <w:b/>
          <w:bCs/>
          <w:kern w:val="0"/>
          <w:sz w:val="24"/>
          <w:szCs w:val="24"/>
          <w:highlight w:val="none"/>
          <w:lang w:val="en-US" w:eastAsia="zh-CN"/>
        </w:rPr>
        <w:t>七</w:t>
      </w:r>
      <w:r>
        <w:rPr>
          <w:rFonts w:ascii="Times New Roman" w:hAnsi="Times New Roman" w:eastAsia="宋体" w:cs="Times New Roman"/>
          <w:b/>
          <w:bCs/>
          <w:kern w:val="0"/>
          <w:sz w:val="24"/>
          <w:szCs w:val="24"/>
          <w:highlight w:val="none"/>
        </w:rPr>
        <w:t>、技术要求</w:t>
      </w:r>
    </w:p>
    <w:p w14:paraId="151A15F4">
      <w:pPr>
        <w:ind w:firstLine="422" w:firstLineChars="200"/>
        <w:rPr>
          <w:rFonts w:ascii="Times New Roman" w:hAnsi="Times New Roman" w:eastAsia="宋体" w:cs="Times New Roman"/>
          <w:b/>
          <w:szCs w:val="21"/>
        </w:rPr>
      </w:pPr>
      <w:r>
        <w:rPr>
          <w:rFonts w:ascii="Times New Roman" w:hAnsi="Times New Roman" w:eastAsia="宋体" w:cs="Times New Roman"/>
          <w:b/>
          <w:szCs w:val="21"/>
        </w:rPr>
        <w:t>说明：</w:t>
      </w:r>
    </w:p>
    <w:p w14:paraId="311A2BC1">
      <w:pPr>
        <w:ind w:firstLine="422" w:firstLineChars="200"/>
        <w:rPr>
          <w:rFonts w:ascii="宋体" w:hAnsi="宋体" w:eastAsia="宋体" w:cs="宋体"/>
          <w:b/>
          <w:szCs w:val="24"/>
        </w:rPr>
      </w:pPr>
      <w:r>
        <w:rPr>
          <w:rFonts w:hint="eastAsia" w:ascii="宋体" w:hAnsi="宋体" w:eastAsia="宋体" w:cs="宋体"/>
          <w:b/>
          <w:szCs w:val="24"/>
        </w:rPr>
        <w:t>1.评分时，如对一项招标技术要求（以划分框为准）中的内容存在两处（或以上）负偏离的，在评分时只作一项负偏离扣分。</w:t>
      </w:r>
    </w:p>
    <w:p w14:paraId="7567EB32">
      <w:pPr>
        <w:ind w:firstLine="422" w:firstLineChars="200"/>
        <w:rPr>
          <w:rFonts w:ascii="宋体" w:hAnsi="宋体" w:eastAsia="宋体" w:cs="宋体"/>
          <w:b/>
          <w:szCs w:val="24"/>
        </w:rPr>
      </w:pPr>
      <w:r>
        <w:rPr>
          <w:rFonts w:hint="eastAsia" w:ascii="宋体" w:hAnsi="宋体" w:eastAsia="宋体" w:cs="宋体"/>
          <w:b/>
          <w:szCs w:val="24"/>
        </w:rPr>
        <w:t>2.本项目招标技术要求中，</w:t>
      </w:r>
      <w:r>
        <w:rPr>
          <w:rFonts w:hint="eastAsia" w:ascii="宋体" w:hAnsi="宋体" w:eastAsia="宋体" w:cs="宋体"/>
          <w:b/>
          <w:color w:val="FF0000"/>
          <w:szCs w:val="24"/>
        </w:rPr>
        <w:t>在备注中有明确说明提供证明资料的指标项均要求提供证明资料</w:t>
      </w:r>
      <w:r>
        <w:rPr>
          <w:rFonts w:hint="eastAsia" w:ascii="宋体" w:hAnsi="宋体" w:eastAsia="宋体" w:cs="宋体"/>
          <w:b/>
          <w:color w:val="FF0000"/>
          <w:szCs w:val="24"/>
          <w:highlight w:val="none"/>
        </w:rPr>
        <w:t>，共</w:t>
      </w:r>
      <w:r>
        <w:rPr>
          <w:rFonts w:hint="eastAsia" w:ascii="宋体" w:hAnsi="宋体" w:eastAsia="宋体" w:cs="宋体"/>
          <w:b/>
          <w:color w:val="FF0000"/>
          <w:szCs w:val="24"/>
          <w:highlight w:val="none"/>
          <w:lang w:val="en-US" w:eastAsia="zh-CN"/>
        </w:rPr>
        <w:t>10</w:t>
      </w:r>
      <w:r>
        <w:rPr>
          <w:rFonts w:hint="eastAsia" w:ascii="宋体" w:hAnsi="宋体" w:eastAsia="宋体" w:cs="宋体"/>
          <w:b/>
          <w:color w:val="FF0000"/>
          <w:szCs w:val="24"/>
          <w:highlight w:val="none"/>
        </w:rPr>
        <w:t>项</w:t>
      </w:r>
      <w:r>
        <w:rPr>
          <w:rFonts w:hint="eastAsia" w:ascii="宋体" w:hAnsi="宋体" w:eastAsia="宋体" w:cs="宋体"/>
          <w:b/>
          <w:szCs w:val="24"/>
          <w:highlight w:val="none"/>
        </w:rPr>
        <w:t>；其余指标项未要求提供证明资料，无需提供相关证明资料。如投标人未按要求提供的，或</w:t>
      </w:r>
      <w:r>
        <w:rPr>
          <w:rFonts w:hint="eastAsia" w:ascii="宋体" w:hAnsi="宋体" w:eastAsia="宋体" w:cs="宋体"/>
          <w:b/>
          <w:szCs w:val="24"/>
        </w:rPr>
        <w:t>提供的材料未能证明所投产品响应情况的，则该参数视为没有满足招标文件要求，将根据参数情况产生以下影响：</w:t>
      </w:r>
    </w:p>
    <w:p w14:paraId="1A854629">
      <w:pPr>
        <w:ind w:firstLine="422" w:firstLineChars="200"/>
        <w:rPr>
          <w:rFonts w:ascii="宋体" w:hAnsi="宋体" w:eastAsia="宋体" w:cs="宋体"/>
          <w:b/>
          <w:color w:val="FF0000"/>
          <w:szCs w:val="24"/>
        </w:rPr>
      </w:pPr>
      <w:r>
        <w:rPr>
          <w:rFonts w:hint="eastAsia" w:ascii="宋体" w:hAnsi="宋体" w:eastAsia="宋体" w:cs="宋体"/>
          <w:b/>
          <w:color w:val="FF0000"/>
          <w:szCs w:val="24"/>
        </w:rPr>
        <w:t>（1）如项目技术要求中设置了“★”号的参数，则该项参数为关键性技术指标，投标人所投产品必须满足，否则视为没有实质性满足招标文件要求。</w:t>
      </w:r>
    </w:p>
    <w:p w14:paraId="64E70BC5">
      <w:pPr>
        <w:ind w:firstLine="422" w:firstLineChars="200"/>
        <w:rPr>
          <w:rFonts w:ascii="宋体" w:hAnsi="宋体" w:eastAsia="宋体" w:cs="宋体"/>
          <w:b/>
          <w:szCs w:val="24"/>
        </w:rPr>
      </w:pPr>
      <w:r>
        <w:rPr>
          <w:rFonts w:hint="eastAsia" w:ascii="宋体" w:hAnsi="宋体" w:eastAsia="宋体" w:cs="宋体"/>
          <w:b/>
          <w:szCs w:val="24"/>
        </w:rPr>
        <w:t>（2）如项目技术要求中设置了“▲”号的参数，则该项参数为重要技术指标，将在“技术要求偏离表”评分项中作为重点评价指标。</w:t>
      </w:r>
    </w:p>
    <w:p w14:paraId="6454CD83">
      <w:pPr>
        <w:ind w:firstLine="422" w:firstLineChars="200"/>
        <w:rPr>
          <w:rFonts w:ascii="宋体" w:hAnsi="宋体" w:eastAsia="宋体" w:cs="宋体"/>
          <w:b/>
          <w:szCs w:val="24"/>
        </w:rPr>
      </w:pPr>
      <w:r>
        <w:rPr>
          <w:rFonts w:hint="eastAsia" w:ascii="宋体" w:hAnsi="宋体" w:eastAsia="宋体" w:cs="宋体"/>
          <w:b/>
          <w:szCs w:val="24"/>
        </w:rPr>
        <w:t>（3）如项目技术要求中未设置“★”或“▲”号的参数，则该项参数为普通技术指标，将在“技术要求偏离表”评分项中作为评价指标。</w:t>
      </w:r>
    </w:p>
    <w:p w14:paraId="1D84A316">
      <w:pPr>
        <w:ind w:firstLine="422" w:firstLineChars="200"/>
        <w:rPr>
          <w:rFonts w:ascii="宋体" w:hAnsi="宋体" w:eastAsia="宋体" w:cs="宋体"/>
          <w:b/>
          <w:color w:val="FF0000"/>
          <w:szCs w:val="24"/>
          <w:highlight w:val="none"/>
        </w:rPr>
      </w:pPr>
      <w:bookmarkStart w:id="41" w:name="_Hlk72585069"/>
      <w:r>
        <w:rPr>
          <w:rFonts w:hint="eastAsia" w:ascii="宋体" w:hAnsi="宋体" w:eastAsia="宋体" w:cs="宋体"/>
          <w:b/>
          <w:color w:val="FF0000"/>
          <w:szCs w:val="24"/>
          <w:highlight w:val="none"/>
        </w:rPr>
        <w:t>3.涉及区间的技术要求，除特别注明以外，所投产品响应数值在招标文件要求的区间范围内即认定为满足该项技术要求。例：区间要求为5-20ML，所投产品响应为5ML、10ML或20ML，即为满足该项技术要求。</w:t>
      </w:r>
    </w:p>
    <w:p w14:paraId="70CAFD91">
      <w:pPr>
        <w:ind w:firstLine="422" w:firstLineChars="200"/>
        <w:rPr>
          <w:rFonts w:ascii="宋体" w:hAnsi="宋体" w:eastAsia="宋体" w:cs="宋体"/>
          <w:b/>
          <w:szCs w:val="24"/>
        </w:rPr>
      </w:pPr>
      <w:r>
        <w:rPr>
          <w:rFonts w:hint="eastAsia" w:ascii="宋体" w:hAnsi="宋体" w:eastAsia="宋体" w:cs="宋体"/>
          <w:b/>
          <w:szCs w:val="24"/>
        </w:rPr>
        <w:t>4.相关证明材料的产品名称与招标技术要求的货物名称不一致的，需提供为同种产品的说明；若名称不一致又未提供说明的，由评审委员会判定是否符合文件要求。</w:t>
      </w:r>
    </w:p>
    <w:p w14:paraId="5D2023C2">
      <w:pPr>
        <w:ind w:firstLine="422" w:firstLineChars="200"/>
        <w:rPr>
          <w:rFonts w:hint="eastAsia" w:ascii="宋体" w:hAnsi="宋体" w:eastAsia="宋体" w:cs="宋体"/>
          <w:b/>
          <w:szCs w:val="24"/>
        </w:rPr>
      </w:pPr>
      <w:r>
        <w:rPr>
          <w:rFonts w:hint="eastAsia" w:ascii="宋体" w:hAnsi="宋体" w:eastAsia="宋体" w:cs="宋体"/>
          <w:b/>
          <w:szCs w:val="24"/>
        </w:rPr>
        <w:t>5.检验（检测）报告要求具有CMA等标识的，若有材料证明相关检测事项不在实施该项检测的机构许可（认可）CMA等资质范围或检测范围内的，该检验（检测）报告视为不满足招标文件要求，作负偏离处理。</w:t>
      </w:r>
    </w:p>
    <w:p w14:paraId="3931217B">
      <w:pPr>
        <w:ind w:firstLine="422" w:firstLineChars="200"/>
        <w:rPr>
          <w:rFonts w:hint="eastAsia" w:ascii="宋体" w:hAnsi="宋体" w:eastAsia="宋体" w:cs="宋体"/>
          <w:b/>
          <w:szCs w:val="24"/>
        </w:rPr>
      </w:pPr>
    </w:p>
    <w:p w14:paraId="5D6DED26">
      <w:pPr>
        <w:pStyle w:val="19"/>
        <w:rPr>
          <w:rFonts w:hint="default" w:eastAsia="宋体"/>
          <w:b/>
          <w:bCs/>
          <w:lang w:val="en-US" w:eastAsia="zh-CN"/>
        </w:rPr>
      </w:pPr>
      <w:r>
        <w:rPr>
          <w:rFonts w:hint="eastAsia"/>
          <w:b/>
          <w:bCs/>
          <w:lang w:val="en-US" w:eastAsia="zh-CN"/>
        </w:rPr>
        <w:t>（一）</w:t>
      </w:r>
      <w:r>
        <w:rPr>
          <w:rFonts w:ascii="Times New Roman" w:hAnsi="Times New Roman" w:eastAsia="宋体" w:cs="Times New Roman"/>
          <w:b/>
          <w:bCs/>
          <w:spacing w:val="-4"/>
          <w:sz w:val="24"/>
          <w:szCs w:val="24"/>
        </w:rPr>
        <w:t>硬件设备技术要求</w:t>
      </w:r>
    </w:p>
    <w:tbl>
      <w:tblPr>
        <w:tblStyle w:val="44"/>
        <w:tblpPr w:leftFromText="180" w:rightFromText="180" w:vertAnchor="text" w:horzAnchor="page" w:tblpX="1435" w:tblpY="636"/>
        <w:tblOverlap w:val="never"/>
        <w:tblW w:w="89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19"/>
        <w:gridCol w:w="1936"/>
        <w:gridCol w:w="4502"/>
        <w:gridCol w:w="1721"/>
      </w:tblGrid>
      <w:tr w14:paraId="20DEA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52EFDCC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936" w:type="dxa"/>
            <w:shd w:val="clear" w:color="auto" w:fill="auto"/>
            <w:vAlign w:val="center"/>
          </w:tcPr>
          <w:p w14:paraId="3743299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货物名称</w:t>
            </w:r>
          </w:p>
        </w:tc>
        <w:tc>
          <w:tcPr>
            <w:tcW w:w="4502" w:type="dxa"/>
            <w:shd w:val="clear" w:color="auto" w:fill="auto"/>
            <w:vAlign w:val="center"/>
          </w:tcPr>
          <w:p w14:paraId="0C4BDB1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招标技术要求</w:t>
            </w:r>
          </w:p>
        </w:tc>
        <w:tc>
          <w:tcPr>
            <w:tcW w:w="1721" w:type="dxa"/>
            <w:shd w:val="clear" w:color="auto" w:fill="auto"/>
            <w:vAlign w:val="center"/>
          </w:tcPr>
          <w:p w14:paraId="7489A10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55157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5E1DFDE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w:t>
            </w:r>
          </w:p>
        </w:tc>
        <w:tc>
          <w:tcPr>
            <w:tcW w:w="1936" w:type="dxa"/>
            <w:shd w:val="clear" w:color="auto" w:fill="auto"/>
            <w:vAlign w:val="center"/>
          </w:tcPr>
          <w:p w14:paraId="11F4D86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前端设施</w:t>
            </w:r>
          </w:p>
        </w:tc>
        <w:tc>
          <w:tcPr>
            <w:tcW w:w="4502" w:type="dxa"/>
            <w:shd w:val="clear" w:color="auto" w:fill="auto"/>
            <w:vAlign w:val="center"/>
          </w:tcPr>
          <w:p w14:paraId="0E49CF26">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1721" w:type="dxa"/>
            <w:shd w:val="clear" w:color="auto" w:fill="auto"/>
            <w:vAlign w:val="center"/>
          </w:tcPr>
          <w:p w14:paraId="046F79FB">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BB9D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7739B5C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w:t>
            </w:r>
          </w:p>
        </w:tc>
        <w:tc>
          <w:tcPr>
            <w:tcW w:w="1936" w:type="dxa"/>
            <w:shd w:val="clear" w:color="auto" w:fill="auto"/>
            <w:vAlign w:val="center"/>
          </w:tcPr>
          <w:p w14:paraId="221944B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道路照明设施</w:t>
            </w:r>
          </w:p>
        </w:tc>
        <w:tc>
          <w:tcPr>
            <w:tcW w:w="4502" w:type="dxa"/>
            <w:shd w:val="clear" w:color="auto" w:fill="auto"/>
            <w:vAlign w:val="center"/>
          </w:tcPr>
          <w:p w14:paraId="6B99A8A1">
            <w:pPr>
              <w:keepNext/>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c>
          <w:tcPr>
            <w:tcW w:w="1721" w:type="dxa"/>
            <w:shd w:val="clear" w:color="auto" w:fill="auto"/>
            <w:vAlign w:val="center"/>
          </w:tcPr>
          <w:p w14:paraId="330FAFA6">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1BAF4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545BD57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w:t>
            </w:r>
          </w:p>
        </w:tc>
        <w:tc>
          <w:tcPr>
            <w:tcW w:w="1936" w:type="dxa"/>
            <w:shd w:val="clear" w:color="auto" w:fill="auto"/>
            <w:vAlign w:val="center"/>
          </w:tcPr>
          <w:p w14:paraId="5A20113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路灯灯具（3×300W）</w:t>
            </w:r>
          </w:p>
        </w:tc>
        <w:tc>
          <w:tcPr>
            <w:tcW w:w="4502" w:type="dxa"/>
            <w:shd w:val="clear" w:color="auto" w:fill="auto"/>
            <w:vAlign w:val="center"/>
          </w:tcPr>
          <w:p w14:paraId="123DA6C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半高杆路灯光源LED，光源功率:3×300W；输入电压：100-240VAC；色温：4000K/5000K /6500K；光效：≥110lm/W；显色指数：＞70；透镜材料：光学亚克力；外壳材料：铝型材+压铸铝；配套防水接头：380V；防护等级：IP65。</w:t>
            </w:r>
          </w:p>
        </w:tc>
        <w:tc>
          <w:tcPr>
            <w:tcW w:w="1721" w:type="dxa"/>
            <w:shd w:val="clear" w:color="auto" w:fill="auto"/>
            <w:vAlign w:val="center"/>
          </w:tcPr>
          <w:p w14:paraId="332E018B">
            <w:pPr>
              <w:keepNext/>
              <w:snapToGrid w:val="0"/>
              <w:ind w:left="0" w:leftChars="0" w:right="0" w:rightChars="0" w:firstLine="0" w:firstLineChars="0"/>
              <w:jc w:val="left"/>
              <w:rPr>
                <w:rFonts w:hint="eastAsia" w:ascii="宋体" w:hAnsi="宋体" w:eastAsia="宋体" w:cs="宋体"/>
                <w:i w:val="0"/>
                <w:iCs w:val="0"/>
                <w:color w:val="000000"/>
                <w:sz w:val="20"/>
                <w:szCs w:val="20"/>
                <w:u w:val="none"/>
                <w:lang w:eastAsia="zh-CN"/>
              </w:rPr>
            </w:pPr>
          </w:p>
        </w:tc>
      </w:tr>
      <w:tr w14:paraId="12985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1AAA8EA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2</w:t>
            </w:r>
          </w:p>
        </w:tc>
        <w:tc>
          <w:tcPr>
            <w:tcW w:w="1936" w:type="dxa"/>
            <w:shd w:val="clear" w:color="auto" w:fill="auto"/>
            <w:vAlign w:val="center"/>
          </w:tcPr>
          <w:p w14:paraId="4968466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路灯灯具（280W/80W）</w:t>
            </w:r>
          </w:p>
        </w:tc>
        <w:tc>
          <w:tcPr>
            <w:tcW w:w="4502" w:type="dxa"/>
            <w:shd w:val="clear" w:color="auto" w:fill="auto"/>
            <w:vAlign w:val="center"/>
          </w:tcPr>
          <w:p w14:paraId="6E5BA40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12m/8m高低臂路灯光源LED,光源功率:280W/80W；输入电压：100-240VAC；色温：4000K/5000K /6500K；光效：≥110lm/W；显色指数：＞70；透镜材料：光学亚克力；外壳材料：铝型材+压铸铝；配套防水接头：380V；防护等级：IP65。</w:t>
            </w:r>
          </w:p>
        </w:tc>
        <w:tc>
          <w:tcPr>
            <w:tcW w:w="1721" w:type="dxa"/>
            <w:shd w:val="clear" w:color="auto" w:fill="auto"/>
            <w:vAlign w:val="center"/>
          </w:tcPr>
          <w:p w14:paraId="5B6B30D6">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09FE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237A5C6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936" w:type="dxa"/>
            <w:shd w:val="clear" w:color="auto" w:fill="auto"/>
            <w:vAlign w:val="center"/>
          </w:tcPr>
          <w:p w14:paraId="28FA4BA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路灯灯具（280W/280W）</w:t>
            </w:r>
          </w:p>
        </w:tc>
        <w:tc>
          <w:tcPr>
            <w:tcW w:w="4502" w:type="dxa"/>
            <w:shd w:val="clear" w:color="auto" w:fill="auto"/>
            <w:vAlign w:val="center"/>
          </w:tcPr>
          <w:p w14:paraId="1A78E649">
            <w:pPr>
              <w:keepNext/>
              <w:keepLines w:val="0"/>
              <w:widowControl/>
              <w:suppressLineNumbers w:val="0"/>
              <w:snapToGrid w:val="0"/>
              <w:ind w:left="0" w:leftChars="0" w:right="0" w:rightChars="0" w:firstLine="0" w:firstLineChars="0"/>
              <w:jc w:val="left"/>
              <w:textAlignment w:val="center"/>
              <w:rPr>
                <w:rFonts w:hint="eastAsia" w:ascii="宋体" w:hAnsi="宋体" w:cs="宋体" w:eastAsiaTheme="minorEastAsia"/>
                <w:i w:val="0"/>
                <w:iCs w:val="0"/>
                <w:color w:val="000000"/>
                <w:sz w:val="20"/>
                <w:szCs w:val="20"/>
                <w:u w:val="none"/>
                <w:lang w:eastAsia="zh-CN"/>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12m/12m双臂路灯光源LED,光源功率:280W/280W；输入电压：100-240VAC；色温：4000K/5000K /6500K；光效：≥110lm/W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5.显色指数：＞70；透镜材料：光学亚克力；外壳材料：铝型材+压铸铝；配套防水接头：380V；防护等级：IP65</w:t>
            </w:r>
            <w:r>
              <w:rPr>
                <w:rFonts w:hint="eastAsia"/>
                <w:lang w:eastAsia="zh-CN"/>
              </w:rPr>
              <w:t>。</w:t>
            </w:r>
          </w:p>
        </w:tc>
        <w:tc>
          <w:tcPr>
            <w:tcW w:w="1721" w:type="dxa"/>
            <w:shd w:val="clear" w:color="auto" w:fill="auto"/>
            <w:vAlign w:val="center"/>
          </w:tcPr>
          <w:p w14:paraId="5DB05D13">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CB43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232EC2A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936" w:type="dxa"/>
            <w:shd w:val="clear" w:color="auto" w:fill="auto"/>
            <w:vAlign w:val="center"/>
          </w:tcPr>
          <w:p w14:paraId="064C017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路灯灯具（180W/80W）</w:t>
            </w:r>
          </w:p>
        </w:tc>
        <w:tc>
          <w:tcPr>
            <w:tcW w:w="4502" w:type="dxa"/>
            <w:shd w:val="clear" w:color="auto" w:fill="auto"/>
            <w:vAlign w:val="center"/>
          </w:tcPr>
          <w:p w14:paraId="5DD217D3">
            <w:pPr>
              <w:keepNext/>
              <w:keepLines w:val="0"/>
              <w:widowControl/>
              <w:suppressLineNumbers w:val="0"/>
              <w:snapToGrid w:val="0"/>
              <w:ind w:left="0" w:leftChars="0" w:right="0" w:rightChars="0" w:firstLine="0" w:firstLineChars="0"/>
              <w:jc w:val="left"/>
              <w:textAlignment w:val="center"/>
              <w:rPr>
                <w:rFonts w:hint="eastAsia" w:ascii="宋体" w:hAnsi="宋体" w:cs="宋体" w:eastAsiaTheme="minorEastAsia"/>
                <w:i w:val="0"/>
                <w:iCs w:val="0"/>
                <w:color w:val="000000"/>
                <w:sz w:val="20"/>
                <w:szCs w:val="20"/>
                <w:u w:val="none"/>
                <w:lang w:eastAsia="zh-CN"/>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10m/6m高低臂路灯光源LED,光源功率:180W/80W；输入电压：100-240VAC；色温：4000K/5000K /6500K；光效：≥110lm/W；显色指数：＞70；透镜材料：光学亚克力；外壳材料：铝型材+压铸铝；配套防水接头：380V；防护等级：IP65</w:t>
            </w:r>
            <w:r>
              <w:rPr>
                <w:rFonts w:hint="eastAsia"/>
                <w:lang w:eastAsia="zh-CN"/>
              </w:rPr>
              <w:t>。</w:t>
            </w:r>
          </w:p>
        </w:tc>
        <w:tc>
          <w:tcPr>
            <w:tcW w:w="1721" w:type="dxa"/>
            <w:shd w:val="clear" w:color="auto" w:fill="auto"/>
            <w:vAlign w:val="center"/>
          </w:tcPr>
          <w:p w14:paraId="541609C1">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143C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6BB4D7A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936" w:type="dxa"/>
            <w:shd w:val="clear" w:color="auto" w:fill="auto"/>
            <w:vAlign w:val="center"/>
          </w:tcPr>
          <w:p w14:paraId="2F5562A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路灯灯具（180W）</w:t>
            </w:r>
          </w:p>
        </w:tc>
        <w:tc>
          <w:tcPr>
            <w:tcW w:w="4502" w:type="dxa"/>
            <w:shd w:val="clear" w:color="auto" w:fill="auto"/>
            <w:vAlign w:val="center"/>
          </w:tcPr>
          <w:p w14:paraId="2E0E281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10m单臂智慧路灯光源LED,光源功率:180W；输入电压：100-240VAC</w:t>
            </w:r>
            <w:r>
              <w:rPr>
                <w:rFonts w:hint="eastAsia"/>
                <w:lang w:eastAsia="zh-CN"/>
              </w:rPr>
              <w:t>；</w:t>
            </w:r>
            <w:r>
              <w:rPr>
                <w:rFonts w:hint="eastAsia" w:ascii="宋体" w:hAnsi="宋体" w:eastAsia="宋体" w:cs="宋体"/>
                <w:i w:val="0"/>
                <w:iCs w:val="0"/>
                <w:color w:val="000000"/>
                <w:kern w:val="0"/>
                <w:sz w:val="20"/>
                <w:szCs w:val="20"/>
                <w:u w:val="none"/>
                <w:lang w:val="en-US" w:eastAsia="zh-CN" w:bidi="ar"/>
              </w:rPr>
              <w:t>色温：4000K/5000K /6500K；光效：≥110lm/W；显色指数：＞70；透镜材料：光学亚克力；外壳材料：铝型材+压铸铝；配套防水接头：380V；防护等级：IP65。</w:t>
            </w:r>
          </w:p>
        </w:tc>
        <w:tc>
          <w:tcPr>
            <w:tcW w:w="1721" w:type="dxa"/>
            <w:shd w:val="clear" w:color="auto" w:fill="auto"/>
            <w:vAlign w:val="center"/>
          </w:tcPr>
          <w:p w14:paraId="49C3E92A">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76B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552E7B8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936" w:type="dxa"/>
            <w:shd w:val="clear" w:color="auto" w:fill="auto"/>
            <w:vAlign w:val="center"/>
          </w:tcPr>
          <w:p w14:paraId="48CD476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路灯灯具（280W）</w:t>
            </w:r>
          </w:p>
        </w:tc>
        <w:tc>
          <w:tcPr>
            <w:tcW w:w="4502" w:type="dxa"/>
            <w:shd w:val="clear" w:color="auto" w:fill="auto"/>
            <w:vAlign w:val="center"/>
          </w:tcPr>
          <w:p w14:paraId="3C2B8C56">
            <w:pPr>
              <w:keepNext/>
              <w:keepLines w:val="0"/>
              <w:widowControl/>
              <w:suppressLineNumbers w:val="0"/>
              <w:snapToGrid w:val="0"/>
              <w:ind w:left="0" w:leftChars="0" w:right="0" w:rightChars="0" w:firstLine="0" w:firstLineChars="0"/>
              <w:jc w:val="left"/>
              <w:textAlignment w:val="center"/>
              <w:rPr>
                <w:rFonts w:hint="eastAsia" w:ascii="宋体" w:hAnsi="宋体" w:cs="宋体" w:eastAsiaTheme="minorEastAsia"/>
                <w:i w:val="0"/>
                <w:iCs w:val="0"/>
                <w:color w:val="000000"/>
                <w:sz w:val="20"/>
                <w:szCs w:val="20"/>
                <w:u w:val="none"/>
                <w:lang w:eastAsia="zh-CN"/>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12m单臂路灯光源LED,光源功率:280W；输入电压：100-240VAC；色温：4000K/5000K /6500K；光效：≥110lm/W；显色指数：＞70；透镜材料：光学亚克力；外壳材料：铝型材+压铸铝；配套防水接头：380V；防护等级：IP65</w:t>
            </w:r>
            <w:r>
              <w:rPr>
                <w:rFonts w:hint="eastAsia"/>
                <w:lang w:eastAsia="zh-CN"/>
              </w:rPr>
              <w:t>。</w:t>
            </w:r>
          </w:p>
        </w:tc>
        <w:tc>
          <w:tcPr>
            <w:tcW w:w="1721" w:type="dxa"/>
            <w:shd w:val="clear" w:color="auto" w:fill="auto"/>
            <w:vAlign w:val="center"/>
          </w:tcPr>
          <w:p w14:paraId="654A9334">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B9EB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6BB98B0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936" w:type="dxa"/>
            <w:shd w:val="clear" w:color="auto" w:fill="auto"/>
            <w:vAlign w:val="center"/>
          </w:tcPr>
          <w:p w14:paraId="42688E2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路灯灯具（300W）</w:t>
            </w:r>
          </w:p>
        </w:tc>
        <w:tc>
          <w:tcPr>
            <w:tcW w:w="4502" w:type="dxa"/>
            <w:shd w:val="clear" w:color="auto" w:fill="auto"/>
            <w:vAlign w:val="center"/>
          </w:tcPr>
          <w:p w14:paraId="3A4B915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12m单臂路灯光源LED,光源功率:300W；输入电压：100-240VAC；色温：4000K/5000K /6500K；光效：≥110lm/W；显色指数：＞70；透镜材料：光学亚克力；外壳材料：铝型材+压铸铝；配套防水接头：380V；防护等级：IP65。</w:t>
            </w:r>
          </w:p>
        </w:tc>
        <w:tc>
          <w:tcPr>
            <w:tcW w:w="1721" w:type="dxa"/>
            <w:shd w:val="clear" w:color="auto" w:fill="auto"/>
            <w:vAlign w:val="center"/>
          </w:tcPr>
          <w:p w14:paraId="6B0E43CA">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0ED2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1D0D96F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936" w:type="dxa"/>
            <w:shd w:val="clear" w:color="auto" w:fill="auto"/>
            <w:vAlign w:val="center"/>
          </w:tcPr>
          <w:p w14:paraId="6DCFE56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吸顶灯灯具</w:t>
            </w:r>
          </w:p>
        </w:tc>
        <w:tc>
          <w:tcPr>
            <w:tcW w:w="4502" w:type="dxa"/>
            <w:shd w:val="clear" w:color="auto" w:fill="auto"/>
            <w:vAlign w:val="center"/>
          </w:tcPr>
          <w:p w14:paraId="1E4E0B8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光源功率:60W；输入电压：200-240VAC；色温：4000K/5000K /6500K；光效：≥100lm/W；显色指数：＞70；外壳材料：PC+亚克力；配套漏电保护器：C6A，30mA常规参数：；防护等级：IP65。</w:t>
            </w:r>
          </w:p>
        </w:tc>
        <w:tc>
          <w:tcPr>
            <w:tcW w:w="1721" w:type="dxa"/>
            <w:shd w:val="clear" w:color="auto" w:fill="auto"/>
            <w:vAlign w:val="center"/>
          </w:tcPr>
          <w:p w14:paraId="40302FD0">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4F401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5635117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936" w:type="dxa"/>
            <w:shd w:val="clear" w:color="auto" w:fill="auto"/>
            <w:vAlign w:val="center"/>
          </w:tcPr>
          <w:p w14:paraId="3B06AC0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驱动电源（300W/280W）</w:t>
            </w:r>
          </w:p>
        </w:tc>
        <w:tc>
          <w:tcPr>
            <w:tcW w:w="4502" w:type="dxa"/>
            <w:shd w:val="clear" w:color="auto" w:fill="auto"/>
            <w:vAlign w:val="center"/>
          </w:tcPr>
          <w:p w14:paraId="3565839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输入电压：100-305Vac，最大输出功率320W；恒功率设计；三合一调光：0-10V/PWM/时控调光，调光关断；输出与调光信号隔离；防雷等级：差模：≥2KV，共模：≥4KV；保护：输出短路，输出过压，过温保护；IP67防护等级；</w:t>
            </w:r>
          </w:p>
        </w:tc>
        <w:tc>
          <w:tcPr>
            <w:tcW w:w="1721" w:type="dxa"/>
            <w:shd w:val="clear" w:color="auto" w:fill="auto"/>
            <w:vAlign w:val="center"/>
          </w:tcPr>
          <w:p w14:paraId="36A74E78">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20F9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28AE346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936" w:type="dxa"/>
            <w:shd w:val="clear" w:color="auto" w:fill="auto"/>
            <w:vAlign w:val="center"/>
          </w:tcPr>
          <w:p w14:paraId="7E73700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驱动电源（180W/160W）</w:t>
            </w:r>
          </w:p>
        </w:tc>
        <w:tc>
          <w:tcPr>
            <w:tcW w:w="4502" w:type="dxa"/>
            <w:shd w:val="clear" w:color="auto" w:fill="auto"/>
            <w:vAlign w:val="center"/>
          </w:tcPr>
          <w:p w14:paraId="23AEB65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输入电压：100-305Vac，最大输出功率 200W；恒功率设计；三合一调光：0-10V/PWM/时控调光，调光关断；输出与调光信号隔离；防雷等级：差模：≥2KV，共模：≥4KV；保护：输出短路，输出过压，过温保护；IP67防护等级。</w:t>
            </w:r>
          </w:p>
        </w:tc>
        <w:tc>
          <w:tcPr>
            <w:tcW w:w="1721" w:type="dxa"/>
            <w:shd w:val="clear" w:color="auto" w:fill="auto"/>
            <w:vAlign w:val="center"/>
          </w:tcPr>
          <w:p w14:paraId="4B9F919C">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F5DD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40B7957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936" w:type="dxa"/>
            <w:shd w:val="clear" w:color="auto" w:fill="auto"/>
            <w:vAlign w:val="center"/>
          </w:tcPr>
          <w:p w14:paraId="619C113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驱动电源（80W）</w:t>
            </w:r>
          </w:p>
        </w:tc>
        <w:tc>
          <w:tcPr>
            <w:tcW w:w="4502" w:type="dxa"/>
            <w:shd w:val="clear" w:color="auto" w:fill="auto"/>
            <w:vAlign w:val="center"/>
          </w:tcPr>
          <w:p w14:paraId="293DA79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输入电压：100-305Vac，最大输出功率 105W；恒功率设计；三合一调光：0-10V/PWM/时控调光，调光关断；输出与调光信号隔离；防雷等级：差模：≥2KV，共模：≥4KV；保护：输出短路，输出过压，过温保护；IP67防护等级。</w:t>
            </w:r>
          </w:p>
        </w:tc>
        <w:tc>
          <w:tcPr>
            <w:tcW w:w="1721" w:type="dxa"/>
            <w:shd w:val="clear" w:color="auto" w:fill="auto"/>
            <w:vAlign w:val="center"/>
          </w:tcPr>
          <w:p w14:paraId="19A9291A">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B3D1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6A9EA98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936" w:type="dxa"/>
            <w:shd w:val="clear" w:color="auto" w:fill="auto"/>
            <w:vAlign w:val="center"/>
          </w:tcPr>
          <w:p w14:paraId="5C529B2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驱动电源（60W）</w:t>
            </w:r>
          </w:p>
        </w:tc>
        <w:tc>
          <w:tcPr>
            <w:tcW w:w="4502" w:type="dxa"/>
            <w:shd w:val="clear" w:color="auto" w:fill="auto"/>
            <w:vAlign w:val="center"/>
          </w:tcPr>
          <w:p w14:paraId="74AB977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输入电压：100-305Vac，最大输出功率 75W；恒功率设计；三合一调光：0-10V/PWM/时控调光，调光关断；输出与调光信号隔离；防雷等级：差模：≥2KV，共模：≥4KV；保护：输出短路，输出过压，过温保护；IP67防护等级。</w:t>
            </w:r>
          </w:p>
        </w:tc>
        <w:tc>
          <w:tcPr>
            <w:tcW w:w="1721" w:type="dxa"/>
            <w:shd w:val="clear" w:color="auto" w:fill="auto"/>
            <w:vAlign w:val="center"/>
          </w:tcPr>
          <w:p w14:paraId="5E8BBB70">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65E2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3BFB230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w:t>
            </w:r>
          </w:p>
        </w:tc>
        <w:tc>
          <w:tcPr>
            <w:tcW w:w="1936" w:type="dxa"/>
            <w:shd w:val="clear" w:color="auto" w:fill="auto"/>
            <w:vAlign w:val="center"/>
          </w:tcPr>
          <w:p w14:paraId="6B6F878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交通管控设施</w:t>
            </w:r>
          </w:p>
        </w:tc>
        <w:tc>
          <w:tcPr>
            <w:tcW w:w="4502" w:type="dxa"/>
            <w:shd w:val="clear" w:color="auto" w:fill="auto"/>
            <w:vAlign w:val="center"/>
          </w:tcPr>
          <w:p w14:paraId="302CE59D">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c>
          <w:tcPr>
            <w:tcW w:w="1721" w:type="dxa"/>
            <w:shd w:val="clear" w:color="auto" w:fill="auto"/>
            <w:vAlign w:val="center"/>
          </w:tcPr>
          <w:p w14:paraId="11069F90">
            <w:pPr>
              <w:keepNext/>
              <w:snapToGrid w:val="0"/>
              <w:ind w:left="0" w:leftChars="0" w:right="0" w:rightChars="0" w:firstLine="0" w:firstLineChars="0"/>
              <w:jc w:val="left"/>
              <w:rPr>
                <w:rFonts w:hint="eastAsia" w:ascii="宋体" w:hAnsi="宋体" w:eastAsia="宋体" w:cs="宋体"/>
                <w:b/>
                <w:bCs/>
                <w:i w:val="0"/>
                <w:iCs w:val="0"/>
                <w:color w:val="000000"/>
                <w:sz w:val="20"/>
                <w:szCs w:val="20"/>
                <w:u w:val="none"/>
              </w:rPr>
            </w:pPr>
          </w:p>
        </w:tc>
      </w:tr>
      <w:tr w14:paraId="5BA82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047FF361">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1936" w:type="dxa"/>
            <w:shd w:val="clear" w:color="auto" w:fill="auto"/>
            <w:vAlign w:val="center"/>
          </w:tcPr>
          <w:p w14:paraId="497426E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信号控制设备配套</w:t>
            </w:r>
          </w:p>
        </w:tc>
        <w:tc>
          <w:tcPr>
            <w:tcW w:w="4502" w:type="dxa"/>
            <w:shd w:val="clear" w:color="auto" w:fill="auto"/>
            <w:vAlign w:val="center"/>
          </w:tcPr>
          <w:p w14:paraId="3B60FB6C">
            <w:pPr>
              <w:keepNext/>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c>
          <w:tcPr>
            <w:tcW w:w="1721" w:type="dxa"/>
            <w:shd w:val="clear" w:color="auto" w:fill="auto"/>
            <w:vAlign w:val="center"/>
          </w:tcPr>
          <w:p w14:paraId="3AB7F9FB">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05A3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restart"/>
            <w:shd w:val="clear" w:color="auto" w:fill="auto"/>
            <w:vAlign w:val="center"/>
          </w:tcPr>
          <w:p w14:paraId="5881912A">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13</w:t>
            </w:r>
          </w:p>
        </w:tc>
        <w:tc>
          <w:tcPr>
            <w:tcW w:w="1936" w:type="dxa"/>
            <w:vMerge w:val="restart"/>
            <w:shd w:val="clear" w:color="auto" w:fill="auto"/>
            <w:vAlign w:val="center"/>
          </w:tcPr>
          <w:p w14:paraId="76E4E17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智能信号控制机（96路）</w:t>
            </w:r>
          </w:p>
        </w:tc>
        <w:tc>
          <w:tcPr>
            <w:tcW w:w="4502" w:type="dxa"/>
            <w:shd w:val="clear" w:color="auto" w:fill="auto"/>
            <w:vAlign w:val="center"/>
          </w:tcPr>
          <w:p w14:paraId="67ECFF03">
            <w:pPr>
              <w:keepNext/>
              <w:keepLines w:val="0"/>
              <w:widowControl/>
              <w:numPr>
                <w:ilvl w:val="-1"/>
                <w:numId w:val="0"/>
              </w:numPr>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hr-HR" w:eastAsia="zh-CN" w:bidi="ar"/>
              </w:rPr>
              <w:t>▲</w:t>
            </w:r>
            <w:r>
              <w:rPr>
                <w:rFonts w:hint="eastAsia" w:ascii="宋体" w:hAnsi="宋体" w:eastAsia="宋体" w:cs="宋体"/>
                <w:b/>
                <w:bCs/>
                <w:i w:val="0"/>
                <w:iCs w:val="0"/>
                <w:color w:val="000000"/>
                <w:kern w:val="0"/>
                <w:sz w:val="20"/>
                <w:szCs w:val="20"/>
                <w:u w:val="none"/>
                <w:lang w:val="en-US" w:eastAsia="zh-CN" w:bidi="ar"/>
              </w:rPr>
              <w:t>1.手机APP交互：支持手机蓝牙APP数据交互，支持信号机参数配置、运行状态监测、故障查询、离线前端设备管理；具备手控门远程控制功能；                                                                                                                               支持路口一机多控功能，单机支持≥8个路口控制；平台通讯：支持4G/5G无线通讯和有线网络双网热备份平台通讯功能。</w:t>
            </w:r>
          </w:p>
        </w:tc>
        <w:tc>
          <w:tcPr>
            <w:tcW w:w="1721" w:type="dxa"/>
            <w:shd w:val="clear" w:color="auto" w:fill="auto"/>
            <w:vAlign w:val="center"/>
          </w:tcPr>
          <w:p w14:paraId="0ED045E3">
            <w:pPr>
              <w:keepNext/>
              <w:snapToGrid w:val="0"/>
              <w:ind w:left="0" w:leftChars="0" w:right="0" w:rightChars="0" w:firstLine="0" w:firstLineChars="0"/>
              <w:jc w:val="left"/>
              <w:rPr>
                <w:rFonts w:hint="eastAsia" w:ascii="宋体" w:hAnsi="宋体" w:eastAsia="宋体" w:cs="宋体"/>
                <w:b/>
                <w:color w:val="000000"/>
                <w:sz w:val="20"/>
                <w:szCs w:val="21"/>
              </w:rPr>
            </w:pPr>
            <w:r>
              <w:rPr>
                <w:rFonts w:hint="eastAsia" w:ascii="宋体" w:hAnsi="宋体" w:eastAsia="宋体" w:cs="宋体"/>
                <w:b/>
                <w:color w:val="000000"/>
                <w:sz w:val="20"/>
                <w:szCs w:val="21"/>
              </w:rPr>
              <w:t>投标时同时提供：</w:t>
            </w:r>
          </w:p>
          <w:p w14:paraId="2C1D1758">
            <w:pPr>
              <w:keepNext/>
              <w:snapToGrid w:val="0"/>
              <w:ind w:left="0" w:leftChars="0" w:right="0" w:rightChars="0" w:firstLine="0" w:firstLineChars="0"/>
              <w:jc w:val="left"/>
              <w:rPr>
                <w:rFonts w:hint="eastAsia" w:ascii="宋体" w:hAnsi="宋体" w:eastAsia="宋体" w:cs="宋体"/>
                <w:b/>
                <w:color w:val="000000"/>
                <w:sz w:val="20"/>
                <w:szCs w:val="21"/>
              </w:rPr>
            </w:pPr>
            <w:r>
              <w:rPr>
                <w:rFonts w:hint="eastAsia" w:ascii="宋体" w:hAnsi="宋体" w:eastAsia="宋体" w:cs="宋体"/>
                <w:b/>
                <w:color w:val="000000"/>
                <w:sz w:val="20"/>
                <w:szCs w:val="21"/>
              </w:rPr>
              <w:t>①第三方检测机构出具的检测（检验）报告扫描件，要求内容能体现满足上述参数要求。</w:t>
            </w:r>
          </w:p>
          <w:p w14:paraId="639C8405">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r>
              <w:rPr>
                <w:rFonts w:hint="eastAsia" w:ascii="宋体" w:hAnsi="宋体" w:eastAsia="宋体" w:cs="宋体"/>
                <w:b/>
                <w:color w:val="000000"/>
                <w:sz w:val="20"/>
                <w:szCs w:val="21"/>
              </w:rPr>
              <w:t>②</w:t>
            </w:r>
            <w:r>
              <w:rPr>
                <w:rFonts w:hint="eastAsia" w:ascii="宋体" w:hAnsi="宋体" w:eastAsia="宋体" w:cs="宋体"/>
                <w:b/>
                <w:color w:val="000000"/>
                <w:sz w:val="20"/>
                <w:szCs w:val="21"/>
                <w:lang w:eastAsia="zh-CN"/>
              </w:rPr>
              <w:t>提供出具</w:t>
            </w:r>
            <w:r>
              <w:rPr>
                <w:rFonts w:hint="eastAsia" w:ascii="宋体" w:hAnsi="宋体" w:eastAsia="宋体" w:cs="宋体"/>
                <w:b/>
                <w:color w:val="000000"/>
                <w:sz w:val="20"/>
                <w:szCs w:val="21"/>
              </w:rPr>
              <w:t>检测（检验）报告</w:t>
            </w:r>
            <w:r>
              <w:rPr>
                <w:rFonts w:hint="eastAsia" w:ascii="宋体" w:hAnsi="宋体" w:eastAsia="宋体" w:cs="宋体"/>
                <w:b/>
                <w:color w:val="auto"/>
                <w:sz w:val="20"/>
                <w:szCs w:val="21"/>
                <w:lang w:eastAsia="zh-CN"/>
              </w:rPr>
              <w:t>的检测机构</w:t>
            </w:r>
            <w:r>
              <w:rPr>
                <w:rFonts w:hint="eastAsia" w:ascii="宋体" w:hAnsi="宋体" w:eastAsia="宋体" w:cs="宋体"/>
                <w:b/>
                <w:color w:val="auto"/>
                <w:sz w:val="20"/>
                <w:szCs w:val="21"/>
              </w:rPr>
              <w:t>在全国认证认可</w:t>
            </w:r>
            <w:r>
              <w:rPr>
                <w:rFonts w:hint="eastAsia" w:ascii="宋体" w:hAnsi="宋体" w:eastAsia="宋体" w:cs="宋体"/>
                <w:b/>
                <w:color w:val="000000"/>
                <w:sz w:val="20"/>
                <w:szCs w:val="21"/>
              </w:rPr>
              <w:t>信息公共服务平台（认e云）（http://cx.cnca.cn/）的</w:t>
            </w:r>
            <w:r>
              <w:rPr>
                <w:rFonts w:hint="eastAsia" w:ascii="宋体" w:hAnsi="宋体" w:eastAsia="宋体" w:cs="宋体"/>
                <w:b/>
                <w:color w:val="000000"/>
                <w:sz w:val="20"/>
                <w:szCs w:val="21"/>
                <w:lang w:eastAsia="zh-CN"/>
              </w:rPr>
              <w:t>机构</w:t>
            </w:r>
            <w:r>
              <w:rPr>
                <w:rFonts w:hint="eastAsia" w:ascii="宋体" w:hAnsi="宋体" w:eastAsia="宋体" w:cs="宋体"/>
                <w:b/>
                <w:color w:val="000000"/>
                <w:sz w:val="20"/>
                <w:szCs w:val="21"/>
              </w:rPr>
              <w:t>信息查询记录截图，因该平台升级等原因导致无法查询的，则需提供通过检测机构官网等可靠途径查询</w:t>
            </w:r>
            <w:r>
              <w:rPr>
                <w:rFonts w:hint="eastAsia" w:ascii="宋体" w:hAnsi="宋体" w:eastAsia="宋体" w:cs="宋体"/>
                <w:b/>
                <w:color w:val="000000"/>
                <w:sz w:val="20"/>
                <w:szCs w:val="21"/>
                <w:lang w:eastAsia="zh-CN"/>
              </w:rPr>
              <w:t>该检测机构</w:t>
            </w:r>
            <w:r>
              <w:rPr>
                <w:rFonts w:hint="eastAsia" w:ascii="宋体" w:hAnsi="宋体" w:eastAsia="宋体" w:cs="宋体"/>
                <w:b/>
                <w:color w:val="000000"/>
                <w:sz w:val="20"/>
                <w:szCs w:val="21"/>
              </w:rPr>
              <w:t>真实性</w:t>
            </w:r>
            <w:r>
              <w:rPr>
                <w:rFonts w:hint="eastAsia" w:ascii="宋体" w:hAnsi="宋体" w:eastAsia="宋体" w:cs="宋体"/>
                <w:b/>
                <w:color w:val="000000"/>
                <w:sz w:val="20"/>
                <w:szCs w:val="21"/>
                <w:lang w:eastAsia="zh-CN"/>
              </w:rPr>
              <w:t>、专业性及可靠性</w:t>
            </w:r>
            <w:r>
              <w:rPr>
                <w:rFonts w:hint="eastAsia" w:ascii="宋体" w:hAnsi="宋体" w:eastAsia="宋体" w:cs="宋体"/>
                <w:b/>
                <w:color w:val="000000"/>
                <w:sz w:val="20"/>
                <w:szCs w:val="21"/>
              </w:rPr>
              <w:t>的证明材料或者检测机构盖章的证明材料，证明该</w:t>
            </w:r>
            <w:r>
              <w:rPr>
                <w:rFonts w:hint="eastAsia" w:ascii="宋体" w:hAnsi="宋体" w:eastAsia="宋体" w:cs="宋体"/>
                <w:b/>
                <w:color w:val="000000"/>
                <w:sz w:val="20"/>
                <w:szCs w:val="21"/>
                <w:lang w:eastAsia="zh-CN"/>
              </w:rPr>
              <w:t>检测机构</w:t>
            </w:r>
            <w:r>
              <w:rPr>
                <w:rFonts w:hint="eastAsia" w:ascii="宋体" w:hAnsi="宋体" w:eastAsia="宋体" w:cs="宋体"/>
                <w:b/>
                <w:color w:val="000000"/>
                <w:sz w:val="20"/>
                <w:szCs w:val="21"/>
              </w:rPr>
              <w:t>真实</w:t>
            </w:r>
            <w:r>
              <w:rPr>
                <w:rFonts w:hint="eastAsia" w:ascii="宋体" w:hAnsi="宋体" w:eastAsia="宋体" w:cs="宋体"/>
                <w:b/>
                <w:color w:val="000000"/>
                <w:sz w:val="20"/>
                <w:szCs w:val="21"/>
                <w:lang w:eastAsia="zh-CN"/>
              </w:rPr>
              <w:t>专业可靠</w:t>
            </w:r>
            <w:r>
              <w:rPr>
                <w:rFonts w:hint="eastAsia" w:ascii="宋体" w:hAnsi="宋体" w:eastAsia="宋体" w:cs="宋体"/>
                <w:b/>
                <w:color w:val="000000"/>
                <w:sz w:val="20"/>
                <w:szCs w:val="21"/>
              </w:rPr>
              <w:t>。</w:t>
            </w:r>
          </w:p>
        </w:tc>
      </w:tr>
      <w:tr w14:paraId="78325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continue"/>
            <w:shd w:val="clear" w:color="auto" w:fill="auto"/>
            <w:vAlign w:val="center"/>
          </w:tcPr>
          <w:p w14:paraId="4699EAC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eastAsia="zh-CN"/>
              </w:rPr>
            </w:pPr>
          </w:p>
        </w:tc>
        <w:tc>
          <w:tcPr>
            <w:tcW w:w="1936" w:type="dxa"/>
            <w:vMerge w:val="continue"/>
            <w:shd w:val="clear" w:color="auto" w:fill="auto"/>
            <w:vAlign w:val="center"/>
          </w:tcPr>
          <w:p w14:paraId="6CE8975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p>
        </w:tc>
        <w:tc>
          <w:tcPr>
            <w:tcW w:w="4502" w:type="dxa"/>
            <w:shd w:val="clear" w:color="auto" w:fill="auto"/>
            <w:vAlign w:val="center"/>
          </w:tcPr>
          <w:p w14:paraId="4F94232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2.灯驱动输出96路，信号相位64个，输入交流功耗≦50W（不含信号灯），绝缘电阻＞100MΩ，每输出驱动≥1000W，≥</w:t>
            </w:r>
            <w:r>
              <w:rPr>
                <w:rFonts w:hint="eastAsia" w:ascii="宋体" w:hAnsi="宋体" w:eastAsia="宋体" w:cs="宋体"/>
                <w:i w:val="0"/>
                <w:iCs w:val="0"/>
                <w:strike w:val="0"/>
                <w:dstrike w:val="0"/>
                <w:color w:val="000000"/>
                <w:kern w:val="0"/>
                <w:sz w:val="20"/>
                <w:szCs w:val="20"/>
                <w:u w:val="none"/>
                <w:lang w:val="en-US" w:eastAsia="zh-CN" w:bidi="ar"/>
              </w:rPr>
              <w:t>2个100M/1000M自适应网口</w:t>
            </w:r>
            <w:r>
              <w:rPr>
                <w:rFonts w:hint="eastAsia" w:ascii="宋体" w:hAnsi="宋体" w:eastAsia="宋体" w:cs="宋体"/>
                <w:i w:val="0"/>
                <w:iCs w:val="0"/>
                <w:color w:val="000000"/>
                <w:kern w:val="0"/>
                <w:sz w:val="20"/>
                <w:szCs w:val="20"/>
                <w:u w:val="none"/>
                <w:lang w:val="en-US" w:eastAsia="zh-CN" w:bidi="ar"/>
              </w:rPr>
              <w:t>，≥1个10M/100M自适应网口，≥5个RS485异步通信接口，≥3个RS232全功能串口，1个GPS+北斗接口，支持电子警察数据融合应用，支持线圈、视频、地磁、微波、红外等各种检测器；预留无线通信接口；4G无线卡。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中央平台控制：应接入深圳市公安局交通警察局“深圳市交通信号统一管控平台”，实现联网联控；多源数据前端融合：交通信号控制机应具备多源数据前端融合处理能力，具备独立的分析处理模块对数据机型融合处理。具备多种数据接口，支持常用无线局域网组网方式，具有电子警察数据路口复用功能，通过接入电子警察数据实现自适应信号控制功能；无电缆线控：若干台信号机以GPS+北斗时钟同步的方式，构成线控。以相同的时间基准，设置各路口的相位差（不同时段相位差可分别设置）和线控阶段（不同时段的线控阶段可分别设置），在相同的时刻启动预置的无电缆线控信号配时方案。在该方式下，采用GPS+北斗双引擎精确授时模块以保证线控方式运行有效，保证路口时间与标准时间误差≤1秒；自适应控制：通过复用电子警察数据和各类型检测器得到的交通流信息，根据预置的算法规则（根据交通流特性，判断各方向的交通状态及路口的交通状态，预测下一个周期的周期长和绿信比），实时分配各相位阶段的配时长度，同时采用绿尾截断策略，以获得最高绿灯利用率；车路协同功能：信号机具备车路协同控制功能，可以通过RSU与智慧公交车载OBU进行通信，实现基于车路协同的公交优先控制，同时具备车速引导、闯红灯预警、车内路口信号显示等交互等功能，并具有实际应用案例；全红即绿控制：根据各类型检测器采集实时交通流信息，控制放行的相位阶段，具备夜间全红即绿的控制模式，提高安全性和绿灯利用效率；相位按需出现控制：可对周期的全部或部分相位阶段实行按交通需求出现/动态调整控制方式，其它阶段执行定长方式；多时段控制：根据一天的流量变化情况，设置多个日计划表，以不同的配时方案应对不同的流量状况。一般时段的划分可由管控平台根据路口实际交通流自动聚类生成。针对实际的需要，信号机可设置多种类型的日计划表，分别按工作日/假日（配合工作日/假日转换表）、按一周内的星期（周一至周日单独或自由组合），按特殊日控制日计划表。每个日计划表可设置48个时段；多功能灯组控制：根据不同时段交通流量的不同，在平峰高峰进行禁左禁右或右转联控，在夜间进行圆饼统放控制，提高绿灯利用效率；手动控制：通过切换“手动/自动/保持”开关至手动模式，按动手动按钮，控制相位阶段的递进，按动黄闪、全红开关，路口进入黄闪、全红状态，退出时按照国标要求的灯色转换序列运行，不得出现跳变；前端警卫保持控制：通过切换“手动/自动/保持”开关及阶段选择旋钮，实现保持放行指定方向车流(如东、西、南、北，南北直、南北左、东西直、东西左)的功能，保证各灯色状态最小时间，不得出现跳变；多种模式下的行人过街控制：具备多种控制模式下的行人过街控制，包括：定时定周期模式下的行人过街感应控制、区域协调控制下的行人过街感应控制，黄闪状态下的行人过街感应控制等；触摸屏及权限管理：交通信号控制机应具备便捷的人机交互功能，应不依赖于任何设备即可查看交通信号控制机运行的方案、阶段时长、周期时长、当前放行的交通流及故障信息。具有多级操作权限，授权用户可凭密码访问日计划、方案、相位阶段及相位配置等表格，高级用户可凭密码修改信号机基础控制参数；相位过渡时间可配置：可对不同的相位设置过渡规则（包括：行人绿闪、机动车绿闪、黄灯、全红），可设置相位的迟启灯色和时间，以便提前左转或红黄起步提示等功能。信号机能够连接学习型倒计时器、脉冲实时倒计时和通信实时倒计时，并具备通信型倒计时故障检测与报警功能；支持特殊场景控制：针对下雨、下雪、大雾等特殊天气，火警、应急保障等特殊场景中央管控平台调整控制参数，以应对多样的控制场景；信号机具有掉电保护功能，工作参数和时钟可保持三年不丢失；日志记录：记录信号机运行参数、检测器故障、信号灯故障、绿冲突故障，支持远程传输和现场查看；支持5路485车辆检测器输入、32路隔离逻辑信号输出。支持电子警察数据融合应用，支持线圈、视频、地磁、微波、红外等各种检测器。能够按照各种统计方式（周期、相位阶段、相位）采集交通流量、占有率、平均车速等交通流信息，信号机能保存60天的5分钟流量、占有率数据；支持有线、无线网络连接，具有稳定的有线、无线（2/3/4G）联机模式，针对不同网络状况具有不同的通信机制和在线监测机制，确保设备联机；信号灯输出接口：至少提供96路独立的信号灯控制输出接口，且可任意设置信号相位；中央联网接口：信号机应同时支持 4G 无线公网和 100M及以上速率以太网有线网络接入深圳市公安局交通警察局“深圳市交通信号统一管控平台”；交通数据采集接口：至少提供接入地埋式感应线圈检测器的数据接口，采集路口各方向的交通数据；车道控制标志发布接口：提供路口车道控制标志的数据接口，中心系统可以通过信号机链路向路口车道控制标志发布信息；通讯型倒计时接口：提供机动车、行人通讯型倒计时接入的数据接口；I/0 接口：提供行人按钮等通用 I/O 设备接口；需配置校时模块，保证路口时间与标准时间误差≤1 秒；.参数配置接口：提供通过笔记本等工具进行参数配置的数据接口；标称工作电压 Un：单相 220V；最大持续运行电压 Uc：385V；标称放电电流 In：20kA（8/20μs）；最大放电电流 Imax：40kA（8/20μs）；保护水平 Up（8/20μs）≤1.5KV；响应时间：≤25ns；数据接口端的防雷指标应满足；标称工作电压 Un：DC5V；标称放电电流 In：3kA（8/20μs）；保护水平 Up（8/20μs）≤20V；响应时间：≤25ns。</w:t>
            </w:r>
          </w:p>
        </w:tc>
        <w:tc>
          <w:tcPr>
            <w:tcW w:w="1721" w:type="dxa"/>
            <w:shd w:val="clear" w:color="auto" w:fill="auto"/>
            <w:vAlign w:val="center"/>
          </w:tcPr>
          <w:p w14:paraId="390ABA8E">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64B6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63100D33">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14</w:t>
            </w:r>
          </w:p>
        </w:tc>
        <w:tc>
          <w:tcPr>
            <w:tcW w:w="1936" w:type="dxa"/>
            <w:shd w:val="clear" w:color="auto" w:fill="auto"/>
            <w:vAlign w:val="center"/>
          </w:tcPr>
          <w:p w14:paraId="57AD8E9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智能信号控制机（120路）</w:t>
            </w:r>
          </w:p>
        </w:tc>
        <w:tc>
          <w:tcPr>
            <w:tcW w:w="4502" w:type="dxa"/>
            <w:shd w:val="clear" w:color="auto" w:fill="auto"/>
            <w:vAlign w:val="center"/>
          </w:tcPr>
          <w:p w14:paraId="4075409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基本参数：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灯驱动输出120路，信号相位64个，输入交流功耗≦50W（不含信号灯），绝缘电阻＞100MΩ，每输出驱动≥1000W，</w:t>
            </w:r>
            <w:r>
              <w:rPr>
                <w:rFonts w:hint="eastAsia" w:ascii="宋体" w:hAnsi="宋体" w:eastAsia="宋体" w:cs="宋体"/>
                <w:i w:val="0"/>
                <w:iCs w:val="0"/>
                <w:strike w:val="0"/>
                <w:dstrike w:val="0"/>
                <w:color w:val="000000"/>
                <w:kern w:val="0"/>
                <w:sz w:val="20"/>
                <w:szCs w:val="20"/>
                <w:u w:val="none"/>
                <w:lang w:val="en-US" w:eastAsia="zh-CN" w:bidi="ar"/>
              </w:rPr>
              <w:t>2个100M/1000M自适应网口</w:t>
            </w:r>
            <w:r>
              <w:rPr>
                <w:rFonts w:hint="eastAsia" w:ascii="宋体" w:hAnsi="宋体" w:eastAsia="宋体" w:cs="宋体"/>
                <w:i w:val="0"/>
                <w:iCs w:val="0"/>
                <w:color w:val="000000"/>
                <w:kern w:val="0"/>
                <w:sz w:val="20"/>
                <w:szCs w:val="20"/>
                <w:u w:val="none"/>
                <w:lang w:val="en-US" w:eastAsia="zh-CN" w:bidi="ar"/>
              </w:rPr>
              <w:t>，2个10M/100M自适应网口，5个RS485异步通信接口， 2个RS232全功能串口，1个GPS+北斗接口，支持电子警察数据融合应用，支持线圈、视频、地磁、微波、红外等各种检测器；预留无线通信接口；4G无线卡；中央平台控制：应接入深圳市公安局交通警察局“深圳市交通信号统一管控平台”，实现联网联控；多源数据前端融合：交通信号控制机应具备多源数据前端融合处理能力，具备独立的分析处理模块对数据机型融合处理。具备多种数据接口，支持常用无线局域网组网方式，具有电子警察数据路口复用功能，通过接入电子警察数据实现自适应信号控制功能；无电缆线控：若干台信号机以GPS+北斗时钟同步的方式，构成线控。以相同的时间基准，设置各路口的相位差（不同时段相位差可分别设置）和线控阶段（不同时段的线控阶段可分别设置），在相同的时刻启动预置的无电缆线控信号配时方案。在该方式下，采用GPS+北斗双引擎精确授时模块以保证线控方式运行有效，保证路口时间与标准时间误差≤1秒；自适应控制：通过复用电子警察数据和各类型检测器得到的交通流信息，根据预置的算法规则（根据交通流特性，判断各方向的交通状态及路口的交通状态，预测下一个周期的周期长和绿信比），实时分配各相位阶段的配时长度，同时采用绿尾截断策略，以获得最高绿灯利用率；车路协同功能：信号机具备车路协同控制功能，可以通过RSU与智慧公交车载OBU进行通信，实现基于车路协同的公交优先控制，同时具备车速引导、闯红灯预警、车内路口信号显示等交互等功能，并具有实际应用案例；全红即绿控制：根据各类型检测器采集实时交通流信息，控制放行的相位阶段，具备夜间全红即绿的控制模式，提高安全性和绿灯利用效率；相位按需出现控制：可对周期的全部或部分相位阶段实行按交通需求出现/动态调整控制方式，其它阶段执行定长方式；多时段控制：根据一天的流量变化情况，设置多个日计划表，以不同的配时方案应对不同的流量状况。一般时段的划分可由管控平台根据路口实际交通流自动聚类生成。针对实际的需要，信号机可设置多种类型的日计划表，分别按工作日/假日（配合工作日/假日转换表）、按一周内的星期（周一至周日单独或自由组合），按特殊日控制日计划表。每个日计划表可设置48个时段；多功能灯组控制：根据不同时段交通流量的不同，在平峰高峰进行禁左禁右或右转联控，在夜间进行圆饼统放控制，提高绿灯利用效率；手动控制：通过切换“手动/自动/保持”开关至手动模式，按动手动按钮，控制相位阶段的递进，按动黄闪、全红开关，路口进入黄闪、全红状态，退出时按照国标要求的灯色转换序列运行，不得出现跳变；前端警卫保持控制：通过切换“手动/自动/保持”开关及阶段选择旋钮，实现保持放行指定方向车流(如东、西、南、北，南北直、南北左、东西直、东西左)的功能，进入及退出前端警卫保持应按照国标要求的灯色转换序列运行，保证各灯色状态最小时间，不得出现跳变；多种模式下的行人过街控制：具备多种控制模式下的行人过街控制，包括：定时定周期模式下的行人过街感应控制、区域协调控制下的行人过街感应控制，黄闪状态下的行人过街感应控制等；触摸屏及权限管理：交通信号控制机应具备便捷的人机交互功能，应不依赖于任何设备即可查看交通信号控制机运行的方案、阶段时长、周期时长、当前放行的交通流及故障信息。具有多级操作权限，授权用户可凭密码访问日计划、方案、相位阶段及相位配置等表格，高级用户可凭密码修改信号机基础控制参数；相位过渡时间可配置：可对不同的相位设置过渡规则（包括：行人绿闪、机动车绿闪、黄灯、全红），可设置相位的迟启灯色和时间，以便提前左转或红黄起步提示等功能。信号机能够连接学习型倒计时器、脉冲实时倒计时和通信实时倒计时，并具备通信型倒计时故障检测与报警功能；支持特殊场景控制：针对下雨、下雪、大雾等特殊天气，火警、应急保障等特殊场景中央管控平台调整控制参数，以应对多样的控制场景；信号机具有掉电保护功能，工作参数和时钟至少可保持三年不丢失；日志记录：记录信号机运行参数、检测器故障、信号灯故障、绿冲突故障，支持远程传输和现场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5路485车辆检测器输入、32路隔离逻辑信号输出。支持电子警察数据融合应用，支持线圈、视频、地磁、微波、红外等各种检测器。能够按照各种统计方式（周期、相位阶段、相位）采集交通流量、占有率、平均车速等交通流信息，信号机能保存60天的5分钟流量、占有率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支持有线、无线网络连接。具有稳定的有线、无线（2/3/4G）联机模式，针对不同网络状况具有不同的通信机制和在线监测机制；信号灯输出接口：至少提供128路独立的信号灯控制输出接口，且可任意设置信号相位；中央联网接口：信号机应同时支持 4G 无线公网和 100M 以上速率以太网有线网络接入深圳市交警支队交通信号统一管控平台；交通数据采集接口：至少提供接入地埋式感应线圈检测器的数据接口，采集路口各方向的交通数据；车道控制标志发布接口：提供路口车道控制标志的数据接口，中心系统可以通过信号机链路向路口车道控制标志发布信息；通讯型倒计时接口：提供机动车、行人通讯型倒计时接入的数据接口；I/0 接口：提供行人按钮等通用 I/O 设备接口；需配置校时模块，保证路口时间与标准时间误差≤1 秒；参数配置接口：提供通过笔记本等工具进行参数配置的数据接口；标称工作电压 Un：单相 220V；.最大持续运行电压 Uc：385V；标称放电电流 In：20kA（8/20μs）；最大放电电流 Imax：40kA（8/20μs）；保护水平 Up（8/20μs）≤1.5KV；响应时间：≤25ns；数据接口端的防雷指标应满足；标称工作电压 Un：DC5V；标称放电电流 In：3kA（8/20μs）；保护水平 Up（8/20μs）≤20V；响应时间：≤25ns。</w:t>
            </w:r>
          </w:p>
        </w:tc>
        <w:tc>
          <w:tcPr>
            <w:tcW w:w="1721" w:type="dxa"/>
            <w:shd w:val="clear" w:color="auto" w:fill="auto"/>
            <w:vAlign w:val="center"/>
          </w:tcPr>
          <w:p w14:paraId="7EF470DE">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149E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6EB09611">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15</w:t>
            </w:r>
          </w:p>
        </w:tc>
        <w:tc>
          <w:tcPr>
            <w:tcW w:w="1936" w:type="dxa"/>
            <w:shd w:val="clear" w:color="auto" w:fill="auto"/>
            <w:vAlign w:val="center"/>
          </w:tcPr>
          <w:p w14:paraId="1F1E57F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多功能机动车信号灯（内置倒计时器）</w:t>
            </w:r>
          </w:p>
        </w:tc>
        <w:tc>
          <w:tcPr>
            <w:tcW w:w="4502" w:type="dxa"/>
            <w:shd w:val="clear" w:color="auto" w:fill="auto"/>
            <w:vAlign w:val="center"/>
          </w:tcPr>
          <w:p w14:paraId="3FB8665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φ400、红绿黄三单元、圆饼并箭头多功能灯、内置倒计时器；功耗低,采用高亮 LED；可视距离远:≥300m,LED 寿命长:≥100000 小时；带 PFC（PFC&gt;0.9）校正的隔离型开关电源,防浪涌冲击电压≥4000V；具有独立时钟看门狗电路和硬件的抗干扰措施；多重密封、防水,防护等级:IP55；灯箱外壳材料:塑壳；工作电压:220(±20%)VAC，50±2HZ；倒计时工作方式:触发式、通讯式；红色 LED 单颗亮度:3000~6300mcd,波长 λd:625±5nm,视角: 30°；黄色 LED 单颗亮度:3000~6100mcd,波长 λd:590±5nm,视角: 30°；绿色 LED 单颗亮度:6000~11000mcd,波长 λd:505±5nm,视角: 30°；红满盘 205 个 LED,亮度:＞480cd,功率:≤13W；黄满盘 221 个 LED,亮度:＞480cd,功率:≤13W；绿满盘 205 个 LED,亮度:＞720cd,功率:≤11W；红倒计时 84 个 LED,亮度:＞5000cd/m2；绿倒计时 84 个 LED,亮度:＞5000cd/m2。</w:t>
            </w:r>
          </w:p>
        </w:tc>
        <w:tc>
          <w:tcPr>
            <w:tcW w:w="1721" w:type="dxa"/>
            <w:shd w:val="clear" w:color="auto" w:fill="auto"/>
            <w:vAlign w:val="center"/>
          </w:tcPr>
          <w:p w14:paraId="4F23F77B">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211E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293B8860">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16</w:t>
            </w:r>
          </w:p>
        </w:tc>
        <w:tc>
          <w:tcPr>
            <w:tcW w:w="1936" w:type="dxa"/>
            <w:shd w:val="clear" w:color="auto" w:fill="auto"/>
            <w:vAlign w:val="center"/>
          </w:tcPr>
          <w:p w14:paraId="3506FE7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箭头机动车信号灯（内置倒计时器）</w:t>
            </w:r>
          </w:p>
        </w:tc>
        <w:tc>
          <w:tcPr>
            <w:tcW w:w="4502" w:type="dxa"/>
            <w:shd w:val="clear" w:color="auto" w:fill="auto"/>
            <w:vAlign w:val="center"/>
          </w:tcPr>
          <w:p w14:paraId="1B55787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φ400、红绿黄三单元、箭头灯、内置倒计时器；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功耗低,采用高亮 LED，可视距离远:≥300m,LED 寿命长:≥100000 小时；带 PFC（PFC&gt;0.9）校正的隔离型开关电源,防浪涌冲击电压≥4000V；具有独立时钟看门狗电路和硬件的抗干扰措施；多重密封、防水,防护等级:IP55；灯箱外壳材料:塑壳；工作电压:220(±20%)VAC，50±2HZ；倒计时工作方式:触发式、通讯式；红色LED单颗亮度:3000~6300mcd,波长λd:625±5nm,视角:30°；黄色LED单颗亮度:3000~6100mcd,波长λd:590±5nm,视角:30°；绿色LED单颗亮度:6000~11000mcd,波长λd:505±5nm，视角: 30°；红满盘 205 个 LED,亮度:＞480cd,功率:≤13W；黄满盘 221 个 LED,亮度:＞480cd,功率:≤13W；绿满盘 205 个 LED,亮度:＞720cd,功率:≤11W；红倒计时 84个LED,亮度:＞5000cd/m2；绿倒计时 84 个LED,亮度:＞5000cd/m2。</w:t>
            </w:r>
          </w:p>
        </w:tc>
        <w:tc>
          <w:tcPr>
            <w:tcW w:w="1721" w:type="dxa"/>
            <w:shd w:val="clear" w:color="auto" w:fill="auto"/>
            <w:vAlign w:val="center"/>
          </w:tcPr>
          <w:p w14:paraId="2EC5CD24">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F662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1837DEE3">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17</w:t>
            </w:r>
          </w:p>
        </w:tc>
        <w:tc>
          <w:tcPr>
            <w:tcW w:w="1936" w:type="dxa"/>
            <w:shd w:val="clear" w:color="auto" w:fill="auto"/>
            <w:vAlign w:val="center"/>
          </w:tcPr>
          <w:p w14:paraId="42871A1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圆饼机动车信号灯（内置倒计时器）</w:t>
            </w:r>
          </w:p>
        </w:tc>
        <w:tc>
          <w:tcPr>
            <w:tcW w:w="4502" w:type="dxa"/>
            <w:shd w:val="clear" w:color="auto" w:fill="auto"/>
            <w:vAlign w:val="center"/>
          </w:tcPr>
          <w:p w14:paraId="08C587B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φ400、红绿黄三单元、圆饼灯、内置倒计时器；功耗低,采用高亮 LED，可视距离远:≥300m,LED 寿命长:≥100000 小时；带 PFC（PFC&gt;0.9）校正的隔离型开关电源,防浪涌冲击电压≥4000V；具有独立时钟看门狗电路和硬件的抗干扰措施；多重密封、防水,防护等级:IP55；灯箱外壳材料:塑壳；工作电压:220(±20%)VAC，50±2HZ；倒计时工作方式:触发式、通讯式；红色LED单颗亮度:3000-6300mcd,波长λd:625±5nm,视角:30°；黄色LED单颗亮度:3000~6100mcd,波长λd:590±5nm,视角:30°；绿色LED单颗亮度:6000~11000mcd,波长λd:505±5nm，视角: 30°；红满盘 205 个 LED,亮度:＞480cd,功率:≤13W；黄满盘 221 个 LED,亮度:＞480cd,功率:≤13W；绿满盘 205 个 LED,亮度:＞720cd,功率:≤11W；红倒计时 84个LED,亮度:＞5000cd/m2；绿倒计时 84 个LED,亮度:＞5000cd/m2。</w:t>
            </w:r>
          </w:p>
        </w:tc>
        <w:tc>
          <w:tcPr>
            <w:tcW w:w="1721" w:type="dxa"/>
            <w:shd w:val="clear" w:color="auto" w:fill="auto"/>
            <w:vAlign w:val="center"/>
          </w:tcPr>
          <w:p w14:paraId="6C953C67">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C8C9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10460DE1">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18</w:t>
            </w:r>
          </w:p>
        </w:tc>
        <w:tc>
          <w:tcPr>
            <w:tcW w:w="1936" w:type="dxa"/>
            <w:shd w:val="clear" w:color="auto" w:fill="auto"/>
            <w:vAlign w:val="center"/>
          </w:tcPr>
          <w:p w14:paraId="7893F79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多功能机动车信号灯（辅灯）</w:t>
            </w:r>
          </w:p>
        </w:tc>
        <w:tc>
          <w:tcPr>
            <w:tcW w:w="4502" w:type="dxa"/>
            <w:shd w:val="clear" w:color="auto" w:fill="auto"/>
            <w:vAlign w:val="center"/>
          </w:tcPr>
          <w:p w14:paraId="01D81CF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φ300、红绿黄三单元、圆饼并箭头多功能灯、内置倒计时器；功耗低,采用高亮 LED，可视距离远:≥300m,LED 寿命长:≥100000 小时；带 PFC（PFC&gt;0.9）校正的隔离型开关电源,防浪涌冲击电压≥4000V；具有独立时钟看门狗电路和硬件的抗干扰措施；多重密封、防水,防护等级:IP55；灯箱外壳材料:塑壳；工作电压:220(±20%)VAC，50±2HZ；倒计时工作方式:触发式、通讯式；红色LED单颗亮度:3000-6300mcd,波长λd:625±5nm,视角:30°；黄色LED单颗亮度:3000-6100mcd,波长λd:590±5nm,视角:30°；绿色LED单颗亮度:6000~11000mcd,波长λd:505±5nm，视角: 30°；红满盘 205 个 LED,亮度:＞480cd,功率:≤13W；黄满盘 221 个 LED,亮度:＞480cd,功率:≤13W；绿满盘 205 个 LED,亮度:＞720cd,功率:≤11W；红倒计时 84个LED,亮度:＞5000cd/m2；绿倒计时 84 个LED,亮度:＞5000cd/m2。</w:t>
            </w:r>
          </w:p>
        </w:tc>
        <w:tc>
          <w:tcPr>
            <w:tcW w:w="1721" w:type="dxa"/>
            <w:shd w:val="clear" w:color="auto" w:fill="auto"/>
            <w:vAlign w:val="center"/>
          </w:tcPr>
          <w:p w14:paraId="2A30A083">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4A6FB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466591AC">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19</w:t>
            </w:r>
          </w:p>
        </w:tc>
        <w:tc>
          <w:tcPr>
            <w:tcW w:w="1936" w:type="dxa"/>
            <w:shd w:val="clear" w:color="auto" w:fill="auto"/>
            <w:vAlign w:val="center"/>
          </w:tcPr>
          <w:p w14:paraId="55E3A03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箭头机动车信号灯（辅灯）</w:t>
            </w:r>
          </w:p>
        </w:tc>
        <w:tc>
          <w:tcPr>
            <w:tcW w:w="4502" w:type="dxa"/>
            <w:shd w:val="clear" w:color="auto" w:fill="auto"/>
            <w:vAlign w:val="center"/>
          </w:tcPr>
          <w:p w14:paraId="2F58A8F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φ300、红绿黄三单元、箭头灯、内置倒计时器；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功耗低,采用高亮 LED，可视距离远:≥300m,LED 寿命长:≥100000 小时；带 PFC（PFC&gt;0.9）校正的隔离型开关电源,防浪涌冲击电压≥4000V；具有独立时钟看门狗电路和硬件的抗干扰措施；多重密封、防水,防护等级:IP55；灯箱外壳材料:塑壳；工作电压:220(±20%)VAC，50±2HZ；倒计时工作方式:触发式、通讯式；红色LED单颗亮度:3000-6300mcd,波长λd:625±5nm,视角:30°；黄色LED单颗亮度:3000~6100mcd,波长λd:590±5nm,视角:30°；绿色LED单颗亮度:6000~11000mcd,波长λd:505±5nm，视角: 30°；红满盘 205 个 LED,亮度:＞480cd,功率:≤13W；黄满盘 221 个 LED,亮度:＞480cd,功率:≤13W；绿满盘 205 个 LED,亮度:＞720cd,功率:≤11W；红倒计时 84个LED,亮度:＞5000cd/m2；绿倒计时 84 个LED,亮度:＞5000cd/m2。</w:t>
            </w:r>
          </w:p>
        </w:tc>
        <w:tc>
          <w:tcPr>
            <w:tcW w:w="1721" w:type="dxa"/>
            <w:shd w:val="clear" w:color="auto" w:fill="auto"/>
            <w:vAlign w:val="center"/>
          </w:tcPr>
          <w:p w14:paraId="0B5A09E3">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DB0A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44C9E0A0">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20</w:t>
            </w:r>
          </w:p>
        </w:tc>
        <w:tc>
          <w:tcPr>
            <w:tcW w:w="1936" w:type="dxa"/>
            <w:shd w:val="clear" w:color="auto" w:fill="auto"/>
            <w:vAlign w:val="center"/>
          </w:tcPr>
          <w:p w14:paraId="0EF31E0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圆饼机动车信号灯（辅灯）</w:t>
            </w:r>
          </w:p>
        </w:tc>
        <w:tc>
          <w:tcPr>
            <w:tcW w:w="4502" w:type="dxa"/>
            <w:shd w:val="clear" w:color="auto" w:fill="auto"/>
            <w:vAlign w:val="center"/>
          </w:tcPr>
          <w:p w14:paraId="7EE14F0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φ300、红绿黄三单元、圆饼灯、内置倒计时器；功耗低,采用高亮 LED，可视距离远:≥300m,LED 寿命长:≥100000 小时；带 PFC（PFC&gt;0.9）校正的隔离型开关电源,防浪涌冲击电压≥4000V；具有独立时钟看门狗电路和硬件的抗干扰措施；多重密封、防水,防护等级:IP55；灯箱外壳材料:塑壳；工作电压:220(±20%)VAC，50±2HZ；倒计时工作方式:触发式、通讯式；红色LED单颗亮度:3000~6300mcd,波长λd:625±5nm,视角:30°；黄色LED单颗亮度:3000-6100mcd,波长λd:590±5nm,视角:30°；绿色LED单颗亮度:6000~11000mcd,波长λd:505±5nm，视角: 30°；红满盘 205 个 LED,亮度:＞480cd,功率:≤13W；黄满盘 221 个 LED,亮度:＞480cd,功率:≤13W；绿满盘 205 个 LED,亮度:＞720cd,功率:≤11W；红倒计时 84个LED,亮度:＞5000cd/m2；绿倒计时 84 个LED,亮度:＞5000cd/m2。</w:t>
            </w:r>
          </w:p>
        </w:tc>
        <w:tc>
          <w:tcPr>
            <w:tcW w:w="1721" w:type="dxa"/>
            <w:shd w:val="clear" w:color="auto" w:fill="auto"/>
            <w:vAlign w:val="center"/>
          </w:tcPr>
          <w:p w14:paraId="2F2C4838">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2F6F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65FAD6F1">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21</w:t>
            </w:r>
          </w:p>
        </w:tc>
        <w:tc>
          <w:tcPr>
            <w:tcW w:w="1936" w:type="dxa"/>
            <w:shd w:val="clear" w:color="auto" w:fill="auto"/>
            <w:vAlign w:val="center"/>
          </w:tcPr>
          <w:p w14:paraId="7F7768F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人行道信号灯</w:t>
            </w:r>
          </w:p>
        </w:tc>
        <w:tc>
          <w:tcPr>
            <w:tcW w:w="4502" w:type="dxa"/>
            <w:shd w:val="clear" w:color="auto" w:fill="auto"/>
            <w:vAlign w:val="center"/>
          </w:tcPr>
          <w:p w14:paraId="1A776A9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φ300、红绿两单元圆饼灯（含内置倒计时器）；功耗低，采用高亮 LED；可视距离远：≥300m，LED 寿命：≥100000 小时；带 PFC(PFC&gt;0.9)校正的隔离型开关电源，防浪涌冲击电压≥4000V；具有独立时钟看门狗电路和硬件的抗干扰措施；多重密封、防水；红色 LED 单颗亮度：3000-7000mcd，波长 λd：625±5nm，视角：30；绿色 LED 单颗亮度：6000-11000mcd，波长 λd：505±5nm，视角：30；红人 80 个 LED，亮度：＞5000cd/㎡，功率：≤8W；绿人 79个 LED，亮度：＞5000cd/㎡，功率：≤6W；交流版本最大功耗：≤10W。</w:t>
            </w:r>
          </w:p>
        </w:tc>
        <w:tc>
          <w:tcPr>
            <w:tcW w:w="1721" w:type="dxa"/>
            <w:shd w:val="clear" w:color="auto" w:fill="auto"/>
            <w:vAlign w:val="center"/>
          </w:tcPr>
          <w:p w14:paraId="512ADF96">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FD9F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35771BCB">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22</w:t>
            </w:r>
          </w:p>
        </w:tc>
        <w:tc>
          <w:tcPr>
            <w:tcW w:w="1936" w:type="dxa"/>
            <w:shd w:val="clear" w:color="auto" w:fill="auto"/>
            <w:vAlign w:val="center"/>
          </w:tcPr>
          <w:p w14:paraId="6A8FD68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盲人钟</w:t>
            </w:r>
          </w:p>
        </w:tc>
        <w:tc>
          <w:tcPr>
            <w:tcW w:w="4502" w:type="dxa"/>
            <w:shd w:val="clear" w:color="auto" w:fill="auto"/>
            <w:vAlign w:val="center"/>
          </w:tcPr>
          <w:p w14:paraId="248A350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运用于道路人行横道的语音提示装置，在信号灯的红灯和绿灯信号周期内发出不同的过街提示声音，引导视障人士过街；使用寿命不少于6年。</w:t>
            </w:r>
          </w:p>
        </w:tc>
        <w:tc>
          <w:tcPr>
            <w:tcW w:w="1721" w:type="dxa"/>
            <w:shd w:val="clear" w:color="auto" w:fill="auto"/>
            <w:vAlign w:val="center"/>
          </w:tcPr>
          <w:p w14:paraId="14BEECB3">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0AAE8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9" w:type="dxa"/>
            <w:shd w:val="clear" w:color="auto" w:fill="auto"/>
            <w:vAlign w:val="center"/>
          </w:tcPr>
          <w:p w14:paraId="45337B31">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23</w:t>
            </w:r>
          </w:p>
        </w:tc>
        <w:tc>
          <w:tcPr>
            <w:tcW w:w="1936" w:type="dxa"/>
            <w:shd w:val="clear" w:color="auto" w:fill="auto"/>
            <w:vAlign w:val="center"/>
          </w:tcPr>
          <w:p w14:paraId="3721487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机动车辅助信号灯杆件</w:t>
            </w:r>
          </w:p>
        </w:tc>
        <w:tc>
          <w:tcPr>
            <w:tcW w:w="4502" w:type="dxa"/>
            <w:shd w:val="clear" w:color="auto" w:fill="auto"/>
            <w:vAlign w:val="center"/>
          </w:tcPr>
          <w:p w14:paraId="1EC0805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H=5.5m，造型与多功能智能杆保持一致；DN140*4圆杆,材质：Q300A；灯杆与法兰盘连接处要设加劲板；钢结构整体热浸锌，锌层厚度不低于85μm</w:t>
            </w:r>
            <w:r>
              <w:rPr>
                <w:rFonts w:hint="eastAsia"/>
                <w:lang w:eastAsia="zh-CN"/>
              </w:rPr>
              <w:t>；</w:t>
            </w:r>
            <w:r>
              <w:rPr>
                <w:rFonts w:hint="eastAsia" w:ascii="宋体" w:hAnsi="宋体" w:eastAsia="宋体" w:cs="宋体"/>
                <w:i w:val="0"/>
                <w:iCs w:val="0"/>
                <w:color w:val="000000"/>
                <w:kern w:val="0"/>
                <w:sz w:val="20"/>
                <w:szCs w:val="20"/>
                <w:u w:val="none"/>
                <w:lang w:val="en-US" w:eastAsia="zh-CN" w:bidi="ar"/>
              </w:rPr>
              <w:t>表面氟碳漆，氟碳漆厚度不低于60μm，含氟量≥30%。</w:t>
            </w:r>
          </w:p>
        </w:tc>
        <w:tc>
          <w:tcPr>
            <w:tcW w:w="1721" w:type="dxa"/>
            <w:shd w:val="clear" w:color="auto" w:fill="auto"/>
            <w:vAlign w:val="center"/>
          </w:tcPr>
          <w:p w14:paraId="71359911">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2073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55228367">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24</w:t>
            </w:r>
          </w:p>
        </w:tc>
        <w:tc>
          <w:tcPr>
            <w:tcW w:w="1936" w:type="dxa"/>
            <w:shd w:val="clear" w:color="auto" w:fill="auto"/>
            <w:vAlign w:val="center"/>
          </w:tcPr>
          <w:p w14:paraId="1B25D36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行人信号灯杆件</w:t>
            </w:r>
          </w:p>
        </w:tc>
        <w:tc>
          <w:tcPr>
            <w:tcW w:w="4502" w:type="dxa"/>
            <w:shd w:val="clear" w:color="auto" w:fill="auto"/>
            <w:vAlign w:val="center"/>
          </w:tcPr>
          <w:p w14:paraId="116CB22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H=3m，造型与多功能智能杆保持一致；DN140*4圆杆,材质：Q300A；灯杆与法兰盘连接处要设加劲板；钢结构整体热浸锌，锌层厚度不低于85μm；表面氟碳漆，氟碳漆厚度不低于60μm，含氟量≥30%。</w:t>
            </w:r>
          </w:p>
        </w:tc>
        <w:tc>
          <w:tcPr>
            <w:tcW w:w="1721" w:type="dxa"/>
            <w:shd w:val="clear" w:color="auto" w:fill="auto"/>
            <w:vAlign w:val="center"/>
          </w:tcPr>
          <w:p w14:paraId="618B9ECD">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CA1C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04037B2B">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1936" w:type="dxa"/>
            <w:shd w:val="clear" w:color="auto" w:fill="auto"/>
            <w:vAlign w:val="center"/>
          </w:tcPr>
          <w:p w14:paraId="6C7F8AA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一体化智能机柜设备配套</w:t>
            </w:r>
          </w:p>
        </w:tc>
        <w:tc>
          <w:tcPr>
            <w:tcW w:w="4502" w:type="dxa"/>
            <w:shd w:val="clear" w:color="auto" w:fill="auto"/>
            <w:vAlign w:val="center"/>
          </w:tcPr>
          <w:p w14:paraId="0D0B9D0A">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c>
          <w:tcPr>
            <w:tcW w:w="1721" w:type="dxa"/>
            <w:shd w:val="clear" w:color="auto" w:fill="auto"/>
            <w:vAlign w:val="center"/>
          </w:tcPr>
          <w:p w14:paraId="2C3D7AF4">
            <w:pPr>
              <w:keepNext/>
              <w:snapToGrid w:val="0"/>
              <w:ind w:left="0" w:leftChars="0" w:right="0" w:rightChars="0" w:firstLine="0" w:firstLineChars="0"/>
              <w:jc w:val="left"/>
              <w:rPr>
                <w:rFonts w:hint="eastAsia" w:ascii="宋体" w:hAnsi="宋体" w:eastAsia="宋体" w:cs="宋体"/>
                <w:b/>
                <w:bCs/>
                <w:i w:val="0"/>
                <w:iCs w:val="0"/>
                <w:color w:val="000000"/>
                <w:sz w:val="20"/>
                <w:szCs w:val="20"/>
                <w:u w:val="none"/>
              </w:rPr>
            </w:pPr>
          </w:p>
        </w:tc>
      </w:tr>
      <w:tr w14:paraId="29EEA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vMerge w:val="restart"/>
            <w:shd w:val="clear" w:color="auto" w:fill="auto"/>
            <w:vAlign w:val="center"/>
          </w:tcPr>
          <w:p w14:paraId="5813AFE3">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25</w:t>
            </w:r>
          </w:p>
        </w:tc>
        <w:tc>
          <w:tcPr>
            <w:tcW w:w="1936" w:type="dxa"/>
            <w:vMerge w:val="restart"/>
            <w:shd w:val="clear" w:color="auto" w:fill="auto"/>
            <w:vAlign w:val="center"/>
          </w:tcPr>
          <w:p w14:paraId="641B51B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一体化智能机柜</w:t>
            </w:r>
          </w:p>
        </w:tc>
        <w:tc>
          <w:tcPr>
            <w:tcW w:w="4502" w:type="dxa"/>
            <w:shd w:val="clear" w:color="auto" w:fill="auto"/>
            <w:vAlign w:val="center"/>
          </w:tcPr>
          <w:p w14:paraId="36D15F4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w:t>
            </w:r>
            <w:r>
              <w:rPr>
                <w:rFonts w:hint="eastAsia" w:ascii="宋体" w:hAnsi="宋体" w:eastAsia="宋体" w:cs="宋体"/>
                <w:b/>
                <w:bCs/>
                <w:color w:val="FF0000"/>
                <w:sz w:val="20"/>
                <w:szCs w:val="21"/>
                <w:lang w:val="en-US" w:eastAsia="zh-CN"/>
              </w:rPr>
              <w:t>1.</w:t>
            </w:r>
            <w:r>
              <w:rPr>
                <w:rFonts w:hint="eastAsia" w:ascii="宋体" w:hAnsi="宋体" w:eastAsia="宋体" w:cs="宋体"/>
                <w:b/>
                <w:bCs/>
                <w:i w:val="0"/>
                <w:iCs w:val="0"/>
                <w:color w:val="FF0000"/>
                <w:kern w:val="0"/>
                <w:sz w:val="20"/>
                <w:szCs w:val="20"/>
                <w:u w:val="none"/>
                <w:lang w:val="en-US" w:eastAsia="zh-CN" w:bidi="ar"/>
              </w:rPr>
              <w:t>与深圳交警已运行的后端业务平台兼容并无缝接入实现路口交通应用业务状态监测和调控、运维集中管理、用户权限管理等功能</w:t>
            </w:r>
            <w:r>
              <w:rPr>
                <w:rFonts w:hint="eastAsia" w:ascii="宋体" w:hAnsi="宋体" w:eastAsia="宋体" w:cs="宋体"/>
                <w:i w:val="0"/>
                <w:iCs w:val="0"/>
                <w:color w:val="FF0000"/>
                <w:kern w:val="0"/>
                <w:sz w:val="20"/>
                <w:szCs w:val="20"/>
                <w:u w:val="none"/>
                <w:lang w:val="en-US" w:eastAsia="zh-CN" w:bidi="ar"/>
              </w:rPr>
              <w:t>。</w:t>
            </w:r>
          </w:p>
        </w:tc>
        <w:tc>
          <w:tcPr>
            <w:tcW w:w="1721" w:type="dxa"/>
            <w:shd w:val="clear" w:color="auto" w:fill="auto"/>
            <w:vAlign w:val="center"/>
          </w:tcPr>
          <w:p w14:paraId="4C6244CF">
            <w:pPr>
              <w:keepNext/>
              <w:snapToGrid w:val="0"/>
              <w:ind w:left="0" w:leftChars="0" w:right="0" w:rightChars="0" w:firstLine="0" w:firstLineChars="0"/>
              <w:jc w:val="left"/>
              <w:rPr>
                <w:rFonts w:hint="eastAsia" w:ascii="宋体" w:hAnsi="宋体" w:eastAsia="宋体" w:cs="宋体"/>
                <w:b/>
                <w:color w:val="000000"/>
                <w:sz w:val="20"/>
                <w:szCs w:val="21"/>
              </w:rPr>
            </w:pPr>
          </w:p>
        </w:tc>
      </w:tr>
      <w:tr w14:paraId="65C97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continue"/>
            <w:shd w:val="clear" w:color="auto" w:fill="auto"/>
            <w:vAlign w:val="center"/>
          </w:tcPr>
          <w:p w14:paraId="2878C71E">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eastAsia="zh-CN"/>
              </w:rPr>
            </w:pPr>
          </w:p>
        </w:tc>
        <w:tc>
          <w:tcPr>
            <w:tcW w:w="1936" w:type="dxa"/>
            <w:vMerge w:val="continue"/>
            <w:shd w:val="clear" w:color="auto" w:fill="auto"/>
            <w:vAlign w:val="center"/>
          </w:tcPr>
          <w:p w14:paraId="27A02C8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p>
        </w:tc>
        <w:tc>
          <w:tcPr>
            <w:tcW w:w="4502" w:type="dxa"/>
            <w:shd w:val="clear" w:color="auto" w:fill="auto"/>
            <w:vAlign w:val="center"/>
          </w:tcPr>
          <w:p w14:paraId="31BAFF85">
            <w:pPr>
              <w:keepNext/>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hr-HR" w:eastAsia="zh-CN" w:bidi="ar"/>
              </w:rPr>
              <w:t>▲</w:t>
            </w:r>
            <w:r>
              <w:rPr>
                <w:rFonts w:hint="eastAsia" w:ascii="宋体" w:hAnsi="宋体" w:eastAsia="宋体" w:cs="宋体"/>
                <w:b/>
                <w:bCs/>
                <w:i w:val="0"/>
                <w:iCs w:val="0"/>
                <w:color w:val="000000"/>
                <w:kern w:val="0"/>
                <w:sz w:val="20"/>
                <w:szCs w:val="20"/>
                <w:u w:val="none"/>
                <w:lang w:val="en-US" w:eastAsia="zh-CN" w:bidi="ar"/>
              </w:rPr>
              <w:t>2.应具备和手机APP交互功能。支持手机蓝牙APP 数据交互，支持信号机参数配置（能设置各通道灯芯对应亮灭的电流门限值）、运行状态监测（各通道电流值也可以显示）、故障查询、离线前端设备管理；应具备支持 3G/4G 无线通讯和有线网络双网热备份平台通讯功能；应具备电源控制终盒，可接入16 通道负载，AC220V/DC48v/DC24V\/DC12V 等多种电源类型，可实时监测机柜内供电系统的电流，电压/电流越界警报，电压/电流越界切断电源；应具备支持响应外部AI统一数据接口。</w:t>
            </w:r>
          </w:p>
        </w:tc>
        <w:tc>
          <w:tcPr>
            <w:tcW w:w="1721" w:type="dxa"/>
            <w:shd w:val="clear" w:color="auto" w:fill="auto"/>
            <w:vAlign w:val="center"/>
          </w:tcPr>
          <w:p w14:paraId="762BAD73">
            <w:pPr>
              <w:keepNext/>
              <w:snapToGrid w:val="0"/>
              <w:ind w:left="0" w:leftChars="0" w:right="0" w:rightChars="0" w:firstLine="0" w:firstLineChars="0"/>
              <w:jc w:val="left"/>
              <w:rPr>
                <w:rFonts w:hint="eastAsia" w:ascii="宋体" w:hAnsi="宋体" w:eastAsia="宋体" w:cs="宋体"/>
                <w:b/>
                <w:color w:val="000000"/>
                <w:sz w:val="20"/>
                <w:szCs w:val="21"/>
              </w:rPr>
            </w:pPr>
            <w:r>
              <w:rPr>
                <w:rFonts w:hint="eastAsia" w:ascii="宋体" w:hAnsi="宋体" w:eastAsia="宋体" w:cs="宋体"/>
                <w:b/>
                <w:color w:val="000000"/>
                <w:sz w:val="20"/>
                <w:szCs w:val="21"/>
              </w:rPr>
              <w:t>投标时同时提供：</w:t>
            </w:r>
          </w:p>
          <w:p w14:paraId="79DAF42A">
            <w:pPr>
              <w:keepNext/>
              <w:snapToGrid w:val="0"/>
              <w:ind w:left="0" w:leftChars="0" w:right="0" w:rightChars="0" w:firstLine="0" w:firstLineChars="0"/>
              <w:jc w:val="left"/>
              <w:rPr>
                <w:rFonts w:hint="eastAsia" w:ascii="宋体" w:hAnsi="宋体" w:eastAsia="宋体" w:cs="宋体"/>
                <w:b/>
                <w:color w:val="000000"/>
                <w:sz w:val="20"/>
                <w:szCs w:val="21"/>
              </w:rPr>
            </w:pPr>
            <w:r>
              <w:rPr>
                <w:rFonts w:hint="eastAsia" w:ascii="宋体" w:hAnsi="宋体" w:eastAsia="宋体" w:cs="宋体"/>
                <w:b/>
                <w:color w:val="000000"/>
                <w:sz w:val="20"/>
                <w:szCs w:val="21"/>
              </w:rPr>
              <w:t>①第三方检测机构出具的检测（检验）报告扫描件，要求内容能体现满足上述参数要求。</w:t>
            </w:r>
          </w:p>
          <w:p w14:paraId="72ADFACE">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r>
              <w:rPr>
                <w:rFonts w:hint="eastAsia" w:ascii="宋体" w:hAnsi="宋体" w:eastAsia="宋体" w:cs="宋体"/>
                <w:b/>
                <w:color w:val="000000"/>
                <w:sz w:val="20"/>
                <w:szCs w:val="21"/>
              </w:rPr>
              <w:t>②</w:t>
            </w:r>
            <w:r>
              <w:rPr>
                <w:rFonts w:hint="eastAsia" w:ascii="宋体" w:hAnsi="宋体" w:eastAsia="宋体" w:cs="宋体"/>
                <w:b/>
                <w:color w:val="000000"/>
                <w:sz w:val="20"/>
                <w:szCs w:val="21"/>
                <w:lang w:eastAsia="zh-CN"/>
              </w:rPr>
              <w:t>提供出具</w:t>
            </w:r>
            <w:r>
              <w:rPr>
                <w:rFonts w:hint="eastAsia" w:ascii="宋体" w:hAnsi="宋体" w:eastAsia="宋体" w:cs="宋体"/>
                <w:b/>
                <w:color w:val="000000"/>
                <w:sz w:val="20"/>
                <w:szCs w:val="21"/>
              </w:rPr>
              <w:t>检测（检验）报告</w:t>
            </w:r>
            <w:r>
              <w:rPr>
                <w:rFonts w:hint="eastAsia" w:ascii="宋体" w:hAnsi="宋体" w:eastAsia="宋体" w:cs="宋体"/>
                <w:b/>
                <w:color w:val="000000"/>
                <w:sz w:val="20"/>
                <w:szCs w:val="21"/>
                <w:lang w:eastAsia="zh-CN"/>
              </w:rPr>
              <w:t>的检测机构</w:t>
            </w:r>
            <w:r>
              <w:rPr>
                <w:rFonts w:hint="eastAsia" w:ascii="宋体" w:hAnsi="宋体" w:eastAsia="宋体" w:cs="宋体"/>
                <w:b/>
                <w:color w:val="000000"/>
                <w:sz w:val="20"/>
                <w:szCs w:val="21"/>
              </w:rPr>
              <w:t>在全国认证认可信息公共服务平台（认e云）（http://cx.cnca.cn/）的</w:t>
            </w:r>
            <w:r>
              <w:rPr>
                <w:rFonts w:hint="eastAsia" w:ascii="宋体" w:hAnsi="宋体" w:eastAsia="宋体" w:cs="宋体"/>
                <w:b/>
                <w:color w:val="000000"/>
                <w:sz w:val="20"/>
                <w:szCs w:val="21"/>
                <w:lang w:eastAsia="zh-CN"/>
              </w:rPr>
              <w:t>机构</w:t>
            </w:r>
            <w:r>
              <w:rPr>
                <w:rFonts w:hint="eastAsia" w:ascii="宋体" w:hAnsi="宋体" w:eastAsia="宋体" w:cs="宋体"/>
                <w:b/>
                <w:color w:val="000000"/>
                <w:sz w:val="20"/>
                <w:szCs w:val="21"/>
              </w:rPr>
              <w:t>信息查询记录截图，因该平台升级等原因导致无法查询的，则需提供通过检测机构官网等可靠途径查询</w:t>
            </w:r>
            <w:r>
              <w:rPr>
                <w:rFonts w:hint="eastAsia" w:ascii="宋体" w:hAnsi="宋体" w:eastAsia="宋体" w:cs="宋体"/>
                <w:b/>
                <w:color w:val="000000"/>
                <w:sz w:val="20"/>
                <w:szCs w:val="21"/>
                <w:lang w:eastAsia="zh-CN"/>
              </w:rPr>
              <w:t>该检测机构</w:t>
            </w:r>
            <w:r>
              <w:rPr>
                <w:rFonts w:hint="eastAsia" w:ascii="宋体" w:hAnsi="宋体" w:eastAsia="宋体" w:cs="宋体"/>
                <w:b/>
                <w:color w:val="000000"/>
                <w:sz w:val="20"/>
                <w:szCs w:val="21"/>
              </w:rPr>
              <w:t>真实性</w:t>
            </w:r>
            <w:r>
              <w:rPr>
                <w:rFonts w:hint="eastAsia" w:ascii="宋体" w:hAnsi="宋体" w:eastAsia="宋体" w:cs="宋体"/>
                <w:b/>
                <w:color w:val="000000"/>
                <w:sz w:val="20"/>
                <w:szCs w:val="21"/>
                <w:lang w:eastAsia="zh-CN"/>
              </w:rPr>
              <w:t>、专业性及可靠性</w:t>
            </w:r>
            <w:r>
              <w:rPr>
                <w:rFonts w:hint="eastAsia" w:ascii="宋体" w:hAnsi="宋体" w:eastAsia="宋体" w:cs="宋体"/>
                <w:b/>
                <w:color w:val="000000"/>
                <w:sz w:val="20"/>
                <w:szCs w:val="21"/>
              </w:rPr>
              <w:t>的证明材料或者检测机构盖章的证明材料，证明该</w:t>
            </w:r>
            <w:r>
              <w:rPr>
                <w:rFonts w:hint="eastAsia" w:ascii="宋体" w:hAnsi="宋体" w:eastAsia="宋体" w:cs="宋体"/>
                <w:b/>
                <w:color w:val="000000"/>
                <w:sz w:val="20"/>
                <w:szCs w:val="21"/>
                <w:lang w:eastAsia="zh-CN"/>
              </w:rPr>
              <w:t>检测机构</w:t>
            </w:r>
            <w:r>
              <w:rPr>
                <w:rFonts w:hint="eastAsia" w:ascii="宋体" w:hAnsi="宋体" w:eastAsia="宋体" w:cs="宋体"/>
                <w:b/>
                <w:color w:val="000000"/>
                <w:sz w:val="20"/>
                <w:szCs w:val="21"/>
              </w:rPr>
              <w:t>真实</w:t>
            </w:r>
            <w:r>
              <w:rPr>
                <w:rFonts w:hint="eastAsia" w:ascii="宋体" w:hAnsi="宋体" w:eastAsia="宋体" w:cs="宋体"/>
                <w:b/>
                <w:color w:val="000000"/>
                <w:sz w:val="20"/>
                <w:szCs w:val="21"/>
                <w:lang w:eastAsia="zh-CN"/>
              </w:rPr>
              <w:t>专业可靠</w:t>
            </w:r>
            <w:r>
              <w:rPr>
                <w:rFonts w:hint="eastAsia" w:ascii="宋体" w:hAnsi="宋体" w:eastAsia="宋体" w:cs="宋体"/>
                <w:b/>
                <w:color w:val="000000"/>
                <w:sz w:val="20"/>
                <w:szCs w:val="21"/>
              </w:rPr>
              <w:t>。</w:t>
            </w:r>
          </w:p>
        </w:tc>
      </w:tr>
      <w:tr w14:paraId="6138B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continue"/>
            <w:shd w:val="clear" w:color="auto" w:fill="auto"/>
            <w:vAlign w:val="center"/>
          </w:tcPr>
          <w:p w14:paraId="409DA02B">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eastAsia="zh-CN"/>
              </w:rPr>
            </w:pPr>
          </w:p>
        </w:tc>
        <w:tc>
          <w:tcPr>
            <w:tcW w:w="1936" w:type="dxa"/>
            <w:vMerge w:val="continue"/>
            <w:shd w:val="clear" w:color="auto" w:fill="auto"/>
            <w:vAlign w:val="center"/>
          </w:tcPr>
          <w:p w14:paraId="65B7125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p>
        </w:tc>
        <w:tc>
          <w:tcPr>
            <w:tcW w:w="4502" w:type="dxa"/>
            <w:shd w:val="clear" w:color="auto" w:fill="auto"/>
            <w:vAlign w:val="center"/>
          </w:tcPr>
          <w:p w14:paraId="3BB70AA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lang w:val="en-US" w:eastAsia="zh-CN"/>
              </w:rPr>
              <w:t>3.</w:t>
            </w:r>
            <w:r>
              <w:rPr>
                <w:rFonts w:hint="eastAsia" w:ascii="宋体" w:hAnsi="宋体" w:eastAsia="宋体" w:cs="宋体"/>
                <w:i w:val="0"/>
                <w:iCs w:val="0"/>
                <w:color w:val="000000"/>
                <w:kern w:val="0"/>
                <w:sz w:val="20"/>
                <w:szCs w:val="20"/>
                <w:u w:val="none"/>
                <w:lang w:val="en-US" w:eastAsia="zh-CN" w:bidi="ar"/>
              </w:rPr>
              <w:t>交流输入电压：220(±20%)VAC，50±2HZ；柜体交流功耗≦1000W（单机体，不含安装设备）；输出负载功率≥2000W；须支持UPS及后备电池供电扩展，需保障市电中断情况下路口信号系统正常工作8小时以上；系统应具备全面的一体化集中供电电源模块，可供5V、12V、24V、48V等直流供电输出，供电模块具备具备过压、过流、欠压、短路、漏电等保护功能；具备独立拓展供电窗口，可供治安监控、公交、城管等供配电力；独立的管理权限；相对工作湿度30~95％；具有防雷击措施和滤波措施；绝缘电阻≥10MΩ；耐压：在电源电极或与电源电极相连的其它导电电路和机柜、安装机箱等易触及部件之间施加1500V、50Hz电压，不出现击穿现象；电磁抗扰度：一体化机柜在静电放电、电快速瞬变脉冲群、浪涌、电压短时中断等电磁骚扰环境下不出现电气故障；散热方式：智能空调散热；平均无故障时间（MTBF）≥40000小时；支持智能设备状态监控，配备摄像装置，支持人脸识别，支持操作记录和异常操作及时上报智慧道路集成管控平台实现智能化运维管理；具备独立分区域温度、湿度和水浸等环境状态监控功能；支持智能电力管理，提供多种供电接入包括市电和发电机输入等，配置50AH/48V 的UPS备用电源，设备管控单元实时监控各功能箱设备电力状态，智慧道路集成管控平台远程监控电力状态，并具备单机和远程故障报警功能；支持分布式数据存储和处理，智慧道路集成管理平台实现设备在线状态监视、区域人流密度统计、操作行为规范管理、巡查工作动态调配、电力负载均衡调控等功能配置；采用安全与便捷布线配置，提供标准24路光纤ODF接线架，装配有防雷防浪涌模块、漏电安全模块、各空间独立的电源维护空气开关等；支持车路协同设备接入，提供交通信息发布与多源交通数据融合运用；防护等级:IP65。</w:t>
            </w:r>
          </w:p>
        </w:tc>
        <w:tc>
          <w:tcPr>
            <w:tcW w:w="1721" w:type="dxa"/>
            <w:shd w:val="clear" w:color="auto" w:fill="auto"/>
            <w:vAlign w:val="center"/>
          </w:tcPr>
          <w:p w14:paraId="10070B2D">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4C03C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59C3B267">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26</w:t>
            </w:r>
          </w:p>
        </w:tc>
        <w:tc>
          <w:tcPr>
            <w:tcW w:w="1936" w:type="dxa"/>
            <w:shd w:val="clear" w:color="auto" w:fill="auto"/>
            <w:vAlign w:val="center"/>
          </w:tcPr>
          <w:p w14:paraId="7CA1013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ONU</w:t>
            </w:r>
          </w:p>
        </w:tc>
        <w:tc>
          <w:tcPr>
            <w:tcW w:w="4502" w:type="dxa"/>
            <w:shd w:val="clear" w:color="auto" w:fill="auto"/>
            <w:vAlign w:val="center"/>
          </w:tcPr>
          <w:p w14:paraId="063C19A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运行环境：温度：-20℃-70℃，湿度：5%-95%；网口共模防雷等级6kV；支持TypeC手拉手业务保护；支持流氓ONT检测；支持环网检测/PPPoE仿真/DHCP仿真；支持802.1x；支持DHCPOption82；支持防DoS攻击/ARP防攻击；网络侧接口≥1*GPON口；用户侧接口≥4*GE,支持不小于4个RS485/RS232串口。</w:t>
            </w:r>
          </w:p>
        </w:tc>
        <w:tc>
          <w:tcPr>
            <w:tcW w:w="1721" w:type="dxa"/>
            <w:shd w:val="clear" w:color="auto" w:fill="auto"/>
            <w:vAlign w:val="center"/>
          </w:tcPr>
          <w:p w14:paraId="743DB82F">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5CB5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02241742">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27</w:t>
            </w:r>
          </w:p>
        </w:tc>
        <w:tc>
          <w:tcPr>
            <w:tcW w:w="1936" w:type="dxa"/>
            <w:shd w:val="clear" w:color="auto" w:fill="auto"/>
            <w:vAlign w:val="center"/>
          </w:tcPr>
          <w:p w14:paraId="2D2AF29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红绿灯信号检测器</w:t>
            </w:r>
          </w:p>
        </w:tc>
        <w:tc>
          <w:tcPr>
            <w:tcW w:w="4502" w:type="dxa"/>
            <w:shd w:val="clear" w:color="auto" w:fill="auto"/>
            <w:vAlign w:val="center"/>
          </w:tcPr>
          <w:p w14:paraId="242DE7A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检测、通讯单元采用微控制器设计；信号灯交流信号输入接口≥16路；RS485接口≥1路；+12VDC接口≥1个。</w:t>
            </w:r>
          </w:p>
        </w:tc>
        <w:tc>
          <w:tcPr>
            <w:tcW w:w="1721" w:type="dxa"/>
            <w:shd w:val="clear" w:color="auto" w:fill="auto"/>
            <w:vAlign w:val="center"/>
          </w:tcPr>
          <w:p w14:paraId="02B2B0A2">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B6A6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56362C09">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28</w:t>
            </w:r>
          </w:p>
        </w:tc>
        <w:tc>
          <w:tcPr>
            <w:tcW w:w="1936" w:type="dxa"/>
            <w:shd w:val="clear" w:color="auto" w:fill="auto"/>
            <w:vAlign w:val="center"/>
          </w:tcPr>
          <w:p w14:paraId="75BD196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工业交换机（8电+16光）</w:t>
            </w:r>
          </w:p>
        </w:tc>
        <w:tc>
          <w:tcPr>
            <w:tcW w:w="4502" w:type="dxa"/>
            <w:shd w:val="clear" w:color="auto" w:fill="auto"/>
            <w:vAlign w:val="center"/>
          </w:tcPr>
          <w:p w14:paraId="744F29F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配置≥8个电口，10/100/1000自适应；配置≥16个光口，SC/FC/ST可选,10/100/1000自适应；交换容量≥128Gbps，包转发率≥42Mpps；工作温度：-40℃-70℃。</w:t>
            </w:r>
          </w:p>
        </w:tc>
        <w:tc>
          <w:tcPr>
            <w:tcW w:w="1721" w:type="dxa"/>
            <w:shd w:val="clear" w:color="auto" w:fill="auto"/>
            <w:vAlign w:val="center"/>
          </w:tcPr>
          <w:p w14:paraId="0E7BF3AF">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44F36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1ADFF031">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29</w:t>
            </w:r>
          </w:p>
        </w:tc>
        <w:tc>
          <w:tcPr>
            <w:tcW w:w="1936" w:type="dxa"/>
            <w:shd w:val="clear" w:color="auto" w:fill="auto"/>
            <w:vAlign w:val="center"/>
          </w:tcPr>
          <w:p w14:paraId="3E590FD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千兆光模块</w:t>
            </w:r>
          </w:p>
        </w:tc>
        <w:tc>
          <w:tcPr>
            <w:tcW w:w="4502" w:type="dxa"/>
            <w:shd w:val="clear" w:color="auto" w:fill="auto"/>
            <w:vAlign w:val="center"/>
          </w:tcPr>
          <w:p w14:paraId="43DBB6F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光模块-eSFP-GE-单模模块(1310nm,10km,LC)。</w:t>
            </w:r>
          </w:p>
        </w:tc>
        <w:tc>
          <w:tcPr>
            <w:tcW w:w="1721" w:type="dxa"/>
            <w:shd w:val="clear" w:color="auto" w:fill="auto"/>
            <w:vAlign w:val="center"/>
          </w:tcPr>
          <w:p w14:paraId="69C2C42A">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06538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317A8356">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30</w:t>
            </w:r>
          </w:p>
        </w:tc>
        <w:tc>
          <w:tcPr>
            <w:tcW w:w="1936" w:type="dxa"/>
            <w:shd w:val="clear" w:color="auto" w:fill="auto"/>
            <w:vAlign w:val="center"/>
          </w:tcPr>
          <w:p w14:paraId="22EB3C7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24芯光纤配线架</w:t>
            </w:r>
          </w:p>
        </w:tc>
        <w:tc>
          <w:tcPr>
            <w:tcW w:w="4502" w:type="dxa"/>
            <w:shd w:val="clear" w:color="auto" w:fill="auto"/>
            <w:vAlign w:val="center"/>
          </w:tcPr>
          <w:p w14:paraId="2746FCE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24口，带合器、尾纤等。</w:t>
            </w:r>
          </w:p>
        </w:tc>
        <w:tc>
          <w:tcPr>
            <w:tcW w:w="1721" w:type="dxa"/>
            <w:shd w:val="clear" w:color="auto" w:fill="auto"/>
            <w:vAlign w:val="center"/>
          </w:tcPr>
          <w:p w14:paraId="041E153B">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AB44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24D7DB2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31</w:t>
            </w:r>
          </w:p>
        </w:tc>
        <w:tc>
          <w:tcPr>
            <w:tcW w:w="1936" w:type="dxa"/>
            <w:shd w:val="clear" w:color="auto" w:fill="auto"/>
            <w:vAlign w:val="center"/>
          </w:tcPr>
          <w:p w14:paraId="09A684B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144芯光纤配线架</w:t>
            </w:r>
          </w:p>
        </w:tc>
        <w:tc>
          <w:tcPr>
            <w:tcW w:w="4502" w:type="dxa"/>
            <w:shd w:val="clear" w:color="auto" w:fill="auto"/>
            <w:vAlign w:val="center"/>
          </w:tcPr>
          <w:p w14:paraId="360FB62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144芯固定式光纤配线架，带耦合器、尾纤及光纤对熔等。</w:t>
            </w:r>
          </w:p>
        </w:tc>
        <w:tc>
          <w:tcPr>
            <w:tcW w:w="1721" w:type="dxa"/>
            <w:shd w:val="clear" w:color="auto" w:fill="auto"/>
            <w:vAlign w:val="center"/>
          </w:tcPr>
          <w:p w14:paraId="28E0B5C4">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6561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7896E910">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32</w:t>
            </w:r>
          </w:p>
        </w:tc>
        <w:tc>
          <w:tcPr>
            <w:tcW w:w="1936" w:type="dxa"/>
            <w:shd w:val="clear" w:color="auto" w:fill="auto"/>
            <w:vAlign w:val="center"/>
          </w:tcPr>
          <w:p w14:paraId="3082F1F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交通监控配电箱</w:t>
            </w:r>
          </w:p>
        </w:tc>
        <w:tc>
          <w:tcPr>
            <w:tcW w:w="4502" w:type="dxa"/>
            <w:shd w:val="clear" w:color="auto" w:fill="auto"/>
            <w:vAlign w:val="center"/>
          </w:tcPr>
          <w:p w14:paraId="69D9CB3B">
            <w:pPr>
              <w:keepNext/>
              <w:widowControl/>
              <w:snapToGrid w:val="0"/>
              <w:ind w:firstLine="0"/>
              <w:jc w:val="left"/>
              <w:textAlignment w:val="center"/>
              <w:rPr>
                <w:rFonts w:hint="eastAsia" w:ascii="宋体" w:hAnsi="宋体" w:eastAsia="宋体" w:cs="宋体"/>
                <w:color w:val="000000"/>
                <w:kern w:val="0"/>
                <w:sz w:val="20"/>
                <w:szCs w:val="20"/>
                <w:u w:val="none"/>
                <w:lang w:val="en-US" w:eastAsia="zh-CN" w:bidi="ar"/>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低压配电箱，35kW；</w:t>
            </w:r>
            <w:r>
              <w:rPr>
                <w:rFonts w:hint="eastAsia" w:ascii="宋体" w:hAnsi="宋体" w:eastAsia="宋体" w:cs="宋体"/>
                <w:color w:val="000000"/>
                <w:kern w:val="0"/>
                <w:sz w:val="20"/>
                <w:szCs w:val="20"/>
                <w:u w:val="none"/>
                <w:lang w:val="en-US" w:eastAsia="zh-CN" w:bidi="ar"/>
              </w:rPr>
              <w:t>落地机柜适合户外环境使用，具备防雨、防尘、通风散热、抗紫外线（耐老化）、防盗、防锈；箱体具有明显标识，表明设备箱用途；箱体尺寸：1250mm(高)×600mm(宽)×600mm(深)（高度包含帽檐和基座,</w:t>
            </w:r>
            <w:r>
              <w:rPr>
                <w:rFonts w:hint="eastAsia" w:ascii="宋体" w:hAnsi="宋体" w:eastAsia="宋体" w:cs="宋体"/>
                <w:b w:val="0"/>
                <w:bCs w:val="0"/>
                <w:color w:val="000000"/>
                <w:kern w:val="0"/>
                <w:sz w:val="20"/>
                <w:szCs w:val="20"/>
                <w:u w:val="none"/>
                <w:lang w:bidi="ar"/>
              </w:rPr>
              <w:t>整体尺寸允差±10mm</w:t>
            </w:r>
            <w:r>
              <w:rPr>
                <w:rFonts w:hint="eastAsia" w:ascii="宋体" w:hAnsi="宋体" w:eastAsia="宋体" w:cs="宋体"/>
                <w:color w:val="000000"/>
                <w:kern w:val="0"/>
                <w:sz w:val="20"/>
                <w:szCs w:val="20"/>
                <w:u w:val="none"/>
                <w:lang w:val="en-US" w:eastAsia="zh-CN" w:bidi="ar"/>
              </w:rPr>
              <w:t>），底座200mm。箱体喷塑，采用镀锌钢板，板材厚度1.2mm。前后双开门设计。机箱防护等级为IP55，箱门内侧粘密封条，保证箱门的密封性良好。具有防盗功能，安装防水锁，所有锁芯应配统一钥匙;箱体内部包含1个2P 40A总空开、4个2P 10A的2P空开（下端接线预留）、40KA电源防雷器1只、五孔插座3只、温控风扇2只、4口光纤熔纤盒1只、设备隔板2块、5位接地铜排1只；安全防护功能：支持箱门门禁检测功能，可远程设置箱门布防或撤防，当机箱处于箱门布防状态时开启箱门将触发开门报警，报警信息可上传至平台端；断电监测功能；内置电源监测模块，当机箱与外接电源断开连接并且无后备电源时，能将断电告警信息上传至平台端；断网监测功能：当机箱与网络断开连接时可触发报警，报警信息可上传至平台端；输出功能：当产品智能运维终端发生故障时，产品的电压输出端口仍可正常工作；加密功能：支持对通信数据进行加密；看门狗复位功能：支持当智能运维终端死机时，具有看门狗自动复位功能；电磁兼容性性能测试要求：产品通过静电放电抗扰度，射频电磁场辐射抗扰度，电快速瞬变脉冲群抗扰度，浪涌抗扰度，工频磁场抗扰度，传导骚扰度，抗电强度以及泄漏电流试验；登陆密码设置：产品预设登陆密码，登陆密码可修改，并可验证设置的密码格式是否符合密码强度要求（大小写英文+数字+特殊字符）。</w:t>
            </w:r>
          </w:p>
        </w:tc>
        <w:tc>
          <w:tcPr>
            <w:tcW w:w="1721" w:type="dxa"/>
            <w:shd w:val="clear" w:color="auto" w:fill="auto"/>
            <w:vAlign w:val="center"/>
          </w:tcPr>
          <w:p w14:paraId="46FB486D">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7A33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1D3B5A44">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33</w:t>
            </w:r>
          </w:p>
        </w:tc>
        <w:tc>
          <w:tcPr>
            <w:tcW w:w="1936" w:type="dxa"/>
            <w:shd w:val="clear" w:color="auto" w:fill="auto"/>
            <w:vAlign w:val="center"/>
          </w:tcPr>
          <w:p w14:paraId="144A5E1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监控主机落地箱</w:t>
            </w:r>
          </w:p>
        </w:tc>
        <w:tc>
          <w:tcPr>
            <w:tcW w:w="4502" w:type="dxa"/>
            <w:shd w:val="clear" w:color="auto" w:fill="auto"/>
            <w:vAlign w:val="center"/>
          </w:tcPr>
          <w:p w14:paraId="2D030C7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0"/>
                <w:szCs w:val="20"/>
                <w:u w:val="none"/>
                <w:lang w:bidi="ar"/>
              </w:rPr>
            </w:pPr>
            <w:r>
              <w:rPr>
                <w:rFonts w:hint="eastAsia" w:ascii="宋体" w:hAnsi="宋体" w:eastAsia="宋体" w:cs="宋体"/>
                <w:color w:val="000000"/>
                <w:sz w:val="20"/>
                <w:szCs w:val="21"/>
                <w:lang w:val="en-US" w:eastAsia="zh-CN"/>
              </w:rPr>
              <w:t>1.</w:t>
            </w:r>
            <w:r>
              <w:rPr>
                <w:rFonts w:hint="eastAsia" w:ascii="宋体" w:hAnsi="宋体" w:eastAsia="宋体" w:cs="宋体"/>
                <w:color w:val="000000"/>
                <w:kern w:val="0"/>
                <w:sz w:val="20"/>
                <w:szCs w:val="20"/>
                <w:u w:val="none"/>
                <w:lang w:val="en-US" w:eastAsia="zh-CN" w:bidi="ar"/>
              </w:rPr>
              <w:t>落地机柜适合户外环境使用，具备防雨、防尘、通风散热、抗紫外线（耐老化）、防盗、防锈；箱体具有明显标识，表明设备箱用途；箱体尺寸：1250mm(高)×600mm(宽)×600mm(深)（高度包含帽檐和基座,</w:t>
            </w:r>
            <w:r>
              <w:rPr>
                <w:rFonts w:hint="eastAsia" w:ascii="宋体" w:hAnsi="宋体" w:eastAsia="宋体" w:cs="宋体"/>
                <w:b w:val="0"/>
                <w:bCs w:val="0"/>
                <w:color w:val="000000"/>
                <w:kern w:val="0"/>
                <w:sz w:val="20"/>
                <w:szCs w:val="20"/>
                <w:u w:val="none"/>
                <w:lang w:bidi="ar"/>
              </w:rPr>
              <w:t>整体尺寸允差±10mm</w:t>
            </w:r>
            <w:r>
              <w:rPr>
                <w:rFonts w:hint="eastAsia" w:ascii="宋体" w:hAnsi="宋体" w:eastAsia="宋体" w:cs="宋体"/>
                <w:color w:val="000000"/>
                <w:kern w:val="0"/>
                <w:sz w:val="20"/>
                <w:szCs w:val="20"/>
                <w:u w:val="none"/>
                <w:lang w:val="en-US" w:eastAsia="zh-CN" w:bidi="ar"/>
              </w:rPr>
              <w:t>），底座200mm。箱体喷塑，采用镀锌钢板，板材厚度1.2mm。前后双开门设计。机箱防护等级为IP55，箱门内侧粘密封条，保证箱门的密封性良好。具有防盗功能，安装防水锁，所有锁芯应配统一钥匙;箱体内部包含1个2P 40A总空开、4个2P 10A的2P空开（下端接线预留）、40KA电源防雷器1只、五孔插座3只、温控风扇2只、4口光纤熔纤盒1只、设备隔板2块、5位接地铜排1只；安全防护功能：支持箱门门禁检测功能，可远程设置箱门布防或撤防，当机箱处于箱门布防状态时开启箱门将触发开门报警，报警信息可上传至平台端；断电监测功能；内置电源监测模块，当机箱与外接电源断开连接并且无后备电源时，能将断电告警信息上传至平台端；断网监测功能：当机箱与网络断开连接时可触发报警，报警信息可上传至平台端；输出功能：当产品智能运维终端发生故障时，产品的电压输出端口仍可正常工作；加密功能：支持对通信数据进行加密；看门狗复位功能：支持当智能运维终端死机时，具有看门狗自动复位功能；电磁兼容性性能测试要求：产品通过静电放电抗扰度，射频电磁场辐射抗扰度，电快速瞬变脉冲群抗扰度，浪涌抗扰度，工频磁场抗扰度，传导骚扰度，抗电强度以及泄漏电流试验；登陆密码设置：产品预设登陆密码，登陆密码可修改，并可验证设置的密码格式是否符合密码强度要求（大小写英文+数字+特殊字符）。</w:t>
            </w:r>
          </w:p>
        </w:tc>
        <w:tc>
          <w:tcPr>
            <w:tcW w:w="1721" w:type="dxa"/>
            <w:shd w:val="clear" w:color="auto" w:fill="auto"/>
            <w:vAlign w:val="center"/>
          </w:tcPr>
          <w:p w14:paraId="231399B3">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0DC4C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5FDC2D6B">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1936" w:type="dxa"/>
            <w:shd w:val="clear" w:color="auto" w:fill="auto"/>
            <w:vAlign w:val="center"/>
          </w:tcPr>
          <w:p w14:paraId="56F6FE0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电警卡口设备配套</w:t>
            </w:r>
          </w:p>
        </w:tc>
        <w:tc>
          <w:tcPr>
            <w:tcW w:w="4502" w:type="dxa"/>
            <w:shd w:val="clear" w:color="auto" w:fill="auto"/>
            <w:vAlign w:val="center"/>
          </w:tcPr>
          <w:p w14:paraId="4AF59E7E">
            <w:pPr>
              <w:keepNext/>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c>
          <w:tcPr>
            <w:tcW w:w="1721" w:type="dxa"/>
            <w:shd w:val="clear" w:color="auto" w:fill="auto"/>
            <w:vAlign w:val="center"/>
          </w:tcPr>
          <w:p w14:paraId="54797593">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2421F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restart"/>
            <w:shd w:val="clear" w:color="auto" w:fill="auto"/>
            <w:vAlign w:val="center"/>
          </w:tcPr>
          <w:p w14:paraId="499F0B8C">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34</w:t>
            </w:r>
          </w:p>
        </w:tc>
        <w:tc>
          <w:tcPr>
            <w:tcW w:w="1936" w:type="dxa"/>
            <w:vMerge w:val="restart"/>
            <w:shd w:val="clear" w:color="auto" w:fill="auto"/>
            <w:vAlign w:val="center"/>
          </w:tcPr>
          <w:p w14:paraId="30382E4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一体化闯红灯抓拍单元(900万)</w:t>
            </w:r>
          </w:p>
        </w:tc>
        <w:tc>
          <w:tcPr>
            <w:tcW w:w="4502" w:type="dxa"/>
            <w:shd w:val="clear" w:color="auto" w:fill="auto"/>
            <w:vAlign w:val="center"/>
          </w:tcPr>
          <w:p w14:paraId="5BC0F3A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支持车辆右转弯压实线检测并抓拍；支持对改装的牛眼灯进行检测。支持非机动车管控功能，可检测不戴头盔，逆行，载人三种行为，每种行为可联动外接的音柱发出不同的提示音，并且支持设置音柱的音量，音色和播放速度</w:t>
            </w:r>
          </w:p>
        </w:tc>
        <w:tc>
          <w:tcPr>
            <w:tcW w:w="1721" w:type="dxa"/>
            <w:shd w:val="clear" w:color="auto" w:fill="auto"/>
            <w:vAlign w:val="center"/>
          </w:tcPr>
          <w:p w14:paraId="6B53B82C">
            <w:pPr>
              <w:keepNext/>
              <w:snapToGrid w:val="0"/>
              <w:ind w:left="0" w:leftChars="0" w:right="0" w:rightChars="0" w:firstLine="0" w:firstLineChars="0"/>
              <w:jc w:val="left"/>
              <w:rPr>
                <w:rFonts w:hint="eastAsia" w:ascii="宋体" w:hAnsi="宋体" w:eastAsia="宋体" w:cs="宋体"/>
                <w:b/>
                <w:color w:val="000000"/>
                <w:sz w:val="20"/>
                <w:szCs w:val="21"/>
              </w:rPr>
            </w:pPr>
            <w:r>
              <w:rPr>
                <w:rFonts w:hint="eastAsia" w:ascii="宋体" w:hAnsi="宋体" w:eastAsia="宋体" w:cs="宋体"/>
                <w:b/>
                <w:color w:val="000000"/>
                <w:sz w:val="20"/>
                <w:szCs w:val="21"/>
              </w:rPr>
              <w:t>投标时同时提供：</w:t>
            </w:r>
          </w:p>
          <w:p w14:paraId="3C5F53BB">
            <w:pPr>
              <w:keepNext/>
              <w:snapToGrid w:val="0"/>
              <w:ind w:left="0" w:leftChars="0" w:right="0" w:rightChars="0" w:firstLine="0" w:firstLineChars="0"/>
              <w:jc w:val="left"/>
              <w:rPr>
                <w:rFonts w:hint="eastAsia" w:ascii="宋体" w:hAnsi="宋体" w:eastAsia="宋体" w:cs="宋体"/>
                <w:b/>
                <w:color w:val="000000"/>
                <w:sz w:val="20"/>
                <w:szCs w:val="21"/>
              </w:rPr>
            </w:pPr>
            <w:r>
              <w:rPr>
                <w:rFonts w:hint="eastAsia" w:ascii="宋体" w:hAnsi="宋体" w:eastAsia="宋体" w:cs="宋体"/>
                <w:b/>
                <w:color w:val="000000"/>
                <w:sz w:val="20"/>
                <w:szCs w:val="21"/>
              </w:rPr>
              <w:t>①第三方检测机构出具的检测（检验）报告扫描件，要求内容能体现满足上述参数要求。</w:t>
            </w:r>
          </w:p>
          <w:p w14:paraId="6E6F953A">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r>
              <w:rPr>
                <w:rFonts w:hint="eastAsia" w:ascii="宋体" w:hAnsi="宋体" w:eastAsia="宋体" w:cs="宋体"/>
                <w:b/>
                <w:color w:val="000000"/>
                <w:sz w:val="20"/>
                <w:szCs w:val="21"/>
              </w:rPr>
              <w:t>②</w:t>
            </w:r>
            <w:r>
              <w:rPr>
                <w:rFonts w:hint="eastAsia" w:ascii="宋体" w:hAnsi="宋体" w:eastAsia="宋体" w:cs="宋体"/>
                <w:b/>
                <w:color w:val="000000"/>
                <w:sz w:val="20"/>
                <w:szCs w:val="21"/>
                <w:lang w:eastAsia="zh-CN"/>
              </w:rPr>
              <w:t>提供出具</w:t>
            </w:r>
            <w:r>
              <w:rPr>
                <w:rFonts w:hint="eastAsia" w:ascii="宋体" w:hAnsi="宋体" w:eastAsia="宋体" w:cs="宋体"/>
                <w:b/>
                <w:color w:val="000000"/>
                <w:sz w:val="20"/>
                <w:szCs w:val="21"/>
              </w:rPr>
              <w:t>检测（检验）报告</w:t>
            </w:r>
            <w:r>
              <w:rPr>
                <w:rFonts w:hint="eastAsia" w:ascii="宋体" w:hAnsi="宋体" w:eastAsia="宋体" w:cs="宋体"/>
                <w:b/>
                <w:color w:val="000000"/>
                <w:sz w:val="20"/>
                <w:szCs w:val="21"/>
                <w:lang w:eastAsia="zh-CN"/>
              </w:rPr>
              <w:t>的检测机构</w:t>
            </w:r>
            <w:r>
              <w:rPr>
                <w:rFonts w:hint="eastAsia" w:ascii="宋体" w:hAnsi="宋体" w:eastAsia="宋体" w:cs="宋体"/>
                <w:b/>
                <w:color w:val="000000"/>
                <w:sz w:val="20"/>
                <w:szCs w:val="21"/>
              </w:rPr>
              <w:t>在全国认证认可信息公共服务平台（认e云）（http://cx.cnca.cn/）的</w:t>
            </w:r>
            <w:r>
              <w:rPr>
                <w:rFonts w:hint="eastAsia" w:ascii="宋体" w:hAnsi="宋体" w:eastAsia="宋体" w:cs="宋体"/>
                <w:b/>
                <w:color w:val="000000"/>
                <w:sz w:val="20"/>
                <w:szCs w:val="21"/>
                <w:lang w:eastAsia="zh-CN"/>
              </w:rPr>
              <w:t>机构</w:t>
            </w:r>
            <w:r>
              <w:rPr>
                <w:rFonts w:hint="eastAsia" w:ascii="宋体" w:hAnsi="宋体" w:eastAsia="宋体" w:cs="宋体"/>
                <w:b/>
                <w:color w:val="000000"/>
                <w:sz w:val="20"/>
                <w:szCs w:val="21"/>
              </w:rPr>
              <w:t>信息查询记录截图，因该平台升级等原因导致无法查询的，则需提供通过检测机构官网等可靠途径查询</w:t>
            </w:r>
            <w:r>
              <w:rPr>
                <w:rFonts w:hint="eastAsia" w:ascii="宋体" w:hAnsi="宋体" w:eastAsia="宋体" w:cs="宋体"/>
                <w:b/>
                <w:color w:val="000000"/>
                <w:sz w:val="20"/>
                <w:szCs w:val="21"/>
                <w:lang w:eastAsia="zh-CN"/>
              </w:rPr>
              <w:t>该检测机构</w:t>
            </w:r>
            <w:r>
              <w:rPr>
                <w:rFonts w:hint="eastAsia" w:ascii="宋体" w:hAnsi="宋体" w:eastAsia="宋体" w:cs="宋体"/>
                <w:b/>
                <w:color w:val="000000"/>
                <w:sz w:val="20"/>
                <w:szCs w:val="21"/>
              </w:rPr>
              <w:t>真实性</w:t>
            </w:r>
            <w:r>
              <w:rPr>
                <w:rFonts w:hint="eastAsia" w:ascii="宋体" w:hAnsi="宋体" w:eastAsia="宋体" w:cs="宋体"/>
                <w:b/>
                <w:color w:val="000000"/>
                <w:sz w:val="20"/>
                <w:szCs w:val="21"/>
                <w:lang w:eastAsia="zh-CN"/>
              </w:rPr>
              <w:t>、专业性及可靠性</w:t>
            </w:r>
            <w:r>
              <w:rPr>
                <w:rFonts w:hint="eastAsia" w:ascii="宋体" w:hAnsi="宋体" w:eastAsia="宋体" w:cs="宋体"/>
                <w:b/>
                <w:color w:val="000000"/>
                <w:sz w:val="20"/>
                <w:szCs w:val="21"/>
              </w:rPr>
              <w:t>的证明材料或者检测机构盖章的证明材料，证明该</w:t>
            </w:r>
            <w:r>
              <w:rPr>
                <w:rFonts w:hint="eastAsia" w:ascii="宋体" w:hAnsi="宋体" w:eastAsia="宋体" w:cs="宋体"/>
                <w:b/>
                <w:color w:val="000000"/>
                <w:sz w:val="20"/>
                <w:szCs w:val="21"/>
                <w:lang w:eastAsia="zh-CN"/>
              </w:rPr>
              <w:t>检测机构</w:t>
            </w:r>
            <w:r>
              <w:rPr>
                <w:rFonts w:hint="eastAsia" w:ascii="宋体" w:hAnsi="宋体" w:eastAsia="宋体" w:cs="宋体"/>
                <w:b/>
                <w:color w:val="000000"/>
                <w:sz w:val="20"/>
                <w:szCs w:val="21"/>
              </w:rPr>
              <w:t>真实</w:t>
            </w:r>
            <w:r>
              <w:rPr>
                <w:rFonts w:hint="eastAsia" w:ascii="宋体" w:hAnsi="宋体" w:eastAsia="宋体" w:cs="宋体"/>
                <w:b/>
                <w:color w:val="000000"/>
                <w:sz w:val="20"/>
                <w:szCs w:val="21"/>
                <w:lang w:eastAsia="zh-CN"/>
              </w:rPr>
              <w:t>专业可靠</w:t>
            </w:r>
            <w:r>
              <w:rPr>
                <w:rFonts w:hint="eastAsia" w:ascii="宋体" w:hAnsi="宋体" w:eastAsia="宋体" w:cs="宋体"/>
                <w:b/>
                <w:color w:val="000000"/>
                <w:sz w:val="20"/>
                <w:szCs w:val="21"/>
              </w:rPr>
              <w:t>。</w:t>
            </w:r>
          </w:p>
        </w:tc>
      </w:tr>
      <w:tr w14:paraId="07F9D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continue"/>
            <w:shd w:val="clear" w:color="auto" w:fill="auto"/>
            <w:vAlign w:val="center"/>
          </w:tcPr>
          <w:p w14:paraId="396AE405">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eastAsia="zh-CN"/>
              </w:rPr>
            </w:pPr>
          </w:p>
        </w:tc>
        <w:tc>
          <w:tcPr>
            <w:tcW w:w="1936" w:type="dxa"/>
            <w:vMerge w:val="continue"/>
            <w:shd w:val="clear" w:color="auto" w:fill="auto"/>
            <w:vAlign w:val="center"/>
          </w:tcPr>
          <w:p w14:paraId="719260B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p>
        </w:tc>
        <w:tc>
          <w:tcPr>
            <w:tcW w:w="4502" w:type="dxa"/>
            <w:shd w:val="clear" w:color="auto" w:fill="auto"/>
            <w:vAlign w:val="center"/>
          </w:tcPr>
          <w:p w14:paraId="342F5C0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2.包含摄像机 、高清镜头、室外防护罩、防雷器 、电源适配器 、万向节、抓拍软件等，满足深圳市智能交通前端设施建设的要求；像素≥900万像素，分辨率：≥4096×2160，视频压缩标准：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H.265/H.264/MJPEG，图像输出格式：JPEG，终端接入：支持终端服务器接入；支持红绿灯信号视频检验功能，具备车辆闯红灯捕获功能，捕获率≥99%，准确率≥99%，支持连续闯红灯事件检测，并自动上传报警信息；支持按照时间段和车道配置压线、违法变道、不按导向车道行驶、尾号限行、不按规定车道行驶、占用公交车道、逆行、禁左转禁右转违法抓拍、禁掉头违法抓拍等系列平均捕获率≥99%，平均准确率≥99%；支持对摩托车闯红灯、逆行、载人、未戴头盔等行为进行检测并抓拍；支持设置抓拍的车道数量不少于3车道，支持自动绘制车道线，并可设置每车道的名称和界线；支持AI车牌增强功能，开启后可防止车牌过曝，支持蓝牌、黄牌、黑牌、白牌、绿牌、黄绿双拼牌；支持 GB/T28181协议，支持标准 Onvif 协议；RJ45不少于2个,RS485不少于2个，USB不少1个。</w:t>
            </w:r>
          </w:p>
        </w:tc>
        <w:tc>
          <w:tcPr>
            <w:tcW w:w="1721" w:type="dxa"/>
            <w:shd w:val="clear" w:color="auto" w:fill="auto"/>
            <w:vAlign w:val="center"/>
          </w:tcPr>
          <w:p w14:paraId="10F8FF65">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9DB2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38B6BF7E">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35</w:t>
            </w:r>
          </w:p>
        </w:tc>
        <w:tc>
          <w:tcPr>
            <w:tcW w:w="1936" w:type="dxa"/>
            <w:shd w:val="clear" w:color="auto" w:fill="auto"/>
            <w:vAlign w:val="center"/>
          </w:tcPr>
          <w:p w14:paraId="433F482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电警补光灯</w:t>
            </w:r>
          </w:p>
        </w:tc>
        <w:tc>
          <w:tcPr>
            <w:tcW w:w="4502" w:type="dxa"/>
            <w:shd w:val="clear" w:color="auto" w:fill="auto"/>
            <w:vAlign w:val="center"/>
          </w:tcPr>
          <w:p w14:paraId="4ACA283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包含补光灯、安装支架；不少于16颗LED频闪灯；色温范围 3500K-4500K，最佳补光距离16m-25m，平均功率不超过40w；设备在-20℃~70℃环境条件下能正常工作；支持通过RS485远程控制补光灯的亮度、开启/关闭；距离补光装置20m处，基准轴上的有效光照度不大于200lx。</w:t>
            </w:r>
          </w:p>
        </w:tc>
        <w:tc>
          <w:tcPr>
            <w:tcW w:w="1721" w:type="dxa"/>
            <w:shd w:val="clear" w:color="auto" w:fill="auto"/>
            <w:vAlign w:val="center"/>
          </w:tcPr>
          <w:p w14:paraId="0F4C37A0">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7CE1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69B85107">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36</w:t>
            </w:r>
          </w:p>
        </w:tc>
        <w:tc>
          <w:tcPr>
            <w:tcW w:w="1936" w:type="dxa"/>
            <w:shd w:val="clear" w:color="auto" w:fill="auto"/>
            <w:vAlign w:val="center"/>
          </w:tcPr>
          <w:p w14:paraId="39DC8C3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一体化卡口抓拍单元(900万)</w:t>
            </w:r>
          </w:p>
        </w:tc>
        <w:tc>
          <w:tcPr>
            <w:tcW w:w="4502" w:type="dxa"/>
            <w:shd w:val="clear" w:color="auto" w:fill="auto"/>
            <w:vAlign w:val="center"/>
          </w:tcPr>
          <w:p w14:paraId="5DCA5E4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1.包含摄像机 、高清镜头、室外防护罩、防雷器 、电源适配器、万向节、抓拍软件等；像素≥900万像素，分辨率 ≥4096×2160，视频压缩标准：H.265/H.264/MJPEG，图像输出格式：JPEG，终端接入：支持终端服务器接入；工作温度-20℃-60℃，工作湿度10%-90%，防护等级IP65；支持车身颜色、车型、车牌、车标识别功能；支持AI（人工智能）车牌增强功能，开启后可防止车牌（蓝牌、黄牌、黑牌、白牌、绿牌、黄绿双拼牌）照片曝光过度；支持AI（人工智能）车窗增强功能，开启后可去除白天车窗反光和彩条纹；支持前排人脸检测和主驾驶员、副驾驶员的性别属性识别功能，能够区分主副驾，主驾驶员人脸抠图率≥99%，副驾驶员人脸抠图率≥99%，可对抠取的人脸图片大小、亮度进行设置，人脸抠图像素点不小于120像素×120像素；支持机动车压线、逆行、冲禁令、驾驶员未系安全带等违法行为的检测和抓拍；支持未悬挂机动车号牌车辆抓拍捕获，捕获率≥99%；支持车流量统计功能；支持 GB/T28181协议，支持标准 Onvif 协议；RJ45不少于2个,RS485不少于2个，USB不少于1个。</w:t>
            </w:r>
          </w:p>
        </w:tc>
        <w:tc>
          <w:tcPr>
            <w:tcW w:w="1721" w:type="dxa"/>
            <w:shd w:val="clear" w:color="auto" w:fill="auto"/>
            <w:vAlign w:val="center"/>
          </w:tcPr>
          <w:p w14:paraId="2ECD742B">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5759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58ED5A0E">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37</w:t>
            </w:r>
          </w:p>
        </w:tc>
        <w:tc>
          <w:tcPr>
            <w:tcW w:w="1936" w:type="dxa"/>
            <w:shd w:val="clear" w:color="auto" w:fill="auto"/>
            <w:vAlign w:val="center"/>
          </w:tcPr>
          <w:p w14:paraId="799EE19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环保卡口闪光灯</w:t>
            </w:r>
          </w:p>
        </w:tc>
        <w:tc>
          <w:tcPr>
            <w:tcW w:w="4502" w:type="dxa"/>
            <w:shd w:val="clear" w:color="auto" w:fill="auto"/>
            <w:vAlign w:val="center"/>
          </w:tcPr>
          <w:p w14:paraId="3C0B43B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包含补光灯、安装支架；气体爆闪色温5500k-7000k,LED色温3500K-4500K；支持 LED 频闪、LED 爆闪、白光气体爆闪、红外气体爆闪，至少覆盖一车道；支持RS485参数调节和软件升级功能；满足深圳市智能交通前端设施建设的相关要求。</w:t>
            </w:r>
          </w:p>
        </w:tc>
        <w:tc>
          <w:tcPr>
            <w:tcW w:w="1721" w:type="dxa"/>
            <w:shd w:val="clear" w:color="auto" w:fill="auto"/>
            <w:vAlign w:val="center"/>
          </w:tcPr>
          <w:p w14:paraId="791811A8">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6164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240696C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38</w:t>
            </w:r>
          </w:p>
        </w:tc>
        <w:tc>
          <w:tcPr>
            <w:tcW w:w="1936" w:type="dxa"/>
            <w:shd w:val="clear" w:color="auto" w:fill="auto"/>
            <w:vAlign w:val="center"/>
          </w:tcPr>
          <w:p w14:paraId="5152A62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电警主机（含存储）</w:t>
            </w:r>
          </w:p>
        </w:tc>
        <w:tc>
          <w:tcPr>
            <w:tcW w:w="4502" w:type="dxa"/>
            <w:shd w:val="clear" w:color="auto" w:fill="auto"/>
            <w:vAlign w:val="center"/>
          </w:tcPr>
          <w:p w14:paraId="0DDB016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可添加不小于16路IP摄像机，支持单路码率不小于8M，配置不小于16TB存储容量，支持不少于16个千兆网口和不少于2个千兆光口；支持图片合成、流量统计等功能，可设置图片的存储空间，在规定的空间内自动循环覆盖，剩余空间为录像存储空间。支持硬盘自动切换，当块硬盘损坏后，能自动切换至其它硬盘进行存储。进行录像与图片的实时预览和存储并可将IP摄像机的视频图像通过网络传输至客户端；硬盘满配；满足深圳市智能交通前端设施建设的相关要求。</w:t>
            </w:r>
          </w:p>
        </w:tc>
        <w:tc>
          <w:tcPr>
            <w:tcW w:w="1721" w:type="dxa"/>
            <w:shd w:val="clear" w:color="auto" w:fill="auto"/>
            <w:vAlign w:val="center"/>
          </w:tcPr>
          <w:p w14:paraId="391D416B">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E2C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2850E869">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39</w:t>
            </w:r>
          </w:p>
        </w:tc>
        <w:tc>
          <w:tcPr>
            <w:tcW w:w="1936" w:type="dxa"/>
            <w:shd w:val="clear" w:color="auto" w:fill="auto"/>
            <w:vAlign w:val="center"/>
          </w:tcPr>
          <w:p w14:paraId="07F61AF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二合一防雷器</w:t>
            </w:r>
          </w:p>
        </w:tc>
        <w:tc>
          <w:tcPr>
            <w:tcW w:w="4502" w:type="dxa"/>
            <w:shd w:val="clear" w:color="auto" w:fill="auto"/>
            <w:vAlign w:val="center"/>
          </w:tcPr>
          <w:p w14:paraId="7FD014C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RJ45网络、电源防雷（电压等级与雷达工作电压匹配）。</w:t>
            </w:r>
          </w:p>
        </w:tc>
        <w:tc>
          <w:tcPr>
            <w:tcW w:w="1721" w:type="dxa"/>
            <w:shd w:val="clear" w:color="auto" w:fill="auto"/>
            <w:vAlign w:val="center"/>
          </w:tcPr>
          <w:p w14:paraId="4DD4C5C3">
            <w:pPr>
              <w:keepNext/>
              <w:snapToGrid w:val="0"/>
              <w:ind w:left="0" w:leftChars="0" w:right="0" w:rightChars="0" w:firstLine="0" w:firstLineChars="0"/>
              <w:jc w:val="left"/>
              <w:rPr>
                <w:rFonts w:hint="default" w:ascii="宋体" w:hAnsi="宋体" w:eastAsia="宋体" w:cs="宋体"/>
                <w:i w:val="0"/>
                <w:iCs w:val="0"/>
                <w:color w:val="000000"/>
                <w:sz w:val="20"/>
                <w:szCs w:val="20"/>
                <w:u w:val="none"/>
                <w:lang w:val="en-US" w:eastAsia="zh-CN"/>
              </w:rPr>
            </w:pPr>
          </w:p>
        </w:tc>
      </w:tr>
      <w:tr w14:paraId="62FE3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7F603F9D">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40</w:t>
            </w:r>
          </w:p>
        </w:tc>
        <w:tc>
          <w:tcPr>
            <w:tcW w:w="1936" w:type="dxa"/>
            <w:shd w:val="clear" w:color="auto" w:fill="auto"/>
            <w:vAlign w:val="center"/>
          </w:tcPr>
          <w:p w14:paraId="4A21243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工业交换机（8电+2光）</w:t>
            </w:r>
          </w:p>
        </w:tc>
        <w:tc>
          <w:tcPr>
            <w:tcW w:w="4502" w:type="dxa"/>
            <w:shd w:val="clear" w:color="auto" w:fill="auto"/>
            <w:vAlign w:val="center"/>
          </w:tcPr>
          <w:p w14:paraId="372DC04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支持千兆电口≥8个，千兆光口≥2个，即插即用</w:t>
            </w:r>
            <w:r>
              <w:rPr>
                <w:rFonts w:hint="eastAsia" w:ascii="宋体" w:hAnsi="宋体" w:eastAsia="宋体" w:cs="宋体"/>
                <w:i w:val="0"/>
                <w:iCs w:val="0"/>
                <w:strike w:val="0"/>
                <w:dstrike w:val="0"/>
                <w:color w:val="000000"/>
                <w:kern w:val="0"/>
                <w:sz w:val="20"/>
                <w:szCs w:val="20"/>
                <w:u w:val="none"/>
                <w:lang w:val="en-US" w:eastAsia="zh-CN" w:bidi="ar"/>
              </w:rPr>
              <w:t>导轨式、双电源</w:t>
            </w:r>
            <w:r>
              <w:rPr>
                <w:rFonts w:hint="eastAsia" w:ascii="宋体" w:hAnsi="宋体" w:eastAsia="宋体" w:cs="宋体"/>
                <w:i w:val="0"/>
                <w:iCs w:val="0"/>
                <w:color w:val="000000"/>
                <w:kern w:val="0"/>
                <w:sz w:val="20"/>
                <w:szCs w:val="20"/>
                <w:u w:val="none"/>
                <w:lang w:val="en-US" w:eastAsia="zh-CN" w:bidi="ar"/>
              </w:rPr>
              <w:t>；交换容量≥430Gbps，包转发率≥20Mpps。</w:t>
            </w:r>
          </w:p>
        </w:tc>
        <w:tc>
          <w:tcPr>
            <w:tcW w:w="1721" w:type="dxa"/>
            <w:shd w:val="clear" w:color="auto" w:fill="auto"/>
            <w:vAlign w:val="center"/>
          </w:tcPr>
          <w:p w14:paraId="68DF76B7">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EA69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2B8F01E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41</w:t>
            </w:r>
          </w:p>
        </w:tc>
        <w:tc>
          <w:tcPr>
            <w:tcW w:w="1936" w:type="dxa"/>
            <w:shd w:val="clear" w:color="auto" w:fill="auto"/>
            <w:vAlign w:val="center"/>
          </w:tcPr>
          <w:p w14:paraId="304D6B1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千兆光模块</w:t>
            </w:r>
          </w:p>
        </w:tc>
        <w:tc>
          <w:tcPr>
            <w:tcW w:w="4502" w:type="dxa"/>
            <w:shd w:val="clear" w:color="auto" w:fill="auto"/>
            <w:vAlign w:val="center"/>
          </w:tcPr>
          <w:p w14:paraId="271435F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光模块-eSFP-GE-单模模块(1310nm,10km,LC)。</w:t>
            </w:r>
          </w:p>
        </w:tc>
        <w:tc>
          <w:tcPr>
            <w:tcW w:w="1721" w:type="dxa"/>
            <w:shd w:val="clear" w:color="auto" w:fill="auto"/>
            <w:vAlign w:val="center"/>
          </w:tcPr>
          <w:p w14:paraId="466B478E">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586B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36AB1A02">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42</w:t>
            </w:r>
          </w:p>
        </w:tc>
        <w:tc>
          <w:tcPr>
            <w:tcW w:w="1936" w:type="dxa"/>
            <w:shd w:val="clear" w:color="auto" w:fill="auto"/>
            <w:vAlign w:val="center"/>
          </w:tcPr>
          <w:p w14:paraId="6FC1583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RFID双基一体机（含机动车电警抓拍）</w:t>
            </w:r>
          </w:p>
        </w:tc>
        <w:tc>
          <w:tcPr>
            <w:tcW w:w="4502" w:type="dxa"/>
            <w:shd w:val="clear" w:color="auto" w:fill="auto"/>
            <w:vAlign w:val="center"/>
          </w:tcPr>
          <w:p w14:paraId="66FA0F5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设备采用电子标识读写器和抓拍摄像机一体化设计，包含电动车射频视频一体化读写器、高清镜头、室外防护罩、防雷器、电源适配器、万向节、抓拍软件等；像素：≥1200W，分辨率：≥4096(H)×3072(V)，视频压缩标准：H.265/H.264/MJPEG，图像输出格式：JPEG，终端接入：支持终端服务器接入；支持机动车闯红灯、压线(包括实线、单黄线、双黄线）、逆行、斑马线不礼让行人、占用应急车道、黄网格违停等违章检测，支持禁左、禁右、禁止掉头违章抓拍；支持“非机动车不在非机动车道内行驶”、“非机动车逆向行驶”身份信息识读和图片抓拍功能，支持统计通过监测点断面的车辆流量的功能；支持GB/T28181协议，支持标准Onvif协议，使用寿命不少于5年。</w:t>
            </w:r>
          </w:p>
        </w:tc>
        <w:tc>
          <w:tcPr>
            <w:tcW w:w="1721" w:type="dxa"/>
            <w:shd w:val="clear" w:color="auto" w:fill="auto"/>
            <w:vAlign w:val="center"/>
          </w:tcPr>
          <w:p w14:paraId="7CA24342">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9274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00BB3F95">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43</w:t>
            </w:r>
          </w:p>
        </w:tc>
        <w:tc>
          <w:tcPr>
            <w:tcW w:w="1936" w:type="dxa"/>
            <w:shd w:val="clear" w:color="auto" w:fill="auto"/>
            <w:vAlign w:val="center"/>
          </w:tcPr>
          <w:p w14:paraId="4DDD72C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RFID双基补光灯</w:t>
            </w:r>
          </w:p>
        </w:tc>
        <w:tc>
          <w:tcPr>
            <w:tcW w:w="4502" w:type="dxa"/>
            <w:shd w:val="clear" w:color="auto" w:fill="auto"/>
            <w:vAlign w:val="center"/>
          </w:tcPr>
          <w:p w14:paraId="300FB10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LED灯珠要求成数字式照度传感器，具备自动光感功能；色温范围3500-6700K,20m处光斑的照度不得超过80Lx；支持远程控制功能，支持通过特定相机远程控制亮度等级及补光灯点亮/熄灭；支持频闪级联,支持RS485控制,支持远程故障显示，</w:t>
            </w:r>
            <w:r>
              <w:rPr>
                <w:rFonts w:hint="eastAsia" w:ascii="宋体" w:hAnsi="宋体" w:eastAsia="宋体" w:cs="宋体"/>
                <w:i w:val="0"/>
                <w:iCs w:val="0"/>
                <w:strike w:val="0"/>
                <w:dstrike w:val="0"/>
                <w:color w:val="000000"/>
                <w:kern w:val="0"/>
                <w:sz w:val="20"/>
                <w:szCs w:val="20"/>
                <w:u w:val="none"/>
                <w:lang w:val="en-US" w:eastAsia="zh-CN" w:bidi="ar"/>
              </w:rPr>
              <w:t>使用寿命：≥50000小时</w:t>
            </w:r>
            <w:r>
              <w:rPr>
                <w:rFonts w:hint="eastAsia" w:ascii="宋体" w:hAnsi="宋体" w:eastAsia="宋体" w:cs="宋体"/>
                <w:i w:val="0"/>
                <w:iCs w:val="0"/>
                <w:color w:val="000000"/>
                <w:kern w:val="0"/>
                <w:sz w:val="20"/>
                <w:szCs w:val="20"/>
                <w:u w:val="none"/>
                <w:lang w:val="en-US" w:eastAsia="zh-CN" w:bidi="ar"/>
              </w:rPr>
              <w:t>，含安装支架。</w:t>
            </w:r>
          </w:p>
        </w:tc>
        <w:tc>
          <w:tcPr>
            <w:tcW w:w="1721" w:type="dxa"/>
            <w:shd w:val="clear" w:color="auto" w:fill="auto"/>
            <w:vAlign w:val="center"/>
          </w:tcPr>
          <w:p w14:paraId="063FF739">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B47B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0DD02F40">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44</w:t>
            </w:r>
          </w:p>
        </w:tc>
        <w:tc>
          <w:tcPr>
            <w:tcW w:w="1936" w:type="dxa"/>
            <w:shd w:val="clear" w:color="auto" w:fill="auto"/>
            <w:vAlign w:val="center"/>
          </w:tcPr>
          <w:p w14:paraId="5EA2CF5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RFID天线</w:t>
            </w:r>
          </w:p>
        </w:tc>
        <w:tc>
          <w:tcPr>
            <w:tcW w:w="4502" w:type="dxa"/>
            <w:shd w:val="clear" w:color="auto" w:fill="auto"/>
            <w:vAlign w:val="center"/>
          </w:tcPr>
          <w:p w14:paraId="1FCAE7A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频率范围：920MHz-925MHz，增益：12dbi，波瓣宽度：30°/65°，使用寿命不少于5年，含安装支架。</w:t>
            </w:r>
          </w:p>
        </w:tc>
        <w:tc>
          <w:tcPr>
            <w:tcW w:w="1721" w:type="dxa"/>
            <w:shd w:val="clear" w:color="auto" w:fill="auto"/>
            <w:vAlign w:val="center"/>
          </w:tcPr>
          <w:p w14:paraId="0569444E">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2EED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74A12542">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45</w:t>
            </w:r>
          </w:p>
        </w:tc>
        <w:tc>
          <w:tcPr>
            <w:tcW w:w="1936" w:type="dxa"/>
            <w:shd w:val="clear" w:color="auto" w:fill="auto"/>
            <w:vAlign w:val="center"/>
          </w:tcPr>
          <w:p w14:paraId="6BC7A1F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RFID连接馈线</w:t>
            </w:r>
          </w:p>
        </w:tc>
        <w:tc>
          <w:tcPr>
            <w:tcW w:w="4502" w:type="dxa"/>
            <w:shd w:val="clear" w:color="auto" w:fill="auto"/>
            <w:vAlign w:val="center"/>
          </w:tcPr>
          <w:p w14:paraId="2620D0A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双基读写器与天线专用连接线缆，8m长，具备低插损、低驻波比和屏蔽衰减性能，具备抗干扰能力，使用寿命不少于5年。</w:t>
            </w:r>
          </w:p>
        </w:tc>
        <w:tc>
          <w:tcPr>
            <w:tcW w:w="1721" w:type="dxa"/>
            <w:shd w:val="clear" w:color="auto" w:fill="auto"/>
            <w:vAlign w:val="center"/>
          </w:tcPr>
          <w:p w14:paraId="377E74CE">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D23F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1EC09C73">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46</w:t>
            </w:r>
          </w:p>
        </w:tc>
        <w:tc>
          <w:tcPr>
            <w:tcW w:w="1936" w:type="dxa"/>
            <w:shd w:val="clear" w:color="auto" w:fill="auto"/>
            <w:vAlign w:val="center"/>
          </w:tcPr>
          <w:p w14:paraId="79589FF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RFID双基终端主机（含机动车存储）</w:t>
            </w:r>
          </w:p>
        </w:tc>
        <w:tc>
          <w:tcPr>
            <w:tcW w:w="4502" w:type="dxa"/>
            <w:shd w:val="clear" w:color="auto" w:fill="auto"/>
            <w:vAlign w:val="center"/>
          </w:tcPr>
          <w:p w14:paraId="5C02714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可设置图片的存储空间，在规定的空间内自动循环覆盖，剩余空间为录像存储空间；支持同时接入不少于16路RFID双基一体机（含机动车电警抓拍）；支持机动车、非机动车数据融合，支持非机动车前后拍合成图片传输至深圳交警平台；支持对接入RFID双基一体机（含机动车电警抓拍）上报的违章视频和射频的车牌信息进行违章融合分析与判定,并将融合判定结果上传至服务器；设备应能对违章录像中的违章目标采用车牌进行标注跟踪 ,并能提取违章视频；设备支持端口映射及断网续传功能。支持4块3.5或2.5英寸硬盘接入，当块硬盘损坏后，能自动切换至其它硬盘进行存储；配置不小于16TB存储容量，使用寿命不少于5年。</w:t>
            </w:r>
          </w:p>
        </w:tc>
        <w:tc>
          <w:tcPr>
            <w:tcW w:w="1721" w:type="dxa"/>
            <w:shd w:val="clear" w:color="auto" w:fill="auto"/>
            <w:vAlign w:val="center"/>
          </w:tcPr>
          <w:p w14:paraId="0D839D75">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3E1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12C288DF">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47</w:t>
            </w:r>
          </w:p>
        </w:tc>
        <w:tc>
          <w:tcPr>
            <w:tcW w:w="1936" w:type="dxa"/>
            <w:shd w:val="clear" w:color="auto" w:fill="auto"/>
            <w:vAlign w:val="center"/>
          </w:tcPr>
          <w:p w14:paraId="4FF3724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挂杆箱</w:t>
            </w:r>
          </w:p>
        </w:tc>
        <w:tc>
          <w:tcPr>
            <w:tcW w:w="4502" w:type="dxa"/>
            <w:shd w:val="clear" w:color="auto" w:fill="auto"/>
            <w:vAlign w:val="center"/>
          </w:tcPr>
          <w:p w14:paraId="0BAB0E08">
            <w:pPr>
              <w:keepNext/>
              <w:keepLines w:val="0"/>
              <w:widowControl/>
              <w:suppressLineNumbers w:val="0"/>
              <w:snapToGrid w:val="0"/>
              <w:ind w:left="0" w:leftChars="0" w:right="0" w:rightChars="0" w:firstLine="0" w:firstLineChars="0"/>
              <w:jc w:val="left"/>
              <w:textAlignment w:val="auto"/>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背挂在立杆上，含配套安装支架、防盗锁、漏电保护模块、电源模块、防雷模块、印丝标志和字样等；防护等级不低于IP55；</w:t>
            </w:r>
            <w:r>
              <w:rPr>
                <w:rFonts w:hint="eastAsia" w:ascii="宋体" w:hAnsi="宋体" w:eastAsia="宋体" w:cs="宋体"/>
                <w:i w:val="0"/>
                <w:iCs w:val="0"/>
                <w:color w:val="000000"/>
                <w:sz w:val="20"/>
                <w:szCs w:val="20"/>
                <w:u w:val="none"/>
              </w:rPr>
              <w:t>箱体尺寸为500mm</w:t>
            </w:r>
            <w:r>
              <w:rPr>
                <w:rFonts w:hint="eastAsia" w:ascii="宋体" w:hAnsi="宋体" w:eastAsia="宋体" w:cs="宋体"/>
                <w:i w:val="0"/>
                <w:iCs w:val="0"/>
                <w:color w:val="000000"/>
                <w:sz w:val="20"/>
                <w:szCs w:val="20"/>
                <w:u w:val="none"/>
                <w:lang w:eastAsia="zh-CN"/>
              </w:rPr>
              <w:t>（长）</w:t>
            </w:r>
            <w:r>
              <w:rPr>
                <w:rFonts w:hint="eastAsia" w:ascii="宋体" w:hAnsi="宋体" w:eastAsia="宋体" w:cs="宋体"/>
                <w:i w:val="0"/>
                <w:iCs w:val="0"/>
                <w:color w:val="000000"/>
                <w:sz w:val="20"/>
                <w:szCs w:val="20"/>
                <w:u w:val="none"/>
              </w:rPr>
              <w:t>*400mm</w:t>
            </w:r>
            <w:r>
              <w:rPr>
                <w:rFonts w:hint="eastAsia" w:ascii="宋体" w:hAnsi="宋体" w:eastAsia="宋体" w:cs="宋体"/>
                <w:i w:val="0"/>
                <w:iCs w:val="0"/>
                <w:color w:val="000000"/>
                <w:sz w:val="20"/>
                <w:szCs w:val="20"/>
                <w:u w:val="none"/>
                <w:lang w:eastAsia="zh-CN"/>
              </w:rPr>
              <w:t>（宽）</w:t>
            </w:r>
            <w:r>
              <w:rPr>
                <w:rFonts w:hint="eastAsia" w:ascii="宋体" w:hAnsi="宋体" w:eastAsia="宋体" w:cs="宋体"/>
                <w:i w:val="0"/>
                <w:iCs w:val="0"/>
                <w:color w:val="000000"/>
                <w:sz w:val="20"/>
                <w:szCs w:val="20"/>
                <w:u w:val="none"/>
              </w:rPr>
              <w:t>*300mm</w:t>
            </w:r>
            <w:r>
              <w:rPr>
                <w:rFonts w:hint="eastAsia" w:ascii="宋体" w:hAnsi="宋体" w:eastAsia="宋体" w:cs="宋体"/>
                <w:i w:val="0"/>
                <w:iCs w:val="0"/>
                <w:color w:val="000000"/>
                <w:sz w:val="20"/>
                <w:szCs w:val="20"/>
                <w:u w:val="none"/>
                <w:lang w:eastAsia="zh-CN"/>
              </w:rPr>
              <w:t>（深）</w:t>
            </w:r>
            <w:r>
              <w:rPr>
                <w:rFonts w:hint="eastAsia" w:ascii="宋体" w:hAnsi="宋体" w:eastAsia="宋体" w:cs="宋体"/>
                <w:i w:val="0"/>
                <w:iCs w:val="0"/>
                <w:color w:val="000000"/>
                <w:sz w:val="20"/>
                <w:szCs w:val="20"/>
                <w:u w:val="none"/>
              </w:rPr>
              <w:t>（</w:t>
            </w:r>
            <w:r>
              <w:rPr>
                <w:rFonts w:hint="eastAsia" w:ascii="宋体" w:hAnsi="宋体" w:eastAsia="宋体" w:cs="宋体"/>
                <w:b w:val="0"/>
                <w:bCs w:val="0"/>
                <w:color w:val="000000"/>
                <w:kern w:val="0"/>
                <w:sz w:val="20"/>
                <w:szCs w:val="20"/>
                <w:u w:val="none"/>
                <w:lang w:bidi="ar"/>
              </w:rPr>
              <w:t>整体尺寸允差±10mm</w:t>
            </w:r>
            <w:r>
              <w:rPr>
                <w:rFonts w:hint="eastAsia" w:ascii="宋体" w:hAnsi="宋体" w:eastAsia="宋体" w:cs="宋体"/>
                <w:i w:val="0"/>
                <w:iCs w:val="0"/>
                <w:color w:val="000000"/>
                <w:sz w:val="20"/>
                <w:szCs w:val="20"/>
                <w:u w:val="none"/>
              </w:rPr>
              <w:t>），材质采用防锈、抗高温、耐腐蚀的冷轧钢板喷塑外壳，箱体板厚度1.0mm，箱顶采用帽檐斜顶方式设计，防护等级为IP55；具有防盗功能，安装防水锁，所有锁芯应配统一钥匙。内部布局合理、规范、内部走线清晰。箱内配备2P 16A空气开关1只、40KA电源防雷器1只、五孔维护插座2只、5位接地铜排1只，并配备智能运维终端1只；安全防护功能：支持箱门门禁检测功能，可远程设置箱门布防或撤防，当机箱处于箱门布防状态时开启箱门将触发开门报警，报警信息可上传至平台端</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断电监测功能；内置电源监测模块，当机箱与外接电源断开连接并且无后备电源时，能将断电告警信息上传至平台端；断网监测功能：当机箱与网络断开连接时可触发报警，报警信息可上传至平台端；输出功能：当产品智能运维终端发生故障时，产品的电压输出端口仍可正常工作。加密功能：支持对通信数据进行加密</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看门狗复位功能：支持当智能运维终端死机时，具有看门狗自动复位功能</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电磁兼容性性能测试要求：产品通过静电放电抗扰度，射频电磁场辐射抗扰度，电快速瞬变脉冲群抗扰度，浪涌抗扰度，工频磁场抗扰度，传导骚扰度，抗电强度以及泄漏电流试验</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登陆密码设置：产品预设登陆密码，登陆密码可修改，并可验证设置的密码格式是否符合密码强度要求（大小写英文+数字+特殊字符）</w:t>
            </w:r>
            <w:r>
              <w:rPr>
                <w:rFonts w:hint="eastAsia" w:ascii="宋体" w:hAnsi="宋体" w:eastAsia="宋体" w:cs="宋体"/>
                <w:i w:val="0"/>
                <w:iCs w:val="0"/>
                <w:color w:val="000000"/>
                <w:sz w:val="20"/>
                <w:szCs w:val="20"/>
                <w:u w:val="none"/>
                <w:lang w:eastAsia="zh-CN"/>
              </w:rPr>
              <w:t>。</w:t>
            </w:r>
          </w:p>
        </w:tc>
        <w:tc>
          <w:tcPr>
            <w:tcW w:w="1721" w:type="dxa"/>
            <w:shd w:val="clear" w:color="auto" w:fill="auto"/>
            <w:vAlign w:val="center"/>
          </w:tcPr>
          <w:p w14:paraId="4831531A">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48B1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0E3E5A56">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1936" w:type="dxa"/>
            <w:shd w:val="clear" w:color="auto" w:fill="auto"/>
            <w:vAlign w:val="center"/>
          </w:tcPr>
          <w:p w14:paraId="533ABCA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视频监控设备配套</w:t>
            </w:r>
          </w:p>
        </w:tc>
        <w:tc>
          <w:tcPr>
            <w:tcW w:w="4502" w:type="dxa"/>
            <w:shd w:val="clear" w:color="auto" w:fill="auto"/>
            <w:vAlign w:val="center"/>
          </w:tcPr>
          <w:p w14:paraId="520D5EFC">
            <w:pPr>
              <w:keepNext/>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c>
          <w:tcPr>
            <w:tcW w:w="1721" w:type="dxa"/>
            <w:shd w:val="clear" w:color="auto" w:fill="auto"/>
            <w:vAlign w:val="center"/>
          </w:tcPr>
          <w:p w14:paraId="5399DA98">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E89F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24193730">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48</w:t>
            </w:r>
          </w:p>
        </w:tc>
        <w:tc>
          <w:tcPr>
            <w:tcW w:w="1936" w:type="dxa"/>
            <w:shd w:val="clear" w:color="auto" w:fill="auto"/>
            <w:vAlign w:val="center"/>
          </w:tcPr>
          <w:p w14:paraId="0ED5636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路口摄像机</w:t>
            </w:r>
          </w:p>
        </w:tc>
        <w:tc>
          <w:tcPr>
            <w:tcW w:w="4502" w:type="dxa"/>
            <w:shd w:val="clear" w:color="auto" w:fill="auto"/>
            <w:vAlign w:val="center"/>
          </w:tcPr>
          <w:p w14:paraId="5B0ABA7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1.图像传感器为 ≥1/1.8寸CMOS 图像传感器，有效像素≥800万像素，分辨率≥3840×2160，帧率≥25fps（全分辨率），光学变焦≥40倍，焦距范围≥6~240mm；水平旋转范围0 °-360°，垂直旋转范围-20°-90°；编码格式：具有视频编码格式设置为 H.265/H.264/MJPEG；工作温度：-20℃-70℃;防水性能须达IP67；电压在AC24V±20%范围内变化时，设备可正常工作；具有2路报警输入接口，2路报警输出接口，支持1路音频输入和输出接口；不少于1个RJ45 网口；具有透雾、电子防抖、强光抑制、宽动态功能、远程控制、云台复位、断电记忆功能；设备支持不少于300个预置位，可按照所设置的预置位完成不小于8条巡航路径，每条巡航路径可设置不小于32个预置点；支持 GB/T28181协议，支持标准 Onvif 协议；定位模块：具有北斗卫星定位模块。</w:t>
            </w:r>
          </w:p>
        </w:tc>
        <w:tc>
          <w:tcPr>
            <w:tcW w:w="1721" w:type="dxa"/>
            <w:shd w:val="clear" w:color="auto" w:fill="auto"/>
            <w:vAlign w:val="center"/>
          </w:tcPr>
          <w:p w14:paraId="2A17CBC8">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0D7E2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0053898E">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49</w:t>
            </w:r>
          </w:p>
        </w:tc>
        <w:tc>
          <w:tcPr>
            <w:tcW w:w="1936" w:type="dxa"/>
            <w:shd w:val="clear" w:color="auto" w:fill="auto"/>
            <w:vAlign w:val="center"/>
          </w:tcPr>
          <w:p w14:paraId="28E1CBD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工业交换机（8电+2光）</w:t>
            </w:r>
          </w:p>
        </w:tc>
        <w:tc>
          <w:tcPr>
            <w:tcW w:w="4502" w:type="dxa"/>
            <w:shd w:val="clear" w:color="auto" w:fill="auto"/>
            <w:vAlign w:val="center"/>
          </w:tcPr>
          <w:p w14:paraId="455A93F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支持千兆电口≥8个，千兆光口≥2个，即插即用</w:t>
            </w:r>
            <w:r>
              <w:rPr>
                <w:rFonts w:hint="eastAsia" w:ascii="宋体" w:hAnsi="宋体" w:eastAsia="宋体" w:cs="宋体"/>
                <w:i w:val="0"/>
                <w:iCs w:val="0"/>
                <w:strike w:val="0"/>
                <w:dstrike w:val="0"/>
                <w:color w:val="000000"/>
                <w:kern w:val="0"/>
                <w:sz w:val="20"/>
                <w:szCs w:val="20"/>
                <w:u w:val="none"/>
                <w:lang w:val="en-US" w:eastAsia="zh-CN" w:bidi="ar"/>
              </w:rPr>
              <w:t>导轨式、双电源；</w:t>
            </w:r>
            <w:r>
              <w:rPr>
                <w:rFonts w:hint="eastAsia" w:ascii="宋体" w:hAnsi="宋体" w:eastAsia="宋体" w:cs="宋体"/>
                <w:i w:val="0"/>
                <w:iCs w:val="0"/>
                <w:color w:val="000000"/>
                <w:kern w:val="0"/>
                <w:sz w:val="20"/>
                <w:szCs w:val="20"/>
                <w:u w:val="none"/>
                <w:lang w:val="en-US" w:eastAsia="zh-CN" w:bidi="ar"/>
              </w:rPr>
              <w:t>交换容量≥430Gbps，包转发率≥20Mpps。</w:t>
            </w:r>
          </w:p>
        </w:tc>
        <w:tc>
          <w:tcPr>
            <w:tcW w:w="1721" w:type="dxa"/>
            <w:shd w:val="clear" w:color="auto" w:fill="auto"/>
            <w:vAlign w:val="center"/>
          </w:tcPr>
          <w:p w14:paraId="1656B6FA">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C9D4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0918852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50</w:t>
            </w:r>
          </w:p>
        </w:tc>
        <w:tc>
          <w:tcPr>
            <w:tcW w:w="1936" w:type="dxa"/>
            <w:shd w:val="clear" w:color="auto" w:fill="auto"/>
            <w:vAlign w:val="center"/>
          </w:tcPr>
          <w:p w14:paraId="7036CF0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千兆光模块</w:t>
            </w:r>
          </w:p>
        </w:tc>
        <w:tc>
          <w:tcPr>
            <w:tcW w:w="4502" w:type="dxa"/>
            <w:shd w:val="clear" w:color="auto" w:fill="auto"/>
            <w:vAlign w:val="center"/>
          </w:tcPr>
          <w:p w14:paraId="14C0535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光模块-eSFP-GE-单模模块(1310nm,10km,LC)。</w:t>
            </w:r>
          </w:p>
        </w:tc>
        <w:tc>
          <w:tcPr>
            <w:tcW w:w="1721" w:type="dxa"/>
            <w:shd w:val="clear" w:color="auto" w:fill="auto"/>
            <w:vAlign w:val="center"/>
          </w:tcPr>
          <w:p w14:paraId="37A7C000">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0CF84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1BEE36A9">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51</w:t>
            </w:r>
          </w:p>
        </w:tc>
        <w:tc>
          <w:tcPr>
            <w:tcW w:w="1936" w:type="dxa"/>
            <w:shd w:val="clear" w:color="auto" w:fill="auto"/>
            <w:vAlign w:val="center"/>
          </w:tcPr>
          <w:p w14:paraId="72A35F8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二合一防雷器</w:t>
            </w:r>
          </w:p>
        </w:tc>
        <w:tc>
          <w:tcPr>
            <w:tcW w:w="4502" w:type="dxa"/>
            <w:shd w:val="clear" w:color="auto" w:fill="auto"/>
            <w:vAlign w:val="center"/>
          </w:tcPr>
          <w:p w14:paraId="4A7D2EA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RJ45网络、电源防雷（电压等级与雷达工作电压匹配）。</w:t>
            </w:r>
          </w:p>
        </w:tc>
        <w:tc>
          <w:tcPr>
            <w:tcW w:w="1721" w:type="dxa"/>
            <w:shd w:val="clear" w:color="auto" w:fill="auto"/>
            <w:vAlign w:val="center"/>
          </w:tcPr>
          <w:p w14:paraId="3C7B2A9B">
            <w:pPr>
              <w:keepNext/>
              <w:snapToGrid w:val="0"/>
              <w:ind w:left="0" w:leftChars="0" w:right="0" w:rightChars="0" w:firstLine="0" w:firstLineChars="0"/>
              <w:jc w:val="left"/>
              <w:rPr>
                <w:rFonts w:hint="default" w:ascii="宋体" w:hAnsi="宋体" w:eastAsia="宋体" w:cs="宋体"/>
                <w:i w:val="0"/>
                <w:iCs w:val="0"/>
                <w:color w:val="000000"/>
                <w:sz w:val="20"/>
                <w:szCs w:val="20"/>
                <w:u w:val="none"/>
                <w:lang w:val="en-US" w:eastAsia="zh-CN"/>
              </w:rPr>
            </w:pPr>
          </w:p>
        </w:tc>
      </w:tr>
      <w:tr w14:paraId="5DF37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116B48D7">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52</w:t>
            </w:r>
          </w:p>
        </w:tc>
        <w:tc>
          <w:tcPr>
            <w:tcW w:w="1936" w:type="dxa"/>
            <w:shd w:val="clear" w:color="auto" w:fill="auto"/>
            <w:vAlign w:val="center"/>
          </w:tcPr>
          <w:p w14:paraId="4BC08DE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挂杆箱</w:t>
            </w:r>
          </w:p>
        </w:tc>
        <w:tc>
          <w:tcPr>
            <w:tcW w:w="4502" w:type="dxa"/>
            <w:shd w:val="clear" w:color="auto" w:fill="auto"/>
            <w:vAlign w:val="center"/>
          </w:tcPr>
          <w:p w14:paraId="6A5CAE81">
            <w:pPr>
              <w:keepNext/>
              <w:keepLines w:val="0"/>
              <w:widowControl/>
              <w:suppressLineNumbers w:val="0"/>
              <w:snapToGrid w:val="0"/>
              <w:ind w:left="0" w:leftChars="0" w:right="0" w:rightChars="0" w:firstLine="0" w:firstLineChars="0"/>
              <w:jc w:val="left"/>
              <w:textAlignment w:val="center"/>
              <w:rPr>
                <w:rFonts w:hint="eastAsia" w:ascii="宋体" w:eastAsia="宋体"/>
                <w:sz w:val="20"/>
                <w:lang w:val="en-US" w:eastAsia="zh-CN"/>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背挂在立杆上，含配套安装支架、防盗锁、漏电保护模块、电源模块、防雷模块、印丝标志和字样等；防护等级不低于IP55；</w:t>
            </w:r>
            <w:r>
              <w:rPr>
                <w:rFonts w:hint="eastAsia" w:ascii="宋体" w:hAnsi="宋体" w:eastAsia="宋体" w:cs="宋体"/>
                <w:i w:val="0"/>
                <w:iCs w:val="0"/>
                <w:color w:val="000000"/>
                <w:sz w:val="20"/>
                <w:szCs w:val="20"/>
                <w:u w:val="none"/>
              </w:rPr>
              <w:t>箱体尺寸为500mm</w:t>
            </w:r>
            <w:r>
              <w:rPr>
                <w:rFonts w:hint="eastAsia" w:ascii="宋体" w:hAnsi="宋体" w:eastAsia="宋体" w:cs="宋体"/>
                <w:i w:val="0"/>
                <w:iCs w:val="0"/>
                <w:color w:val="000000"/>
                <w:sz w:val="20"/>
                <w:szCs w:val="20"/>
                <w:u w:val="none"/>
                <w:lang w:eastAsia="zh-CN"/>
              </w:rPr>
              <w:t>（长）</w:t>
            </w:r>
            <w:r>
              <w:rPr>
                <w:rFonts w:hint="eastAsia" w:ascii="宋体" w:hAnsi="宋体" w:eastAsia="宋体" w:cs="宋体"/>
                <w:i w:val="0"/>
                <w:iCs w:val="0"/>
                <w:color w:val="000000"/>
                <w:sz w:val="20"/>
                <w:szCs w:val="20"/>
                <w:u w:val="none"/>
              </w:rPr>
              <w:t>*400mm</w:t>
            </w:r>
            <w:r>
              <w:rPr>
                <w:rFonts w:hint="eastAsia" w:ascii="宋体" w:hAnsi="宋体" w:eastAsia="宋体" w:cs="宋体"/>
                <w:i w:val="0"/>
                <w:iCs w:val="0"/>
                <w:color w:val="000000"/>
                <w:sz w:val="20"/>
                <w:szCs w:val="20"/>
                <w:u w:val="none"/>
                <w:lang w:eastAsia="zh-CN"/>
              </w:rPr>
              <w:t>（宽）</w:t>
            </w:r>
            <w:r>
              <w:rPr>
                <w:rFonts w:hint="eastAsia" w:ascii="宋体" w:hAnsi="宋体" w:eastAsia="宋体" w:cs="宋体"/>
                <w:i w:val="0"/>
                <w:iCs w:val="0"/>
                <w:color w:val="000000"/>
                <w:sz w:val="20"/>
                <w:szCs w:val="20"/>
                <w:u w:val="none"/>
              </w:rPr>
              <w:t>*300mm</w:t>
            </w:r>
            <w:r>
              <w:rPr>
                <w:rFonts w:hint="eastAsia" w:ascii="宋体" w:hAnsi="宋体" w:eastAsia="宋体" w:cs="宋体"/>
                <w:i w:val="0"/>
                <w:iCs w:val="0"/>
                <w:color w:val="000000"/>
                <w:sz w:val="20"/>
                <w:szCs w:val="20"/>
                <w:u w:val="none"/>
                <w:lang w:eastAsia="zh-CN"/>
              </w:rPr>
              <w:t>（深）</w:t>
            </w:r>
            <w:r>
              <w:rPr>
                <w:rFonts w:hint="eastAsia" w:ascii="宋体" w:hAnsi="宋体" w:eastAsia="宋体" w:cs="宋体"/>
                <w:i w:val="0"/>
                <w:iCs w:val="0"/>
                <w:color w:val="000000"/>
                <w:sz w:val="20"/>
                <w:szCs w:val="20"/>
                <w:u w:val="none"/>
              </w:rPr>
              <w:t>（</w:t>
            </w:r>
            <w:r>
              <w:rPr>
                <w:rFonts w:hint="eastAsia" w:ascii="宋体" w:hAnsi="宋体" w:eastAsia="宋体" w:cs="宋体"/>
                <w:b w:val="0"/>
                <w:bCs w:val="0"/>
                <w:color w:val="000000"/>
                <w:kern w:val="0"/>
                <w:sz w:val="20"/>
                <w:szCs w:val="20"/>
                <w:u w:val="none"/>
                <w:lang w:bidi="ar"/>
              </w:rPr>
              <w:t>整体尺寸允差±10mm</w:t>
            </w:r>
            <w:r>
              <w:rPr>
                <w:rFonts w:hint="eastAsia" w:ascii="宋体" w:hAnsi="宋体" w:eastAsia="宋体" w:cs="宋体"/>
                <w:i w:val="0"/>
                <w:iCs w:val="0"/>
                <w:color w:val="000000"/>
                <w:sz w:val="20"/>
                <w:szCs w:val="20"/>
                <w:u w:val="none"/>
              </w:rPr>
              <w:t>），材质采用防锈、抗高温、耐腐蚀的冷轧钢板喷塑外壳，箱体板厚度1.0mm，箱顶采用帽檐斜顶方式设计，防护等级为IP55；具有防盗功能，安装防水锁，所有锁芯应配统一钥匙。内部布局合理、规范、内部走线清晰。箱内配备2P 16A空气开关1只、40KA电源防雷器1只、五孔维护插座2只、5位接地铜排1只，并配备智能运维终端1只；安全防护功能：支持箱门门禁检测功能，可远程设置箱门布防或撤防，当机箱处于箱门布防状态时开启箱门将触发开门报警，报警信息可上传至平台端</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断电监测功能；内置电源监测模块，当机箱与外接电源断开连接并且无后备电源时，能将断电告警信息上传至平台端；断网监测功能：当机箱与网络断开连接时可触发报警，报警信息可上传至平台端；输出功能：当产品智能运维终端发生故障时，产品的电压输出端口仍可正常工作。加密功能：支持对通信数据进行加密</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看门狗复位功能：支持当智能运维终端死机时，具有看门狗自动复位功能</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电磁兼容性性能测试要求：产品通过静电放电抗扰度，射频电磁场辐射抗扰度，电快速瞬变脉冲群抗扰度，浪涌抗扰度，工频磁场抗扰度，传导骚扰度，抗电强度以及泄漏电流试验</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登陆密码设置：产品预设登陆密码，登陆密码可修改，并可验证设置的密码格式是否符合密码强度要求（大小写英文+数字+特殊字符）</w:t>
            </w:r>
            <w:r>
              <w:rPr>
                <w:rFonts w:hint="eastAsia" w:ascii="宋体" w:hAnsi="宋体" w:eastAsia="宋体" w:cs="宋体"/>
                <w:i w:val="0"/>
                <w:iCs w:val="0"/>
                <w:color w:val="000000"/>
                <w:sz w:val="20"/>
                <w:szCs w:val="20"/>
                <w:u w:val="none"/>
                <w:lang w:eastAsia="zh-CN"/>
              </w:rPr>
              <w:t>。</w:t>
            </w:r>
          </w:p>
        </w:tc>
        <w:tc>
          <w:tcPr>
            <w:tcW w:w="1721" w:type="dxa"/>
            <w:shd w:val="clear" w:color="auto" w:fill="auto"/>
            <w:vAlign w:val="center"/>
          </w:tcPr>
          <w:p w14:paraId="2272B142">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E163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52D2A7FF">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1936" w:type="dxa"/>
            <w:shd w:val="clear" w:color="auto" w:fill="auto"/>
            <w:vAlign w:val="center"/>
          </w:tcPr>
          <w:p w14:paraId="4151679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车道级微创新设备</w:t>
            </w:r>
          </w:p>
        </w:tc>
        <w:tc>
          <w:tcPr>
            <w:tcW w:w="4502" w:type="dxa"/>
            <w:shd w:val="clear" w:color="auto" w:fill="auto"/>
            <w:vAlign w:val="center"/>
          </w:tcPr>
          <w:p w14:paraId="6D7C7508">
            <w:pPr>
              <w:keepNext/>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c>
          <w:tcPr>
            <w:tcW w:w="1721" w:type="dxa"/>
            <w:shd w:val="clear" w:color="auto" w:fill="auto"/>
            <w:vAlign w:val="center"/>
          </w:tcPr>
          <w:p w14:paraId="57B93E1E">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FF82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754F83BA">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53</w:t>
            </w:r>
          </w:p>
        </w:tc>
        <w:tc>
          <w:tcPr>
            <w:tcW w:w="1936" w:type="dxa"/>
            <w:shd w:val="clear" w:color="auto" w:fill="auto"/>
            <w:vAlign w:val="center"/>
          </w:tcPr>
          <w:p w14:paraId="1DD0A39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借道左转指示牌</w:t>
            </w:r>
          </w:p>
        </w:tc>
        <w:tc>
          <w:tcPr>
            <w:tcW w:w="4502" w:type="dxa"/>
            <w:shd w:val="clear" w:color="auto" w:fill="auto"/>
            <w:vAlign w:val="center"/>
          </w:tcPr>
          <w:p w14:paraId="228D69A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参考尺寸：（宽）5</w:t>
            </w:r>
            <w:r>
              <w:rPr>
                <w:rFonts w:hint="eastAsia" w:ascii="宋体" w:hAnsi="宋体" w:eastAsia="宋体" w:cs="宋体"/>
                <w:i w:val="0"/>
                <w:iCs w:val="0"/>
                <w:color w:val="auto"/>
                <w:kern w:val="0"/>
                <w:sz w:val="20"/>
                <w:szCs w:val="20"/>
                <w:u w:val="none"/>
                <w:lang w:val="en-US" w:eastAsia="zh-CN" w:bidi="ar"/>
              </w:rPr>
              <w:t>00mm×（长）1200mm</w:t>
            </w:r>
            <w:r>
              <w:rPr>
                <w:rFonts w:hint="eastAsia" w:ascii="宋体" w:hAnsi="宋体" w:cs="宋体"/>
                <w:b w:val="0"/>
                <w:bCs w:val="0"/>
                <w:color w:val="auto"/>
                <w:kern w:val="0"/>
                <w:sz w:val="18"/>
                <w:szCs w:val="18"/>
                <w:lang w:bidi="ar"/>
              </w:rPr>
              <w:t>（整体尺寸允差±10mm）</w:t>
            </w:r>
            <w:r>
              <w:rPr>
                <w:rFonts w:hint="eastAsia" w:ascii="宋体" w:hAnsi="宋体" w:eastAsia="宋体" w:cs="宋体"/>
                <w:i w:val="0"/>
                <w:iCs w:val="0"/>
                <w:color w:val="auto"/>
                <w:kern w:val="0"/>
                <w:sz w:val="20"/>
                <w:szCs w:val="20"/>
                <w:u w:val="none"/>
                <w:lang w:val="en-US" w:eastAsia="zh-CN" w:bidi="ar"/>
              </w:rPr>
              <w:t>；夜晚图文全发光不能影响标志反光效果；标体表面贴置底膜为</w:t>
            </w:r>
            <w:r>
              <w:rPr>
                <w:rFonts w:hint="eastAsia" w:ascii="宋体" w:hAnsi="宋体" w:eastAsia="宋体" w:cs="宋体"/>
                <w:i w:val="0"/>
                <w:iCs w:val="0"/>
                <w:color w:val="000000"/>
                <w:kern w:val="0"/>
                <w:sz w:val="20"/>
                <w:szCs w:val="20"/>
                <w:u w:val="none"/>
                <w:lang w:val="en-US" w:eastAsia="zh-CN" w:bidi="ar"/>
              </w:rPr>
              <w:t>蓝色IV类反光膜，图形白色边框IV类反光膜；标志采用交通专用发光模组，光色、光强依据信号灯标准要求；发光模组亮度值：白天，绿/白/红色≥2000lux/颗；夜晚，绿/白/红色光≥2000lux/颗；标志采用光感技术，支持根据环境光自动调节发光模组的亮度值；供电方式：信号灯交流电源220V或外接220V市电；控制方式：显示模式由信号灯系统220V电压控制；发光可视距＞800m；发光占空比≥50%；工作功率：≤10W；防护等级：IP54；内含控制模块。</w:t>
            </w:r>
          </w:p>
        </w:tc>
        <w:tc>
          <w:tcPr>
            <w:tcW w:w="1721" w:type="dxa"/>
            <w:shd w:val="clear" w:color="auto" w:fill="auto"/>
            <w:vAlign w:val="center"/>
          </w:tcPr>
          <w:p w14:paraId="1F6B3B63">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CF24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035F6812">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54</w:t>
            </w:r>
          </w:p>
        </w:tc>
        <w:tc>
          <w:tcPr>
            <w:tcW w:w="1936" w:type="dxa"/>
            <w:shd w:val="clear" w:color="auto" w:fill="auto"/>
            <w:vAlign w:val="center"/>
          </w:tcPr>
          <w:p w14:paraId="56FDA3D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可变车道标志牌</w:t>
            </w:r>
          </w:p>
        </w:tc>
        <w:tc>
          <w:tcPr>
            <w:tcW w:w="4502" w:type="dxa"/>
            <w:shd w:val="clear" w:color="auto" w:fill="auto"/>
            <w:vAlign w:val="center"/>
          </w:tcPr>
          <w:p w14:paraId="715D5DF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参考尺寸：（长）4000mm×（宽）2400mm</w:t>
            </w:r>
            <w:r>
              <w:rPr>
                <w:rFonts w:hint="eastAsia" w:ascii="宋体" w:hAnsi="宋体" w:eastAsia="宋体" w:cs="宋体"/>
                <w:b w:val="0"/>
                <w:bCs w:val="0"/>
                <w:color w:val="000000"/>
                <w:kern w:val="0"/>
                <w:sz w:val="20"/>
                <w:szCs w:val="20"/>
                <w:u w:val="none"/>
                <w:lang w:bidi="ar"/>
              </w:rPr>
              <w:t>（整体尺寸允差±10mm）</w:t>
            </w:r>
            <w:r>
              <w:rPr>
                <w:rFonts w:hint="eastAsia" w:ascii="宋体" w:hAnsi="宋体" w:eastAsia="宋体" w:cs="宋体"/>
                <w:i w:val="0"/>
                <w:iCs w:val="0"/>
                <w:color w:val="000000"/>
                <w:kern w:val="0"/>
                <w:sz w:val="20"/>
                <w:szCs w:val="20"/>
                <w:u w:val="none"/>
                <w:lang w:val="en-US" w:eastAsia="zh-CN" w:bidi="ar"/>
              </w:rPr>
              <w:t>；夜晚图文全发光不能影响标志反光效果；标体表面贴置底膜为蓝色IV类反光膜，图形白色边框IV类反光膜；标志采用交通专用发光模组，光色、光强依据信号灯标准要求；发光模组亮度值：白天，绿/白/红色≥2000lux/颗；夜晚，绿/白/红色光≥2000lux/颗；标志采用光感技术，支持根据环境光自动调节发光模组的亮度值；供电方式：信号灯交流电源220V或外接220V市电；控制方式：显示模式由信号灯系统220V电压控制；发光可视距＞800m；发光占空比≥50%；工作功率：≤10W；防护等级：IP54；内含控制模块。</w:t>
            </w:r>
          </w:p>
        </w:tc>
        <w:tc>
          <w:tcPr>
            <w:tcW w:w="1721" w:type="dxa"/>
            <w:shd w:val="clear" w:color="auto" w:fill="auto"/>
            <w:vAlign w:val="center"/>
          </w:tcPr>
          <w:p w14:paraId="035A391D">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2F45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7FBD43B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55</w:t>
            </w:r>
          </w:p>
        </w:tc>
        <w:tc>
          <w:tcPr>
            <w:tcW w:w="1936" w:type="dxa"/>
            <w:shd w:val="clear" w:color="auto" w:fill="auto"/>
            <w:vAlign w:val="center"/>
          </w:tcPr>
          <w:p w14:paraId="4A1277C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可变车道指示牌</w:t>
            </w:r>
          </w:p>
        </w:tc>
        <w:tc>
          <w:tcPr>
            <w:tcW w:w="4502" w:type="dxa"/>
            <w:shd w:val="clear" w:color="auto" w:fill="auto"/>
            <w:vAlign w:val="center"/>
          </w:tcPr>
          <w:p w14:paraId="2F8B9F9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参考尺寸：（宽）800mm×（长）1000mm</w:t>
            </w:r>
            <w:r>
              <w:rPr>
                <w:rFonts w:hint="eastAsia" w:ascii="宋体" w:hAnsi="宋体" w:eastAsia="宋体" w:cs="宋体"/>
                <w:b w:val="0"/>
                <w:bCs w:val="0"/>
                <w:color w:val="000000"/>
                <w:kern w:val="0"/>
                <w:sz w:val="20"/>
                <w:szCs w:val="20"/>
                <w:u w:val="none"/>
                <w:lang w:bidi="ar"/>
              </w:rPr>
              <w:t>（整体尺寸允差±10mm）</w:t>
            </w:r>
            <w:r>
              <w:rPr>
                <w:rFonts w:hint="eastAsia" w:ascii="宋体" w:hAnsi="宋体" w:eastAsia="宋体" w:cs="宋体"/>
                <w:i w:val="0"/>
                <w:iCs w:val="0"/>
                <w:color w:val="000000"/>
                <w:kern w:val="0"/>
                <w:sz w:val="20"/>
                <w:szCs w:val="20"/>
                <w:u w:val="none"/>
                <w:lang w:val="en-US" w:eastAsia="zh-CN" w:bidi="ar"/>
              </w:rPr>
              <w:t>；夜晚图文全发光不能影响标志反光效果；标体表面贴置底膜为蓝色IV类反光膜，图形白色边框IV类反光膜；标志采用交通专用发光模组，光色、光强依据信号灯标准要求；发光模组亮度值：白天，绿/白/红色≥2000lux/颗；夜晚，绿/白/红色光≥2000lux/颗；标志采用光感技术，支持根据环境光自动调节发光模组的亮度值；供电方式：信号灯交流电源220V或外接220V市电；控制方式：显示模式由信号灯系统220V电压控制；发光可视距＞800m；发光占空比≥50%；工作功率：≤10W；防护等级：IP54；内含控制模块。</w:t>
            </w:r>
          </w:p>
        </w:tc>
        <w:tc>
          <w:tcPr>
            <w:tcW w:w="1721" w:type="dxa"/>
            <w:shd w:val="clear" w:color="auto" w:fill="auto"/>
            <w:vAlign w:val="center"/>
          </w:tcPr>
          <w:p w14:paraId="2B2E6212">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18D3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4" w:hRule="atLeast"/>
        </w:trPr>
        <w:tc>
          <w:tcPr>
            <w:tcW w:w="819" w:type="dxa"/>
            <w:shd w:val="clear" w:color="auto" w:fill="auto"/>
            <w:vAlign w:val="center"/>
          </w:tcPr>
          <w:p w14:paraId="63ABF13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（三）</w:t>
            </w:r>
          </w:p>
        </w:tc>
        <w:tc>
          <w:tcPr>
            <w:tcW w:w="1936" w:type="dxa"/>
            <w:shd w:val="clear" w:color="auto" w:fill="auto"/>
            <w:vAlign w:val="center"/>
          </w:tcPr>
          <w:p w14:paraId="7440C4A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智慧公交设施</w:t>
            </w:r>
          </w:p>
        </w:tc>
        <w:tc>
          <w:tcPr>
            <w:tcW w:w="4502" w:type="dxa"/>
            <w:shd w:val="clear" w:color="auto" w:fill="auto"/>
            <w:vAlign w:val="center"/>
          </w:tcPr>
          <w:p w14:paraId="63A8B2A6">
            <w:pPr>
              <w:keepNext/>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c>
          <w:tcPr>
            <w:tcW w:w="1721" w:type="dxa"/>
            <w:shd w:val="clear" w:color="auto" w:fill="auto"/>
            <w:vAlign w:val="center"/>
          </w:tcPr>
          <w:p w14:paraId="6A71010B">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625CA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5B81CF0F">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56</w:t>
            </w:r>
          </w:p>
        </w:tc>
        <w:tc>
          <w:tcPr>
            <w:tcW w:w="1936" w:type="dxa"/>
            <w:shd w:val="clear" w:color="auto" w:fill="auto"/>
            <w:vAlign w:val="center"/>
          </w:tcPr>
          <w:p w14:paraId="3EA9549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站台结构</w:t>
            </w:r>
          </w:p>
        </w:tc>
        <w:tc>
          <w:tcPr>
            <w:tcW w:w="4502" w:type="dxa"/>
            <w:shd w:val="clear" w:color="auto" w:fill="auto"/>
            <w:vAlign w:val="center"/>
          </w:tcPr>
          <w:p w14:paraId="31EFA4E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顶棚≥15000mm（长）*1700mm（宽）*150mm（厚）；顶棚下封板2mm镀锌板；上封板1mm镀锌板；圆弧顶；立柱≥150mm（宽）*100mm（侧宽）*6mm（壁厚），304不锈钢材料，Y字异形立柱；大灯箱≥3660mm（宽）*1740mm（高）*260mm（厚）；1.5mm 镀锌钢板、8mm 丝印钢化玻璃；两套；小灯箱≥1140mm（宽）*1740mm（高）*260mm（厚）；1.5mm 镀锌钢板、6mm 丝印钢化玻璃； 照明系统：LED灯箱电器设备与照明系统；坐凳≥1200mm（长）*200mm（宽）*450mm（高）；2.5mm拉丝不锈钢板立柱；1.5mm拉丝不锈钢板封板仿木纹不锈钢凳面；两套；主体安装：主体结构安装集成调测。参照《深圳市公交中途站建设标准指引（试行）》</w:t>
            </w:r>
          </w:p>
        </w:tc>
        <w:tc>
          <w:tcPr>
            <w:tcW w:w="1721" w:type="dxa"/>
            <w:shd w:val="clear" w:color="auto" w:fill="auto"/>
            <w:vAlign w:val="center"/>
          </w:tcPr>
          <w:p w14:paraId="2EFD657D">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5C45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535EC7B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（四）</w:t>
            </w:r>
          </w:p>
        </w:tc>
        <w:tc>
          <w:tcPr>
            <w:tcW w:w="1936" w:type="dxa"/>
            <w:shd w:val="clear" w:color="auto" w:fill="auto"/>
            <w:vAlign w:val="center"/>
          </w:tcPr>
          <w:p w14:paraId="67E6645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道路感知设施</w:t>
            </w:r>
          </w:p>
        </w:tc>
        <w:tc>
          <w:tcPr>
            <w:tcW w:w="4502" w:type="dxa"/>
            <w:shd w:val="clear" w:color="auto" w:fill="auto"/>
            <w:vAlign w:val="center"/>
          </w:tcPr>
          <w:p w14:paraId="78F3915F">
            <w:pPr>
              <w:keepNext/>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c>
          <w:tcPr>
            <w:tcW w:w="1721" w:type="dxa"/>
            <w:shd w:val="clear" w:color="auto" w:fill="auto"/>
            <w:vAlign w:val="center"/>
          </w:tcPr>
          <w:p w14:paraId="1341037F">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70B3C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122820BB">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1936" w:type="dxa"/>
            <w:shd w:val="clear" w:color="auto" w:fill="auto"/>
            <w:vAlign w:val="center"/>
          </w:tcPr>
          <w:p w14:paraId="77BDC21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智慧道路模块</w:t>
            </w:r>
          </w:p>
        </w:tc>
        <w:tc>
          <w:tcPr>
            <w:tcW w:w="4502" w:type="dxa"/>
            <w:shd w:val="clear" w:color="auto" w:fill="auto"/>
            <w:vAlign w:val="center"/>
          </w:tcPr>
          <w:p w14:paraId="0B426BF0">
            <w:pPr>
              <w:keepNext/>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c>
          <w:tcPr>
            <w:tcW w:w="1721" w:type="dxa"/>
            <w:shd w:val="clear" w:color="auto" w:fill="auto"/>
            <w:vAlign w:val="center"/>
          </w:tcPr>
          <w:p w14:paraId="6E26F350">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5B5D8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162E0F1B">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57</w:t>
            </w:r>
          </w:p>
        </w:tc>
        <w:tc>
          <w:tcPr>
            <w:tcW w:w="1936" w:type="dxa"/>
            <w:shd w:val="clear" w:color="auto" w:fill="auto"/>
            <w:vAlign w:val="center"/>
          </w:tcPr>
          <w:p w14:paraId="2184549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视频监控（数字网络球型摄像机）</w:t>
            </w:r>
          </w:p>
        </w:tc>
        <w:tc>
          <w:tcPr>
            <w:tcW w:w="4502" w:type="dxa"/>
            <w:shd w:val="clear" w:color="auto" w:fill="auto"/>
            <w:vAlign w:val="center"/>
          </w:tcPr>
          <w:p w14:paraId="30A675B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6寸星光级球机≥1/2.8 英寸 CMOS；摄像机像素：≥400万；最大分辨率≥2560 x1440；彩色≤0.0051ux@F1.6；黑白≤0.00051ux@F1.60Lux(红外灯开启)；最大补光距离≥150m；电动变焦4.8mm~154mm；兼容性：与支持micro SD的设备兼容，最大支持≥512GB；防护等级IP66。</w:t>
            </w:r>
          </w:p>
        </w:tc>
        <w:tc>
          <w:tcPr>
            <w:tcW w:w="1721" w:type="dxa"/>
            <w:shd w:val="clear" w:color="auto" w:fill="auto"/>
            <w:vAlign w:val="center"/>
          </w:tcPr>
          <w:p w14:paraId="4445A4D2">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4D9C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700F79C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58</w:t>
            </w:r>
          </w:p>
        </w:tc>
        <w:tc>
          <w:tcPr>
            <w:tcW w:w="1936" w:type="dxa"/>
            <w:shd w:val="clear" w:color="auto" w:fill="auto"/>
            <w:vAlign w:val="center"/>
          </w:tcPr>
          <w:p w14:paraId="27701F9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边缘计算节点</w:t>
            </w:r>
          </w:p>
        </w:tc>
        <w:tc>
          <w:tcPr>
            <w:tcW w:w="4502" w:type="dxa"/>
            <w:shd w:val="clear" w:color="auto" w:fill="auto"/>
            <w:vAlign w:val="center"/>
          </w:tcPr>
          <w:p w14:paraId="7142994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CPU：不低于32位、不低于8核的AI主控制器芯片；内存：≥16GB；存储：≥256G ；AI算力：≥100TOPS；电源：12-24V DC；功耗：≤60W（正常工作）；工作温度：-40℃-70℃；工作湿度：5%-95%，无凝结；运维要求：具备远程运维管控功能；网口要求：不少于2路100M/1000M带防护以太网RJ45口；其它接口要求：不少于1路RS485接口；交通状态检测：支持交通状态检测（畅通、缓行、拥堵等）；交通异常事件检测：支持停车、逆行、占用应急车道、变道、抛洒物等交通异常事件检测上报；交通流量统计与分析：支持多断面按车型、车道、时间等维度统计交通流参数（车流量、平均速度、占有率、排队长度等）；机动车特征识别：支持车辆类型（轿车/SUV/公交车/货车/皮卡等16类）和车身颜色识别；支持非机动车（自行车、摩托车等）检测；车牌识别：支持车牌识别，车色检测；交通事件抓拍与存储：支持机非人抓拍、机动车车牌识别和车辆结构化信息提取；支持视频接入与存储；支持按要求存储交通事件的图片和视频。</w:t>
            </w:r>
          </w:p>
        </w:tc>
        <w:tc>
          <w:tcPr>
            <w:tcW w:w="1721" w:type="dxa"/>
            <w:shd w:val="clear" w:color="auto" w:fill="auto"/>
            <w:vAlign w:val="center"/>
          </w:tcPr>
          <w:p w14:paraId="1EBB7760">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6A19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79B5591F">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59</w:t>
            </w:r>
          </w:p>
        </w:tc>
        <w:tc>
          <w:tcPr>
            <w:tcW w:w="1936" w:type="dxa"/>
            <w:shd w:val="clear" w:color="auto" w:fill="auto"/>
            <w:vAlign w:val="center"/>
          </w:tcPr>
          <w:p w14:paraId="5EBFF66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千兆光模块</w:t>
            </w:r>
          </w:p>
        </w:tc>
        <w:tc>
          <w:tcPr>
            <w:tcW w:w="4502" w:type="dxa"/>
            <w:shd w:val="clear" w:color="auto" w:fill="auto"/>
            <w:vAlign w:val="center"/>
          </w:tcPr>
          <w:p w14:paraId="22BBFF5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光模块-eSFP-GE-单模模块(1310nm,10km,LC)</w:t>
            </w:r>
          </w:p>
        </w:tc>
        <w:tc>
          <w:tcPr>
            <w:tcW w:w="1721" w:type="dxa"/>
            <w:shd w:val="clear" w:color="auto" w:fill="auto"/>
            <w:vAlign w:val="center"/>
          </w:tcPr>
          <w:p w14:paraId="3617CD53">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40191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5B546EAB">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60</w:t>
            </w:r>
          </w:p>
        </w:tc>
        <w:tc>
          <w:tcPr>
            <w:tcW w:w="1936" w:type="dxa"/>
            <w:shd w:val="clear" w:color="auto" w:fill="auto"/>
            <w:vAlign w:val="center"/>
          </w:tcPr>
          <w:p w14:paraId="6B3F4A6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室外AP</w:t>
            </w:r>
          </w:p>
        </w:tc>
        <w:tc>
          <w:tcPr>
            <w:tcW w:w="4502" w:type="dxa"/>
            <w:shd w:val="clear" w:color="auto" w:fill="auto"/>
            <w:vAlign w:val="center"/>
          </w:tcPr>
          <w:p w14:paraId="2296333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支持802.11a/b/g/n/ac/ac wave2/ax模式；空间流数≥4，整机速率≥1.7Gbps；千兆电口≥1，千兆光口≥1个；防护等级IP68。</w:t>
            </w:r>
          </w:p>
        </w:tc>
        <w:tc>
          <w:tcPr>
            <w:tcW w:w="1721" w:type="dxa"/>
            <w:shd w:val="clear" w:color="auto" w:fill="auto"/>
            <w:vAlign w:val="center"/>
          </w:tcPr>
          <w:p w14:paraId="6AACABFC">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80B7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358A36AE">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61</w:t>
            </w:r>
          </w:p>
        </w:tc>
        <w:tc>
          <w:tcPr>
            <w:tcW w:w="1936" w:type="dxa"/>
            <w:shd w:val="clear" w:color="auto" w:fill="auto"/>
            <w:vAlign w:val="center"/>
          </w:tcPr>
          <w:p w14:paraId="4988957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工业交换机（8电+2光）</w:t>
            </w:r>
          </w:p>
        </w:tc>
        <w:tc>
          <w:tcPr>
            <w:tcW w:w="4502" w:type="dxa"/>
            <w:shd w:val="clear" w:color="auto" w:fill="auto"/>
            <w:vAlign w:val="center"/>
          </w:tcPr>
          <w:p w14:paraId="3B6D529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支持千兆电口≥8个，千兆光口≥2个，即插即用</w:t>
            </w:r>
            <w:r>
              <w:rPr>
                <w:rFonts w:hint="eastAsia" w:ascii="宋体" w:hAnsi="宋体" w:eastAsia="宋体" w:cs="宋体"/>
                <w:i w:val="0"/>
                <w:iCs w:val="0"/>
                <w:strike w:val="0"/>
                <w:dstrike w:val="0"/>
                <w:color w:val="000000"/>
                <w:kern w:val="0"/>
                <w:sz w:val="20"/>
                <w:szCs w:val="20"/>
                <w:u w:val="none"/>
                <w:lang w:val="en-US" w:eastAsia="zh-CN" w:bidi="ar"/>
              </w:rPr>
              <w:t>导轨式、双电源</w:t>
            </w:r>
            <w:r>
              <w:rPr>
                <w:rFonts w:hint="eastAsia" w:ascii="宋体" w:hAnsi="宋体" w:eastAsia="宋体" w:cs="宋体"/>
                <w:i w:val="0"/>
                <w:iCs w:val="0"/>
                <w:color w:val="000000"/>
                <w:kern w:val="0"/>
                <w:sz w:val="20"/>
                <w:szCs w:val="20"/>
                <w:u w:val="none"/>
                <w:lang w:val="en-US" w:eastAsia="zh-CN" w:bidi="ar"/>
              </w:rPr>
              <w:t>；交换容量≥430Gbps，包转发率≥20Mpps。</w:t>
            </w:r>
          </w:p>
        </w:tc>
        <w:tc>
          <w:tcPr>
            <w:tcW w:w="1721" w:type="dxa"/>
            <w:shd w:val="clear" w:color="auto" w:fill="auto"/>
            <w:vAlign w:val="center"/>
          </w:tcPr>
          <w:p w14:paraId="17572C2B">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4E29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6DE8F047">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62</w:t>
            </w:r>
          </w:p>
        </w:tc>
        <w:tc>
          <w:tcPr>
            <w:tcW w:w="1936" w:type="dxa"/>
            <w:shd w:val="clear" w:color="auto" w:fill="auto"/>
            <w:vAlign w:val="center"/>
          </w:tcPr>
          <w:p w14:paraId="0EFF496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千兆光模块</w:t>
            </w:r>
          </w:p>
        </w:tc>
        <w:tc>
          <w:tcPr>
            <w:tcW w:w="4502" w:type="dxa"/>
            <w:shd w:val="clear" w:color="auto" w:fill="auto"/>
            <w:vAlign w:val="center"/>
          </w:tcPr>
          <w:p w14:paraId="201D091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光模块-eSFP-GE-单模模块(1310nm,10km,LC)。</w:t>
            </w:r>
          </w:p>
        </w:tc>
        <w:tc>
          <w:tcPr>
            <w:tcW w:w="1721" w:type="dxa"/>
            <w:shd w:val="clear" w:color="auto" w:fill="auto"/>
            <w:vAlign w:val="center"/>
          </w:tcPr>
          <w:p w14:paraId="1D7E5AA0">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311A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9" w:hRule="atLeast"/>
        </w:trPr>
        <w:tc>
          <w:tcPr>
            <w:tcW w:w="819" w:type="dxa"/>
            <w:vMerge w:val="restart"/>
            <w:shd w:val="clear" w:color="auto" w:fill="auto"/>
            <w:vAlign w:val="center"/>
          </w:tcPr>
          <w:p w14:paraId="796AB921">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63</w:t>
            </w:r>
          </w:p>
        </w:tc>
        <w:tc>
          <w:tcPr>
            <w:tcW w:w="1936" w:type="dxa"/>
            <w:vMerge w:val="restart"/>
            <w:shd w:val="clear" w:color="auto" w:fill="auto"/>
            <w:vAlign w:val="center"/>
          </w:tcPr>
          <w:p w14:paraId="2202FD9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自动起降设施（无人机及机巢）</w:t>
            </w:r>
          </w:p>
        </w:tc>
        <w:tc>
          <w:tcPr>
            <w:tcW w:w="4502" w:type="dxa"/>
            <w:shd w:val="clear" w:color="auto" w:fill="auto"/>
            <w:vAlign w:val="center"/>
          </w:tcPr>
          <w:p w14:paraId="773BB4F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机巢：输入电压：110V/220V AC；输入功率：最大1200W</w:t>
            </w:r>
            <w:r>
              <w:rPr>
                <w:rFonts w:hint="eastAsia"/>
                <w:lang w:eastAsia="zh-CN"/>
              </w:rPr>
              <w:t>；</w:t>
            </w:r>
            <w:r>
              <w:rPr>
                <w:rFonts w:hint="eastAsia" w:ascii="宋体" w:hAnsi="宋体" w:eastAsia="宋体" w:cs="宋体"/>
                <w:i w:val="0"/>
                <w:iCs w:val="0"/>
                <w:color w:val="000000"/>
                <w:kern w:val="0"/>
                <w:sz w:val="20"/>
                <w:szCs w:val="20"/>
                <w:u w:val="none"/>
                <w:lang w:val="en-US" w:eastAsia="zh-CN" w:bidi="ar"/>
              </w:rPr>
              <w:t>工作温度：-30°C至50°C；充电环境温度：25°C；防护等级：IP55；可收纳无人机数量：1台；最大允许降落风速：12m/s；最大运行海拔高度：3200m；RTK基站定位精准度：</w:t>
            </w:r>
          </w:p>
          <w:p w14:paraId="2A174FD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水平定位精度：0.8cm+1ppm；垂直定位精度：1.5cm+1ppm；充电性能：输出电压：13.2VDC；充电时间：25分钟（在25°C环境下，从飞行器电池的10%电量充至90%）。无人机：广角相机≤1/2英寸CMOS；≥4800万有效像素；≥24mm等效焦距；变焦相机≤1/2英寸CMOS；≥4800万有效像素, 有效焦距11.8-43.3毫米；红外相机≥640*512@30Hz；≥40mm等效焦距，支持16倍数字变焦；最大水平飞行速度:23m/s；最大抗风速度:作业阶段抗风能力：12m/s起降阶段抗风能力：10.7m/s；最长飞行时间:42分钟；最长悬停时间:37分钟；IP防护等级:IP43；工作环境温度:-20°C至50°C；广角镜头≤1/2"CMOS；≥4800万像素；变焦镜头≤1/2"CMOS；≥4800万像素，有效焦距：11.8-43.3毫米；红外镜头：640×512@30fps。</w:t>
            </w:r>
          </w:p>
        </w:tc>
        <w:tc>
          <w:tcPr>
            <w:tcW w:w="1721" w:type="dxa"/>
            <w:shd w:val="clear" w:color="auto" w:fill="auto"/>
            <w:vAlign w:val="center"/>
          </w:tcPr>
          <w:p w14:paraId="2DE865EB">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098FB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30F12B10">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1936" w:type="dxa"/>
            <w:shd w:val="clear" w:color="auto" w:fill="auto"/>
            <w:vAlign w:val="center"/>
          </w:tcPr>
          <w:p w14:paraId="7B6C780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高点监控摄像机</w:t>
            </w:r>
          </w:p>
        </w:tc>
        <w:tc>
          <w:tcPr>
            <w:tcW w:w="4502" w:type="dxa"/>
            <w:shd w:val="clear" w:color="auto" w:fill="auto"/>
            <w:vAlign w:val="center"/>
          </w:tcPr>
          <w:p w14:paraId="05F23630">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c>
          <w:tcPr>
            <w:tcW w:w="1721" w:type="dxa"/>
            <w:shd w:val="clear" w:color="auto" w:fill="auto"/>
            <w:vAlign w:val="center"/>
          </w:tcPr>
          <w:p w14:paraId="75B6DE09">
            <w:pPr>
              <w:keepNext/>
              <w:snapToGrid w:val="0"/>
              <w:ind w:left="0" w:leftChars="0" w:right="0" w:rightChars="0" w:firstLine="0" w:firstLineChars="0"/>
              <w:jc w:val="left"/>
              <w:rPr>
                <w:rFonts w:hint="eastAsia" w:ascii="宋体" w:hAnsi="宋体" w:eastAsia="宋体" w:cs="宋体"/>
                <w:b/>
                <w:bCs/>
                <w:i w:val="0"/>
                <w:iCs w:val="0"/>
                <w:color w:val="000000"/>
                <w:sz w:val="20"/>
                <w:szCs w:val="20"/>
                <w:u w:val="none"/>
              </w:rPr>
            </w:pPr>
          </w:p>
        </w:tc>
      </w:tr>
      <w:tr w14:paraId="15129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7512281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64</w:t>
            </w:r>
          </w:p>
        </w:tc>
        <w:tc>
          <w:tcPr>
            <w:tcW w:w="1936" w:type="dxa"/>
            <w:shd w:val="clear" w:color="auto" w:fill="auto"/>
            <w:vAlign w:val="center"/>
          </w:tcPr>
          <w:p w14:paraId="18BE6C4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高点监控摄像机</w:t>
            </w:r>
          </w:p>
        </w:tc>
        <w:tc>
          <w:tcPr>
            <w:tcW w:w="4502" w:type="dxa"/>
            <w:shd w:val="clear" w:color="auto" w:fill="auto"/>
            <w:vAlign w:val="center"/>
          </w:tcPr>
          <w:p w14:paraId="5339F01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规格:图像传感器：全景摄像机不低于 4×1/1.8寸 CMOS，PTZ 摄像机不低于 1/1.8寸CMOS;内置2颗GPU芯片 ;有效图像尺寸：全景摄像机不小于 5520×2700，PTZ 摄像机 2560×1440;最低照度：全景 0.001Lx（彩色模式）、0.0002Lx（黑白模式），球机0.001Lx（彩色模式）、0.0005Lx（黑白模式）、0Lx（补光灯开启）;镜头：全景定焦焦距2.8mm，球机焦距范围≥5.5mm～220mm，40倍光学变焦;视频编码格式H.265/H.264/MJPEG;补光：红外≥400m（球机）;智能分析：支持在全景画面手动的点/框选球机察看细节；支持区域入侵智能检测 功能的目标物手动或自动跟踪；全景支持区域入侵检测功能，可实现自动或手动对全景区域内的多目标，联动细节球机进行跟踪；支持 GPS/北斗经纬度定位；支持 AR 全景展示，可添加各类AR标签 ;外部接口≥1个RJ45 10M/100M /1000M 自适应以太网口，≥1个光口（FC），接口：具有7路报警输入接口，3路报警输出接口，支持2路音频输入和2路输出接口，</w:t>
            </w:r>
            <w:r>
              <w:rPr>
                <w:rFonts w:hint="eastAsia" w:ascii="宋体" w:hAnsi="宋体" w:eastAsia="宋体" w:cs="宋体"/>
                <w:i w:val="0"/>
                <w:iCs w:val="0"/>
                <w:strike w:val="0"/>
                <w:dstrike w:val="0"/>
                <w:color w:val="000000"/>
                <w:kern w:val="0"/>
                <w:sz w:val="20"/>
                <w:szCs w:val="20"/>
                <w:u w:val="none"/>
                <w:lang w:val="en-US" w:eastAsia="zh-CN" w:bidi="ar"/>
              </w:rPr>
              <w:t>1路BNC</w:t>
            </w:r>
            <w:r>
              <w:rPr>
                <w:rFonts w:hint="eastAsia" w:ascii="宋体" w:hAnsi="宋体" w:eastAsia="宋体" w:cs="宋体"/>
                <w:i w:val="0"/>
                <w:iCs w:val="0"/>
                <w:color w:val="000000"/>
                <w:kern w:val="0"/>
                <w:sz w:val="20"/>
                <w:szCs w:val="20"/>
                <w:u w:val="none"/>
                <w:lang w:val="en-US" w:eastAsia="zh-CN" w:bidi="ar"/>
              </w:rPr>
              <w:t>，1路RS485功能（可设置波特率），支持≥512G Micro SD 卡;电源：DC36V；防护等级：IP66。</w:t>
            </w:r>
          </w:p>
        </w:tc>
        <w:tc>
          <w:tcPr>
            <w:tcW w:w="1721" w:type="dxa"/>
            <w:shd w:val="clear" w:color="auto" w:fill="auto"/>
            <w:vAlign w:val="center"/>
          </w:tcPr>
          <w:p w14:paraId="2A9E9A94">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49AE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005D8DA3">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65</w:t>
            </w:r>
          </w:p>
        </w:tc>
        <w:tc>
          <w:tcPr>
            <w:tcW w:w="1936" w:type="dxa"/>
            <w:shd w:val="clear" w:color="auto" w:fill="auto"/>
            <w:vAlign w:val="center"/>
          </w:tcPr>
          <w:p w14:paraId="018BD3B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工业交换机（8电+2光）</w:t>
            </w:r>
          </w:p>
        </w:tc>
        <w:tc>
          <w:tcPr>
            <w:tcW w:w="4502" w:type="dxa"/>
            <w:shd w:val="clear" w:color="auto" w:fill="auto"/>
            <w:vAlign w:val="center"/>
          </w:tcPr>
          <w:p w14:paraId="6EC5B1B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支持千兆电口≥8个，千兆光口≥2个，即插即用</w:t>
            </w:r>
            <w:r>
              <w:rPr>
                <w:rFonts w:hint="eastAsia" w:ascii="宋体" w:hAnsi="宋体" w:eastAsia="宋体" w:cs="宋体"/>
                <w:i w:val="0"/>
                <w:iCs w:val="0"/>
                <w:strike w:val="0"/>
                <w:dstrike w:val="0"/>
                <w:color w:val="000000"/>
                <w:kern w:val="0"/>
                <w:sz w:val="20"/>
                <w:szCs w:val="20"/>
                <w:u w:val="none"/>
                <w:lang w:val="en-US" w:eastAsia="zh-CN" w:bidi="ar"/>
              </w:rPr>
              <w:t>导轨式、双电源；</w:t>
            </w:r>
            <w:r>
              <w:rPr>
                <w:rFonts w:hint="eastAsia" w:ascii="宋体" w:hAnsi="宋体" w:eastAsia="宋体" w:cs="宋体"/>
                <w:i w:val="0"/>
                <w:iCs w:val="0"/>
                <w:color w:val="000000"/>
                <w:kern w:val="0"/>
                <w:sz w:val="20"/>
                <w:szCs w:val="20"/>
                <w:u w:val="none"/>
                <w:lang w:val="en-US" w:eastAsia="zh-CN" w:bidi="ar"/>
              </w:rPr>
              <w:t>交换容量≥430Gbps，包转发率≥20Mpps。</w:t>
            </w:r>
          </w:p>
        </w:tc>
        <w:tc>
          <w:tcPr>
            <w:tcW w:w="1721" w:type="dxa"/>
            <w:shd w:val="clear" w:color="auto" w:fill="auto"/>
            <w:vAlign w:val="center"/>
          </w:tcPr>
          <w:p w14:paraId="70310602">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38C4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7519F586">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66</w:t>
            </w:r>
          </w:p>
        </w:tc>
        <w:tc>
          <w:tcPr>
            <w:tcW w:w="1936" w:type="dxa"/>
            <w:shd w:val="clear" w:color="auto" w:fill="auto"/>
            <w:vAlign w:val="center"/>
          </w:tcPr>
          <w:p w14:paraId="6948DFE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千兆光模块</w:t>
            </w:r>
          </w:p>
        </w:tc>
        <w:tc>
          <w:tcPr>
            <w:tcW w:w="4502" w:type="dxa"/>
            <w:shd w:val="clear" w:color="auto" w:fill="auto"/>
            <w:vAlign w:val="center"/>
          </w:tcPr>
          <w:p w14:paraId="7E547DE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光模块-eSFP-GE-单模模块(1310nm,10km,LC)。</w:t>
            </w:r>
          </w:p>
        </w:tc>
        <w:tc>
          <w:tcPr>
            <w:tcW w:w="1721" w:type="dxa"/>
            <w:shd w:val="clear" w:color="auto" w:fill="auto"/>
            <w:vAlign w:val="center"/>
          </w:tcPr>
          <w:p w14:paraId="47A24E57">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D248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6B1394B7">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67</w:t>
            </w:r>
          </w:p>
        </w:tc>
        <w:tc>
          <w:tcPr>
            <w:tcW w:w="1936" w:type="dxa"/>
            <w:shd w:val="clear" w:color="auto" w:fill="auto"/>
            <w:vAlign w:val="center"/>
          </w:tcPr>
          <w:p w14:paraId="7A4349F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二合一防雷器</w:t>
            </w:r>
          </w:p>
        </w:tc>
        <w:tc>
          <w:tcPr>
            <w:tcW w:w="4502" w:type="dxa"/>
            <w:shd w:val="clear" w:color="auto" w:fill="auto"/>
            <w:vAlign w:val="center"/>
          </w:tcPr>
          <w:p w14:paraId="55B81DC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RJ45网络、电源防雷（电压等级与雷达工作电压匹配）。</w:t>
            </w:r>
          </w:p>
        </w:tc>
        <w:tc>
          <w:tcPr>
            <w:tcW w:w="1721" w:type="dxa"/>
            <w:shd w:val="clear" w:color="auto" w:fill="auto"/>
            <w:vAlign w:val="center"/>
          </w:tcPr>
          <w:p w14:paraId="1FAD5777">
            <w:pPr>
              <w:keepNext/>
              <w:snapToGrid w:val="0"/>
              <w:ind w:left="0" w:leftChars="0" w:right="0" w:rightChars="0" w:firstLine="0" w:firstLineChars="0"/>
              <w:jc w:val="left"/>
              <w:rPr>
                <w:rFonts w:hint="default" w:ascii="宋体" w:hAnsi="宋体" w:eastAsia="宋体" w:cs="宋体"/>
                <w:i w:val="0"/>
                <w:iCs w:val="0"/>
                <w:color w:val="000000"/>
                <w:sz w:val="20"/>
                <w:szCs w:val="20"/>
                <w:u w:val="none"/>
                <w:lang w:val="en-US" w:eastAsia="zh-CN"/>
              </w:rPr>
            </w:pPr>
          </w:p>
        </w:tc>
      </w:tr>
      <w:tr w14:paraId="55C87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69D7E33E">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68</w:t>
            </w:r>
          </w:p>
        </w:tc>
        <w:tc>
          <w:tcPr>
            <w:tcW w:w="1936" w:type="dxa"/>
            <w:shd w:val="clear" w:color="auto" w:fill="auto"/>
            <w:vAlign w:val="center"/>
          </w:tcPr>
          <w:p w14:paraId="62A24F9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挂杆箱</w:t>
            </w:r>
          </w:p>
        </w:tc>
        <w:tc>
          <w:tcPr>
            <w:tcW w:w="4502" w:type="dxa"/>
            <w:shd w:val="clear" w:color="auto" w:fill="auto"/>
            <w:vAlign w:val="center"/>
          </w:tcPr>
          <w:p w14:paraId="5430F13E">
            <w:pPr>
              <w:keepNext/>
              <w:keepLines w:val="0"/>
              <w:widowControl/>
              <w:suppressLineNumbers w:val="0"/>
              <w:snapToGrid w:val="0"/>
              <w:ind w:left="0" w:leftChars="0" w:right="0" w:rightChars="0" w:firstLine="0" w:firstLineChars="0"/>
              <w:jc w:val="left"/>
              <w:textAlignment w:val="center"/>
              <w:rPr>
                <w:rFonts w:hint="eastAsia" w:ascii="宋体" w:eastAsia="宋体" w:hAnsiTheme="minorHAnsi" w:cstheme="minorBidi"/>
                <w:kern w:val="2"/>
                <w:sz w:val="20"/>
                <w:szCs w:val="22"/>
                <w:lang w:val="en-US" w:eastAsia="zh-CN" w:bidi="ar-SA"/>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背挂在立杆上，含配套安装支架、防盗锁、漏电保护模块、电源模块、防雷模块、印丝标志和字样等；防护等级不低于IP55；</w:t>
            </w:r>
            <w:r>
              <w:rPr>
                <w:rFonts w:hint="eastAsia" w:ascii="宋体" w:hAnsi="宋体" w:eastAsia="宋体" w:cs="宋体"/>
                <w:i w:val="0"/>
                <w:iCs w:val="0"/>
                <w:color w:val="000000"/>
                <w:sz w:val="20"/>
                <w:szCs w:val="20"/>
                <w:u w:val="none"/>
              </w:rPr>
              <w:t>箱体尺寸为500mm</w:t>
            </w:r>
            <w:r>
              <w:rPr>
                <w:rFonts w:hint="eastAsia" w:ascii="宋体" w:hAnsi="宋体" w:eastAsia="宋体" w:cs="宋体"/>
                <w:i w:val="0"/>
                <w:iCs w:val="0"/>
                <w:color w:val="000000"/>
                <w:sz w:val="20"/>
                <w:szCs w:val="20"/>
                <w:u w:val="none"/>
                <w:lang w:eastAsia="zh-CN"/>
              </w:rPr>
              <w:t>（长）</w:t>
            </w:r>
            <w:r>
              <w:rPr>
                <w:rFonts w:hint="eastAsia" w:ascii="宋体" w:hAnsi="宋体" w:eastAsia="宋体" w:cs="宋体"/>
                <w:i w:val="0"/>
                <w:iCs w:val="0"/>
                <w:color w:val="000000"/>
                <w:sz w:val="20"/>
                <w:szCs w:val="20"/>
                <w:u w:val="none"/>
              </w:rPr>
              <w:t>*400mm</w:t>
            </w:r>
            <w:r>
              <w:rPr>
                <w:rFonts w:hint="eastAsia" w:ascii="宋体" w:hAnsi="宋体" w:eastAsia="宋体" w:cs="宋体"/>
                <w:i w:val="0"/>
                <w:iCs w:val="0"/>
                <w:color w:val="000000"/>
                <w:sz w:val="20"/>
                <w:szCs w:val="20"/>
                <w:u w:val="none"/>
                <w:lang w:eastAsia="zh-CN"/>
              </w:rPr>
              <w:t>（宽）</w:t>
            </w:r>
            <w:r>
              <w:rPr>
                <w:rFonts w:hint="eastAsia" w:ascii="宋体" w:hAnsi="宋体" w:eastAsia="宋体" w:cs="宋体"/>
                <w:i w:val="0"/>
                <w:iCs w:val="0"/>
                <w:color w:val="000000"/>
                <w:sz w:val="20"/>
                <w:szCs w:val="20"/>
                <w:u w:val="none"/>
              </w:rPr>
              <w:t>*300mm</w:t>
            </w:r>
            <w:r>
              <w:rPr>
                <w:rFonts w:hint="eastAsia" w:ascii="宋体" w:hAnsi="宋体" w:eastAsia="宋体" w:cs="宋体"/>
                <w:i w:val="0"/>
                <w:iCs w:val="0"/>
                <w:color w:val="000000"/>
                <w:sz w:val="20"/>
                <w:szCs w:val="20"/>
                <w:u w:val="none"/>
                <w:lang w:eastAsia="zh-CN"/>
              </w:rPr>
              <w:t>（深）</w:t>
            </w:r>
            <w:r>
              <w:rPr>
                <w:rFonts w:hint="eastAsia" w:ascii="宋体" w:hAnsi="宋体" w:eastAsia="宋体" w:cs="宋体"/>
                <w:i w:val="0"/>
                <w:iCs w:val="0"/>
                <w:color w:val="000000"/>
                <w:sz w:val="20"/>
                <w:szCs w:val="20"/>
                <w:u w:val="none"/>
              </w:rPr>
              <w:t>（</w:t>
            </w:r>
            <w:r>
              <w:rPr>
                <w:rFonts w:hint="eastAsia" w:ascii="宋体" w:hAnsi="宋体" w:eastAsia="宋体" w:cs="宋体"/>
                <w:b w:val="0"/>
                <w:bCs w:val="0"/>
                <w:color w:val="000000"/>
                <w:kern w:val="0"/>
                <w:sz w:val="20"/>
                <w:szCs w:val="20"/>
                <w:u w:val="none"/>
                <w:lang w:bidi="ar"/>
              </w:rPr>
              <w:t>整体尺寸允差±10mm</w:t>
            </w:r>
            <w:r>
              <w:rPr>
                <w:rFonts w:hint="eastAsia" w:ascii="宋体" w:hAnsi="宋体" w:eastAsia="宋体" w:cs="宋体"/>
                <w:i w:val="0"/>
                <w:iCs w:val="0"/>
                <w:color w:val="000000"/>
                <w:sz w:val="20"/>
                <w:szCs w:val="20"/>
                <w:u w:val="none"/>
              </w:rPr>
              <w:t>），材质采用防锈、抗高温、耐腐蚀的冷轧钢板喷塑外壳，箱体板厚度1.0mm，箱顶采用帽檐斜顶方式设计，防护等级为IP55；具有防盗功能，安装防水锁，所有锁芯应配统一钥匙。内部布局合理、规范、内部走线清晰。箱内配备2P 16A空气开关1只、40KA电源防雷器1只、五孔维护插座2只、5位接地铜排1只，并配备智能运维终端1只；安全防护功能：支持箱门门禁检测功能，可远程设置箱门布防或撤防，当机箱处于箱门布防状态时开启箱门将触发开门报警，报警信息可上传至平台端</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断电监测功能；内置电源监测模块，当机箱与外接电源断开连接并且无后备电源时，能将断电告警信息上传至平台端；断网监测功能：当机箱与网络断开连接时可触发报警，报警信息可上传至平台端；输出功能：当产品智能运维终端发生故障时，产品的电压输出端口仍可正常工作。加密功能：支持对通信数据进行加密</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看门狗复位功能：支持当智能运维终端死机时，具有看门狗自动复位功能</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电磁兼容性性能测试要求：产品通过静电放电抗扰度，射频电磁场辐射抗扰度，电快速瞬变脉冲群抗扰度，浪涌抗扰度，工频磁场抗扰度，传导骚扰度，抗电强度以及泄漏电流试验</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登陆密码设置：产品预设登陆密码，登陆密码可修改，并可验证设置的密码格式是否符合密码强度要求（大小写英文+数字+特殊字符）</w:t>
            </w:r>
            <w:r>
              <w:rPr>
                <w:rFonts w:hint="eastAsia" w:ascii="宋体" w:hAnsi="宋体" w:eastAsia="宋体" w:cs="宋体"/>
                <w:i w:val="0"/>
                <w:iCs w:val="0"/>
                <w:color w:val="000000"/>
                <w:sz w:val="20"/>
                <w:szCs w:val="20"/>
                <w:u w:val="none"/>
                <w:lang w:eastAsia="zh-CN"/>
              </w:rPr>
              <w:t>。</w:t>
            </w:r>
          </w:p>
        </w:tc>
        <w:tc>
          <w:tcPr>
            <w:tcW w:w="1721" w:type="dxa"/>
            <w:shd w:val="clear" w:color="auto" w:fill="auto"/>
            <w:vAlign w:val="center"/>
          </w:tcPr>
          <w:p w14:paraId="4C0AD456">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01BC9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669546D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（五）</w:t>
            </w:r>
          </w:p>
        </w:tc>
        <w:tc>
          <w:tcPr>
            <w:tcW w:w="1936" w:type="dxa"/>
            <w:shd w:val="clear" w:color="auto" w:fill="auto"/>
            <w:vAlign w:val="center"/>
          </w:tcPr>
          <w:p w14:paraId="63F5436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多功能智能杆设施</w:t>
            </w:r>
          </w:p>
        </w:tc>
        <w:tc>
          <w:tcPr>
            <w:tcW w:w="4502" w:type="dxa"/>
            <w:shd w:val="clear" w:color="auto" w:fill="auto"/>
            <w:vAlign w:val="center"/>
          </w:tcPr>
          <w:p w14:paraId="72E73EF9">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c>
          <w:tcPr>
            <w:tcW w:w="1721" w:type="dxa"/>
            <w:shd w:val="clear" w:color="auto" w:fill="auto"/>
            <w:vAlign w:val="center"/>
          </w:tcPr>
          <w:p w14:paraId="59B62BA3">
            <w:pPr>
              <w:keepNext/>
              <w:snapToGrid w:val="0"/>
              <w:ind w:left="0" w:leftChars="0" w:right="0" w:rightChars="0" w:firstLine="0" w:firstLineChars="0"/>
              <w:jc w:val="left"/>
              <w:rPr>
                <w:rFonts w:hint="eastAsia" w:ascii="宋体" w:hAnsi="宋体" w:eastAsia="宋体" w:cs="宋体"/>
                <w:b/>
                <w:bCs/>
                <w:i w:val="0"/>
                <w:iCs w:val="0"/>
                <w:color w:val="000000"/>
                <w:sz w:val="20"/>
                <w:szCs w:val="20"/>
                <w:u w:val="none"/>
              </w:rPr>
            </w:pPr>
          </w:p>
        </w:tc>
      </w:tr>
      <w:tr w14:paraId="7883F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2DECBDFC">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69</w:t>
            </w:r>
          </w:p>
        </w:tc>
        <w:tc>
          <w:tcPr>
            <w:tcW w:w="1936" w:type="dxa"/>
            <w:shd w:val="clear" w:color="auto" w:fill="auto"/>
            <w:vAlign w:val="center"/>
          </w:tcPr>
          <w:p w14:paraId="13F010D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多功能智能杆1（智慧路灯+车行信号灯）</w:t>
            </w:r>
          </w:p>
        </w:tc>
        <w:tc>
          <w:tcPr>
            <w:tcW w:w="4502" w:type="dxa"/>
            <w:shd w:val="clear" w:color="auto" w:fill="auto"/>
            <w:vAlign w:val="center"/>
          </w:tcPr>
          <w:p w14:paraId="4DED94C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H=15m 横臂8m：灯杆下部分材质Q355，厚12mm，无横向焊缝、焊缝整平；灯杆上部分材质Q355，壁厚5.0mm；所有焊缝整平；灯臂采用不锈钢材质；钢结构整体热浸锌，锌层厚度不低于85μm</w:t>
            </w:r>
            <w:r>
              <w:rPr>
                <w:rFonts w:hint="eastAsia"/>
                <w:lang w:eastAsia="zh-CN"/>
              </w:rPr>
              <w:t>；</w:t>
            </w:r>
            <w:r>
              <w:rPr>
                <w:rFonts w:hint="eastAsia" w:ascii="宋体" w:hAnsi="宋体" w:eastAsia="宋体" w:cs="宋体"/>
                <w:i w:val="0"/>
                <w:iCs w:val="0"/>
                <w:color w:val="000000"/>
                <w:kern w:val="0"/>
                <w:sz w:val="20"/>
                <w:szCs w:val="20"/>
                <w:u w:val="none"/>
                <w:lang w:val="en-US" w:eastAsia="zh-CN" w:bidi="ar"/>
              </w:rPr>
              <w:t>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36C2A131">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F366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4A37A0BB">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70</w:t>
            </w:r>
          </w:p>
        </w:tc>
        <w:tc>
          <w:tcPr>
            <w:tcW w:w="1936" w:type="dxa"/>
            <w:shd w:val="clear" w:color="auto" w:fill="auto"/>
            <w:vAlign w:val="center"/>
          </w:tcPr>
          <w:p w14:paraId="60AFDBE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多功能智能杆2（智慧路灯+车行信号灯）</w:t>
            </w:r>
          </w:p>
        </w:tc>
        <w:tc>
          <w:tcPr>
            <w:tcW w:w="4502" w:type="dxa"/>
            <w:shd w:val="clear" w:color="auto" w:fill="auto"/>
            <w:vAlign w:val="center"/>
          </w:tcPr>
          <w:p w14:paraId="1192B55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H=15m 横臂10m：灯杆下部分材质Q355，厚12mm，无横向焊缝、焊缝整平；灯杆上部分材质Q355，壁厚5.0mm；所有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48FA909B">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1289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3" w:hRule="atLeast"/>
        </w:trPr>
        <w:tc>
          <w:tcPr>
            <w:tcW w:w="819" w:type="dxa"/>
            <w:shd w:val="clear" w:color="auto" w:fill="auto"/>
            <w:vAlign w:val="center"/>
          </w:tcPr>
          <w:p w14:paraId="2DAFE2B4">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71</w:t>
            </w:r>
          </w:p>
        </w:tc>
        <w:tc>
          <w:tcPr>
            <w:tcW w:w="1936" w:type="dxa"/>
            <w:shd w:val="clear" w:color="auto" w:fill="auto"/>
            <w:vAlign w:val="center"/>
          </w:tcPr>
          <w:p w14:paraId="7F397EA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多功能智能杆3（智慧路灯+车行信号灯）</w:t>
            </w:r>
          </w:p>
        </w:tc>
        <w:tc>
          <w:tcPr>
            <w:tcW w:w="4502" w:type="dxa"/>
            <w:shd w:val="clear" w:color="auto" w:fill="auto"/>
            <w:vAlign w:val="center"/>
          </w:tcPr>
          <w:p w14:paraId="2AB8835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H=15m 横臂12m：灯杆下部分材质Q355，厚12mm，无横向焊缝、焊缝整平；灯杆上部分材质Q355，壁厚5.0mm；所有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4181E1CD">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FE6C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72E43A8D">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72</w:t>
            </w:r>
          </w:p>
        </w:tc>
        <w:tc>
          <w:tcPr>
            <w:tcW w:w="1936" w:type="dxa"/>
            <w:shd w:val="clear" w:color="auto" w:fill="auto"/>
            <w:vAlign w:val="center"/>
          </w:tcPr>
          <w:p w14:paraId="694D161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多功能智能杆4（智慧路灯+车行信号灯）</w:t>
            </w:r>
          </w:p>
        </w:tc>
        <w:tc>
          <w:tcPr>
            <w:tcW w:w="4502" w:type="dxa"/>
            <w:shd w:val="clear" w:color="auto" w:fill="auto"/>
            <w:vAlign w:val="center"/>
          </w:tcPr>
          <w:p w14:paraId="56ED775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H=15m 横臂13m：灯杆下部分材质Q355，厚12mm，无横向焊缝、焊缝整平；灯杆上部分材质Q355，壁厚5.0mm；所有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6910AC44">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5BBF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19" w:type="dxa"/>
            <w:shd w:val="clear" w:color="auto" w:fill="auto"/>
            <w:vAlign w:val="center"/>
          </w:tcPr>
          <w:p w14:paraId="79B5D515">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73</w:t>
            </w:r>
          </w:p>
        </w:tc>
        <w:tc>
          <w:tcPr>
            <w:tcW w:w="1936" w:type="dxa"/>
            <w:shd w:val="clear" w:color="auto" w:fill="auto"/>
            <w:vAlign w:val="center"/>
          </w:tcPr>
          <w:p w14:paraId="154668C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多功能智能杆5（智慧路灯+车行信号灯）</w:t>
            </w:r>
          </w:p>
        </w:tc>
        <w:tc>
          <w:tcPr>
            <w:tcW w:w="4502" w:type="dxa"/>
            <w:shd w:val="clear" w:color="auto" w:fill="auto"/>
            <w:vAlign w:val="center"/>
          </w:tcPr>
          <w:p w14:paraId="6E6678B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H=15m 横臂4+4m：灯杆下部分材质Q355，厚12mm，无横向焊缝、焊缝整平；灯杆上部分材质Q355，壁厚5.0mm；所有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78CC6996">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4156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3AE12FD9">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74</w:t>
            </w:r>
          </w:p>
        </w:tc>
        <w:tc>
          <w:tcPr>
            <w:tcW w:w="1936" w:type="dxa"/>
            <w:shd w:val="clear" w:color="auto" w:fill="auto"/>
            <w:vAlign w:val="center"/>
          </w:tcPr>
          <w:p w14:paraId="6ADE89E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多功能智能杆6（智慧路灯+车行信号灯）</w:t>
            </w:r>
          </w:p>
        </w:tc>
        <w:tc>
          <w:tcPr>
            <w:tcW w:w="4502" w:type="dxa"/>
            <w:shd w:val="clear" w:color="auto" w:fill="auto"/>
            <w:vAlign w:val="center"/>
          </w:tcPr>
          <w:p w14:paraId="49AF03E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H=12m 横臂8m：灯杆下部分材质Q355，厚8mm，无横向焊缝、焊缝整平；灯杆上部分材质Q355，壁厚5.0mm；所有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684313BF">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0C9D8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63B84AA9">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75</w:t>
            </w:r>
          </w:p>
        </w:tc>
        <w:tc>
          <w:tcPr>
            <w:tcW w:w="1936" w:type="dxa"/>
            <w:shd w:val="clear" w:color="auto" w:fill="auto"/>
            <w:vAlign w:val="center"/>
          </w:tcPr>
          <w:p w14:paraId="0A60E5F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多功能智能杆7（智慧路灯+车行信号灯）</w:t>
            </w:r>
          </w:p>
        </w:tc>
        <w:tc>
          <w:tcPr>
            <w:tcW w:w="4502" w:type="dxa"/>
            <w:shd w:val="clear" w:color="auto" w:fill="auto"/>
            <w:vAlign w:val="center"/>
          </w:tcPr>
          <w:p w14:paraId="04B072E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H=12m 横臂10m：灯杆下部分材质Q355，厚12mm，无横向焊缝、焊缝整平；灯杆上部分材质Q355，壁厚5.0mm；所有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15104142">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5C5B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1EDB2D7C">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76</w:t>
            </w:r>
          </w:p>
        </w:tc>
        <w:tc>
          <w:tcPr>
            <w:tcW w:w="1936" w:type="dxa"/>
            <w:shd w:val="clear" w:color="auto" w:fill="auto"/>
            <w:vAlign w:val="center"/>
          </w:tcPr>
          <w:p w14:paraId="3128A34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多功能智能杆8（智慧路灯+车行信号灯）</w:t>
            </w:r>
          </w:p>
        </w:tc>
        <w:tc>
          <w:tcPr>
            <w:tcW w:w="4502" w:type="dxa"/>
            <w:shd w:val="clear" w:color="auto" w:fill="auto"/>
            <w:vAlign w:val="center"/>
          </w:tcPr>
          <w:p w14:paraId="57E9102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H=12m 横臂12m：灯杆下部分材质Q355，厚12mm，无横向焊缝、焊缝整平；灯杆上部分材质Q355，壁厚5.0mm；所有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5A998FF3">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F61F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3AB01ECA">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77</w:t>
            </w:r>
          </w:p>
        </w:tc>
        <w:tc>
          <w:tcPr>
            <w:tcW w:w="1936" w:type="dxa"/>
            <w:shd w:val="clear" w:color="auto" w:fill="auto"/>
            <w:vAlign w:val="center"/>
          </w:tcPr>
          <w:p w14:paraId="3661061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多功能智能杆9（智慧路灯+车行信号灯）</w:t>
            </w:r>
          </w:p>
        </w:tc>
        <w:tc>
          <w:tcPr>
            <w:tcW w:w="4502" w:type="dxa"/>
            <w:shd w:val="clear" w:color="auto" w:fill="auto"/>
            <w:vAlign w:val="center"/>
          </w:tcPr>
          <w:p w14:paraId="733B620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H=12m 横臂13m：灯杆下部分材质Q355，厚12mm，无横向焊缝、焊缝整平；灯杆上部分材质Q355，壁厚5.0mm；所有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3ED18A2C">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44E9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2021F11D">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78</w:t>
            </w:r>
          </w:p>
        </w:tc>
        <w:tc>
          <w:tcPr>
            <w:tcW w:w="1936" w:type="dxa"/>
            <w:shd w:val="clear" w:color="auto" w:fill="auto"/>
            <w:vAlign w:val="center"/>
          </w:tcPr>
          <w:p w14:paraId="4046735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多功能智能杆12（智慧路灯+电子警察）</w:t>
            </w:r>
          </w:p>
        </w:tc>
        <w:tc>
          <w:tcPr>
            <w:tcW w:w="4502" w:type="dxa"/>
            <w:shd w:val="clear" w:color="auto" w:fill="auto"/>
            <w:vAlign w:val="center"/>
          </w:tcPr>
          <w:p w14:paraId="5D86942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H=12m 横臂6m：灯杆下部分材质Q355，厚8mm，无横向焊缝、焊缝整平；灯杆上部分材质Q355，壁厚5.0mm；所有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785FD932">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4662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54817133">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79</w:t>
            </w:r>
          </w:p>
        </w:tc>
        <w:tc>
          <w:tcPr>
            <w:tcW w:w="1936" w:type="dxa"/>
            <w:shd w:val="clear" w:color="auto" w:fill="auto"/>
            <w:vAlign w:val="center"/>
          </w:tcPr>
          <w:p w14:paraId="0F173A4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多功能智能杆13（智慧路灯+电子警察）</w:t>
            </w:r>
          </w:p>
        </w:tc>
        <w:tc>
          <w:tcPr>
            <w:tcW w:w="4502" w:type="dxa"/>
            <w:shd w:val="clear" w:color="auto" w:fill="auto"/>
            <w:vAlign w:val="center"/>
          </w:tcPr>
          <w:p w14:paraId="11A0974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H=12m 横臂8m：灯杆下部分材质Q355，厚8mm，无横向焊缝、焊缝整平；灯杆上部分材质Q355，壁厚5.0mm；所有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58E4A1CB">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1724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5905734F">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80</w:t>
            </w:r>
          </w:p>
        </w:tc>
        <w:tc>
          <w:tcPr>
            <w:tcW w:w="1936" w:type="dxa"/>
            <w:shd w:val="clear" w:color="auto" w:fill="auto"/>
            <w:vAlign w:val="center"/>
          </w:tcPr>
          <w:p w14:paraId="4CD34DA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多功能智能杆14（智慧路灯+电子警察）</w:t>
            </w:r>
          </w:p>
        </w:tc>
        <w:tc>
          <w:tcPr>
            <w:tcW w:w="4502" w:type="dxa"/>
            <w:shd w:val="clear" w:color="auto" w:fill="auto"/>
            <w:vAlign w:val="center"/>
          </w:tcPr>
          <w:p w14:paraId="6161A26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H=12m 横臂10m：灯杆下部分材质Q355，厚12mm，无横向焊缝、焊缝整平；灯杆上部分材质Q355，壁厚5.0mm；所有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519ED1AE">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46998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55CD0034">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81</w:t>
            </w:r>
          </w:p>
        </w:tc>
        <w:tc>
          <w:tcPr>
            <w:tcW w:w="1936" w:type="dxa"/>
            <w:shd w:val="clear" w:color="auto" w:fill="auto"/>
            <w:vAlign w:val="center"/>
          </w:tcPr>
          <w:p w14:paraId="21CE6AD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多功能智能杆15（智慧路灯+电子警察）</w:t>
            </w:r>
          </w:p>
        </w:tc>
        <w:tc>
          <w:tcPr>
            <w:tcW w:w="4502" w:type="dxa"/>
            <w:shd w:val="clear" w:color="auto" w:fill="auto"/>
            <w:vAlign w:val="center"/>
          </w:tcPr>
          <w:p w14:paraId="7EC98F2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H=12m 横臂12m：灯杆下部分材质Q355，厚12mm，无横向焊缝、焊缝整平；灯杆上部分材质Q355，壁厚5.0mm；所有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7FF28F61">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51AB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6A693040">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82</w:t>
            </w:r>
          </w:p>
        </w:tc>
        <w:tc>
          <w:tcPr>
            <w:tcW w:w="1936" w:type="dxa"/>
            <w:shd w:val="clear" w:color="auto" w:fill="auto"/>
            <w:vAlign w:val="center"/>
          </w:tcPr>
          <w:p w14:paraId="038D582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多功能智能杆16（智慧路灯+电子警察）</w:t>
            </w:r>
          </w:p>
        </w:tc>
        <w:tc>
          <w:tcPr>
            <w:tcW w:w="4502" w:type="dxa"/>
            <w:shd w:val="clear" w:color="auto" w:fill="auto"/>
            <w:vAlign w:val="center"/>
          </w:tcPr>
          <w:p w14:paraId="5271E42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H=12m 横臂13m：灯杆下部分材质Q355，厚12mm，无横向焊缝、焊缝整平；灯杆上部分材质Q355，壁厚5.0mm；所有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57225338">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4223E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24EC60D4">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83</w:t>
            </w:r>
          </w:p>
        </w:tc>
        <w:tc>
          <w:tcPr>
            <w:tcW w:w="1936" w:type="dxa"/>
            <w:shd w:val="clear" w:color="auto" w:fill="auto"/>
            <w:vAlign w:val="center"/>
          </w:tcPr>
          <w:p w14:paraId="28FEF18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多功能智能杆17（智慧路灯+电子警察）</w:t>
            </w:r>
          </w:p>
        </w:tc>
        <w:tc>
          <w:tcPr>
            <w:tcW w:w="4502" w:type="dxa"/>
            <w:shd w:val="clear" w:color="auto" w:fill="auto"/>
            <w:vAlign w:val="center"/>
          </w:tcPr>
          <w:p w14:paraId="0359E2D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H=10m 横臂8m：灯杆下部分材质Q355，厚8mm，无横向焊缝、焊缝整平；灯杆上部分材质Q355，壁厚5.0mm；所有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6C5180FB">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A0E6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686184BD">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84</w:t>
            </w:r>
          </w:p>
        </w:tc>
        <w:tc>
          <w:tcPr>
            <w:tcW w:w="1936" w:type="dxa"/>
            <w:shd w:val="clear" w:color="auto" w:fill="auto"/>
            <w:vAlign w:val="center"/>
          </w:tcPr>
          <w:p w14:paraId="461E581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多功能智能杆18（智慧路灯+电子警察）</w:t>
            </w:r>
          </w:p>
        </w:tc>
        <w:tc>
          <w:tcPr>
            <w:tcW w:w="4502" w:type="dxa"/>
            <w:shd w:val="clear" w:color="auto" w:fill="auto"/>
            <w:vAlign w:val="center"/>
          </w:tcPr>
          <w:p w14:paraId="0233CD9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H=10m 横臂10m：灯杆下部分材质Q355，厚12mm，无横向焊缝、焊缝整平；灯杆上部分材质Q355，壁厚5.0mm；所有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56F0C424">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5326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10731193">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85</w:t>
            </w:r>
          </w:p>
        </w:tc>
        <w:tc>
          <w:tcPr>
            <w:tcW w:w="1936" w:type="dxa"/>
            <w:shd w:val="clear" w:color="auto" w:fill="auto"/>
            <w:vAlign w:val="center"/>
          </w:tcPr>
          <w:p w14:paraId="35A9692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多功能智能杆19（电子警察）</w:t>
            </w:r>
          </w:p>
        </w:tc>
        <w:tc>
          <w:tcPr>
            <w:tcW w:w="4502" w:type="dxa"/>
            <w:shd w:val="clear" w:color="auto" w:fill="auto"/>
            <w:vAlign w:val="center"/>
          </w:tcPr>
          <w:p w14:paraId="2D78062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6m，横臂4m，材质Q355，厚12mm，无横向焊缝、焊缝整平；横臂厚5.0，材质为Q355钢材，所有焊缝整平；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7CC96876">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2526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62C98911">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86</w:t>
            </w:r>
          </w:p>
        </w:tc>
        <w:tc>
          <w:tcPr>
            <w:tcW w:w="1936" w:type="dxa"/>
            <w:shd w:val="clear" w:color="auto" w:fill="auto"/>
            <w:vAlign w:val="center"/>
          </w:tcPr>
          <w:p w14:paraId="61CA436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多功能智能杆20（电子警察）</w:t>
            </w:r>
          </w:p>
        </w:tc>
        <w:tc>
          <w:tcPr>
            <w:tcW w:w="4502" w:type="dxa"/>
            <w:shd w:val="clear" w:color="auto" w:fill="auto"/>
            <w:vAlign w:val="center"/>
          </w:tcPr>
          <w:p w14:paraId="7E7820E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6m，横臂6m，材质Q355，厚8mm，无横向焊缝、焊缝整平；横臂厚5.0，材质为Q355钢材，所有焊缝整平；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56C1B075">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C1AD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0F4767DB">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87</w:t>
            </w:r>
          </w:p>
        </w:tc>
        <w:tc>
          <w:tcPr>
            <w:tcW w:w="1936" w:type="dxa"/>
            <w:shd w:val="clear" w:color="auto" w:fill="auto"/>
            <w:vAlign w:val="center"/>
          </w:tcPr>
          <w:p w14:paraId="7D85FE6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多功能智能杆21（电子警察）</w:t>
            </w:r>
          </w:p>
        </w:tc>
        <w:tc>
          <w:tcPr>
            <w:tcW w:w="4502" w:type="dxa"/>
            <w:shd w:val="clear" w:color="auto" w:fill="auto"/>
            <w:vAlign w:val="center"/>
          </w:tcPr>
          <w:p w14:paraId="4525430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6m，横臂8m，材质Q355，厚8mm，无横向焊缝、焊缝整平；横臂厚6.0，材质为Q355钢材，所有焊缝整平；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3D0F3F82">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868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58946204">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88</w:t>
            </w:r>
          </w:p>
        </w:tc>
        <w:tc>
          <w:tcPr>
            <w:tcW w:w="1936" w:type="dxa"/>
            <w:shd w:val="clear" w:color="auto" w:fill="auto"/>
            <w:vAlign w:val="center"/>
          </w:tcPr>
          <w:p w14:paraId="11E17BF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多功能智能杆22（电子警察）</w:t>
            </w:r>
          </w:p>
        </w:tc>
        <w:tc>
          <w:tcPr>
            <w:tcW w:w="4502" w:type="dxa"/>
            <w:shd w:val="clear" w:color="auto" w:fill="auto"/>
            <w:vAlign w:val="center"/>
          </w:tcPr>
          <w:p w14:paraId="3E7A581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6m，横臂10m，材质Q355，厚12mm，无横向焊缝、焊缝整平；横臂厚6.0，材质为Q355钢材，所有焊缝整平；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2724BF07">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09CB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7A5F5780">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89</w:t>
            </w:r>
          </w:p>
        </w:tc>
        <w:tc>
          <w:tcPr>
            <w:tcW w:w="1936" w:type="dxa"/>
            <w:shd w:val="clear" w:color="auto" w:fill="auto"/>
            <w:vAlign w:val="center"/>
          </w:tcPr>
          <w:p w14:paraId="67FC125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多功能智能杆23（电子警察）</w:t>
            </w:r>
          </w:p>
        </w:tc>
        <w:tc>
          <w:tcPr>
            <w:tcW w:w="4502" w:type="dxa"/>
            <w:shd w:val="clear" w:color="auto" w:fill="auto"/>
            <w:vAlign w:val="center"/>
          </w:tcPr>
          <w:p w14:paraId="14E26AE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H=6m，横臂12m，材质Q355，厚12mm，无横向焊缝、焊缝整平； 横臂厚6.0，材质为Q355钢材，所有焊缝整平；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1F0B037E">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2B52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05FC3121">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90</w:t>
            </w:r>
          </w:p>
        </w:tc>
        <w:tc>
          <w:tcPr>
            <w:tcW w:w="1936" w:type="dxa"/>
            <w:shd w:val="clear" w:color="auto" w:fill="auto"/>
            <w:vAlign w:val="center"/>
          </w:tcPr>
          <w:p w14:paraId="66F9DF5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多功能智能杆24（电子警察）</w:t>
            </w:r>
          </w:p>
        </w:tc>
        <w:tc>
          <w:tcPr>
            <w:tcW w:w="4502" w:type="dxa"/>
            <w:shd w:val="clear" w:color="auto" w:fill="auto"/>
            <w:vAlign w:val="center"/>
          </w:tcPr>
          <w:p w14:paraId="6BCE3CA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6m，横臂13m，材质Q355，厚12mm，无横向焊缝、焊缝整平；横臂厚6.0，材质为Q355钢材，所有焊缝整平；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399826C0">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A4B8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5000EF89">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91</w:t>
            </w:r>
          </w:p>
        </w:tc>
        <w:tc>
          <w:tcPr>
            <w:tcW w:w="1936" w:type="dxa"/>
            <w:shd w:val="clear" w:color="auto" w:fill="auto"/>
            <w:vAlign w:val="center"/>
          </w:tcPr>
          <w:p w14:paraId="39A70D6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多功能智能杆26（车行信号灯）</w:t>
            </w:r>
          </w:p>
        </w:tc>
        <w:tc>
          <w:tcPr>
            <w:tcW w:w="4502" w:type="dxa"/>
            <w:shd w:val="clear" w:color="auto" w:fill="auto"/>
            <w:vAlign w:val="center"/>
          </w:tcPr>
          <w:p w14:paraId="2512E60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6.5m，横臂6m，材质Q355，厚8mm，无横向焊缝、焊缝整平；横臂厚5.0，材质为Q355钢材，所有焊缝整平；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464963AA">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984C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2D3B51FC">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92</w:t>
            </w:r>
          </w:p>
        </w:tc>
        <w:tc>
          <w:tcPr>
            <w:tcW w:w="1936" w:type="dxa"/>
            <w:shd w:val="clear" w:color="auto" w:fill="auto"/>
            <w:vAlign w:val="center"/>
          </w:tcPr>
          <w:p w14:paraId="6278931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多功能智能杆27（车行信号灯）</w:t>
            </w:r>
          </w:p>
        </w:tc>
        <w:tc>
          <w:tcPr>
            <w:tcW w:w="4502" w:type="dxa"/>
            <w:shd w:val="clear" w:color="auto" w:fill="auto"/>
            <w:vAlign w:val="center"/>
          </w:tcPr>
          <w:p w14:paraId="3BDB964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6.5m，横臂8m，材质Q355，厚8mm，无横向焊缝、焊缝整平；横臂厚6.0，材质为Q355钢材，所有焊缝整平；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593B2BC2">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947C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362E96A0">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93</w:t>
            </w:r>
          </w:p>
        </w:tc>
        <w:tc>
          <w:tcPr>
            <w:tcW w:w="1936" w:type="dxa"/>
            <w:shd w:val="clear" w:color="auto" w:fill="auto"/>
            <w:vAlign w:val="center"/>
          </w:tcPr>
          <w:p w14:paraId="2598F9E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多功能智能杆28（车行信号灯）</w:t>
            </w:r>
          </w:p>
        </w:tc>
        <w:tc>
          <w:tcPr>
            <w:tcW w:w="4502" w:type="dxa"/>
            <w:shd w:val="clear" w:color="auto" w:fill="auto"/>
            <w:vAlign w:val="center"/>
          </w:tcPr>
          <w:p w14:paraId="7E46CC6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6.5m，横臂10m，材质Q355，厚12mm，无横向焊缝、焊缝整平；横臂厚6.0，材质为Q355钢材，所有焊缝整平；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3A2672A7">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7496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270FC5FE">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94</w:t>
            </w:r>
          </w:p>
        </w:tc>
        <w:tc>
          <w:tcPr>
            <w:tcW w:w="1936" w:type="dxa"/>
            <w:shd w:val="clear" w:color="auto" w:fill="auto"/>
            <w:vAlign w:val="center"/>
          </w:tcPr>
          <w:p w14:paraId="2AD5493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多功能智能杆29（车行信号灯）</w:t>
            </w:r>
          </w:p>
        </w:tc>
        <w:tc>
          <w:tcPr>
            <w:tcW w:w="4502" w:type="dxa"/>
            <w:shd w:val="clear" w:color="auto" w:fill="auto"/>
            <w:vAlign w:val="center"/>
          </w:tcPr>
          <w:p w14:paraId="776B010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6.5m，横臂12m，材质Q355，厚12mm，无横向焊缝、焊缝整平；横臂厚6.0，材质为Q355钢材，所有焊缝整平；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203A6AE8">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B093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4968460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95</w:t>
            </w:r>
          </w:p>
        </w:tc>
        <w:tc>
          <w:tcPr>
            <w:tcW w:w="1936" w:type="dxa"/>
            <w:shd w:val="clear" w:color="auto" w:fill="auto"/>
            <w:vAlign w:val="center"/>
          </w:tcPr>
          <w:p w14:paraId="140E6E4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多功能智能杆30（车行信号灯）</w:t>
            </w:r>
          </w:p>
        </w:tc>
        <w:tc>
          <w:tcPr>
            <w:tcW w:w="4502" w:type="dxa"/>
            <w:shd w:val="clear" w:color="auto" w:fill="auto"/>
            <w:vAlign w:val="center"/>
          </w:tcPr>
          <w:p w14:paraId="1D8DBE7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6.5m，横臂13m，材质Q355，厚12mm，无横向焊缝、焊缝整平；横臂厚6.0，材质为Q355钢材，所有焊缝整平；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387FC0D8">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7B60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1FB70A4E">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96</w:t>
            </w:r>
          </w:p>
        </w:tc>
        <w:tc>
          <w:tcPr>
            <w:tcW w:w="1936" w:type="dxa"/>
            <w:shd w:val="clear" w:color="auto" w:fill="auto"/>
            <w:vAlign w:val="center"/>
          </w:tcPr>
          <w:p w14:paraId="573CAB4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多功能智能杆31（车行信号灯）</w:t>
            </w:r>
          </w:p>
        </w:tc>
        <w:tc>
          <w:tcPr>
            <w:tcW w:w="4502" w:type="dxa"/>
            <w:shd w:val="clear" w:color="auto" w:fill="auto"/>
            <w:vAlign w:val="center"/>
          </w:tcPr>
          <w:p w14:paraId="06714FF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6.5m，横臂4+4m，材质Q355，厚12mm，无横向焊缝、焊缝整平；横臂厚5.0，材质为Q355钢材，所有焊缝整平；横臂为两根方锥杆（上口100*100，下口140*140，厚5.0，长4000），材质为Q355钢材，所有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00EAE968">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A91D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5DD21F8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97</w:t>
            </w:r>
          </w:p>
        </w:tc>
        <w:tc>
          <w:tcPr>
            <w:tcW w:w="1936" w:type="dxa"/>
            <w:shd w:val="clear" w:color="auto" w:fill="auto"/>
            <w:vAlign w:val="center"/>
          </w:tcPr>
          <w:p w14:paraId="272A190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多功能智能杆32</w:t>
            </w:r>
          </w:p>
        </w:tc>
        <w:tc>
          <w:tcPr>
            <w:tcW w:w="4502" w:type="dxa"/>
            <w:shd w:val="clear" w:color="auto" w:fill="auto"/>
            <w:vAlign w:val="center"/>
          </w:tcPr>
          <w:p w14:paraId="44102D9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15m，L=2.5/2.5/2.5m：灯杆下部分材质Q355，厚8mm，无横向焊缝、焊缝整平；灯杆上部分材质Q355，壁厚5.0mm；所有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25A85375">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014A7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593E88B3">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98</w:t>
            </w:r>
          </w:p>
        </w:tc>
        <w:tc>
          <w:tcPr>
            <w:tcW w:w="1936" w:type="dxa"/>
            <w:shd w:val="clear" w:color="auto" w:fill="auto"/>
            <w:vAlign w:val="center"/>
          </w:tcPr>
          <w:p w14:paraId="6CF2B19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多功能智能杆33</w:t>
            </w:r>
          </w:p>
        </w:tc>
        <w:tc>
          <w:tcPr>
            <w:tcW w:w="4502" w:type="dxa"/>
            <w:shd w:val="clear" w:color="auto" w:fill="auto"/>
            <w:vAlign w:val="center"/>
          </w:tcPr>
          <w:p w14:paraId="3DF491E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H=12m/6m L=2/1.5m：灯杆材质Q355，厚6.0mm，无横向焊缝、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5DCEA0CD">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D588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70FCFCC4">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99</w:t>
            </w:r>
          </w:p>
        </w:tc>
        <w:tc>
          <w:tcPr>
            <w:tcW w:w="1936" w:type="dxa"/>
            <w:shd w:val="clear" w:color="auto" w:fill="auto"/>
            <w:vAlign w:val="center"/>
          </w:tcPr>
          <w:p w14:paraId="4A70251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多功能智能杆34</w:t>
            </w:r>
          </w:p>
        </w:tc>
        <w:tc>
          <w:tcPr>
            <w:tcW w:w="4502" w:type="dxa"/>
            <w:shd w:val="clear" w:color="auto" w:fill="auto"/>
            <w:vAlign w:val="center"/>
          </w:tcPr>
          <w:p w14:paraId="43AF1F4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H=12m/12m L=2m/2m：灯杆材质Q355，厚6.0mm，无横向焊缝、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3814B02D">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1ED5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411EEE06">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100</w:t>
            </w:r>
          </w:p>
        </w:tc>
        <w:tc>
          <w:tcPr>
            <w:tcW w:w="1936" w:type="dxa"/>
            <w:shd w:val="clear" w:color="auto" w:fill="auto"/>
            <w:vAlign w:val="center"/>
          </w:tcPr>
          <w:p w14:paraId="62FE936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多功能智能杆35</w:t>
            </w:r>
          </w:p>
        </w:tc>
        <w:tc>
          <w:tcPr>
            <w:tcW w:w="4502" w:type="dxa"/>
            <w:shd w:val="clear" w:color="auto" w:fill="auto"/>
            <w:vAlign w:val="center"/>
          </w:tcPr>
          <w:p w14:paraId="52BDE6F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H=12m L=2m：灯杆材质Q355，厚6.0mm，无横向焊缝、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0A770D20">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5622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797B40D2">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101</w:t>
            </w:r>
          </w:p>
        </w:tc>
        <w:tc>
          <w:tcPr>
            <w:tcW w:w="1936" w:type="dxa"/>
            <w:shd w:val="clear" w:color="auto" w:fill="auto"/>
            <w:vAlign w:val="center"/>
          </w:tcPr>
          <w:p w14:paraId="493B85A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多功能智能杆36</w:t>
            </w:r>
          </w:p>
        </w:tc>
        <w:tc>
          <w:tcPr>
            <w:tcW w:w="4502" w:type="dxa"/>
            <w:shd w:val="clear" w:color="auto" w:fill="auto"/>
            <w:vAlign w:val="center"/>
          </w:tcPr>
          <w:p w14:paraId="2ABB5C0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H=10m/6m L=2/1.5m：灯杆材质Q355，厚6.0mm，无横向焊缝、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均为三级焊缝。</w:t>
            </w:r>
          </w:p>
        </w:tc>
        <w:tc>
          <w:tcPr>
            <w:tcW w:w="1721" w:type="dxa"/>
            <w:shd w:val="clear" w:color="auto" w:fill="auto"/>
            <w:vAlign w:val="center"/>
          </w:tcPr>
          <w:p w14:paraId="69D3AB06">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2162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3356EF44">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102</w:t>
            </w:r>
          </w:p>
        </w:tc>
        <w:tc>
          <w:tcPr>
            <w:tcW w:w="1936" w:type="dxa"/>
            <w:shd w:val="clear" w:color="auto" w:fill="auto"/>
            <w:vAlign w:val="center"/>
          </w:tcPr>
          <w:p w14:paraId="18C2325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多功能智能杆37</w:t>
            </w:r>
          </w:p>
        </w:tc>
        <w:tc>
          <w:tcPr>
            <w:tcW w:w="4502" w:type="dxa"/>
            <w:shd w:val="clear" w:color="auto" w:fill="auto"/>
            <w:vAlign w:val="center"/>
          </w:tcPr>
          <w:p w14:paraId="4BFC84A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H=10m L=2m：灯杆材质Q355，厚6.0mm，无横向焊缝、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1E3978A5">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BAD7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4980451A">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103</w:t>
            </w:r>
          </w:p>
        </w:tc>
        <w:tc>
          <w:tcPr>
            <w:tcW w:w="1936" w:type="dxa"/>
            <w:shd w:val="clear" w:color="auto" w:fill="auto"/>
            <w:vAlign w:val="center"/>
          </w:tcPr>
          <w:p w14:paraId="007BA95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照明杆38</w:t>
            </w:r>
          </w:p>
        </w:tc>
        <w:tc>
          <w:tcPr>
            <w:tcW w:w="4502" w:type="dxa"/>
            <w:shd w:val="clear" w:color="auto" w:fill="auto"/>
            <w:vAlign w:val="center"/>
          </w:tcPr>
          <w:p w14:paraId="4C2691D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15m：灯杆下部分材质Q235，厚6.0mm，无横向焊缝、焊缝整平；灯杆上部分材质Q235，壁厚5.0mm；所有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33A27662">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C954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4127B87C">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104</w:t>
            </w:r>
          </w:p>
        </w:tc>
        <w:tc>
          <w:tcPr>
            <w:tcW w:w="1936" w:type="dxa"/>
            <w:shd w:val="clear" w:color="auto" w:fill="auto"/>
            <w:vAlign w:val="center"/>
          </w:tcPr>
          <w:p w14:paraId="6D270B5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照明杆39</w:t>
            </w:r>
          </w:p>
        </w:tc>
        <w:tc>
          <w:tcPr>
            <w:tcW w:w="4502" w:type="dxa"/>
            <w:shd w:val="clear" w:color="auto" w:fill="auto"/>
            <w:vAlign w:val="center"/>
          </w:tcPr>
          <w:p w14:paraId="06C7BCB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H=12m/6m L=2/1.5m：灯杆材质Q235，厚6.0mm，无横向焊缝、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7C0AE11F">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0B9FD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502D4AC0">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105</w:t>
            </w:r>
          </w:p>
        </w:tc>
        <w:tc>
          <w:tcPr>
            <w:tcW w:w="1936" w:type="dxa"/>
            <w:shd w:val="clear" w:color="auto" w:fill="auto"/>
            <w:vAlign w:val="center"/>
          </w:tcPr>
          <w:p w14:paraId="66EA10F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照明杆40</w:t>
            </w:r>
          </w:p>
        </w:tc>
        <w:tc>
          <w:tcPr>
            <w:tcW w:w="4502" w:type="dxa"/>
            <w:shd w:val="clear" w:color="auto" w:fill="auto"/>
            <w:vAlign w:val="center"/>
          </w:tcPr>
          <w:p w14:paraId="59DD87C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H=12m/12m L=2/2m：灯杆材质Q235，厚6.0mm，无横向焊缝、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5AFEB5AD">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45358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65A006EF">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106</w:t>
            </w:r>
          </w:p>
        </w:tc>
        <w:tc>
          <w:tcPr>
            <w:tcW w:w="1936" w:type="dxa"/>
            <w:shd w:val="clear" w:color="auto" w:fill="auto"/>
            <w:vAlign w:val="center"/>
          </w:tcPr>
          <w:p w14:paraId="06F0090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照明杆41</w:t>
            </w:r>
          </w:p>
        </w:tc>
        <w:tc>
          <w:tcPr>
            <w:tcW w:w="4502" w:type="dxa"/>
            <w:shd w:val="clear" w:color="auto" w:fill="auto"/>
            <w:vAlign w:val="center"/>
          </w:tcPr>
          <w:p w14:paraId="63AE763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H=12m L=2m：灯杆材质Q235，厚6.0mm，无横向焊缝、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43976025">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20E9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27D7AE55">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107</w:t>
            </w:r>
          </w:p>
        </w:tc>
        <w:tc>
          <w:tcPr>
            <w:tcW w:w="1936" w:type="dxa"/>
            <w:shd w:val="clear" w:color="auto" w:fill="auto"/>
            <w:vAlign w:val="center"/>
          </w:tcPr>
          <w:p w14:paraId="751417D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照明杆42</w:t>
            </w:r>
          </w:p>
        </w:tc>
        <w:tc>
          <w:tcPr>
            <w:tcW w:w="4502" w:type="dxa"/>
            <w:shd w:val="clear" w:color="auto" w:fill="auto"/>
            <w:vAlign w:val="center"/>
          </w:tcPr>
          <w:p w14:paraId="1BBD1A4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H=10/6m L=2/1.5m：灯杆材质Q235，厚5.0mm，无横向焊缝、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及以下采用防粘贴工艺处理；现场安装时应保证杆件与基础电气连接，并设置接地点；杆件内部电线电缆应采用阻燃软管穿线实现强弱电分离；灯杆焊缝应匀称、无虚焊，焊缝质量等级均不低于三级焊缝。</w:t>
            </w:r>
          </w:p>
        </w:tc>
        <w:tc>
          <w:tcPr>
            <w:tcW w:w="1721" w:type="dxa"/>
            <w:shd w:val="clear" w:color="auto" w:fill="auto"/>
            <w:vAlign w:val="center"/>
          </w:tcPr>
          <w:p w14:paraId="15AECE1B">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6482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28E75C55">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108</w:t>
            </w:r>
          </w:p>
        </w:tc>
        <w:tc>
          <w:tcPr>
            <w:tcW w:w="1936" w:type="dxa"/>
            <w:shd w:val="clear" w:color="auto" w:fill="auto"/>
            <w:vAlign w:val="center"/>
          </w:tcPr>
          <w:p w14:paraId="36475C9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照明杆43</w:t>
            </w:r>
          </w:p>
        </w:tc>
        <w:tc>
          <w:tcPr>
            <w:tcW w:w="4502" w:type="dxa"/>
            <w:shd w:val="clear" w:color="auto" w:fill="auto"/>
            <w:vAlign w:val="center"/>
          </w:tcPr>
          <w:p w14:paraId="1F9303F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H=10m L=2m：灯杆材质Q235，厚5.0mm，无横向焊缝、焊缝整平、灯臂采用不锈钢材质；钢结构整体热浸锌，锌层厚度不低于85μm；表面氟碳漆，氟碳漆厚度不低于60μm，含氟量≥30%；检修门结构应做加强处理且具有防技术开启功能锁；紧固件均采用不锈钢304材质；横臂采用免法兰连接工艺，与整体杆件风格保持一致；杆体2.5m以下采用防粘贴工艺处理；杆体厂内装配及出厂调试工作应满足本项目要求。现场安装时应保证杆件与基础良好电气连接，并设置接地点；杆件内部电线电缆应采用阻燃软管穿线实现强弱电分离；灯杆焊缝应匀称、无虚焊，焊缝质量等级不低于三级焊缝。</w:t>
            </w:r>
          </w:p>
        </w:tc>
        <w:tc>
          <w:tcPr>
            <w:tcW w:w="1721" w:type="dxa"/>
            <w:shd w:val="clear" w:color="auto" w:fill="auto"/>
            <w:vAlign w:val="center"/>
          </w:tcPr>
          <w:p w14:paraId="354B7A09">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916B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2CCC6C3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（六）</w:t>
            </w:r>
          </w:p>
        </w:tc>
        <w:tc>
          <w:tcPr>
            <w:tcW w:w="1936" w:type="dxa"/>
            <w:shd w:val="clear" w:color="auto" w:fill="auto"/>
            <w:vAlign w:val="center"/>
          </w:tcPr>
          <w:p w14:paraId="0C120A2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智驾服务设施</w:t>
            </w:r>
          </w:p>
        </w:tc>
        <w:tc>
          <w:tcPr>
            <w:tcW w:w="4502" w:type="dxa"/>
            <w:shd w:val="clear" w:color="auto" w:fill="auto"/>
            <w:vAlign w:val="center"/>
          </w:tcPr>
          <w:p w14:paraId="5029AF3F">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c>
          <w:tcPr>
            <w:tcW w:w="1721" w:type="dxa"/>
            <w:shd w:val="clear" w:color="auto" w:fill="auto"/>
            <w:vAlign w:val="center"/>
          </w:tcPr>
          <w:p w14:paraId="5C58F502">
            <w:pPr>
              <w:keepNext/>
              <w:snapToGrid w:val="0"/>
              <w:ind w:left="0" w:leftChars="0" w:right="0" w:rightChars="0" w:firstLine="0" w:firstLineChars="0"/>
              <w:jc w:val="left"/>
              <w:rPr>
                <w:rFonts w:hint="eastAsia" w:ascii="宋体" w:hAnsi="宋体" w:eastAsia="宋体" w:cs="宋体"/>
                <w:b/>
                <w:bCs/>
                <w:i w:val="0"/>
                <w:iCs w:val="0"/>
                <w:color w:val="000000"/>
                <w:sz w:val="20"/>
                <w:szCs w:val="20"/>
                <w:u w:val="none"/>
              </w:rPr>
            </w:pPr>
          </w:p>
        </w:tc>
      </w:tr>
      <w:tr w14:paraId="42F35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vMerge w:val="restart"/>
            <w:shd w:val="clear" w:color="auto" w:fill="auto"/>
            <w:vAlign w:val="center"/>
          </w:tcPr>
          <w:p w14:paraId="685B54FC">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109</w:t>
            </w:r>
          </w:p>
        </w:tc>
        <w:tc>
          <w:tcPr>
            <w:tcW w:w="1936" w:type="dxa"/>
            <w:vMerge w:val="restart"/>
            <w:shd w:val="clear" w:color="auto" w:fill="auto"/>
            <w:vAlign w:val="center"/>
          </w:tcPr>
          <w:p w14:paraId="4186D23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全息路口边缘单元</w:t>
            </w:r>
          </w:p>
        </w:tc>
        <w:tc>
          <w:tcPr>
            <w:tcW w:w="4502" w:type="dxa"/>
            <w:shd w:val="clear" w:color="auto" w:fill="auto"/>
            <w:vAlign w:val="center"/>
          </w:tcPr>
          <w:p w14:paraId="3CE56DD7">
            <w:pPr>
              <w:keepNext w:val="0"/>
              <w:snapToGrid/>
              <w:ind w:left="0" w:leftChars="0" w:right="0" w:rightChars="0" w:firstLine="0" w:firstLineChars="0"/>
              <w:jc w:val="left"/>
              <w:rPr>
                <w:rFonts w:hint="eastAsia" w:ascii="宋体" w:hAnsi="宋体" w:eastAsia="宋体" w:cs="宋体"/>
                <w:b/>
                <w:bCs/>
                <w:i w:val="0"/>
                <w:iCs w:val="0"/>
                <w:color w:val="000000"/>
                <w:sz w:val="20"/>
                <w:szCs w:val="20"/>
                <w:u w:val="none"/>
              </w:rPr>
            </w:pPr>
            <w:r>
              <w:rPr>
                <w:rFonts w:hint="eastAsia" w:ascii="宋体" w:hAnsi="宋体" w:cs="宋体"/>
                <w:b/>
                <w:bCs/>
                <w:color w:val="000000"/>
                <w:kern w:val="0"/>
                <w:sz w:val="20"/>
                <w:szCs w:val="20"/>
              </w:rPr>
              <w:t>▲</w:t>
            </w:r>
            <w:r>
              <w:rPr>
                <w:rFonts w:hint="eastAsia" w:ascii="宋体" w:hAnsi="宋体" w:cs="宋体"/>
                <w:b/>
                <w:bCs/>
                <w:color w:val="000000"/>
                <w:kern w:val="0"/>
                <w:sz w:val="20"/>
                <w:szCs w:val="20"/>
                <w:lang w:val="en-US" w:eastAsia="zh-CN"/>
              </w:rPr>
              <w:t>1.</w:t>
            </w:r>
            <w:r>
              <w:rPr>
                <w:rFonts w:hint="eastAsia" w:ascii="宋体" w:hAnsi="宋体" w:eastAsia="宋体" w:cs="宋体"/>
                <w:b/>
                <w:bCs/>
                <w:i w:val="0"/>
                <w:iCs w:val="0"/>
                <w:color w:val="000000"/>
                <w:sz w:val="20"/>
                <w:szCs w:val="20"/>
                <w:u w:val="none"/>
              </w:rPr>
              <w:t>CPU：≥8核，主频≥1.5GHz</w:t>
            </w:r>
            <w:r>
              <w:rPr>
                <w:rFonts w:hint="eastAsia" w:ascii="宋体" w:hAnsi="宋体" w:eastAsia="宋体" w:cs="宋体"/>
                <w:b/>
                <w:bCs/>
                <w:i w:val="0"/>
                <w:iCs w:val="0"/>
                <w:color w:val="000000"/>
                <w:sz w:val="20"/>
                <w:szCs w:val="20"/>
                <w:u w:val="none"/>
                <w:lang w:eastAsia="zh-CN"/>
              </w:rPr>
              <w:t>；</w:t>
            </w:r>
            <w:r>
              <w:rPr>
                <w:rFonts w:hint="eastAsia" w:ascii="宋体" w:hAnsi="宋体" w:eastAsia="宋体" w:cs="宋体"/>
                <w:b/>
                <w:bCs/>
                <w:i w:val="0"/>
                <w:iCs w:val="0"/>
                <w:color w:val="000000"/>
                <w:sz w:val="20"/>
                <w:szCs w:val="20"/>
                <w:u w:val="none"/>
              </w:rPr>
              <w:t>存储：≥512GB</w:t>
            </w:r>
            <w:r>
              <w:rPr>
                <w:rFonts w:hint="eastAsia" w:ascii="宋体" w:hAnsi="宋体" w:eastAsia="宋体" w:cs="宋体"/>
                <w:b/>
                <w:bCs/>
                <w:i w:val="0"/>
                <w:iCs w:val="0"/>
                <w:color w:val="000000"/>
                <w:sz w:val="20"/>
                <w:szCs w:val="20"/>
                <w:u w:val="none"/>
                <w:lang w:eastAsia="zh-CN"/>
              </w:rPr>
              <w:t>；</w:t>
            </w:r>
            <w:r>
              <w:rPr>
                <w:rFonts w:hint="eastAsia" w:ascii="宋体" w:hAnsi="宋体" w:eastAsia="宋体" w:cs="宋体"/>
                <w:b/>
                <w:bCs/>
                <w:i w:val="0"/>
                <w:iCs w:val="0"/>
                <w:color w:val="000000"/>
                <w:sz w:val="20"/>
                <w:szCs w:val="20"/>
                <w:u w:val="none"/>
              </w:rPr>
              <w:t>AI算力：≥140TOPS</w:t>
            </w:r>
            <w:r>
              <w:rPr>
                <w:rFonts w:hint="eastAsia" w:ascii="宋体" w:hAnsi="宋体" w:eastAsia="宋体" w:cs="宋体"/>
                <w:b/>
                <w:bCs/>
                <w:i w:val="0"/>
                <w:iCs w:val="0"/>
                <w:color w:val="000000"/>
                <w:sz w:val="20"/>
                <w:szCs w:val="20"/>
                <w:u w:val="none"/>
                <w:lang w:eastAsia="zh-CN"/>
              </w:rPr>
              <w:t>。</w:t>
            </w:r>
          </w:p>
        </w:tc>
        <w:tc>
          <w:tcPr>
            <w:tcW w:w="1721" w:type="dxa"/>
            <w:shd w:val="clear" w:color="auto" w:fill="auto"/>
            <w:vAlign w:val="center"/>
          </w:tcPr>
          <w:p w14:paraId="5DDAA448">
            <w:pPr>
              <w:keepNext/>
              <w:snapToGrid w:val="0"/>
              <w:ind w:left="0" w:leftChars="0" w:right="0" w:rightChars="0" w:firstLine="0" w:firstLineChars="0"/>
              <w:jc w:val="left"/>
              <w:rPr>
                <w:rFonts w:hint="eastAsia" w:ascii="宋体" w:hAnsi="宋体" w:eastAsia="宋体" w:cs="宋体"/>
                <w:b/>
                <w:bCs/>
                <w:i w:val="0"/>
                <w:iCs w:val="0"/>
                <w:color w:val="000000"/>
                <w:sz w:val="20"/>
                <w:szCs w:val="20"/>
                <w:u w:val="none"/>
                <w:lang w:eastAsia="zh-CN"/>
              </w:rPr>
            </w:pPr>
            <w:r>
              <w:rPr>
                <w:rFonts w:hint="eastAsia" w:ascii="宋体" w:hAnsi="宋体" w:eastAsia="宋体" w:cs="宋体"/>
                <w:b/>
                <w:bCs/>
                <w:i w:val="0"/>
                <w:iCs w:val="0"/>
                <w:color w:val="000000"/>
                <w:sz w:val="20"/>
                <w:szCs w:val="20"/>
                <w:u w:val="none"/>
              </w:rPr>
              <w:t>提</w:t>
            </w:r>
            <w:r>
              <w:rPr>
                <w:rFonts w:hint="eastAsia" w:ascii="宋体" w:hAnsi="宋体" w:eastAsia="宋体" w:cs="宋体"/>
                <w:b/>
                <w:bCs/>
                <w:i w:val="0"/>
                <w:iCs w:val="0"/>
                <w:color w:val="auto"/>
                <w:sz w:val="20"/>
                <w:szCs w:val="20"/>
                <w:u w:val="none"/>
              </w:rPr>
              <w:t>供</w:t>
            </w:r>
            <w:r>
              <w:rPr>
                <w:rFonts w:hint="eastAsia"/>
                <w:b/>
                <w:bCs/>
                <w:color w:val="auto"/>
                <w:lang w:val="en-US" w:eastAsia="zh-CN"/>
              </w:rPr>
              <w:t>产品说明书功能截图或产品彩页功能截图</w:t>
            </w:r>
            <w:r>
              <w:rPr>
                <w:rFonts w:hint="eastAsia" w:ascii="宋体" w:hAnsi="宋体" w:eastAsia="宋体" w:cs="宋体"/>
                <w:b/>
                <w:bCs/>
                <w:i w:val="0"/>
                <w:iCs w:val="0"/>
                <w:color w:val="auto"/>
                <w:sz w:val="20"/>
                <w:szCs w:val="20"/>
                <w:u w:val="none"/>
                <w:lang w:val="en-US" w:eastAsia="zh-CN"/>
              </w:rPr>
              <w:t>扫描件，</w:t>
            </w:r>
            <w:r>
              <w:rPr>
                <w:rFonts w:hint="eastAsia" w:ascii="宋体" w:hAnsi="宋体" w:eastAsia="宋体" w:cs="宋体"/>
                <w:b/>
                <w:color w:val="auto"/>
                <w:sz w:val="20"/>
                <w:szCs w:val="21"/>
              </w:rPr>
              <w:t>要求内容能体现满足上述参数要求</w:t>
            </w:r>
            <w:r>
              <w:rPr>
                <w:rFonts w:hint="eastAsia" w:ascii="宋体" w:hAnsi="宋体" w:eastAsia="宋体" w:cs="宋体"/>
                <w:b/>
                <w:color w:val="auto"/>
                <w:sz w:val="20"/>
                <w:szCs w:val="21"/>
                <w:lang w:eastAsia="zh-CN"/>
              </w:rPr>
              <w:t>。</w:t>
            </w:r>
          </w:p>
        </w:tc>
      </w:tr>
      <w:tr w14:paraId="14706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vMerge w:val="continue"/>
            <w:shd w:val="clear" w:color="auto" w:fill="auto"/>
            <w:vAlign w:val="center"/>
          </w:tcPr>
          <w:p w14:paraId="1EB072ED">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p>
        </w:tc>
        <w:tc>
          <w:tcPr>
            <w:tcW w:w="1936" w:type="dxa"/>
            <w:vMerge w:val="continue"/>
            <w:shd w:val="clear" w:color="auto" w:fill="auto"/>
            <w:vAlign w:val="center"/>
          </w:tcPr>
          <w:p w14:paraId="3DC7B5E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p>
        </w:tc>
        <w:tc>
          <w:tcPr>
            <w:tcW w:w="4502" w:type="dxa"/>
            <w:shd w:val="clear" w:color="auto" w:fill="auto"/>
            <w:vAlign w:val="center"/>
          </w:tcPr>
          <w:p w14:paraId="224181F9">
            <w:pPr>
              <w:keepNext/>
              <w:snapToGrid w:val="0"/>
              <w:ind w:left="0" w:leftChars="0" w:right="0" w:rightChars="0" w:firstLine="0" w:firstLineChars="0"/>
              <w:jc w:val="left"/>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lang w:val="en-US" w:eastAsia="zh-CN"/>
              </w:rPr>
              <w:t>2.</w:t>
            </w:r>
            <w:r>
              <w:rPr>
                <w:rFonts w:hint="eastAsia" w:ascii="宋体" w:hAnsi="宋体" w:eastAsia="宋体" w:cs="宋体"/>
                <w:i w:val="0"/>
                <w:iCs w:val="0"/>
                <w:color w:val="000000"/>
                <w:sz w:val="20"/>
                <w:szCs w:val="20"/>
                <w:u w:val="none"/>
              </w:rPr>
              <w:t>内存：≥24GB</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电源：220V AC</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功耗：单加速卡≤60W，整机≤150W（正常工作）</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工作温度：-20℃-65℃</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感知准召率（均值）不低于90%</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交通参与者对象感知位置精度（均值）≤1.5m</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交通参与者对象感知速度精度（均值）≤3.6km/h</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路侧系统感知端到端时延（均值）≤200ms</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支持不少于12路感知设备做路口通行目标轨迹融合接力功能；支持对不同感知设备中同一个车辆进行关联，车辆跨设备连续跟踪</w:t>
            </w:r>
            <w:r>
              <w:rPr>
                <w:rFonts w:hint="eastAsia" w:ascii="宋体" w:hAnsi="宋体" w:eastAsia="宋体" w:cs="宋体"/>
                <w:i w:val="0"/>
                <w:iCs w:val="0"/>
                <w:color w:val="000000"/>
                <w:sz w:val="20"/>
                <w:szCs w:val="20"/>
                <w:u w:val="none"/>
                <w:lang w:eastAsia="zh-CN"/>
              </w:rPr>
              <w:t>。</w:t>
            </w:r>
          </w:p>
        </w:tc>
        <w:tc>
          <w:tcPr>
            <w:tcW w:w="1721" w:type="dxa"/>
            <w:shd w:val="clear" w:color="auto" w:fill="auto"/>
            <w:vAlign w:val="center"/>
          </w:tcPr>
          <w:p w14:paraId="6AB905A6">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B569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5DE59D80">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110</w:t>
            </w:r>
          </w:p>
        </w:tc>
        <w:tc>
          <w:tcPr>
            <w:tcW w:w="1936" w:type="dxa"/>
            <w:shd w:val="clear" w:color="auto" w:fill="auto"/>
            <w:vAlign w:val="center"/>
          </w:tcPr>
          <w:p w14:paraId="4A9B743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低时延枪式相机</w:t>
            </w:r>
          </w:p>
        </w:tc>
        <w:tc>
          <w:tcPr>
            <w:tcW w:w="4502" w:type="dxa"/>
            <w:shd w:val="clear" w:color="auto" w:fill="auto"/>
            <w:vAlign w:val="center"/>
          </w:tcPr>
          <w:p w14:paraId="457F2741">
            <w:pPr>
              <w:keepNext/>
              <w:keepLines w:val="0"/>
              <w:widowControl/>
              <w:suppressLineNumbers w:val="0"/>
              <w:snapToGrid w:val="0"/>
              <w:ind w:left="0" w:leftChars="0" w:right="0" w:rightChars="0" w:firstLine="0" w:firstLineChars="0"/>
              <w:jc w:val="left"/>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分辨率：≥800万像素，最大分辨率3840 × 2160@50fps；延时：端到端延时≤90ms；码流：支持输出H.265或H.264码流；传感器≥1/1.8英寸 CMOS 图像传感器，高感光度，高信噪比，支持高宽动态；防护设计：支持网络防雷、防浪涌、防静电，满足恶劣环境使用要求，防护等级IP66</w:t>
            </w:r>
            <w:r>
              <w:rPr>
                <w:rFonts w:hint="eastAsia"/>
                <w:lang w:eastAsia="zh-CN"/>
              </w:rPr>
              <w:t>；</w:t>
            </w:r>
            <w:r>
              <w:rPr>
                <w:rFonts w:hint="eastAsia" w:ascii="宋体" w:hAnsi="宋体" w:eastAsia="宋体" w:cs="宋体"/>
                <w:i w:val="0"/>
                <w:iCs w:val="0"/>
                <w:color w:val="000000"/>
                <w:kern w:val="0"/>
                <w:sz w:val="20"/>
                <w:szCs w:val="20"/>
                <w:u w:val="none"/>
                <w:lang w:val="en-US" w:eastAsia="zh-CN" w:bidi="ar"/>
              </w:rPr>
              <w:t>支持自动白平衡、自动电子快门、畸变校正；支持 NTP 校时、卫星校时、高精度 PTP 校时，每帧数据都带毫秒级曝光时间戳；接口：支持网络接口、USB 接口、RS-485 接口、RS-232 接口、报警输入输出；</w:t>
            </w:r>
            <w:r>
              <w:rPr>
                <w:rFonts w:hint="eastAsia" w:ascii="宋体" w:hAnsi="宋体" w:eastAsia="宋体" w:cs="宋体"/>
                <w:i w:val="0"/>
                <w:iCs w:val="0"/>
                <w:strike w:val="0"/>
                <w:dstrike w:val="0"/>
                <w:color w:val="000000"/>
                <w:kern w:val="0"/>
                <w:sz w:val="20"/>
                <w:szCs w:val="20"/>
                <w:u w:val="none"/>
                <w:lang w:val="en-US" w:eastAsia="zh-CN" w:bidi="ar"/>
              </w:rPr>
              <w:t>支持图像防篡改，视频具备水印和校验功能。</w:t>
            </w:r>
          </w:p>
        </w:tc>
        <w:tc>
          <w:tcPr>
            <w:tcW w:w="1721" w:type="dxa"/>
            <w:shd w:val="clear" w:color="auto" w:fill="auto"/>
            <w:vAlign w:val="center"/>
          </w:tcPr>
          <w:p w14:paraId="590C4B12">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96A2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58C901C0">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111</w:t>
            </w:r>
          </w:p>
        </w:tc>
        <w:tc>
          <w:tcPr>
            <w:tcW w:w="1936" w:type="dxa"/>
            <w:shd w:val="clear" w:color="auto" w:fill="auto"/>
            <w:vAlign w:val="center"/>
          </w:tcPr>
          <w:p w14:paraId="41CCE25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低时延鱼眼相机</w:t>
            </w:r>
          </w:p>
        </w:tc>
        <w:tc>
          <w:tcPr>
            <w:tcW w:w="4502" w:type="dxa"/>
            <w:shd w:val="clear" w:color="auto" w:fill="auto"/>
            <w:vAlign w:val="center"/>
          </w:tcPr>
          <w:p w14:paraId="641EF5B2">
            <w:pPr>
              <w:keepNext/>
              <w:keepLines w:val="0"/>
              <w:widowControl/>
              <w:suppressLineNumbers w:val="0"/>
              <w:snapToGrid w:val="0"/>
              <w:ind w:left="0" w:leftChars="0" w:right="0" w:rightChars="0" w:firstLine="0" w:firstLineChars="0"/>
              <w:jc w:val="left"/>
              <w:textAlignment w:val="center"/>
              <w:rPr>
                <w:rFonts w:hint="eastAsia" w:ascii="宋体" w:eastAsia="宋体"/>
                <w:sz w:val="20"/>
                <w:lang w:val="en-US" w:eastAsia="zh-CN"/>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分辨率：≥400万像素，支持</w:t>
            </w:r>
            <w:r>
              <w:rPr>
                <w:rFonts w:hint="eastAsia" w:ascii="宋体" w:eastAsia="宋体"/>
                <w:sz w:val="20"/>
                <w:lang w:val="en-US" w:eastAsia="zh-CN"/>
              </w:rPr>
              <w:t>2048 x 2048@60fps</w:t>
            </w:r>
          </w:p>
          <w:p w14:paraId="094FFB7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传感器≥1/1.8英寸 CMOS；视频压缩：支持H.265或H.264；支持NVIF(profileS/profileG)、ISAPI、GB28181协议接入；内置麦克风与扬声器,支持双向语音；支持IP66防护等级</w:t>
            </w:r>
            <w:r>
              <w:rPr>
                <w:rFonts w:hint="eastAsia"/>
                <w:lang w:eastAsia="zh-CN"/>
              </w:rPr>
              <w:t>；</w:t>
            </w:r>
            <w:r>
              <w:rPr>
                <w:rFonts w:hint="eastAsia" w:ascii="宋体" w:hAnsi="宋体" w:eastAsia="宋体" w:cs="宋体"/>
                <w:i w:val="0"/>
                <w:iCs w:val="0"/>
                <w:strike w:val="0"/>
                <w:dstrike w:val="0"/>
                <w:color w:val="000000"/>
                <w:kern w:val="0"/>
                <w:sz w:val="20"/>
                <w:szCs w:val="20"/>
                <w:u w:val="none"/>
                <w:lang w:val="en-US" w:eastAsia="zh-CN" w:bidi="ar"/>
              </w:rPr>
              <w:t>支持IK8防暴等级</w:t>
            </w:r>
            <w:r>
              <w:rPr>
                <w:rFonts w:hint="eastAsia"/>
                <w:lang w:eastAsia="zh-CN"/>
              </w:rPr>
              <w:t>；</w:t>
            </w:r>
            <w:r>
              <w:rPr>
                <w:rFonts w:hint="eastAsia" w:ascii="宋体" w:hAnsi="宋体" w:eastAsia="宋体" w:cs="宋体"/>
                <w:i w:val="0"/>
                <w:iCs w:val="0"/>
                <w:strike w:val="0"/>
                <w:dstrike w:val="0"/>
                <w:color w:val="000000"/>
                <w:kern w:val="0"/>
                <w:sz w:val="20"/>
                <w:szCs w:val="20"/>
                <w:u w:val="none"/>
                <w:lang w:val="en-US" w:eastAsia="zh-CN" w:bidi="ar"/>
              </w:rPr>
              <w:t>功能:IP地址过滤,心跳,报警,一键恢复，镜像，视频遮盖，水印；</w:t>
            </w:r>
            <w:r>
              <w:rPr>
                <w:rFonts w:hint="eastAsia" w:ascii="宋体" w:hAnsi="宋体" w:eastAsia="宋体" w:cs="宋体"/>
                <w:i w:val="0"/>
                <w:iCs w:val="0"/>
                <w:color w:val="000000"/>
                <w:kern w:val="0"/>
                <w:sz w:val="20"/>
                <w:szCs w:val="20"/>
                <w:u w:val="none"/>
                <w:lang w:val="en-US" w:eastAsia="zh-CN" w:bidi="ar"/>
              </w:rPr>
              <w:t>智能报警：网线断、IP地址冲突、非法登录、存储器异常；红外功能：红外补光，照射距离≥15m，支持ICR红外滤片式自动切换；智能录像:支持断网续传功能保证录像不丢失,支持事件录像的智能后检索、分析和浓缩播放；智能编码:支持低码率、低延时、ROI感兴趣区域增强编码、SVC自适应编码技术，可根据场景情况自适应调整码率分配。</w:t>
            </w:r>
          </w:p>
        </w:tc>
        <w:tc>
          <w:tcPr>
            <w:tcW w:w="1721" w:type="dxa"/>
            <w:shd w:val="clear" w:color="auto" w:fill="auto"/>
            <w:vAlign w:val="center"/>
          </w:tcPr>
          <w:p w14:paraId="740CA8FA">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699F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7FBAF8AA">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112</w:t>
            </w:r>
          </w:p>
        </w:tc>
        <w:tc>
          <w:tcPr>
            <w:tcW w:w="1936" w:type="dxa"/>
            <w:shd w:val="clear" w:color="auto" w:fill="auto"/>
            <w:vAlign w:val="center"/>
          </w:tcPr>
          <w:p w14:paraId="46FD309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全息路口感知设备</w:t>
            </w:r>
          </w:p>
        </w:tc>
        <w:tc>
          <w:tcPr>
            <w:tcW w:w="4502" w:type="dxa"/>
            <w:shd w:val="clear" w:color="auto" w:fill="auto"/>
            <w:vAlign w:val="center"/>
          </w:tcPr>
          <w:p w14:paraId="541BDF3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配套配置①相机1-2个：分辨率：≥800万像素，最大分辨率3840 × 2160@50fps；延时：端到端延时≤90ms；码流：支持输出H.265或H.264码流；传感器≥ 1/1.8英寸 CMOS 图像传感器，高感光度，高信噪比，支持高宽动态；防护设计：支持网络防雷、防浪涌、防静电，满足恶劣环境使用要求，防护等级IP66；支持自动白平衡、自动电子快门、畸变校正；支持 NTP 校时、卫星校时、高精度 PTP 校时，每帧数据都带毫秒级曝光时间戳；接口：支持网络接口、USB 接口、RS-485 接口、RS-232 接口、报警输入输出；</w:t>
            </w:r>
            <w:r>
              <w:rPr>
                <w:rFonts w:hint="eastAsia" w:ascii="宋体" w:hAnsi="宋体" w:eastAsia="宋体" w:cs="宋体"/>
                <w:i w:val="0"/>
                <w:iCs w:val="0"/>
                <w:strike w:val="0"/>
                <w:dstrike w:val="0"/>
                <w:color w:val="000000"/>
                <w:kern w:val="0"/>
                <w:sz w:val="20"/>
                <w:szCs w:val="20"/>
                <w:u w:val="none"/>
                <w:lang w:val="en-US" w:eastAsia="zh-CN" w:bidi="ar"/>
              </w:rPr>
              <w:t>支持图像防篡改，视频具备水印和校验功能。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套配置②雷达：工作频率：79-81GHz，中心频率80GHz，中心频率误差±10MHz；发射功率：≤13dBm；天线类型：平板型微带阵列天线；测速范围：-200km/h-200km/h；测速精度：0.3km/h；速度分辨率：≤0.6km/h；探测距离：≥200m；车道覆盖数：≥4车道；角度分辨率：宽波束≤6.2°，窄波束≤1.8°；车辆轨迹捕获准确率：≥95%；跟踪目标个数：≥256；平均车速检测精度：≥95%；</w:t>
            </w:r>
            <w:r>
              <w:rPr>
                <w:rFonts w:hint="eastAsia" w:ascii="宋体" w:hAnsi="宋体" w:eastAsia="宋体" w:cs="宋体"/>
                <w:i w:val="0"/>
                <w:iCs w:val="0"/>
                <w:strike w:val="0"/>
                <w:dstrike w:val="0"/>
                <w:color w:val="000000"/>
                <w:kern w:val="0"/>
                <w:sz w:val="20"/>
                <w:szCs w:val="20"/>
                <w:u w:val="none"/>
                <w:lang w:val="en-US" w:eastAsia="zh-CN" w:bidi="ar"/>
              </w:rPr>
              <w:t>逆行车辆识别准确率：≥95%；变道车辆识别准确率：≥95%；</w:t>
            </w:r>
            <w:r>
              <w:rPr>
                <w:rFonts w:hint="eastAsia" w:ascii="宋体" w:hAnsi="宋体" w:eastAsia="宋体" w:cs="宋体"/>
                <w:i w:val="0"/>
                <w:iCs w:val="0"/>
                <w:color w:val="000000"/>
                <w:kern w:val="0"/>
                <w:sz w:val="20"/>
                <w:szCs w:val="20"/>
                <w:u w:val="none"/>
                <w:lang w:val="en-US" w:eastAsia="zh-CN" w:bidi="ar"/>
              </w:rPr>
              <w:t>异常停车事件准确率：≥95%；数据更新率：≤100ms；防护等级：IP66。</w:t>
            </w:r>
          </w:p>
        </w:tc>
        <w:tc>
          <w:tcPr>
            <w:tcW w:w="1721" w:type="dxa"/>
            <w:shd w:val="clear" w:color="auto" w:fill="auto"/>
            <w:vAlign w:val="center"/>
          </w:tcPr>
          <w:p w14:paraId="75C9A871">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B6D6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21D82EDB">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113</w:t>
            </w:r>
          </w:p>
        </w:tc>
        <w:tc>
          <w:tcPr>
            <w:tcW w:w="1936" w:type="dxa"/>
            <w:shd w:val="clear" w:color="auto" w:fill="auto"/>
            <w:vAlign w:val="center"/>
          </w:tcPr>
          <w:p w14:paraId="3C1A2F0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挂杆箱</w:t>
            </w:r>
          </w:p>
        </w:tc>
        <w:tc>
          <w:tcPr>
            <w:tcW w:w="4502" w:type="dxa"/>
            <w:shd w:val="clear" w:color="auto" w:fill="auto"/>
            <w:vAlign w:val="center"/>
          </w:tcPr>
          <w:p w14:paraId="50C2439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lang w:eastAsia="zh-CN"/>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背挂在立杆上，含配套安装支架、防盗锁、漏电保护模块、电源模块、防雷模块、印丝标志和字样等；防护等级不低于IP55；</w:t>
            </w:r>
            <w:r>
              <w:rPr>
                <w:rFonts w:hint="eastAsia" w:ascii="宋体" w:hAnsi="宋体" w:eastAsia="宋体" w:cs="宋体"/>
                <w:i w:val="0"/>
                <w:iCs w:val="0"/>
                <w:color w:val="000000"/>
                <w:sz w:val="20"/>
                <w:szCs w:val="20"/>
                <w:u w:val="none"/>
              </w:rPr>
              <w:t>箱体尺寸为500mm</w:t>
            </w:r>
            <w:r>
              <w:rPr>
                <w:rFonts w:hint="eastAsia" w:ascii="宋体" w:hAnsi="宋体" w:eastAsia="宋体" w:cs="宋体"/>
                <w:i w:val="0"/>
                <w:iCs w:val="0"/>
                <w:color w:val="000000"/>
                <w:sz w:val="20"/>
                <w:szCs w:val="20"/>
                <w:u w:val="none"/>
                <w:lang w:eastAsia="zh-CN"/>
              </w:rPr>
              <w:t>（长）</w:t>
            </w:r>
            <w:r>
              <w:rPr>
                <w:rFonts w:hint="eastAsia" w:ascii="宋体" w:hAnsi="宋体" w:eastAsia="宋体" w:cs="宋体"/>
                <w:i w:val="0"/>
                <w:iCs w:val="0"/>
                <w:color w:val="000000"/>
                <w:sz w:val="20"/>
                <w:szCs w:val="20"/>
                <w:u w:val="none"/>
              </w:rPr>
              <w:t>*400mm</w:t>
            </w:r>
            <w:r>
              <w:rPr>
                <w:rFonts w:hint="eastAsia" w:ascii="宋体" w:hAnsi="宋体" w:eastAsia="宋体" w:cs="宋体"/>
                <w:i w:val="0"/>
                <w:iCs w:val="0"/>
                <w:color w:val="000000"/>
                <w:sz w:val="20"/>
                <w:szCs w:val="20"/>
                <w:u w:val="none"/>
                <w:lang w:eastAsia="zh-CN"/>
              </w:rPr>
              <w:t>（宽）</w:t>
            </w:r>
            <w:r>
              <w:rPr>
                <w:rFonts w:hint="eastAsia" w:ascii="宋体" w:hAnsi="宋体" w:eastAsia="宋体" w:cs="宋体"/>
                <w:i w:val="0"/>
                <w:iCs w:val="0"/>
                <w:color w:val="000000"/>
                <w:sz w:val="20"/>
                <w:szCs w:val="20"/>
                <w:u w:val="none"/>
              </w:rPr>
              <w:t>*300mm</w:t>
            </w:r>
            <w:r>
              <w:rPr>
                <w:rFonts w:hint="eastAsia" w:ascii="宋体" w:hAnsi="宋体" w:eastAsia="宋体" w:cs="宋体"/>
                <w:i w:val="0"/>
                <w:iCs w:val="0"/>
                <w:color w:val="000000"/>
                <w:sz w:val="20"/>
                <w:szCs w:val="20"/>
                <w:u w:val="none"/>
                <w:lang w:eastAsia="zh-CN"/>
              </w:rPr>
              <w:t>（深）</w:t>
            </w:r>
            <w:r>
              <w:rPr>
                <w:rFonts w:hint="eastAsia" w:ascii="宋体" w:hAnsi="宋体" w:eastAsia="宋体" w:cs="宋体"/>
                <w:i w:val="0"/>
                <w:iCs w:val="0"/>
                <w:color w:val="000000"/>
                <w:sz w:val="20"/>
                <w:szCs w:val="20"/>
                <w:u w:val="none"/>
              </w:rPr>
              <w:t>（</w:t>
            </w:r>
            <w:r>
              <w:rPr>
                <w:rFonts w:hint="eastAsia" w:ascii="宋体" w:hAnsi="宋体" w:eastAsia="宋体" w:cs="宋体"/>
                <w:b w:val="0"/>
                <w:bCs w:val="0"/>
                <w:color w:val="000000"/>
                <w:kern w:val="0"/>
                <w:sz w:val="20"/>
                <w:szCs w:val="20"/>
                <w:u w:val="none"/>
                <w:lang w:bidi="ar"/>
              </w:rPr>
              <w:t>整体尺寸允差±10mm</w:t>
            </w:r>
            <w:r>
              <w:rPr>
                <w:rFonts w:hint="eastAsia" w:ascii="宋体" w:hAnsi="宋体" w:eastAsia="宋体" w:cs="宋体"/>
                <w:i w:val="0"/>
                <w:iCs w:val="0"/>
                <w:color w:val="000000"/>
                <w:sz w:val="20"/>
                <w:szCs w:val="20"/>
                <w:u w:val="none"/>
              </w:rPr>
              <w:t>），材质采用防锈、抗高温、耐腐蚀的冷轧钢板喷塑外壳，箱体板厚度1.0mm，箱顶采用帽檐斜顶方式设计，防护等级为IP55；具有防盗功能，安装防水锁，所有锁芯应配统一钥匙。内部布局合理、规范、内部走线清晰。箱内配备2P 16A空气开关1只、40KA电源防雷器1只、五孔维护插座2只、5位接地铜排1只，并配备智能运维终端1只；安全防护功能：支持箱门门禁检测功能，可远程设置箱门布防或撤防，当机箱处于箱门布防状态时开启箱门将触发开门报警，报警信息可上传至平台端</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断电监测功能；内置电源监测模块，当机箱与外接电源断开连接并且无后备电源时，能将断电告警信息上传至平台端；断网监测功能：当机箱与网络断开连接时可触发报警，报警信息可上传至平台端；输出功能：当产品智能运维终端发生故障时，产品的电压输出端口仍可正常工作。加密功能：支持对通信数据进行加密</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看门狗复位功能：支持当智能运维终端死机时，具有看门狗自动复位功能</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电磁兼容性性能测试要求：产品通过静电放电抗扰度，射频电磁场辐射抗扰度，电快速瞬变脉冲群抗扰度，浪涌抗扰度，工频磁场抗扰度，传导骚扰度，抗电强度以及泄漏电流试验</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登陆密码设置：产品预设登陆密码，登陆密码可修改，并可验证设置的密码格式是否符合密码强度要求（大小写英文+数字+特殊字符）</w:t>
            </w:r>
            <w:r>
              <w:rPr>
                <w:rFonts w:hint="eastAsia" w:ascii="宋体" w:hAnsi="宋体" w:eastAsia="宋体" w:cs="宋体"/>
                <w:i w:val="0"/>
                <w:iCs w:val="0"/>
                <w:color w:val="000000"/>
                <w:sz w:val="20"/>
                <w:szCs w:val="20"/>
                <w:u w:val="none"/>
                <w:lang w:eastAsia="zh-CN"/>
              </w:rPr>
              <w:t>。</w:t>
            </w:r>
          </w:p>
        </w:tc>
        <w:tc>
          <w:tcPr>
            <w:tcW w:w="1721" w:type="dxa"/>
            <w:shd w:val="clear" w:color="auto" w:fill="auto"/>
            <w:vAlign w:val="center"/>
          </w:tcPr>
          <w:p w14:paraId="6CC714AC">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BE3F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302C20AC">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114</w:t>
            </w:r>
          </w:p>
        </w:tc>
        <w:tc>
          <w:tcPr>
            <w:tcW w:w="1936" w:type="dxa"/>
            <w:shd w:val="clear" w:color="auto" w:fill="auto"/>
            <w:vAlign w:val="center"/>
          </w:tcPr>
          <w:p w14:paraId="65AE55F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工业交换机（8电+4光）</w:t>
            </w:r>
          </w:p>
        </w:tc>
        <w:tc>
          <w:tcPr>
            <w:tcW w:w="4502" w:type="dxa"/>
            <w:shd w:val="clear" w:color="auto" w:fill="auto"/>
            <w:vAlign w:val="center"/>
          </w:tcPr>
          <w:p w14:paraId="4B10E61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支持千兆电口≥8个，千兆光口≥4个，即插即用</w:t>
            </w:r>
            <w:r>
              <w:rPr>
                <w:rFonts w:hint="eastAsia" w:ascii="宋体" w:hAnsi="宋体" w:eastAsia="宋体" w:cs="宋体"/>
                <w:i w:val="0"/>
                <w:iCs w:val="0"/>
                <w:strike w:val="0"/>
                <w:dstrike w:val="0"/>
                <w:color w:val="000000"/>
                <w:kern w:val="0"/>
                <w:sz w:val="20"/>
                <w:szCs w:val="20"/>
                <w:u w:val="none"/>
                <w:lang w:val="en-US" w:eastAsia="zh-CN" w:bidi="ar"/>
              </w:rPr>
              <w:t>导轨式、双电源；</w:t>
            </w:r>
            <w:r>
              <w:rPr>
                <w:rFonts w:hint="eastAsia" w:ascii="宋体" w:hAnsi="宋体" w:eastAsia="宋体" w:cs="宋体"/>
                <w:i w:val="0"/>
                <w:iCs w:val="0"/>
                <w:color w:val="000000"/>
                <w:kern w:val="0"/>
                <w:sz w:val="20"/>
                <w:szCs w:val="20"/>
                <w:u w:val="none"/>
                <w:lang w:val="en-US" w:eastAsia="zh-CN" w:bidi="ar"/>
              </w:rPr>
              <w:t>交换容量≥430Gbps，包转发率≥20Mpps。</w:t>
            </w:r>
          </w:p>
        </w:tc>
        <w:tc>
          <w:tcPr>
            <w:tcW w:w="1721" w:type="dxa"/>
            <w:shd w:val="clear" w:color="auto" w:fill="auto"/>
            <w:vAlign w:val="center"/>
          </w:tcPr>
          <w:p w14:paraId="6020847C">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B949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2E84B66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115</w:t>
            </w:r>
          </w:p>
        </w:tc>
        <w:tc>
          <w:tcPr>
            <w:tcW w:w="1936" w:type="dxa"/>
            <w:shd w:val="clear" w:color="auto" w:fill="auto"/>
            <w:vAlign w:val="center"/>
          </w:tcPr>
          <w:p w14:paraId="48DD988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交换机光模块</w:t>
            </w:r>
          </w:p>
        </w:tc>
        <w:tc>
          <w:tcPr>
            <w:tcW w:w="4502" w:type="dxa"/>
            <w:shd w:val="clear" w:color="auto" w:fill="auto"/>
            <w:vAlign w:val="center"/>
          </w:tcPr>
          <w:p w14:paraId="310C8D1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光模块（传输距离-15KM）。</w:t>
            </w:r>
          </w:p>
        </w:tc>
        <w:tc>
          <w:tcPr>
            <w:tcW w:w="1721" w:type="dxa"/>
            <w:shd w:val="clear" w:color="auto" w:fill="auto"/>
            <w:vAlign w:val="center"/>
          </w:tcPr>
          <w:p w14:paraId="064069C4">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B48E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389B8F20">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116</w:t>
            </w:r>
          </w:p>
        </w:tc>
        <w:tc>
          <w:tcPr>
            <w:tcW w:w="1936" w:type="dxa"/>
            <w:shd w:val="clear" w:color="auto" w:fill="auto"/>
            <w:vAlign w:val="center"/>
          </w:tcPr>
          <w:p w14:paraId="2880D6C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485串口转换器</w:t>
            </w:r>
          </w:p>
        </w:tc>
        <w:tc>
          <w:tcPr>
            <w:tcW w:w="4502" w:type="dxa"/>
            <w:shd w:val="clear" w:color="auto" w:fill="auto"/>
            <w:vAlign w:val="center"/>
          </w:tcPr>
          <w:p w14:paraId="73BA7DF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实现RS232/485/422转以太网双向透传功能，具备1路以太网口，10/100Mbps速率；串口波特率从600bps 到230.4Kbps可自定义，工作模式可选择TCP Client、TCP Server、UDP Client、UDP Server、HTTPD Client；支持 Modbus 网关功能。</w:t>
            </w:r>
          </w:p>
        </w:tc>
        <w:tc>
          <w:tcPr>
            <w:tcW w:w="1721" w:type="dxa"/>
            <w:shd w:val="clear" w:color="auto" w:fill="auto"/>
            <w:vAlign w:val="center"/>
          </w:tcPr>
          <w:p w14:paraId="5C37E49D">
            <w:pPr>
              <w:keepNext/>
              <w:snapToGrid w:val="0"/>
              <w:ind w:left="0" w:leftChars="0" w:right="0" w:rightChars="0" w:firstLine="0" w:firstLineChars="0"/>
              <w:jc w:val="left"/>
              <w:rPr>
                <w:rFonts w:hint="default" w:ascii="宋体" w:hAnsi="宋体" w:eastAsia="宋体" w:cs="宋体"/>
                <w:i w:val="0"/>
                <w:iCs w:val="0"/>
                <w:color w:val="000000"/>
                <w:sz w:val="20"/>
                <w:szCs w:val="20"/>
                <w:u w:val="none"/>
                <w:lang w:val="en-US" w:eastAsia="zh-CN"/>
              </w:rPr>
            </w:pPr>
          </w:p>
        </w:tc>
      </w:tr>
      <w:tr w14:paraId="6B2E4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6AE8CEB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（七）</w:t>
            </w:r>
          </w:p>
        </w:tc>
        <w:tc>
          <w:tcPr>
            <w:tcW w:w="1936" w:type="dxa"/>
            <w:shd w:val="clear" w:color="auto" w:fill="auto"/>
            <w:vAlign w:val="center"/>
          </w:tcPr>
          <w:p w14:paraId="03920F5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辅助配套</w:t>
            </w:r>
          </w:p>
        </w:tc>
        <w:tc>
          <w:tcPr>
            <w:tcW w:w="4502" w:type="dxa"/>
            <w:shd w:val="clear" w:color="auto" w:fill="auto"/>
            <w:vAlign w:val="center"/>
          </w:tcPr>
          <w:p w14:paraId="194929FC">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c>
          <w:tcPr>
            <w:tcW w:w="1721" w:type="dxa"/>
            <w:shd w:val="clear" w:color="auto" w:fill="auto"/>
            <w:vAlign w:val="center"/>
          </w:tcPr>
          <w:p w14:paraId="6E6E8711">
            <w:pPr>
              <w:keepNext/>
              <w:snapToGrid w:val="0"/>
              <w:ind w:left="0" w:leftChars="0" w:right="0" w:rightChars="0" w:firstLine="0" w:firstLineChars="0"/>
              <w:jc w:val="left"/>
              <w:rPr>
                <w:rFonts w:hint="eastAsia" w:ascii="宋体" w:hAnsi="宋体" w:eastAsia="宋体" w:cs="宋体"/>
                <w:b/>
                <w:bCs/>
                <w:i w:val="0"/>
                <w:iCs w:val="0"/>
                <w:color w:val="000000"/>
                <w:sz w:val="20"/>
                <w:szCs w:val="20"/>
                <w:u w:val="none"/>
              </w:rPr>
            </w:pPr>
          </w:p>
        </w:tc>
      </w:tr>
      <w:tr w14:paraId="58152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2473299B">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1936" w:type="dxa"/>
            <w:shd w:val="clear" w:color="auto" w:fill="auto"/>
            <w:noWrap/>
            <w:vAlign w:val="center"/>
          </w:tcPr>
          <w:p w14:paraId="564520B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信号控制设备配套</w:t>
            </w:r>
          </w:p>
        </w:tc>
        <w:tc>
          <w:tcPr>
            <w:tcW w:w="4502" w:type="dxa"/>
            <w:shd w:val="clear" w:color="auto" w:fill="auto"/>
            <w:vAlign w:val="center"/>
          </w:tcPr>
          <w:p w14:paraId="6A1E1AC2">
            <w:pPr>
              <w:keepNext/>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c>
          <w:tcPr>
            <w:tcW w:w="1721" w:type="dxa"/>
            <w:shd w:val="clear" w:color="auto" w:fill="auto"/>
            <w:vAlign w:val="center"/>
          </w:tcPr>
          <w:p w14:paraId="2084616D">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30BC4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59783EDC">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117</w:t>
            </w:r>
          </w:p>
        </w:tc>
        <w:tc>
          <w:tcPr>
            <w:tcW w:w="1936" w:type="dxa"/>
            <w:shd w:val="clear" w:color="auto" w:fill="auto"/>
            <w:vAlign w:val="center"/>
          </w:tcPr>
          <w:p w14:paraId="09CACB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（7*1.5）</w:t>
            </w:r>
          </w:p>
        </w:tc>
        <w:tc>
          <w:tcPr>
            <w:tcW w:w="4502" w:type="dxa"/>
            <w:shd w:val="clear" w:color="auto" w:fill="auto"/>
            <w:vAlign w:val="center"/>
          </w:tcPr>
          <w:p w14:paraId="44E9780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RVV-7*1.5mm2。</w:t>
            </w:r>
          </w:p>
        </w:tc>
        <w:tc>
          <w:tcPr>
            <w:tcW w:w="1721" w:type="dxa"/>
            <w:shd w:val="clear" w:color="auto" w:fill="auto"/>
            <w:vAlign w:val="center"/>
          </w:tcPr>
          <w:p w14:paraId="1608A3AE">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7476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36AC8A66">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118</w:t>
            </w:r>
          </w:p>
        </w:tc>
        <w:tc>
          <w:tcPr>
            <w:tcW w:w="1936" w:type="dxa"/>
            <w:shd w:val="clear" w:color="auto" w:fill="auto"/>
            <w:vAlign w:val="center"/>
          </w:tcPr>
          <w:p w14:paraId="738953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（4*1.5）</w:t>
            </w:r>
          </w:p>
        </w:tc>
        <w:tc>
          <w:tcPr>
            <w:tcW w:w="4502" w:type="dxa"/>
            <w:shd w:val="clear" w:color="auto" w:fill="auto"/>
            <w:vAlign w:val="center"/>
          </w:tcPr>
          <w:p w14:paraId="0A96D21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RVV-4*1.5mm2。</w:t>
            </w:r>
          </w:p>
        </w:tc>
        <w:tc>
          <w:tcPr>
            <w:tcW w:w="1721" w:type="dxa"/>
            <w:shd w:val="clear" w:color="auto" w:fill="auto"/>
            <w:vAlign w:val="center"/>
          </w:tcPr>
          <w:p w14:paraId="4F847B0D">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027D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783999B2">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119</w:t>
            </w:r>
          </w:p>
        </w:tc>
        <w:tc>
          <w:tcPr>
            <w:tcW w:w="1936" w:type="dxa"/>
            <w:shd w:val="clear" w:color="auto" w:fill="auto"/>
            <w:vAlign w:val="center"/>
          </w:tcPr>
          <w:p w14:paraId="445516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（4*1.0）</w:t>
            </w:r>
          </w:p>
        </w:tc>
        <w:tc>
          <w:tcPr>
            <w:tcW w:w="4502" w:type="dxa"/>
            <w:shd w:val="clear" w:color="auto" w:fill="auto"/>
            <w:vAlign w:val="center"/>
          </w:tcPr>
          <w:p w14:paraId="0FB6A46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RVSP-4*1mm2。</w:t>
            </w:r>
          </w:p>
        </w:tc>
        <w:tc>
          <w:tcPr>
            <w:tcW w:w="1721" w:type="dxa"/>
            <w:shd w:val="clear" w:color="auto" w:fill="auto"/>
            <w:vAlign w:val="center"/>
          </w:tcPr>
          <w:p w14:paraId="58B48AE7">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9754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633FEEE6">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120</w:t>
            </w:r>
          </w:p>
        </w:tc>
        <w:tc>
          <w:tcPr>
            <w:tcW w:w="1936" w:type="dxa"/>
            <w:shd w:val="clear" w:color="auto" w:fill="auto"/>
            <w:vAlign w:val="center"/>
          </w:tcPr>
          <w:p w14:paraId="73CA0C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（3*1.5）</w:t>
            </w:r>
          </w:p>
        </w:tc>
        <w:tc>
          <w:tcPr>
            <w:tcW w:w="4502" w:type="dxa"/>
            <w:shd w:val="clear" w:color="auto" w:fill="auto"/>
            <w:vAlign w:val="center"/>
          </w:tcPr>
          <w:p w14:paraId="2B4EBDB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RVV-3*1.5mm2。</w:t>
            </w:r>
          </w:p>
        </w:tc>
        <w:tc>
          <w:tcPr>
            <w:tcW w:w="1721" w:type="dxa"/>
            <w:shd w:val="clear" w:color="auto" w:fill="auto"/>
            <w:vAlign w:val="center"/>
          </w:tcPr>
          <w:p w14:paraId="23396823">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6679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497B5A7D">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121</w:t>
            </w:r>
          </w:p>
        </w:tc>
        <w:tc>
          <w:tcPr>
            <w:tcW w:w="1936" w:type="dxa"/>
            <w:shd w:val="clear" w:color="auto" w:fill="auto"/>
            <w:vAlign w:val="center"/>
          </w:tcPr>
          <w:p w14:paraId="78D0AC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（3*1.0）</w:t>
            </w:r>
          </w:p>
        </w:tc>
        <w:tc>
          <w:tcPr>
            <w:tcW w:w="4502" w:type="dxa"/>
            <w:shd w:val="clear" w:color="auto" w:fill="auto"/>
            <w:vAlign w:val="center"/>
          </w:tcPr>
          <w:p w14:paraId="6DDC76F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RVV-3*1.0mm2。</w:t>
            </w:r>
          </w:p>
        </w:tc>
        <w:tc>
          <w:tcPr>
            <w:tcW w:w="1721" w:type="dxa"/>
            <w:shd w:val="clear" w:color="auto" w:fill="auto"/>
            <w:vAlign w:val="center"/>
          </w:tcPr>
          <w:p w14:paraId="7D10B7CF">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3461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0B739BC0">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122</w:t>
            </w:r>
          </w:p>
        </w:tc>
        <w:tc>
          <w:tcPr>
            <w:tcW w:w="1936" w:type="dxa"/>
            <w:shd w:val="clear" w:color="auto" w:fill="auto"/>
            <w:vAlign w:val="center"/>
          </w:tcPr>
          <w:p w14:paraId="2DF0A7A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运营管理单位告知牌</w:t>
            </w:r>
          </w:p>
        </w:tc>
        <w:tc>
          <w:tcPr>
            <w:tcW w:w="4502" w:type="dxa"/>
            <w:shd w:val="clear" w:color="auto" w:fill="auto"/>
            <w:vAlign w:val="center"/>
          </w:tcPr>
          <w:p w14:paraId="3FB8602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黄底黑字；悬臂式信号灯杆告知牌：1.6m（长）*0.6m（高）。</w:t>
            </w:r>
          </w:p>
        </w:tc>
        <w:tc>
          <w:tcPr>
            <w:tcW w:w="1721" w:type="dxa"/>
            <w:shd w:val="clear" w:color="auto" w:fill="auto"/>
            <w:vAlign w:val="center"/>
          </w:tcPr>
          <w:p w14:paraId="132EEDD8">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CDF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7B45EA1A">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1936" w:type="dxa"/>
            <w:shd w:val="clear" w:color="auto" w:fill="auto"/>
            <w:noWrap/>
            <w:vAlign w:val="center"/>
          </w:tcPr>
          <w:p w14:paraId="5C4EC46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电警卡口设备配套</w:t>
            </w:r>
          </w:p>
        </w:tc>
        <w:tc>
          <w:tcPr>
            <w:tcW w:w="4502" w:type="dxa"/>
            <w:shd w:val="clear" w:color="auto" w:fill="auto"/>
            <w:vAlign w:val="center"/>
          </w:tcPr>
          <w:p w14:paraId="3880F1AB">
            <w:pPr>
              <w:keepNext/>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c>
          <w:tcPr>
            <w:tcW w:w="1721" w:type="dxa"/>
            <w:shd w:val="clear" w:color="auto" w:fill="auto"/>
            <w:vAlign w:val="center"/>
          </w:tcPr>
          <w:p w14:paraId="38DA329E">
            <w:pPr>
              <w:keepNext/>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r>
      <w:tr w14:paraId="0850D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39BC79EE">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123</w:t>
            </w:r>
          </w:p>
        </w:tc>
        <w:tc>
          <w:tcPr>
            <w:tcW w:w="1936" w:type="dxa"/>
            <w:shd w:val="clear" w:color="auto" w:fill="auto"/>
            <w:vAlign w:val="center"/>
          </w:tcPr>
          <w:p w14:paraId="145631B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光缆终端盒</w:t>
            </w:r>
          </w:p>
        </w:tc>
        <w:tc>
          <w:tcPr>
            <w:tcW w:w="4502" w:type="dxa"/>
            <w:shd w:val="clear" w:color="auto" w:fill="auto"/>
            <w:vAlign w:val="center"/>
          </w:tcPr>
          <w:p w14:paraId="748116D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光缆芯数：4芯；4口熔纤盒，含满配耦合器、尾纤、跳线。</w:t>
            </w:r>
          </w:p>
        </w:tc>
        <w:tc>
          <w:tcPr>
            <w:tcW w:w="1721" w:type="dxa"/>
            <w:shd w:val="clear" w:color="auto" w:fill="auto"/>
            <w:vAlign w:val="center"/>
          </w:tcPr>
          <w:p w14:paraId="56927125">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A793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306AA273">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124</w:t>
            </w:r>
          </w:p>
        </w:tc>
        <w:tc>
          <w:tcPr>
            <w:tcW w:w="1936" w:type="dxa"/>
            <w:shd w:val="clear" w:color="auto" w:fill="auto"/>
            <w:vAlign w:val="center"/>
          </w:tcPr>
          <w:p w14:paraId="227ECB4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熔纤点</w:t>
            </w:r>
          </w:p>
        </w:tc>
        <w:tc>
          <w:tcPr>
            <w:tcW w:w="4502" w:type="dxa"/>
            <w:shd w:val="clear" w:color="auto" w:fill="auto"/>
            <w:vAlign w:val="center"/>
          </w:tcPr>
          <w:p w14:paraId="7ABE95D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光纤终端盒内对熔。</w:t>
            </w:r>
          </w:p>
        </w:tc>
        <w:tc>
          <w:tcPr>
            <w:tcW w:w="1721" w:type="dxa"/>
            <w:shd w:val="clear" w:color="auto" w:fill="auto"/>
            <w:vAlign w:val="center"/>
          </w:tcPr>
          <w:p w14:paraId="7EE4A4ED">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83EF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2CD75DF1">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125</w:t>
            </w:r>
          </w:p>
        </w:tc>
        <w:tc>
          <w:tcPr>
            <w:tcW w:w="1936" w:type="dxa"/>
            <w:shd w:val="clear" w:color="auto" w:fill="auto"/>
            <w:vAlign w:val="center"/>
          </w:tcPr>
          <w:p w14:paraId="58BD9C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（4芯）</w:t>
            </w:r>
          </w:p>
        </w:tc>
        <w:tc>
          <w:tcPr>
            <w:tcW w:w="4502" w:type="dxa"/>
            <w:shd w:val="clear" w:color="auto" w:fill="auto"/>
            <w:vAlign w:val="center"/>
          </w:tcPr>
          <w:p w14:paraId="55554C8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4芯室外单模光纤；含光纤接头。</w:t>
            </w:r>
          </w:p>
        </w:tc>
        <w:tc>
          <w:tcPr>
            <w:tcW w:w="1721" w:type="dxa"/>
            <w:shd w:val="clear" w:color="auto" w:fill="auto"/>
            <w:vAlign w:val="center"/>
          </w:tcPr>
          <w:p w14:paraId="3A980CE0">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F2A3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9" w:type="dxa"/>
            <w:shd w:val="clear" w:color="auto" w:fill="auto"/>
            <w:vAlign w:val="center"/>
          </w:tcPr>
          <w:p w14:paraId="168715AB">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126</w:t>
            </w:r>
          </w:p>
        </w:tc>
        <w:tc>
          <w:tcPr>
            <w:tcW w:w="1936" w:type="dxa"/>
            <w:shd w:val="clear" w:color="auto" w:fill="auto"/>
            <w:vAlign w:val="center"/>
          </w:tcPr>
          <w:p w14:paraId="1C758F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（3*6）</w:t>
            </w:r>
          </w:p>
        </w:tc>
        <w:tc>
          <w:tcPr>
            <w:tcW w:w="4502" w:type="dxa"/>
            <w:shd w:val="clear" w:color="auto" w:fill="auto"/>
            <w:vAlign w:val="center"/>
          </w:tcPr>
          <w:p w14:paraId="77085D5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RVV-3*6mm2。</w:t>
            </w:r>
          </w:p>
        </w:tc>
        <w:tc>
          <w:tcPr>
            <w:tcW w:w="1721" w:type="dxa"/>
            <w:shd w:val="clear" w:color="auto" w:fill="auto"/>
            <w:vAlign w:val="center"/>
          </w:tcPr>
          <w:p w14:paraId="50AFC43C">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E16D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124C6972">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127</w:t>
            </w:r>
          </w:p>
        </w:tc>
        <w:tc>
          <w:tcPr>
            <w:tcW w:w="1936" w:type="dxa"/>
            <w:shd w:val="clear" w:color="auto" w:fill="auto"/>
            <w:vAlign w:val="center"/>
          </w:tcPr>
          <w:p w14:paraId="348C9E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（CAT6类）</w:t>
            </w:r>
          </w:p>
        </w:tc>
        <w:tc>
          <w:tcPr>
            <w:tcW w:w="4502" w:type="dxa"/>
            <w:shd w:val="clear" w:color="auto" w:fill="auto"/>
            <w:vAlign w:val="center"/>
          </w:tcPr>
          <w:p w14:paraId="4E07F25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CAT6类网线。</w:t>
            </w:r>
          </w:p>
        </w:tc>
        <w:tc>
          <w:tcPr>
            <w:tcW w:w="1721" w:type="dxa"/>
            <w:shd w:val="clear" w:color="auto" w:fill="auto"/>
            <w:vAlign w:val="center"/>
          </w:tcPr>
          <w:p w14:paraId="0F05F80D">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F721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67BB82DC">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128</w:t>
            </w:r>
          </w:p>
        </w:tc>
        <w:tc>
          <w:tcPr>
            <w:tcW w:w="1936" w:type="dxa"/>
            <w:shd w:val="clear" w:color="auto" w:fill="auto"/>
            <w:vAlign w:val="center"/>
          </w:tcPr>
          <w:p w14:paraId="66906D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（3*1.5）</w:t>
            </w:r>
          </w:p>
        </w:tc>
        <w:tc>
          <w:tcPr>
            <w:tcW w:w="4502" w:type="dxa"/>
            <w:shd w:val="clear" w:color="auto" w:fill="auto"/>
            <w:vAlign w:val="center"/>
          </w:tcPr>
          <w:p w14:paraId="20D926E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RVV-3*1.5mm2。</w:t>
            </w:r>
          </w:p>
        </w:tc>
        <w:tc>
          <w:tcPr>
            <w:tcW w:w="1721" w:type="dxa"/>
            <w:shd w:val="clear" w:color="auto" w:fill="auto"/>
            <w:vAlign w:val="center"/>
          </w:tcPr>
          <w:p w14:paraId="527F98FF">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4BCC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38451F0B">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129</w:t>
            </w:r>
          </w:p>
        </w:tc>
        <w:tc>
          <w:tcPr>
            <w:tcW w:w="1936" w:type="dxa"/>
            <w:shd w:val="clear" w:color="auto" w:fill="auto"/>
            <w:vAlign w:val="center"/>
          </w:tcPr>
          <w:p w14:paraId="05110B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（4*1.0）</w:t>
            </w:r>
          </w:p>
        </w:tc>
        <w:tc>
          <w:tcPr>
            <w:tcW w:w="4502" w:type="dxa"/>
            <w:shd w:val="clear" w:color="auto" w:fill="auto"/>
            <w:vAlign w:val="center"/>
          </w:tcPr>
          <w:p w14:paraId="1BB5CF5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RVSP-4*1mm2。</w:t>
            </w:r>
          </w:p>
        </w:tc>
        <w:tc>
          <w:tcPr>
            <w:tcW w:w="1721" w:type="dxa"/>
            <w:shd w:val="clear" w:color="auto" w:fill="auto"/>
            <w:vAlign w:val="center"/>
          </w:tcPr>
          <w:p w14:paraId="4F75E933">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4C1C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7CD63A83">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1936" w:type="dxa"/>
            <w:shd w:val="clear" w:color="auto" w:fill="auto"/>
            <w:noWrap/>
            <w:vAlign w:val="center"/>
          </w:tcPr>
          <w:p w14:paraId="4273510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视频监控设备配套</w:t>
            </w:r>
          </w:p>
        </w:tc>
        <w:tc>
          <w:tcPr>
            <w:tcW w:w="4502" w:type="dxa"/>
            <w:shd w:val="clear" w:color="auto" w:fill="auto"/>
            <w:vAlign w:val="center"/>
          </w:tcPr>
          <w:p w14:paraId="3E7EF091">
            <w:pPr>
              <w:keepNext/>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c>
          <w:tcPr>
            <w:tcW w:w="1721" w:type="dxa"/>
            <w:shd w:val="clear" w:color="auto" w:fill="auto"/>
            <w:vAlign w:val="center"/>
          </w:tcPr>
          <w:p w14:paraId="57D1DC17">
            <w:pPr>
              <w:keepNext/>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r>
      <w:tr w14:paraId="73D5D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0C7B237A">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130</w:t>
            </w:r>
          </w:p>
        </w:tc>
        <w:tc>
          <w:tcPr>
            <w:tcW w:w="1936" w:type="dxa"/>
            <w:shd w:val="clear" w:color="auto" w:fill="auto"/>
            <w:vAlign w:val="center"/>
          </w:tcPr>
          <w:p w14:paraId="56C38E9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光缆终端盒</w:t>
            </w:r>
          </w:p>
        </w:tc>
        <w:tc>
          <w:tcPr>
            <w:tcW w:w="4502" w:type="dxa"/>
            <w:shd w:val="clear" w:color="auto" w:fill="auto"/>
            <w:vAlign w:val="center"/>
          </w:tcPr>
          <w:p w14:paraId="5361531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光缆芯数：2芯；2口熔纤盒，含满配耦合器、尾纤。</w:t>
            </w:r>
          </w:p>
        </w:tc>
        <w:tc>
          <w:tcPr>
            <w:tcW w:w="1721" w:type="dxa"/>
            <w:shd w:val="clear" w:color="auto" w:fill="auto"/>
            <w:vAlign w:val="center"/>
          </w:tcPr>
          <w:p w14:paraId="3C78B1DE">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E7AE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52C56875">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131</w:t>
            </w:r>
          </w:p>
        </w:tc>
        <w:tc>
          <w:tcPr>
            <w:tcW w:w="1936" w:type="dxa"/>
            <w:shd w:val="clear" w:color="auto" w:fill="auto"/>
            <w:vAlign w:val="center"/>
          </w:tcPr>
          <w:p w14:paraId="66F7214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熔纤点</w:t>
            </w:r>
          </w:p>
        </w:tc>
        <w:tc>
          <w:tcPr>
            <w:tcW w:w="4502" w:type="dxa"/>
            <w:shd w:val="clear" w:color="auto" w:fill="auto"/>
            <w:vAlign w:val="center"/>
          </w:tcPr>
          <w:p w14:paraId="329FBB0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光纤终端盒内对熔。</w:t>
            </w:r>
          </w:p>
        </w:tc>
        <w:tc>
          <w:tcPr>
            <w:tcW w:w="1721" w:type="dxa"/>
            <w:shd w:val="clear" w:color="auto" w:fill="auto"/>
            <w:vAlign w:val="center"/>
          </w:tcPr>
          <w:p w14:paraId="5EC06D46">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B3F8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014AA526">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132</w:t>
            </w:r>
          </w:p>
        </w:tc>
        <w:tc>
          <w:tcPr>
            <w:tcW w:w="1936" w:type="dxa"/>
            <w:shd w:val="clear" w:color="auto" w:fill="auto"/>
            <w:vAlign w:val="center"/>
          </w:tcPr>
          <w:p w14:paraId="7ECB7B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（2芯）</w:t>
            </w:r>
          </w:p>
        </w:tc>
        <w:tc>
          <w:tcPr>
            <w:tcW w:w="4502" w:type="dxa"/>
            <w:shd w:val="clear" w:color="auto" w:fill="auto"/>
            <w:vAlign w:val="center"/>
          </w:tcPr>
          <w:p w14:paraId="499A5C9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2芯室外单模光纤；含光纤接头。</w:t>
            </w:r>
          </w:p>
        </w:tc>
        <w:tc>
          <w:tcPr>
            <w:tcW w:w="1721" w:type="dxa"/>
            <w:shd w:val="clear" w:color="auto" w:fill="auto"/>
            <w:vAlign w:val="center"/>
          </w:tcPr>
          <w:p w14:paraId="601EB358">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CB57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65FBAC4D">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133</w:t>
            </w:r>
          </w:p>
        </w:tc>
        <w:tc>
          <w:tcPr>
            <w:tcW w:w="1936" w:type="dxa"/>
            <w:shd w:val="clear" w:color="auto" w:fill="auto"/>
            <w:vAlign w:val="center"/>
          </w:tcPr>
          <w:p w14:paraId="30F11A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（3*6）</w:t>
            </w:r>
          </w:p>
        </w:tc>
        <w:tc>
          <w:tcPr>
            <w:tcW w:w="4502" w:type="dxa"/>
            <w:shd w:val="clear" w:color="auto" w:fill="auto"/>
            <w:vAlign w:val="center"/>
          </w:tcPr>
          <w:p w14:paraId="33C4708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RVV-3*6mm2。</w:t>
            </w:r>
          </w:p>
        </w:tc>
        <w:tc>
          <w:tcPr>
            <w:tcW w:w="1721" w:type="dxa"/>
            <w:shd w:val="clear" w:color="auto" w:fill="auto"/>
            <w:vAlign w:val="center"/>
          </w:tcPr>
          <w:p w14:paraId="6220733C">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A6FB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59E31AA6">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134</w:t>
            </w:r>
          </w:p>
        </w:tc>
        <w:tc>
          <w:tcPr>
            <w:tcW w:w="1936" w:type="dxa"/>
            <w:shd w:val="clear" w:color="auto" w:fill="auto"/>
            <w:vAlign w:val="center"/>
          </w:tcPr>
          <w:p w14:paraId="02691D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（3*1.5）</w:t>
            </w:r>
          </w:p>
        </w:tc>
        <w:tc>
          <w:tcPr>
            <w:tcW w:w="4502" w:type="dxa"/>
            <w:shd w:val="clear" w:color="auto" w:fill="auto"/>
            <w:vAlign w:val="center"/>
          </w:tcPr>
          <w:p w14:paraId="1643AB9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RVV-3*1.5mm2。</w:t>
            </w:r>
          </w:p>
        </w:tc>
        <w:tc>
          <w:tcPr>
            <w:tcW w:w="1721" w:type="dxa"/>
            <w:shd w:val="clear" w:color="auto" w:fill="auto"/>
            <w:vAlign w:val="center"/>
          </w:tcPr>
          <w:p w14:paraId="5AEF2227">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6381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4B75CB64">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135</w:t>
            </w:r>
          </w:p>
        </w:tc>
        <w:tc>
          <w:tcPr>
            <w:tcW w:w="1936" w:type="dxa"/>
            <w:shd w:val="clear" w:color="auto" w:fill="auto"/>
            <w:vAlign w:val="center"/>
          </w:tcPr>
          <w:p w14:paraId="2A59B5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（CAT6类）</w:t>
            </w:r>
          </w:p>
        </w:tc>
        <w:tc>
          <w:tcPr>
            <w:tcW w:w="4502" w:type="dxa"/>
            <w:shd w:val="clear" w:color="auto" w:fill="auto"/>
            <w:vAlign w:val="center"/>
          </w:tcPr>
          <w:p w14:paraId="0C6699A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CAT6类网线。</w:t>
            </w:r>
          </w:p>
        </w:tc>
        <w:tc>
          <w:tcPr>
            <w:tcW w:w="1721" w:type="dxa"/>
            <w:shd w:val="clear" w:color="auto" w:fill="auto"/>
            <w:vAlign w:val="center"/>
          </w:tcPr>
          <w:p w14:paraId="30850E71">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A2FE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149F502C">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1936" w:type="dxa"/>
            <w:shd w:val="clear" w:color="auto" w:fill="auto"/>
            <w:noWrap/>
            <w:vAlign w:val="center"/>
          </w:tcPr>
          <w:p w14:paraId="0577FA9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智慧管控配电配网工程</w:t>
            </w:r>
          </w:p>
        </w:tc>
        <w:tc>
          <w:tcPr>
            <w:tcW w:w="4502" w:type="dxa"/>
            <w:shd w:val="clear" w:color="auto" w:fill="auto"/>
            <w:vAlign w:val="center"/>
          </w:tcPr>
          <w:p w14:paraId="6EF73D98">
            <w:pPr>
              <w:keepNext/>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c>
          <w:tcPr>
            <w:tcW w:w="1721" w:type="dxa"/>
            <w:shd w:val="clear" w:color="auto" w:fill="auto"/>
            <w:vAlign w:val="center"/>
          </w:tcPr>
          <w:p w14:paraId="0CF43A03">
            <w:pPr>
              <w:keepNext/>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r>
      <w:tr w14:paraId="14B53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707081C2">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136</w:t>
            </w:r>
          </w:p>
        </w:tc>
        <w:tc>
          <w:tcPr>
            <w:tcW w:w="1936" w:type="dxa"/>
            <w:shd w:val="clear" w:color="auto" w:fill="auto"/>
            <w:vAlign w:val="center"/>
          </w:tcPr>
          <w:p w14:paraId="59EB956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光纤（48芯）</w:t>
            </w:r>
          </w:p>
        </w:tc>
        <w:tc>
          <w:tcPr>
            <w:tcW w:w="4502" w:type="dxa"/>
            <w:shd w:val="clear" w:color="auto" w:fill="auto"/>
            <w:vAlign w:val="center"/>
          </w:tcPr>
          <w:p w14:paraId="532542DF">
            <w:pPr>
              <w:keepNext/>
              <w:keepLines w:val="0"/>
              <w:widowControl/>
              <w:suppressLineNumbers w:val="0"/>
              <w:snapToGrid w:val="0"/>
              <w:ind w:left="0" w:leftChars="0" w:right="0" w:rightChars="0" w:firstLine="0" w:firstLineChars="0"/>
              <w:jc w:val="left"/>
              <w:textAlignment w:val="center"/>
              <w:rPr>
                <w:rFonts w:hint="eastAsia" w:ascii="宋体" w:hAnsi="宋体" w:cs="宋体" w:eastAsiaTheme="minorEastAsia"/>
                <w:i w:val="0"/>
                <w:iCs w:val="0"/>
                <w:color w:val="000000"/>
                <w:sz w:val="20"/>
                <w:szCs w:val="20"/>
                <w:u w:val="none"/>
                <w:lang w:eastAsia="zh-CN"/>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新建48芯单模光纤，暂定接蛇口交警中队，如采购人有调整，投标人需无条件配合。</w:t>
            </w:r>
          </w:p>
        </w:tc>
        <w:tc>
          <w:tcPr>
            <w:tcW w:w="1721" w:type="dxa"/>
            <w:shd w:val="clear" w:color="auto" w:fill="auto"/>
            <w:vAlign w:val="center"/>
          </w:tcPr>
          <w:p w14:paraId="7CBA8D91">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3D93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18B23E36">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137</w:t>
            </w:r>
          </w:p>
        </w:tc>
        <w:tc>
          <w:tcPr>
            <w:tcW w:w="1936" w:type="dxa"/>
            <w:shd w:val="clear" w:color="auto" w:fill="auto"/>
            <w:vAlign w:val="center"/>
          </w:tcPr>
          <w:p w14:paraId="62AC533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租用管道（3年）</w:t>
            </w:r>
          </w:p>
        </w:tc>
        <w:tc>
          <w:tcPr>
            <w:tcW w:w="4502" w:type="dxa"/>
            <w:shd w:val="clear" w:color="auto" w:fill="auto"/>
            <w:vAlign w:val="center"/>
          </w:tcPr>
          <w:p w14:paraId="2FC1FE29">
            <w:pPr>
              <w:keepNext/>
              <w:keepLines w:val="0"/>
              <w:widowControl/>
              <w:numPr>
                <w:ilvl w:val="0"/>
                <w:numId w:val="9"/>
              </w:numPr>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1孔∅110通信管道（3年）,至蛇口交警大队，租用起始时间依据项目实际需要开通起算,租用服务不包含免费维保期。</w:t>
            </w:r>
          </w:p>
        </w:tc>
        <w:tc>
          <w:tcPr>
            <w:tcW w:w="1721" w:type="dxa"/>
            <w:shd w:val="clear" w:color="auto" w:fill="auto"/>
            <w:vAlign w:val="center"/>
          </w:tcPr>
          <w:p w14:paraId="4A01927A">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F3DC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603291E1">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138</w:t>
            </w:r>
          </w:p>
        </w:tc>
        <w:tc>
          <w:tcPr>
            <w:tcW w:w="1936" w:type="dxa"/>
            <w:shd w:val="clear" w:color="auto" w:fill="auto"/>
            <w:vAlign w:val="center"/>
          </w:tcPr>
          <w:p w14:paraId="3197226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新建子管</w:t>
            </w:r>
          </w:p>
        </w:tc>
        <w:tc>
          <w:tcPr>
            <w:tcW w:w="4502" w:type="dxa"/>
            <w:shd w:val="clear" w:color="auto" w:fill="auto"/>
            <w:vAlign w:val="center"/>
          </w:tcPr>
          <w:p w14:paraId="055CBE1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PE32,至交警大队。</w:t>
            </w:r>
          </w:p>
        </w:tc>
        <w:tc>
          <w:tcPr>
            <w:tcW w:w="1721" w:type="dxa"/>
            <w:shd w:val="clear" w:color="auto" w:fill="auto"/>
            <w:vAlign w:val="center"/>
          </w:tcPr>
          <w:p w14:paraId="0138FCAC">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E069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7CEFD536">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139</w:t>
            </w:r>
          </w:p>
        </w:tc>
        <w:tc>
          <w:tcPr>
            <w:tcW w:w="1936" w:type="dxa"/>
            <w:shd w:val="clear" w:color="auto" w:fill="auto"/>
            <w:vAlign w:val="center"/>
          </w:tcPr>
          <w:p w14:paraId="1D27B9B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光纤（6芯）</w:t>
            </w:r>
          </w:p>
        </w:tc>
        <w:tc>
          <w:tcPr>
            <w:tcW w:w="4502" w:type="dxa"/>
            <w:shd w:val="clear" w:color="auto" w:fill="auto"/>
            <w:vAlign w:val="center"/>
          </w:tcPr>
          <w:p w14:paraId="1EB8015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6芯单模光纤，一体化机柜。</w:t>
            </w:r>
          </w:p>
        </w:tc>
        <w:tc>
          <w:tcPr>
            <w:tcW w:w="1721" w:type="dxa"/>
            <w:shd w:val="clear" w:color="auto" w:fill="auto"/>
            <w:vAlign w:val="center"/>
          </w:tcPr>
          <w:p w14:paraId="317862CD">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1595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2E2F5CFA">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140</w:t>
            </w:r>
          </w:p>
        </w:tc>
        <w:tc>
          <w:tcPr>
            <w:tcW w:w="1936" w:type="dxa"/>
            <w:shd w:val="clear" w:color="auto" w:fill="auto"/>
            <w:vAlign w:val="center"/>
          </w:tcPr>
          <w:p w14:paraId="7028116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交通监控配电箱进电缆</w:t>
            </w:r>
          </w:p>
        </w:tc>
        <w:tc>
          <w:tcPr>
            <w:tcW w:w="4502" w:type="dxa"/>
            <w:shd w:val="clear" w:color="auto" w:fill="auto"/>
            <w:vAlign w:val="center"/>
          </w:tcPr>
          <w:p w14:paraId="2F63346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YJV-0.6/1KV-4×50+1×25mm2。</w:t>
            </w:r>
          </w:p>
        </w:tc>
        <w:tc>
          <w:tcPr>
            <w:tcW w:w="1721" w:type="dxa"/>
            <w:shd w:val="clear" w:color="auto" w:fill="auto"/>
            <w:vAlign w:val="center"/>
          </w:tcPr>
          <w:p w14:paraId="48EFE90D">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ABA5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78CDACBC">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141</w:t>
            </w:r>
          </w:p>
        </w:tc>
        <w:tc>
          <w:tcPr>
            <w:tcW w:w="1936" w:type="dxa"/>
            <w:shd w:val="clear" w:color="auto" w:fill="auto"/>
            <w:vAlign w:val="center"/>
          </w:tcPr>
          <w:p w14:paraId="6B3AF9D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交通监控干线电缆（16）</w:t>
            </w:r>
          </w:p>
        </w:tc>
        <w:tc>
          <w:tcPr>
            <w:tcW w:w="4502" w:type="dxa"/>
            <w:shd w:val="clear" w:color="auto" w:fill="auto"/>
            <w:vAlign w:val="center"/>
          </w:tcPr>
          <w:p w14:paraId="6CC5BBB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YJV-0.6/1kV-4×25+1×16mm2。</w:t>
            </w:r>
          </w:p>
        </w:tc>
        <w:tc>
          <w:tcPr>
            <w:tcW w:w="1721" w:type="dxa"/>
            <w:shd w:val="clear" w:color="auto" w:fill="auto"/>
            <w:vAlign w:val="center"/>
          </w:tcPr>
          <w:p w14:paraId="7B5E8EBB">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9175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3E080DD5">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142</w:t>
            </w:r>
          </w:p>
        </w:tc>
        <w:tc>
          <w:tcPr>
            <w:tcW w:w="1936" w:type="dxa"/>
            <w:shd w:val="clear" w:color="auto" w:fill="auto"/>
            <w:vAlign w:val="center"/>
          </w:tcPr>
          <w:p w14:paraId="4D1FEAE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交通监控干线电缆（3*6）</w:t>
            </w:r>
          </w:p>
        </w:tc>
        <w:tc>
          <w:tcPr>
            <w:tcW w:w="4502" w:type="dxa"/>
            <w:shd w:val="clear" w:color="auto" w:fill="auto"/>
            <w:vAlign w:val="center"/>
          </w:tcPr>
          <w:p w14:paraId="658F8DD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YJV-0.6/1kV-3*6mm2。</w:t>
            </w:r>
          </w:p>
        </w:tc>
        <w:tc>
          <w:tcPr>
            <w:tcW w:w="1721" w:type="dxa"/>
            <w:shd w:val="clear" w:color="auto" w:fill="auto"/>
            <w:vAlign w:val="center"/>
          </w:tcPr>
          <w:p w14:paraId="279F1341">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B3A9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3686EB62">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1936" w:type="dxa"/>
            <w:shd w:val="clear" w:color="auto" w:fill="auto"/>
            <w:vAlign w:val="center"/>
          </w:tcPr>
          <w:p w14:paraId="575EB8A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智慧道路配电配网工程</w:t>
            </w:r>
          </w:p>
        </w:tc>
        <w:tc>
          <w:tcPr>
            <w:tcW w:w="4502" w:type="dxa"/>
            <w:shd w:val="clear" w:color="auto" w:fill="auto"/>
            <w:vAlign w:val="center"/>
          </w:tcPr>
          <w:p w14:paraId="5F188D72">
            <w:pPr>
              <w:keepNext/>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c>
          <w:tcPr>
            <w:tcW w:w="1721" w:type="dxa"/>
            <w:shd w:val="clear" w:color="auto" w:fill="auto"/>
            <w:vAlign w:val="center"/>
          </w:tcPr>
          <w:p w14:paraId="6B73753D">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r>
      <w:tr w14:paraId="01938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59E47A27">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143</w:t>
            </w:r>
          </w:p>
        </w:tc>
        <w:tc>
          <w:tcPr>
            <w:tcW w:w="1936" w:type="dxa"/>
            <w:shd w:val="clear" w:color="auto" w:fill="auto"/>
            <w:vAlign w:val="center"/>
          </w:tcPr>
          <w:p w14:paraId="692C027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光纤（12芯）</w:t>
            </w:r>
          </w:p>
        </w:tc>
        <w:tc>
          <w:tcPr>
            <w:tcW w:w="4502" w:type="dxa"/>
            <w:shd w:val="clear" w:color="auto" w:fill="auto"/>
            <w:vAlign w:val="center"/>
          </w:tcPr>
          <w:p w14:paraId="03BA1A4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新建12芯单模光纤，暂估，接西丽街道办，如采购人有调整，投标人需无条件配合。</w:t>
            </w:r>
          </w:p>
        </w:tc>
        <w:tc>
          <w:tcPr>
            <w:tcW w:w="1721" w:type="dxa"/>
            <w:shd w:val="clear" w:color="auto" w:fill="auto"/>
            <w:vAlign w:val="center"/>
          </w:tcPr>
          <w:p w14:paraId="1C279053">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8C0E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4066A89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144</w:t>
            </w:r>
          </w:p>
        </w:tc>
        <w:tc>
          <w:tcPr>
            <w:tcW w:w="1936" w:type="dxa"/>
            <w:shd w:val="clear" w:color="auto" w:fill="auto"/>
            <w:noWrap/>
            <w:vAlign w:val="center"/>
          </w:tcPr>
          <w:p w14:paraId="706D5C9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租用管道（3年）</w:t>
            </w:r>
          </w:p>
        </w:tc>
        <w:tc>
          <w:tcPr>
            <w:tcW w:w="4502" w:type="dxa"/>
            <w:shd w:val="clear" w:color="auto" w:fill="auto"/>
            <w:vAlign w:val="center"/>
          </w:tcPr>
          <w:p w14:paraId="160E086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1孔∅110通信管道（3年），至西丽街道办，租用起始时间依据项目实际需要开通起算，租用服务不包含免费维保期。</w:t>
            </w:r>
          </w:p>
        </w:tc>
        <w:tc>
          <w:tcPr>
            <w:tcW w:w="1721" w:type="dxa"/>
            <w:shd w:val="clear" w:color="auto" w:fill="auto"/>
            <w:noWrap/>
            <w:vAlign w:val="center"/>
          </w:tcPr>
          <w:p w14:paraId="0F657CDB">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04761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49BEEE83">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145</w:t>
            </w:r>
          </w:p>
        </w:tc>
        <w:tc>
          <w:tcPr>
            <w:tcW w:w="1936" w:type="dxa"/>
            <w:shd w:val="clear" w:color="auto" w:fill="auto"/>
            <w:noWrap/>
            <w:vAlign w:val="center"/>
          </w:tcPr>
          <w:p w14:paraId="2134E33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新建子管</w:t>
            </w:r>
          </w:p>
        </w:tc>
        <w:tc>
          <w:tcPr>
            <w:tcW w:w="4502" w:type="dxa"/>
            <w:shd w:val="clear" w:color="auto" w:fill="auto"/>
            <w:vAlign w:val="center"/>
          </w:tcPr>
          <w:p w14:paraId="398F29C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PE32，至西丽街道办。</w:t>
            </w:r>
          </w:p>
        </w:tc>
        <w:tc>
          <w:tcPr>
            <w:tcW w:w="1721" w:type="dxa"/>
            <w:shd w:val="clear" w:color="auto" w:fill="auto"/>
            <w:noWrap/>
            <w:vAlign w:val="center"/>
          </w:tcPr>
          <w:p w14:paraId="687B3BD5">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0932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01B1D239">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146</w:t>
            </w:r>
          </w:p>
        </w:tc>
        <w:tc>
          <w:tcPr>
            <w:tcW w:w="1936" w:type="dxa"/>
            <w:shd w:val="clear" w:color="auto" w:fill="auto"/>
            <w:noWrap/>
            <w:vAlign w:val="center"/>
          </w:tcPr>
          <w:p w14:paraId="330180F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光纤（144芯）</w:t>
            </w:r>
          </w:p>
        </w:tc>
        <w:tc>
          <w:tcPr>
            <w:tcW w:w="4502" w:type="dxa"/>
            <w:shd w:val="clear" w:color="auto" w:fill="auto"/>
            <w:vAlign w:val="center"/>
          </w:tcPr>
          <w:p w14:paraId="5C0F9C0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144芯单模光纤，主干。</w:t>
            </w:r>
          </w:p>
        </w:tc>
        <w:tc>
          <w:tcPr>
            <w:tcW w:w="1721" w:type="dxa"/>
            <w:shd w:val="clear" w:color="auto" w:fill="auto"/>
            <w:noWrap/>
            <w:vAlign w:val="center"/>
          </w:tcPr>
          <w:p w14:paraId="50ED06F3">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AE5E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7B40148A">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147</w:t>
            </w:r>
          </w:p>
        </w:tc>
        <w:tc>
          <w:tcPr>
            <w:tcW w:w="1936" w:type="dxa"/>
            <w:shd w:val="clear" w:color="auto" w:fill="auto"/>
            <w:noWrap/>
            <w:vAlign w:val="center"/>
          </w:tcPr>
          <w:p w14:paraId="606ACF4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光纤（12芯）</w:t>
            </w:r>
          </w:p>
        </w:tc>
        <w:tc>
          <w:tcPr>
            <w:tcW w:w="4502" w:type="dxa"/>
            <w:shd w:val="clear" w:color="auto" w:fill="auto"/>
            <w:vAlign w:val="center"/>
          </w:tcPr>
          <w:p w14:paraId="56C213A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12芯单模光纤，路灯环网。</w:t>
            </w:r>
          </w:p>
        </w:tc>
        <w:tc>
          <w:tcPr>
            <w:tcW w:w="1721" w:type="dxa"/>
            <w:shd w:val="clear" w:color="auto" w:fill="auto"/>
            <w:noWrap/>
            <w:vAlign w:val="center"/>
          </w:tcPr>
          <w:p w14:paraId="4E0789E9">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1C19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1AAAED1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148</w:t>
            </w:r>
          </w:p>
        </w:tc>
        <w:tc>
          <w:tcPr>
            <w:tcW w:w="1936" w:type="dxa"/>
            <w:shd w:val="clear" w:color="auto" w:fill="auto"/>
            <w:noWrap/>
            <w:vAlign w:val="center"/>
          </w:tcPr>
          <w:p w14:paraId="08D481C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光纤（6芯）</w:t>
            </w:r>
          </w:p>
        </w:tc>
        <w:tc>
          <w:tcPr>
            <w:tcW w:w="4502" w:type="dxa"/>
            <w:shd w:val="clear" w:color="auto" w:fill="auto"/>
            <w:vAlign w:val="center"/>
          </w:tcPr>
          <w:p w14:paraId="7F4A424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6芯单模光纤，智慧公交站台汇聚箱/智驾。</w:t>
            </w:r>
          </w:p>
        </w:tc>
        <w:tc>
          <w:tcPr>
            <w:tcW w:w="1721" w:type="dxa"/>
            <w:shd w:val="clear" w:color="auto" w:fill="auto"/>
            <w:noWrap/>
            <w:vAlign w:val="center"/>
          </w:tcPr>
          <w:p w14:paraId="6F27FD15">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FDEE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450C816C">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149</w:t>
            </w:r>
          </w:p>
        </w:tc>
        <w:tc>
          <w:tcPr>
            <w:tcW w:w="1936" w:type="dxa"/>
            <w:shd w:val="clear" w:color="auto" w:fill="auto"/>
            <w:vAlign w:val="center"/>
          </w:tcPr>
          <w:p w14:paraId="6ECBDD0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防水接线盒</w:t>
            </w:r>
          </w:p>
        </w:tc>
        <w:tc>
          <w:tcPr>
            <w:tcW w:w="4502" w:type="dxa"/>
            <w:shd w:val="clear" w:color="auto" w:fill="auto"/>
            <w:vAlign w:val="center"/>
          </w:tcPr>
          <w:p w14:paraId="0CA58D3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置于灯杆内，IP65。</w:t>
            </w:r>
          </w:p>
        </w:tc>
        <w:tc>
          <w:tcPr>
            <w:tcW w:w="1721" w:type="dxa"/>
            <w:shd w:val="clear" w:color="auto" w:fill="auto"/>
            <w:vAlign w:val="center"/>
          </w:tcPr>
          <w:p w14:paraId="472C4408">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0CD78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2970F871">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150</w:t>
            </w:r>
          </w:p>
        </w:tc>
        <w:tc>
          <w:tcPr>
            <w:tcW w:w="1936" w:type="dxa"/>
            <w:shd w:val="clear" w:color="auto" w:fill="auto"/>
            <w:vAlign w:val="center"/>
          </w:tcPr>
          <w:p w14:paraId="3B71D61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漏电保护模块</w:t>
            </w:r>
          </w:p>
        </w:tc>
        <w:tc>
          <w:tcPr>
            <w:tcW w:w="4502" w:type="dxa"/>
            <w:shd w:val="clear" w:color="auto" w:fill="auto"/>
            <w:vAlign w:val="center"/>
          </w:tcPr>
          <w:p w14:paraId="0EE212C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C25A，30mA。</w:t>
            </w:r>
          </w:p>
        </w:tc>
        <w:tc>
          <w:tcPr>
            <w:tcW w:w="1721" w:type="dxa"/>
            <w:shd w:val="clear" w:color="auto" w:fill="auto"/>
            <w:vAlign w:val="center"/>
          </w:tcPr>
          <w:p w14:paraId="5EB4F0E1">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8B4C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4890B3A0">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151</w:t>
            </w:r>
          </w:p>
        </w:tc>
        <w:tc>
          <w:tcPr>
            <w:tcW w:w="1936" w:type="dxa"/>
            <w:shd w:val="clear" w:color="auto" w:fill="auto"/>
            <w:noWrap/>
            <w:vAlign w:val="center"/>
          </w:tcPr>
          <w:p w14:paraId="50C466A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智慧路灯干线电缆</w:t>
            </w:r>
          </w:p>
        </w:tc>
        <w:tc>
          <w:tcPr>
            <w:tcW w:w="4502" w:type="dxa"/>
            <w:shd w:val="clear" w:color="auto" w:fill="auto"/>
            <w:vAlign w:val="center"/>
          </w:tcPr>
          <w:p w14:paraId="73205EB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YJV-0.6/1kV-4×25+1×16mm2。</w:t>
            </w:r>
          </w:p>
        </w:tc>
        <w:tc>
          <w:tcPr>
            <w:tcW w:w="1721" w:type="dxa"/>
            <w:shd w:val="clear" w:color="auto" w:fill="auto"/>
            <w:noWrap/>
            <w:vAlign w:val="center"/>
          </w:tcPr>
          <w:p w14:paraId="6CF445D7">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09816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57A336F6">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152</w:t>
            </w:r>
          </w:p>
        </w:tc>
        <w:tc>
          <w:tcPr>
            <w:tcW w:w="1936" w:type="dxa"/>
            <w:shd w:val="clear" w:color="auto" w:fill="auto"/>
            <w:noWrap/>
            <w:vAlign w:val="center"/>
          </w:tcPr>
          <w:p w14:paraId="3CC8AF6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智慧路灯支线电缆（3*2.5）</w:t>
            </w:r>
          </w:p>
        </w:tc>
        <w:tc>
          <w:tcPr>
            <w:tcW w:w="4502" w:type="dxa"/>
            <w:shd w:val="clear" w:color="auto" w:fill="auto"/>
            <w:vAlign w:val="center"/>
          </w:tcPr>
          <w:p w14:paraId="4DB0A03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RVV-3*2.5mm2。</w:t>
            </w:r>
          </w:p>
        </w:tc>
        <w:tc>
          <w:tcPr>
            <w:tcW w:w="1721" w:type="dxa"/>
            <w:shd w:val="clear" w:color="auto" w:fill="auto"/>
            <w:noWrap/>
            <w:vAlign w:val="center"/>
          </w:tcPr>
          <w:p w14:paraId="0673DCD4">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1D21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2B73FA3A">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153</w:t>
            </w:r>
          </w:p>
        </w:tc>
        <w:tc>
          <w:tcPr>
            <w:tcW w:w="1936" w:type="dxa"/>
            <w:shd w:val="clear" w:color="auto" w:fill="auto"/>
            <w:noWrap/>
            <w:vAlign w:val="center"/>
          </w:tcPr>
          <w:p w14:paraId="2BCBCBD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智慧路灯支线电缆（3*6）</w:t>
            </w:r>
          </w:p>
        </w:tc>
        <w:tc>
          <w:tcPr>
            <w:tcW w:w="4502" w:type="dxa"/>
            <w:shd w:val="clear" w:color="auto" w:fill="auto"/>
            <w:vAlign w:val="center"/>
          </w:tcPr>
          <w:p w14:paraId="7ED50AB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RVV-3*6mm2。</w:t>
            </w:r>
          </w:p>
        </w:tc>
        <w:tc>
          <w:tcPr>
            <w:tcW w:w="1721" w:type="dxa"/>
            <w:shd w:val="clear" w:color="auto" w:fill="auto"/>
            <w:noWrap/>
            <w:vAlign w:val="center"/>
          </w:tcPr>
          <w:p w14:paraId="2BBEC889">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93B7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73777335">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154</w:t>
            </w:r>
          </w:p>
        </w:tc>
        <w:tc>
          <w:tcPr>
            <w:tcW w:w="1936" w:type="dxa"/>
            <w:shd w:val="clear" w:color="auto" w:fill="auto"/>
            <w:vAlign w:val="center"/>
          </w:tcPr>
          <w:p w14:paraId="692A15A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挂载设备线缆</w:t>
            </w:r>
          </w:p>
        </w:tc>
        <w:tc>
          <w:tcPr>
            <w:tcW w:w="4502" w:type="dxa"/>
            <w:shd w:val="clear" w:color="auto" w:fill="auto"/>
            <w:vAlign w:val="center"/>
          </w:tcPr>
          <w:p w14:paraId="10F7BD9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CAT6类网线。</w:t>
            </w:r>
          </w:p>
        </w:tc>
        <w:tc>
          <w:tcPr>
            <w:tcW w:w="1721" w:type="dxa"/>
            <w:shd w:val="clear" w:color="auto" w:fill="auto"/>
            <w:vAlign w:val="center"/>
          </w:tcPr>
          <w:p w14:paraId="0D93171F">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0B0F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53B6B8A6">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155</w:t>
            </w:r>
          </w:p>
        </w:tc>
        <w:tc>
          <w:tcPr>
            <w:tcW w:w="1936" w:type="dxa"/>
            <w:shd w:val="clear" w:color="auto" w:fill="auto"/>
            <w:vAlign w:val="center"/>
          </w:tcPr>
          <w:p w14:paraId="24AA540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智驾设备电源线</w:t>
            </w:r>
          </w:p>
        </w:tc>
        <w:tc>
          <w:tcPr>
            <w:tcW w:w="4502" w:type="dxa"/>
            <w:shd w:val="clear" w:color="auto" w:fill="auto"/>
            <w:vAlign w:val="center"/>
          </w:tcPr>
          <w:p w14:paraId="1791AC0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RVV-3*1.5mm2。</w:t>
            </w:r>
          </w:p>
        </w:tc>
        <w:tc>
          <w:tcPr>
            <w:tcW w:w="1721" w:type="dxa"/>
            <w:shd w:val="clear" w:color="auto" w:fill="auto"/>
            <w:vAlign w:val="center"/>
          </w:tcPr>
          <w:p w14:paraId="34F13EB5">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9C14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67AF36E2">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1936" w:type="dxa"/>
            <w:shd w:val="clear" w:color="auto" w:fill="auto"/>
            <w:vAlign w:val="center"/>
          </w:tcPr>
          <w:p w14:paraId="2630370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智慧公交站台</w:t>
            </w:r>
          </w:p>
        </w:tc>
        <w:tc>
          <w:tcPr>
            <w:tcW w:w="4502" w:type="dxa"/>
            <w:shd w:val="clear" w:color="auto" w:fill="auto"/>
            <w:noWrap/>
            <w:vAlign w:val="center"/>
          </w:tcPr>
          <w:p w14:paraId="136EB3A5">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c>
          <w:tcPr>
            <w:tcW w:w="1721" w:type="dxa"/>
            <w:shd w:val="clear" w:color="auto" w:fill="auto"/>
            <w:noWrap/>
            <w:vAlign w:val="center"/>
          </w:tcPr>
          <w:p w14:paraId="6E39879B">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2DF5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114BC70C">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156</w:t>
            </w:r>
          </w:p>
        </w:tc>
        <w:tc>
          <w:tcPr>
            <w:tcW w:w="1936" w:type="dxa"/>
            <w:shd w:val="clear" w:color="auto" w:fill="auto"/>
            <w:vAlign w:val="center"/>
          </w:tcPr>
          <w:p w14:paraId="57BDEDD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智慧公交干线电缆</w:t>
            </w:r>
          </w:p>
        </w:tc>
        <w:tc>
          <w:tcPr>
            <w:tcW w:w="4502" w:type="dxa"/>
            <w:shd w:val="clear" w:color="auto" w:fill="auto"/>
            <w:vAlign w:val="center"/>
          </w:tcPr>
          <w:p w14:paraId="5C2FCDB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YJV-0.6/1KV-5×10mm2。</w:t>
            </w:r>
          </w:p>
        </w:tc>
        <w:tc>
          <w:tcPr>
            <w:tcW w:w="1721" w:type="dxa"/>
            <w:shd w:val="clear" w:color="auto" w:fill="auto"/>
            <w:vAlign w:val="center"/>
          </w:tcPr>
          <w:p w14:paraId="47D0FEF2">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26EF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7CA7FB8C">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157</w:t>
            </w:r>
          </w:p>
        </w:tc>
        <w:tc>
          <w:tcPr>
            <w:tcW w:w="1936" w:type="dxa"/>
            <w:shd w:val="clear" w:color="auto" w:fill="auto"/>
            <w:vAlign w:val="center"/>
          </w:tcPr>
          <w:p w14:paraId="7189077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电源线缆</w:t>
            </w:r>
          </w:p>
        </w:tc>
        <w:tc>
          <w:tcPr>
            <w:tcW w:w="4502" w:type="dxa"/>
            <w:shd w:val="clear" w:color="auto" w:fill="auto"/>
            <w:vAlign w:val="center"/>
          </w:tcPr>
          <w:p w14:paraId="071B020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RVV-3*2.5mm2。</w:t>
            </w:r>
          </w:p>
        </w:tc>
        <w:tc>
          <w:tcPr>
            <w:tcW w:w="1721" w:type="dxa"/>
            <w:shd w:val="clear" w:color="auto" w:fill="auto"/>
            <w:vAlign w:val="center"/>
          </w:tcPr>
          <w:p w14:paraId="23ABA4F5">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4E9D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0E79C6FF">
            <w:pPr>
              <w:keepNext/>
              <w:snapToGrid w:val="0"/>
              <w:ind w:left="0" w:leftChars="0" w:right="0" w:rightChars="0" w:firstLine="0" w:firstLineChars="0"/>
              <w:jc w:val="center"/>
              <w:rPr>
                <w:rFonts w:hint="eastAsia" w:ascii="宋体" w:hAnsi="宋体" w:eastAsia="宋体" w:cs="宋体"/>
                <w:b/>
                <w:bCs/>
                <w:i w:val="0"/>
                <w:iCs w:val="0"/>
                <w:color w:val="000000"/>
                <w:sz w:val="20"/>
                <w:szCs w:val="20"/>
                <w:u w:val="none"/>
              </w:rPr>
            </w:pPr>
          </w:p>
        </w:tc>
        <w:tc>
          <w:tcPr>
            <w:tcW w:w="1936" w:type="dxa"/>
            <w:shd w:val="clear" w:color="auto" w:fill="auto"/>
            <w:vAlign w:val="center"/>
          </w:tcPr>
          <w:p w14:paraId="5434F66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智慧照明</w:t>
            </w:r>
          </w:p>
        </w:tc>
        <w:tc>
          <w:tcPr>
            <w:tcW w:w="4502" w:type="dxa"/>
            <w:shd w:val="clear" w:color="auto" w:fill="auto"/>
            <w:noWrap/>
            <w:vAlign w:val="center"/>
          </w:tcPr>
          <w:p w14:paraId="3AA79F6E">
            <w:pPr>
              <w:keepNext/>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c>
          <w:tcPr>
            <w:tcW w:w="1721" w:type="dxa"/>
            <w:shd w:val="clear" w:color="auto" w:fill="auto"/>
            <w:noWrap/>
            <w:vAlign w:val="center"/>
          </w:tcPr>
          <w:p w14:paraId="5FA00C94">
            <w:pPr>
              <w:keepNext/>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r>
      <w:tr w14:paraId="7BEA2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15FB08D6">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158</w:t>
            </w:r>
          </w:p>
        </w:tc>
        <w:tc>
          <w:tcPr>
            <w:tcW w:w="1936" w:type="dxa"/>
            <w:shd w:val="clear" w:color="auto" w:fill="auto"/>
            <w:vAlign w:val="center"/>
          </w:tcPr>
          <w:p w14:paraId="1614297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吸顶灯电缆</w:t>
            </w:r>
          </w:p>
        </w:tc>
        <w:tc>
          <w:tcPr>
            <w:tcW w:w="4502" w:type="dxa"/>
            <w:shd w:val="clear" w:color="auto" w:fill="auto"/>
            <w:vAlign w:val="center"/>
          </w:tcPr>
          <w:p w14:paraId="309759D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YJV-0.6/1kV-3*4mm2。</w:t>
            </w:r>
          </w:p>
        </w:tc>
        <w:tc>
          <w:tcPr>
            <w:tcW w:w="1721" w:type="dxa"/>
            <w:shd w:val="clear" w:color="auto" w:fill="auto"/>
            <w:vAlign w:val="center"/>
          </w:tcPr>
          <w:p w14:paraId="54C50CD1">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8CFB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50650F1A">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159</w:t>
            </w:r>
          </w:p>
        </w:tc>
        <w:tc>
          <w:tcPr>
            <w:tcW w:w="1936" w:type="dxa"/>
            <w:shd w:val="clear" w:color="auto" w:fill="auto"/>
            <w:vAlign w:val="center"/>
          </w:tcPr>
          <w:p w14:paraId="6A9C30A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照明干线电缆</w:t>
            </w:r>
          </w:p>
        </w:tc>
        <w:tc>
          <w:tcPr>
            <w:tcW w:w="4502" w:type="dxa"/>
            <w:shd w:val="clear" w:color="auto" w:fill="auto"/>
            <w:vAlign w:val="center"/>
          </w:tcPr>
          <w:p w14:paraId="1185CE2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YJV-0.6/1KV-4×25+1×16mm2。</w:t>
            </w:r>
          </w:p>
        </w:tc>
        <w:tc>
          <w:tcPr>
            <w:tcW w:w="1721" w:type="dxa"/>
            <w:shd w:val="clear" w:color="auto" w:fill="auto"/>
            <w:vAlign w:val="center"/>
          </w:tcPr>
          <w:p w14:paraId="7BD57F92">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61E0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2914B7EB">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160</w:t>
            </w:r>
          </w:p>
        </w:tc>
        <w:tc>
          <w:tcPr>
            <w:tcW w:w="1936" w:type="dxa"/>
            <w:shd w:val="clear" w:color="auto" w:fill="auto"/>
            <w:vAlign w:val="center"/>
          </w:tcPr>
          <w:p w14:paraId="29A3F8F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路灯支线电缆（3*6）</w:t>
            </w:r>
          </w:p>
        </w:tc>
        <w:tc>
          <w:tcPr>
            <w:tcW w:w="4502" w:type="dxa"/>
            <w:shd w:val="clear" w:color="auto" w:fill="auto"/>
            <w:vAlign w:val="center"/>
          </w:tcPr>
          <w:p w14:paraId="3C2693C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YJV-0.6/1kV-3*6mm2。</w:t>
            </w:r>
          </w:p>
        </w:tc>
        <w:tc>
          <w:tcPr>
            <w:tcW w:w="1721" w:type="dxa"/>
            <w:shd w:val="clear" w:color="auto" w:fill="auto"/>
            <w:vAlign w:val="center"/>
          </w:tcPr>
          <w:p w14:paraId="367A9F32">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56A2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1DA117BD">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161</w:t>
            </w:r>
          </w:p>
        </w:tc>
        <w:tc>
          <w:tcPr>
            <w:tcW w:w="1936" w:type="dxa"/>
            <w:shd w:val="clear" w:color="auto" w:fill="auto"/>
            <w:vAlign w:val="center"/>
          </w:tcPr>
          <w:p w14:paraId="5B65799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路灯支线电缆（2.5）</w:t>
            </w:r>
          </w:p>
        </w:tc>
        <w:tc>
          <w:tcPr>
            <w:tcW w:w="4502" w:type="dxa"/>
            <w:shd w:val="clear" w:color="auto" w:fill="auto"/>
            <w:vAlign w:val="center"/>
          </w:tcPr>
          <w:p w14:paraId="21FA5EE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铜芯保护套线BVV-300/500V-2.5mm2。</w:t>
            </w:r>
          </w:p>
        </w:tc>
        <w:tc>
          <w:tcPr>
            <w:tcW w:w="1721" w:type="dxa"/>
            <w:shd w:val="clear" w:color="auto" w:fill="auto"/>
            <w:vAlign w:val="center"/>
          </w:tcPr>
          <w:p w14:paraId="53EF523E">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5474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1B1557C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三</w:t>
            </w:r>
          </w:p>
        </w:tc>
        <w:tc>
          <w:tcPr>
            <w:tcW w:w="1936" w:type="dxa"/>
            <w:shd w:val="clear" w:color="auto" w:fill="auto"/>
            <w:vAlign w:val="center"/>
          </w:tcPr>
          <w:p w14:paraId="664A974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后台资源</w:t>
            </w:r>
          </w:p>
        </w:tc>
        <w:tc>
          <w:tcPr>
            <w:tcW w:w="4502" w:type="dxa"/>
            <w:shd w:val="clear" w:color="auto" w:fill="auto"/>
            <w:vAlign w:val="center"/>
          </w:tcPr>
          <w:p w14:paraId="739DEEE8">
            <w:pPr>
              <w:keepNext/>
              <w:snapToGrid w:val="0"/>
              <w:ind w:left="0" w:leftChars="0" w:right="0" w:rightChars="0" w:firstLine="0" w:firstLineChars="0"/>
              <w:jc w:val="left"/>
              <w:rPr>
                <w:rFonts w:hint="eastAsia" w:ascii="宋体" w:hAnsi="宋体" w:eastAsia="宋体" w:cs="宋体"/>
                <w:b/>
                <w:bCs/>
                <w:i w:val="0"/>
                <w:iCs w:val="0"/>
                <w:color w:val="000000"/>
                <w:sz w:val="20"/>
                <w:szCs w:val="20"/>
                <w:u w:val="none"/>
              </w:rPr>
            </w:pPr>
          </w:p>
        </w:tc>
        <w:tc>
          <w:tcPr>
            <w:tcW w:w="1721" w:type="dxa"/>
            <w:shd w:val="clear" w:color="auto" w:fill="auto"/>
            <w:vAlign w:val="center"/>
          </w:tcPr>
          <w:p w14:paraId="559A6EE9">
            <w:pPr>
              <w:keepNext/>
              <w:snapToGrid w:val="0"/>
              <w:ind w:left="0" w:leftChars="0" w:right="0" w:rightChars="0" w:firstLine="0" w:firstLineChars="0"/>
              <w:jc w:val="left"/>
              <w:rPr>
                <w:rFonts w:hint="eastAsia" w:ascii="宋体" w:hAnsi="宋体" w:eastAsia="宋体" w:cs="宋体"/>
                <w:b/>
                <w:bCs/>
                <w:i w:val="0"/>
                <w:iCs w:val="0"/>
                <w:color w:val="000000"/>
                <w:sz w:val="20"/>
                <w:szCs w:val="20"/>
                <w:u w:val="none"/>
              </w:rPr>
            </w:pPr>
          </w:p>
        </w:tc>
      </w:tr>
      <w:tr w14:paraId="6EB28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302A583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w:t>
            </w:r>
          </w:p>
        </w:tc>
        <w:tc>
          <w:tcPr>
            <w:tcW w:w="1936" w:type="dxa"/>
            <w:shd w:val="clear" w:color="auto" w:fill="auto"/>
            <w:vAlign w:val="center"/>
          </w:tcPr>
          <w:p w14:paraId="1F8C6BD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智慧管控网络及后台资源</w:t>
            </w:r>
          </w:p>
        </w:tc>
        <w:tc>
          <w:tcPr>
            <w:tcW w:w="4502" w:type="dxa"/>
            <w:shd w:val="clear" w:color="auto" w:fill="auto"/>
            <w:vAlign w:val="center"/>
          </w:tcPr>
          <w:p w14:paraId="0BCE7BC6">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c>
          <w:tcPr>
            <w:tcW w:w="1721" w:type="dxa"/>
            <w:shd w:val="clear" w:color="auto" w:fill="auto"/>
            <w:vAlign w:val="center"/>
          </w:tcPr>
          <w:p w14:paraId="5A269125">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7CE2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vMerge w:val="restart"/>
            <w:shd w:val="clear" w:color="auto" w:fill="auto"/>
            <w:vAlign w:val="center"/>
          </w:tcPr>
          <w:p w14:paraId="67B8A447">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162</w:t>
            </w:r>
          </w:p>
        </w:tc>
        <w:tc>
          <w:tcPr>
            <w:tcW w:w="1936" w:type="dxa"/>
            <w:vMerge w:val="restart"/>
            <w:shd w:val="clear" w:color="auto" w:fill="auto"/>
            <w:vAlign w:val="center"/>
          </w:tcPr>
          <w:p w14:paraId="2D5374D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图片云存储设备</w:t>
            </w:r>
          </w:p>
        </w:tc>
        <w:tc>
          <w:tcPr>
            <w:tcW w:w="4502" w:type="dxa"/>
            <w:shd w:val="clear" w:color="auto" w:fill="auto"/>
            <w:vAlign w:val="center"/>
          </w:tcPr>
          <w:p w14:paraId="3714683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w:t>
            </w:r>
            <w:r>
              <w:rPr>
                <w:rFonts w:hint="eastAsia" w:ascii="宋体" w:hAnsi="宋体" w:eastAsia="宋体" w:cs="宋体"/>
                <w:color w:val="000000"/>
                <w:sz w:val="20"/>
                <w:szCs w:val="21"/>
                <w:lang w:val="en-US" w:eastAsia="zh-CN"/>
              </w:rPr>
              <w:t>1.</w:t>
            </w:r>
            <w:r>
              <w:rPr>
                <w:rFonts w:hint="eastAsia" w:ascii="宋体" w:hAnsi="宋体" w:eastAsia="宋体" w:cs="宋体"/>
                <w:b/>
                <w:bCs/>
                <w:i w:val="0"/>
                <w:iCs w:val="0"/>
                <w:color w:val="FF0000"/>
                <w:kern w:val="0"/>
                <w:sz w:val="20"/>
                <w:szCs w:val="20"/>
                <w:u w:val="none"/>
                <w:lang w:val="en-US" w:eastAsia="zh-CN" w:bidi="ar"/>
              </w:rPr>
              <w:t>支持在交警现有高清平台的云存储系统基础上扩容，扩容后与现有云存储虚拟化后提供统一的云服务。</w:t>
            </w:r>
          </w:p>
        </w:tc>
        <w:tc>
          <w:tcPr>
            <w:tcW w:w="1721" w:type="dxa"/>
            <w:shd w:val="clear" w:color="auto" w:fill="auto"/>
            <w:vAlign w:val="center"/>
          </w:tcPr>
          <w:p w14:paraId="1AA5C272">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B394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continue"/>
            <w:shd w:val="clear" w:color="auto" w:fill="auto"/>
            <w:vAlign w:val="center"/>
          </w:tcPr>
          <w:p w14:paraId="26A5CB0F">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eastAsia="zh-CN"/>
              </w:rPr>
            </w:pPr>
          </w:p>
        </w:tc>
        <w:tc>
          <w:tcPr>
            <w:tcW w:w="1936" w:type="dxa"/>
            <w:vMerge w:val="continue"/>
            <w:shd w:val="clear" w:color="auto" w:fill="auto"/>
            <w:vAlign w:val="center"/>
          </w:tcPr>
          <w:p w14:paraId="0689503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p>
        </w:tc>
        <w:tc>
          <w:tcPr>
            <w:tcW w:w="4502" w:type="dxa"/>
            <w:shd w:val="clear" w:color="auto" w:fill="auto"/>
            <w:vAlign w:val="center"/>
          </w:tcPr>
          <w:p w14:paraId="2E9B363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单设备应配置≥两颗64位多核处理器，≥64GB内存，内存支持扩展到≥256GB，需配置冗余金牌电源；单设备配置≥2个千兆网口，≥2个万兆网口，可增扩≥2个万兆口或≥4个光纤接口；配置48块6TB的企业级IoT硬盘；支持基于纠删码的超容错网络RAID技术，具备数据自愈功能。当硬盘损坏后，系统自动进行数据恢复，保证数据不丢失，业务不中断；支持硬盘热插拔，设备在读写数据时，热插拔设备内的任意块硬盘，设备正常运行不宕机，硬盘不损坏，数据不丢失，业务不中断；支持按照接入任务数实现自动负载均衡，支持前端设备自动分配到存储节点；支持数据冗余N+M模式下，当损坏节点数量超过M台（或数据块超过M）时，系统内的正常存储节点不少于1台，业务仍可持续写入，当故障存储或者硬盘上线后，损坏数据可自动恢复；支持对不同规格图片数据分级加速存储，小图支持SSD缓存加速，大图支持内存加速；支持自定义设置内存加速缓存大小、SSD缓存加速池容量大小，可最高针对4096 KB 图片加速提取；兼容GB/T28181国家标准，支持RTSP/ONVIF/PSIA等标准视频流传输协议，支持iSCSI、CIFS、NFS、FTP、HTTP、AFP、RSYNC等存储协议。</w:t>
            </w:r>
          </w:p>
        </w:tc>
        <w:tc>
          <w:tcPr>
            <w:tcW w:w="1721" w:type="dxa"/>
            <w:shd w:val="clear" w:color="auto" w:fill="auto"/>
            <w:vAlign w:val="center"/>
          </w:tcPr>
          <w:p w14:paraId="1B951B01">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C03E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restart"/>
            <w:shd w:val="clear" w:color="auto" w:fill="auto"/>
            <w:vAlign w:val="center"/>
          </w:tcPr>
          <w:p w14:paraId="2C4BF97E">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163</w:t>
            </w:r>
          </w:p>
        </w:tc>
        <w:tc>
          <w:tcPr>
            <w:tcW w:w="1936" w:type="dxa"/>
            <w:vMerge w:val="restart"/>
            <w:shd w:val="clear" w:color="auto" w:fill="auto"/>
            <w:vAlign w:val="center"/>
          </w:tcPr>
          <w:p w14:paraId="52F9FF6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图片云存储管理设备</w:t>
            </w:r>
          </w:p>
        </w:tc>
        <w:tc>
          <w:tcPr>
            <w:tcW w:w="4502" w:type="dxa"/>
            <w:shd w:val="clear" w:color="auto" w:fill="auto"/>
            <w:vAlign w:val="center"/>
          </w:tcPr>
          <w:p w14:paraId="6C28386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w:t>
            </w:r>
            <w:r>
              <w:rPr>
                <w:rFonts w:hint="eastAsia" w:ascii="宋体" w:hAnsi="宋体" w:eastAsia="宋体" w:cs="宋体"/>
                <w:b/>
                <w:bCs/>
                <w:color w:val="FF0000"/>
                <w:sz w:val="20"/>
                <w:szCs w:val="21"/>
                <w:lang w:val="en-US" w:eastAsia="zh-CN"/>
              </w:rPr>
              <w:t>1.</w:t>
            </w:r>
            <w:r>
              <w:rPr>
                <w:rFonts w:hint="eastAsia" w:ascii="宋体" w:hAnsi="宋体" w:eastAsia="宋体" w:cs="宋体"/>
                <w:b/>
                <w:bCs/>
                <w:i w:val="0"/>
                <w:iCs w:val="0"/>
                <w:color w:val="FF0000"/>
                <w:kern w:val="0"/>
                <w:sz w:val="20"/>
                <w:szCs w:val="20"/>
                <w:u w:val="none"/>
                <w:lang w:val="en-US" w:eastAsia="zh-CN" w:bidi="ar"/>
              </w:rPr>
              <w:t>兼容深圳交警支队图片云存储，在交警现有高清平台的云存储系统基础上扩容，扩容后与现有云存储虚拟化后提供统一的云服务</w:t>
            </w:r>
          </w:p>
        </w:tc>
        <w:tc>
          <w:tcPr>
            <w:tcW w:w="1721" w:type="dxa"/>
            <w:shd w:val="clear" w:color="auto" w:fill="auto"/>
            <w:vAlign w:val="center"/>
          </w:tcPr>
          <w:p w14:paraId="5760929D">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57AE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vMerge w:val="continue"/>
            <w:shd w:val="clear" w:color="auto" w:fill="auto"/>
            <w:vAlign w:val="center"/>
          </w:tcPr>
          <w:p w14:paraId="4A5E5899">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p>
        </w:tc>
        <w:tc>
          <w:tcPr>
            <w:tcW w:w="1936" w:type="dxa"/>
            <w:vMerge w:val="continue"/>
            <w:shd w:val="clear" w:color="auto" w:fill="auto"/>
            <w:vAlign w:val="center"/>
          </w:tcPr>
          <w:p w14:paraId="549AD43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p>
        </w:tc>
        <w:tc>
          <w:tcPr>
            <w:tcW w:w="4502" w:type="dxa"/>
            <w:shd w:val="clear" w:color="auto" w:fill="auto"/>
            <w:vAlign w:val="center"/>
          </w:tcPr>
          <w:p w14:paraId="2913C08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2.处理器：64位多核处理器（核数≧8）；内存：DDR4，内存标配≥32GB，≥8根内存插槽；内置SSD硬盘：标配1个≥240GB SSD，2个≥960GB SSD硬盘；网口≥2个千兆网口；电源：550W铂金1+1冗余电源。</w:t>
            </w:r>
          </w:p>
        </w:tc>
        <w:tc>
          <w:tcPr>
            <w:tcW w:w="1721" w:type="dxa"/>
            <w:shd w:val="clear" w:color="auto" w:fill="auto"/>
            <w:vAlign w:val="center"/>
          </w:tcPr>
          <w:p w14:paraId="2A89859F">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83F6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vMerge w:val="restart"/>
            <w:shd w:val="clear" w:color="auto" w:fill="auto"/>
            <w:vAlign w:val="center"/>
          </w:tcPr>
          <w:p w14:paraId="538E12B0">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164</w:t>
            </w:r>
          </w:p>
        </w:tc>
        <w:tc>
          <w:tcPr>
            <w:tcW w:w="1936" w:type="dxa"/>
            <w:vMerge w:val="restart"/>
            <w:shd w:val="clear" w:color="auto" w:fill="auto"/>
            <w:vAlign w:val="center"/>
          </w:tcPr>
          <w:p w14:paraId="56EBC66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云存储软件</w:t>
            </w:r>
          </w:p>
        </w:tc>
        <w:tc>
          <w:tcPr>
            <w:tcW w:w="4502" w:type="dxa"/>
            <w:shd w:val="clear" w:color="auto" w:fill="auto"/>
            <w:vAlign w:val="center"/>
          </w:tcPr>
          <w:p w14:paraId="42D507A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★1.支持在深圳市公安局交通管理局高清采集与应用平台的云存储系统基础上扩容，扩容后与现有云存储提供统一的云服务。</w:t>
            </w:r>
          </w:p>
        </w:tc>
        <w:tc>
          <w:tcPr>
            <w:tcW w:w="1721" w:type="dxa"/>
            <w:shd w:val="clear" w:color="auto" w:fill="auto"/>
            <w:vAlign w:val="center"/>
          </w:tcPr>
          <w:p w14:paraId="097A9DE0">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5CD7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vMerge w:val="continue"/>
            <w:shd w:val="clear" w:color="auto" w:fill="auto"/>
            <w:vAlign w:val="center"/>
          </w:tcPr>
          <w:p w14:paraId="062E4D63">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p>
        </w:tc>
        <w:tc>
          <w:tcPr>
            <w:tcW w:w="1936" w:type="dxa"/>
            <w:vMerge w:val="continue"/>
            <w:shd w:val="clear" w:color="auto" w:fill="auto"/>
            <w:vAlign w:val="center"/>
          </w:tcPr>
          <w:p w14:paraId="79A288F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p>
        </w:tc>
        <w:tc>
          <w:tcPr>
            <w:tcW w:w="4502" w:type="dxa"/>
            <w:shd w:val="clear" w:color="auto" w:fill="auto"/>
            <w:vAlign w:val="center"/>
          </w:tcPr>
          <w:p w14:paraId="7A12659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支持图片流直存，抓拍图片无需经过任何转发服务器/虚拟机即可实现前端数据直接存储至云存储系统；支持设置资源池自动分流策略，策略包含按图片大小、图片类型(类型包含人脸、人体、车辆、电动车等)。支持将同一点位产生的多种不同大小、不同类型的图片数据按策略自动分池存储到不同存储资源池中；</w:t>
            </w:r>
          </w:p>
        </w:tc>
        <w:tc>
          <w:tcPr>
            <w:tcW w:w="1721" w:type="dxa"/>
            <w:shd w:val="clear" w:color="auto" w:fill="auto"/>
            <w:vAlign w:val="center"/>
          </w:tcPr>
          <w:p w14:paraId="2734BDA4">
            <w:pPr>
              <w:keepNext/>
              <w:snapToGrid w:val="0"/>
              <w:ind w:left="0" w:leftChars="0" w:right="0" w:rightChars="0" w:firstLine="0" w:firstLineChars="0"/>
              <w:jc w:val="left"/>
              <w:rPr>
                <w:rFonts w:hint="eastAsia" w:ascii="宋体" w:hAnsi="宋体" w:eastAsia="宋体" w:cs="宋体"/>
                <w:b/>
                <w:color w:val="000000"/>
                <w:sz w:val="20"/>
                <w:szCs w:val="21"/>
              </w:rPr>
            </w:pPr>
            <w:r>
              <w:rPr>
                <w:rFonts w:hint="eastAsia" w:ascii="宋体" w:hAnsi="宋体" w:eastAsia="宋体" w:cs="宋体"/>
                <w:b/>
                <w:color w:val="000000"/>
                <w:sz w:val="20"/>
                <w:szCs w:val="21"/>
              </w:rPr>
              <w:t>投标时同时提供：</w:t>
            </w:r>
          </w:p>
          <w:p w14:paraId="1F1A6F65">
            <w:pPr>
              <w:keepNext/>
              <w:snapToGrid w:val="0"/>
              <w:ind w:left="0" w:leftChars="0" w:right="0" w:rightChars="0" w:firstLine="0" w:firstLineChars="0"/>
              <w:jc w:val="left"/>
              <w:rPr>
                <w:rFonts w:hint="eastAsia" w:ascii="宋体" w:hAnsi="宋体" w:eastAsia="宋体" w:cs="宋体"/>
                <w:b/>
                <w:color w:val="000000"/>
                <w:sz w:val="20"/>
                <w:szCs w:val="21"/>
              </w:rPr>
            </w:pPr>
            <w:r>
              <w:rPr>
                <w:rFonts w:hint="eastAsia" w:ascii="宋体" w:hAnsi="宋体" w:eastAsia="宋体" w:cs="宋体"/>
                <w:b/>
                <w:color w:val="000000"/>
                <w:sz w:val="20"/>
                <w:szCs w:val="21"/>
              </w:rPr>
              <w:t>①第三方检测机构出具的检测（检验）报告扫描件，要求内容能体现满足上述参数要求。</w:t>
            </w:r>
          </w:p>
          <w:p w14:paraId="34365C1F">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r>
              <w:rPr>
                <w:rFonts w:hint="eastAsia" w:ascii="宋体" w:hAnsi="宋体" w:eastAsia="宋体" w:cs="宋体"/>
                <w:b/>
                <w:color w:val="000000"/>
                <w:sz w:val="20"/>
                <w:szCs w:val="21"/>
              </w:rPr>
              <w:t>②</w:t>
            </w:r>
            <w:r>
              <w:rPr>
                <w:rFonts w:hint="eastAsia" w:ascii="宋体" w:hAnsi="宋体" w:eastAsia="宋体" w:cs="宋体"/>
                <w:b/>
                <w:color w:val="000000"/>
                <w:sz w:val="20"/>
                <w:szCs w:val="21"/>
                <w:lang w:eastAsia="zh-CN"/>
              </w:rPr>
              <w:t>提供出具</w:t>
            </w:r>
            <w:r>
              <w:rPr>
                <w:rFonts w:hint="eastAsia" w:ascii="宋体" w:hAnsi="宋体" w:eastAsia="宋体" w:cs="宋体"/>
                <w:b/>
                <w:color w:val="000000"/>
                <w:sz w:val="20"/>
                <w:szCs w:val="21"/>
              </w:rPr>
              <w:t>检测（检验）报告</w:t>
            </w:r>
            <w:r>
              <w:rPr>
                <w:rFonts w:hint="eastAsia" w:ascii="宋体" w:hAnsi="宋体" w:eastAsia="宋体" w:cs="宋体"/>
                <w:b/>
                <w:color w:val="000000"/>
                <w:sz w:val="20"/>
                <w:szCs w:val="21"/>
                <w:lang w:eastAsia="zh-CN"/>
              </w:rPr>
              <w:t>的检测机构</w:t>
            </w:r>
            <w:r>
              <w:rPr>
                <w:rFonts w:hint="eastAsia" w:ascii="宋体" w:hAnsi="宋体" w:eastAsia="宋体" w:cs="宋体"/>
                <w:b/>
                <w:color w:val="000000"/>
                <w:sz w:val="20"/>
                <w:szCs w:val="21"/>
              </w:rPr>
              <w:t>在全国认证认可信息公共服务平台（认e云）（http://cx.cnca.cn/）的</w:t>
            </w:r>
            <w:r>
              <w:rPr>
                <w:rFonts w:hint="eastAsia" w:ascii="宋体" w:hAnsi="宋体" w:eastAsia="宋体" w:cs="宋体"/>
                <w:b/>
                <w:color w:val="000000"/>
                <w:sz w:val="20"/>
                <w:szCs w:val="21"/>
                <w:lang w:eastAsia="zh-CN"/>
              </w:rPr>
              <w:t>机构</w:t>
            </w:r>
            <w:r>
              <w:rPr>
                <w:rFonts w:hint="eastAsia" w:ascii="宋体" w:hAnsi="宋体" w:eastAsia="宋体" w:cs="宋体"/>
                <w:b/>
                <w:color w:val="000000"/>
                <w:sz w:val="20"/>
                <w:szCs w:val="21"/>
              </w:rPr>
              <w:t>信息查询记录截图，因该平台升级等原因导致无法查询的，则需提供通过检测机构官网等可靠途径查询</w:t>
            </w:r>
            <w:r>
              <w:rPr>
                <w:rFonts w:hint="eastAsia" w:ascii="宋体" w:hAnsi="宋体" w:eastAsia="宋体" w:cs="宋体"/>
                <w:b/>
                <w:color w:val="000000"/>
                <w:sz w:val="20"/>
                <w:szCs w:val="21"/>
                <w:lang w:eastAsia="zh-CN"/>
              </w:rPr>
              <w:t>该检测机构</w:t>
            </w:r>
            <w:r>
              <w:rPr>
                <w:rFonts w:hint="eastAsia" w:ascii="宋体" w:hAnsi="宋体" w:eastAsia="宋体" w:cs="宋体"/>
                <w:b/>
                <w:color w:val="000000"/>
                <w:sz w:val="20"/>
                <w:szCs w:val="21"/>
              </w:rPr>
              <w:t>真实性</w:t>
            </w:r>
            <w:r>
              <w:rPr>
                <w:rFonts w:hint="eastAsia" w:ascii="宋体" w:hAnsi="宋体" w:eastAsia="宋体" w:cs="宋体"/>
                <w:b/>
                <w:color w:val="000000"/>
                <w:sz w:val="20"/>
                <w:szCs w:val="21"/>
                <w:lang w:eastAsia="zh-CN"/>
              </w:rPr>
              <w:t>、专业性及可靠性</w:t>
            </w:r>
            <w:r>
              <w:rPr>
                <w:rFonts w:hint="eastAsia" w:ascii="宋体" w:hAnsi="宋体" w:eastAsia="宋体" w:cs="宋体"/>
                <w:b/>
                <w:color w:val="000000"/>
                <w:sz w:val="20"/>
                <w:szCs w:val="21"/>
              </w:rPr>
              <w:t>的证明材料或者检测机构盖章的证明材料，证明该</w:t>
            </w:r>
            <w:r>
              <w:rPr>
                <w:rFonts w:hint="eastAsia" w:ascii="宋体" w:hAnsi="宋体" w:eastAsia="宋体" w:cs="宋体"/>
                <w:b/>
                <w:color w:val="000000"/>
                <w:sz w:val="20"/>
                <w:szCs w:val="21"/>
                <w:lang w:eastAsia="zh-CN"/>
              </w:rPr>
              <w:t>检测机构</w:t>
            </w:r>
            <w:r>
              <w:rPr>
                <w:rFonts w:hint="eastAsia" w:ascii="宋体" w:hAnsi="宋体" w:eastAsia="宋体" w:cs="宋体"/>
                <w:b/>
                <w:color w:val="000000"/>
                <w:sz w:val="20"/>
                <w:szCs w:val="21"/>
              </w:rPr>
              <w:t>真实</w:t>
            </w:r>
            <w:r>
              <w:rPr>
                <w:rFonts w:hint="eastAsia" w:ascii="宋体" w:hAnsi="宋体" w:eastAsia="宋体" w:cs="宋体"/>
                <w:b/>
                <w:color w:val="000000"/>
                <w:sz w:val="20"/>
                <w:szCs w:val="21"/>
                <w:lang w:eastAsia="zh-CN"/>
              </w:rPr>
              <w:t>专业可靠</w:t>
            </w:r>
            <w:r>
              <w:rPr>
                <w:rFonts w:hint="eastAsia" w:ascii="宋体" w:hAnsi="宋体" w:eastAsia="宋体" w:cs="宋体"/>
                <w:b/>
                <w:color w:val="000000"/>
                <w:sz w:val="20"/>
                <w:szCs w:val="21"/>
              </w:rPr>
              <w:t>。</w:t>
            </w:r>
          </w:p>
        </w:tc>
      </w:tr>
      <w:tr w14:paraId="57A50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continue"/>
            <w:shd w:val="clear" w:color="auto" w:fill="auto"/>
            <w:vAlign w:val="center"/>
          </w:tcPr>
          <w:p w14:paraId="52A0EC80">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p>
        </w:tc>
        <w:tc>
          <w:tcPr>
            <w:tcW w:w="1936" w:type="dxa"/>
            <w:vMerge w:val="continue"/>
            <w:shd w:val="clear" w:color="auto" w:fill="auto"/>
            <w:vAlign w:val="center"/>
          </w:tcPr>
          <w:p w14:paraId="71E3AFB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p>
        </w:tc>
        <w:tc>
          <w:tcPr>
            <w:tcW w:w="4502" w:type="dxa"/>
            <w:shd w:val="clear" w:color="auto" w:fill="auto"/>
            <w:vAlign w:val="center"/>
          </w:tcPr>
          <w:p w14:paraId="1538843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统一命名空间，将所有物理存储资源虚拟化成统一的存储空间，以唯一业务IP地址对外提供存储服务；云存储系统支持由管理节点和存储节点两部分组成，支持控制流与数据流分离，数据的存储或读取由存储节点并行读写；提供存储空间虚拟化管理能力，支持多存储设备容量整合，形成录像池；可根据用户业务分配通用、文件、视频、图片等类型存储空间；支持在线弹性伸缩录像池的容量空间，不影响业务继续读写；支持图片流直存，抓拍图片无需经过任何转发服务器/虚拟机即可实现前端数据直接存储至云存储系统；支持将同一点位产生的多种不同大小、不同类型的图片数据按策略自动分池存储到不同存储资源池中；云存储系统同时支持按照资源池为单位进行点位的生命周期批量管理策略和单独对每个点位通道设置生命周期管理策略，支持两种策略之间互相切换，支持周期策略调整后历史数据也即时生效；支持智能EC，并支持根据存储资源池设置智能EC策略，包括优先安全级别保障和优先空间利用率保障两种策略；支持图形化页面对图片数据进行处理，包括图片预览、压缩、裁剪、缩放、格式转换、马赛克、归一化及打文字水印，并支持通过图形化页面下载处理成功的图片数据；支持AWS S3和阿里OSS标准对象协议。</w:t>
            </w:r>
          </w:p>
        </w:tc>
        <w:tc>
          <w:tcPr>
            <w:tcW w:w="1721" w:type="dxa"/>
            <w:shd w:val="clear" w:color="auto" w:fill="auto"/>
            <w:vAlign w:val="center"/>
          </w:tcPr>
          <w:p w14:paraId="50CF6324">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F534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restart"/>
            <w:shd w:val="clear" w:color="auto" w:fill="auto"/>
            <w:vAlign w:val="center"/>
          </w:tcPr>
          <w:p w14:paraId="0ECEA30B">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165</w:t>
            </w:r>
          </w:p>
        </w:tc>
        <w:tc>
          <w:tcPr>
            <w:tcW w:w="1936" w:type="dxa"/>
            <w:vMerge w:val="restart"/>
            <w:shd w:val="clear" w:color="auto" w:fill="auto"/>
            <w:vAlign w:val="center"/>
          </w:tcPr>
          <w:p w14:paraId="2ACD007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高清平台接入设备</w:t>
            </w:r>
          </w:p>
        </w:tc>
        <w:tc>
          <w:tcPr>
            <w:tcW w:w="4502" w:type="dxa"/>
            <w:shd w:val="clear" w:color="auto" w:fill="auto"/>
            <w:vAlign w:val="center"/>
          </w:tcPr>
          <w:p w14:paraId="2C85AA9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★1.在交警现有高清平台基础上扩容，配套高清平台接入服务软件。</w:t>
            </w:r>
          </w:p>
        </w:tc>
        <w:tc>
          <w:tcPr>
            <w:tcW w:w="1721" w:type="dxa"/>
            <w:shd w:val="clear" w:color="auto" w:fill="auto"/>
            <w:vAlign w:val="center"/>
          </w:tcPr>
          <w:p w14:paraId="732EBE53">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0CB97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vMerge w:val="continue"/>
            <w:shd w:val="clear" w:color="auto" w:fill="auto"/>
            <w:vAlign w:val="center"/>
          </w:tcPr>
          <w:p w14:paraId="401AEF31">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p>
        </w:tc>
        <w:tc>
          <w:tcPr>
            <w:tcW w:w="1936" w:type="dxa"/>
            <w:vMerge w:val="continue"/>
            <w:shd w:val="clear" w:color="auto" w:fill="auto"/>
            <w:vAlign w:val="center"/>
          </w:tcPr>
          <w:p w14:paraId="771BBE6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p>
        </w:tc>
        <w:tc>
          <w:tcPr>
            <w:tcW w:w="4502" w:type="dxa"/>
            <w:shd w:val="clear" w:color="auto" w:fill="auto"/>
            <w:vAlign w:val="center"/>
          </w:tcPr>
          <w:p w14:paraId="718A8F7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支持车辆过车数据的辨识检测和属性提取；支持违法过车数据的辨识检测和属性提取，及违章识别；支持按高清平台协议接收过车数据及图片，并转存到平台云存储系统；CPU:2颗处理器，核数≥24核，频率≥2.2GHz；内存≥128G DDR4，32根内存插槽，最大支持扩展至4TB内存；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硬盘:4块容量≥600G的2.5寸SAS硬盘，最大可选支持12块3.5寸(兼容2.5寸)热插拔 SATA/SAS硬盘，最大可选支持26块2.5寸热插拔SATA/SAS硬盘或同等容量硬盘；阵列卡:RAID_2G 卡，支持RAID 0/1/10/5/50/6/60,2G 缓存；PCIE扩展:最大可支持10个PCIE扩展插槽；网口:2个千兆电口；2个万兆光口；其他接口:1个RJ45管理接口，4个USB3.0接口，1个VGA接口；电源:800W(1+1)冗余电源。</w:t>
            </w:r>
          </w:p>
        </w:tc>
        <w:tc>
          <w:tcPr>
            <w:tcW w:w="1721" w:type="dxa"/>
            <w:shd w:val="clear" w:color="auto" w:fill="auto"/>
            <w:vAlign w:val="center"/>
          </w:tcPr>
          <w:p w14:paraId="5CC573A5">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BBA9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vMerge w:val="restart"/>
            <w:shd w:val="clear" w:color="auto" w:fill="auto"/>
            <w:vAlign w:val="center"/>
          </w:tcPr>
          <w:p w14:paraId="735C24AB">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166</w:t>
            </w:r>
          </w:p>
        </w:tc>
        <w:tc>
          <w:tcPr>
            <w:tcW w:w="1936" w:type="dxa"/>
            <w:vMerge w:val="restart"/>
            <w:shd w:val="clear" w:color="auto" w:fill="auto"/>
            <w:vAlign w:val="center"/>
          </w:tcPr>
          <w:p w14:paraId="24C30AE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图文库系统存储设备</w:t>
            </w:r>
          </w:p>
        </w:tc>
        <w:tc>
          <w:tcPr>
            <w:tcW w:w="4502" w:type="dxa"/>
            <w:shd w:val="clear" w:color="auto" w:fill="auto"/>
            <w:vAlign w:val="center"/>
          </w:tcPr>
          <w:p w14:paraId="7C8CD1F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FF0000"/>
                <w:kern w:val="0"/>
                <w:sz w:val="20"/>
                <w:szCs w:val="20"/>
                <w:u w:val="none"/>
                <w:lang w:val="en-US" w:eastAsia="zh-CN" w:bidi="ar"/>
              </w:rPr>
              <w:t>★1.</w:t>
            </w:r>
            <w:r>
              <w:rPr>
                <w:rFonts w:hint="eastAsia" w:ascii="宋体" w:hAnsi="宋体" w:eastAsia="宋体" w:cs="宋体"/>
                <w:b/>
                <w:bCs/>
                <w:i w:val="0"/>
                <w:iCs w:val="0"/>
                <w:color w:val="FF0000"/>
                <w:kern w:val="0"/>
                <w:sz w:val="20"/>
                <w:szCs w:val="20"/>
                <w:u w:val="none"/>
                <w:lang w:val="en-US" w:eastAsia="zh-CN" w:bidi="ar"/>
              </w:rPr>
              <w:t>支持在现有深圳市公安局交通管理局高清采集与应用平台的图文库系统基础上扩容，扩容后可无缝对接，与现有图文库虚拟化后提供统一的云服务。</w:t>
            </w:r>
          </w:p>
        </w:tc>
        <w:tc>
          <w:tcPr>
            <w:tcW w:w="1721" w:type="dxa"/>
            <w:shd w:val="clear" w:color="auto" w:fill="auto"/>
            <w:vAlign w:val="center"/>
          </w:tcPr>
          <w:p w14:paraId="010BD56E">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7166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continue"/>
            <w:shd w:val="clear" w:color="auto" w:fill="auto"/>
            <w:vAlign w:val="center"/>
          </w:tcPr>
          <w:p w14:paraId="70FBA707">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p>
        </w:tc>
        <w:tc>
          <w:tcPr>
            <w:tcW w:w="1936" w:type="dxa"/>
            <w:vMerge w:val="continue"/>
            <w:shd w:val="clear" w:color="auto" w:fill="auto"/>
            <w:vAlign w:val="center"/>
          </w:tcPr>
          <w:p w14:paraId="7854265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p>
        </w:tc>
        <w:tc>
          <w:tcPr>
            <w:tcW w:w="4502" w:type="dxa"/>
            <w:shd w:val="clear" w:color="auto" w:fill="auto"/>
            <w:vAlign w:val="center"/>
          </w:tcPr>
          <w:p w14:paraId="26CB89A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设备具备双控制器结构，每控制器配置：≥1颗64位多核处理器，≥8GB内存，内存支持扩展到≥256GB，≥2个千兆网口，≥2个万兆光口，内置≥128GSSD固态硬盘（可以扩展到2个SSD作为缓存盘）；配备冗余电源；每个控制器具有：3个PCIE3.0插槽、3个12GB SAS3.0接口、2个USB3.0、1个USB2.0接口；可接入硬盘≥24块，支持SATA和SAS混插；支持按照设备可用容量实现负载均衡，各存储节点上存储的数据量在稳定状态下保持均衡，差距≤5%；支持按照接入任务数实现自动负载均衡，支持前端设备自动分配到存储节点。各节点间读写任务数差距±1；支持 《公安视频图像信息应用系统》中的GA/T1400协议；可对外提供多种类型数据混合存储，同时支持分布式流式存储，分布式对象存储、分布式文件存储、分布式块存储；根据自身业务量，自适应重构速度，如当前设备空间资源较为充裕时，重构速度较高，若存储设备读写压力上来后，重构速度自动降低；视音频流能直接在云系统上进行存储，支持采用流媒体直存转发方式，由云存储服务器本机直接对流媒体进行存储转发，无需配置存储转发/流媒体服务器；支持智能流（智能分析后的结构化的数据）直接在云系统上进行存储，无需配置存储转发服务器；支持在管理节点全部故障、存储节点出现批量故障时，只要存在一台有效的存储，业务就不会中断；配置24块≥4TB的企业级SAS硬盘。</w:t>
            </w:r>
          </w:p>
        </w:tc>
        <w:tc>
          <w:tcPr>
            <w:tcW w:w="1721" w:type="dxa"/>
            <w:shd w:val="clear" w:color="auto" w:fill="auto"/>
            <w:vAlign w:val="center"/>
          </w:tcPr>
          <w:p w14:paraId="37DF3207">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1E2B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restart"/>
            <w:shd w:val="clear" w:color="auto" w:fill="auto"/>
            <w:vAlign w:val="center"/>
          </w:tcPr>
          <w:p w14:paraId="6906C3B1">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167</w:t>
            </w:r>
          </w:p>
        </w:tc>
        <w:tc>
          <w:tcPr>
            <w:tcW w:w="1936" w:type="dxa"/>
            <w:vMerge w:val="restart"/>
            <w:shd w:val="clear" w:color="auto" w:fill="auto"/>
            <w:vAlign w:val="center"/>
          </w:tcPr>
          <w:p w14:paraId="4560CEC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图文库软件</w:t>
            </w:r>
          </w:p>
        </w:tc>
        <w:tc>
          <w:tcPr>
            <w:tcW w:w="4502" w:type="dxa"/>
            <w:shd w:val="clear" w:color="auto" w:fill="auto"/>
            <w:vAlign w:val="center"/>
          </w:tcPr>
          <w:p w14:paraId="5B54768C">
            <w:pPr>
              <w:keepNext w:val="0"/>
              <w:keepLines w:val="0"/>
              <w:widowControl/>
              <w:suppressLineNumbers w:val="0"/>
              <w:snapToGrid/>
              <w:ind w:left="0" w:leftChars="0" w:right="0" w:rightChars="0" w:firstLine="0" w:firstLineChars="0"/>
              <w:jc w:val="left"/>
              <w:textAlignment w:val="auto"/>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★1.支持在现有深圳市公安局交通管理局高清采集与应用平台的图文库系统基础上扩容，扩容后与现有图文库虚拟化后提供统一的云服务。</w:t>
            </w:r>
          </w:p>
        </w:tc>
        <w:tc>
          <w:tcPr>
            <w:tcW w:w="1721" w:type="dxa"/>
            <w:shd w:val="clear" w:color="auto" w:fill="auto"/>
            <w:vAlign w:val="center"/>
          </w:tcPr>
          <w:p w14:paraId="2C2D1D54">
            <w:pPr>
              <w:keepNext/>
              <w:snapToGrid w:val="0"/>
              <w:ind w:left="0" w:leftChars="0" w:right="0" w:rightChars="0" w:firstLine="0" w:firstLineChars="0"/>
              <w:jc w:val="left"/>
              <w:rPr>
                <w:rFonts w:hint="eastAsia" w:ascii="宋体" w:hAnsi="宋体" w:eastAsia="宋体" w:cs="宋体"/>
                <w:b/>
                <w:color w:val="000000"/>
                <w:sz w:val="20"/>
                <w:szCs w:val="21"/>
              </w:rPr>
            </w:pPr>
          </w:p>
        </w:tc>
      </w:tr>
      <w:tr w14:paraId="747B0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continue"/>
            <w:shd w:val="clear" w:color="auto" w:fill="auto"/>
            <w:vAlign w:val="center"/>
          </w:tcPr>
          <w:p w14:paraId="51770E29">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p>
        </w:tc>
        <w:tc>
          <w:tcPr>
            <w:tcW w:w="1936" w:type="dxa"/>
            <w:vMerge w:val="continue"/>
            <w:shd w:val="clear" w:color="auto" w:fill="auto"/>
            <w:vAlign w:val="center"/>
          </w:tcPr>
          <w:p w14:paraId="797ADC3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p>
        </w:tc>
        <w:tc>
          <w:tcPr>
            <w:tcW w:w="4502" w:type="dxa"/>
            <w:shd w:val="clear" w:color="auto" w:fill="auto"/>
            <w:vAlign w:val="center"/>
          </w:tcPr>
          <w:p w14:paraId="4D0B8047">
            <w:pPr>
              <w:keepNext/>
              <w:keepLines w:val="0"/>
              <w:widowControl/>
              <w:numPr>
                <w:ilvl w:val="-1"/>
                <w:numId w:val="0"/>
              </w:numPr>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统一命名空间，将所有物理存储资源虚拟化成统一的存储空间，以唯一业务IP地址对外提供存储服务；云存储系统支持由管理节点和存储节点两部分组成，支持控制流与数据流分离，数据的存储或读取由存储节点并行读写；提供前端设备和存储设备之间直接存储功能，采用块级存储，不生成文件（即不使用文件系统），无碎片；提供存储空间虚拟化管理能力，支持多存储设备容量整合，形成录像池；可根据用户业务分配通用、文件、视频、图片等类型存储空间；支持在线弹性伸缩录像池的容量空间，不影响业务继续读写；支持云内所有节点根据设备可用容量、设备负载情况、设备内RAID组间、设备接入任务数以及设备读写性能等自动负载均衡，系统定期自动进行均衡负载，自动进行系统资源分配；具有存储节点和硬盘级的双层负载均衡；支持SVAC流、H.264、H.265流直接存入到云存储设备，并从云存储中提取出来，进行回放、下载；支持自定义时间段锁定图片，锁定时间可设置，可执行手动解锁或锁定时间到期后自动执行解锁，在锁定时间段内，图片不会被覆盖；支持云存储回放的负载均衡，可根据设备的压力（CPU\内存\系统压力等），负载均衡由不同存储节点提供视频回放能力。</w:t>
            </w:r>
          </w:p>
        </w:tc>
        <w:tc>
          <w:tcPr>
            <w:tcW w:w="1721" w:type="dxa"/>
            <w:shd w:val="clear" w:color="auto" w:fill="auto"/>
            <w:vAlign w:val="center"/>
          </w:tcPr>
          <w:p w14:paraId="74B5A319">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3993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29948ABD">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168</w:t>
            </w:r>
          </w:p>
        </w:tc>
        <w:tc>
          <w:tcPr>
            <w:tcW w:w="1936" w:type="dxa"/>
            <w:shd w:val="clear" w:color="auto" w:fill="auto"/>
            <w:vAlign w:val="center"/>
          </w:tcPr>
          <w:p w14:paraId="4240F22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图片云存储交换机</w:t>
            </w:r>
          </w:p>
        </w:tc>
        <w:tc>
          <w:tcPr>
            <w:tcW w:w="4502" w:type="dxa"/>
            <w:shd w:val="clear" w:color="auto" w:fill="auto"/>
            <w:vAlign w:val="center"/>
          </w:tcPr>
          <w:p w14:paraId="285D79F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1.交换容量≥1Tbps，包转发率≥200Mpps；支持≥48个千兆电,≥4个万兆SFP+；支持静态路由、RIP V1/2、RIPng、OSPF、OSPFv3、IS-IS、IS-ISv6、BGP、BGP4+、ECMP、路由策略；支持 VXLAN 二层网关、三层网关；支持集中式网关、分布式网关；配置≥2个交流电源。</w:t>
            </w:r>
          </w:p>
        </w:tc>
        <w:tc>
          <w:tcPr>
            <w:tcW w:w="1721" w:type="dxa"/>
            <w:shd w:val="clear" w:color="auto" w:fill="auto"/>
            <w:vAlign w:val="center"/>
          </w:tcPr>
          <w:p w14:paraId="55C50708">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484B9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vMerge w:val="restart"/>
            <w:shd w:val="clear" w:color="auto" w:fill="auto"/>
            <w:vAlign w:val="center"/>
          </w:tcPr>
          <w:p w14:paraId="3B96238D">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169</w:t>
            </w:r>
          </w:p>
        </w:tc>
        <w:tc>
          <w:tcPr>
            <w:tcW w:w="1936" w:type="dxa"/>
            <w:vMerge w:val="restart"/>
            <w:shd w:val="clear" w:color="auto" w:fill="auto"/>
            <w:vAlign w:val="center"/>
          </w:tcPr>
          <w:p w14:paraId="182F6A7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大数据存储节点</w:t>
            </w:r>
          </w:p>
        </w:tc>
        <w:tc>
          <w:tcPr>
            <w:tcW w:w="4502" w:type="dxa"/>
            <w:shd w:val="clear" w:color="auto" w:fill="auto"/>
            <w:vAlign w:val="center"/>
          </w:tcPr>
          <w:p w14:paraId="5C065BD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FF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★1.支持在深圳市公安局交通管理局高清采集与应用平台基础上扩容，配套高清平台大数据软件。</w:t>
            </w:r>
          </w:p>
        </w:tc>
        <w:tc>
          <w:tcPr>
            <w:tcW w:w="1721" w:type="dxa"/>
            <w:shd w:val="clear" w:color="auto" w:fill="auto"/>
            <w:vAlign w:val="center"/>
          </w:tcPr>
          <w:p w14:paraId="0F9E71BF">
            <w:pPr>
              <w:keepNext/>
              <w:snapToGrid w:val="0"/>
              <w:ind w:left="0" w:leftChars="0" w:right="0" w:rightChars="0" w:firstLine="0" w:firstLineChars="0"/>
              <w:jc w:val="left"/>
              <w:rPr>
                <w:rFonts w:hint="default" w:ascii="宋体" w:hAnsi="宋体" w:eastAsia="宋体" w:cs="宋体"/>
                <w:i w:val="0"/>
                <w:iCs w:val="0"/>
                <w:color w:val="000000"/>
                <w:sz w:val="20"/>
                <w:szCs w:val="20"/>
                <w:u w:val="none"/>
                <w:lang w:val="en-US" w:eastAsia="zh-CN"/>
              </w:rPr>
            </w:pPr>
          </w:p>
        </w:tc>
      </w:tr>
      <w:tr w14:paraId="0AF48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continue"/>
            <w:shd w:val="clear" w:color="auto" w:fill="auto"/>
            <w:vAlign w:val="center"/>
          </w:tcPr>
          <w:p w14:paraId="2ECD1522">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p>
        </w:tc>
        <w:tc>
          <w:tcPr>
            <w:tcW w:w="1936" w:type="dxa"/>
            <w:vMerge w:val="continue"/>
            <w:shd w:val="clear" w:color="auto" w:fill="auto"/>
            <w:vAlign w:val="center"/>
          </w:tcPr>
          <w:p w14:paraId="6FCD8B7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p>
        </w:tc>
        <w:tc>
          <w:tcPr>
            <w:tcW w:w="4502" w:type="dxa"/>
            <w:shd w:val="clear" w:color="auto" w:fill="auto"/>
            <w:vAlign w:val="center"/>
          </w:tcPr>
          <w:p w14:paraId="584735F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2.支持过车查询：根据传入的条件（过车时间、卡口编号、车辆类型、车辆品牌、车牌号码、车牌类型、车牌颜色等），查看过车记录；CPU：不少于2颗国产处理器，核数≥24核，频率≥2.2GHz；内存：≥256GB DDR4；硬盘：≥600G SAS×2（RAID 1）+ SSD ≥960G×6+≥ 8TB SATA×6；外部接口：万兆光口（2个）+ 千兆电口（2个）；USB4个；VGA1个；支持≥10个PCIE扩展，含2个专用；支持≥4个热插拔冗余风扇；工作湿度：35％-80％ RH。</w:t>
            </w:r>
          </w:p>
        </w:tc>
        <w:tc>
          <w:tcPr>
            <w:tcW w:w="1721" w:type="dxa"/>
            <w:shd w:val="clear" w:color="auto" w:fill="auto"/>
            <w:vAlign w:val="center"/>
          </w:tcPr>
          <w:p w14:paraId="63B7CF6B">
            <w:pPr>
              <w:keepNext/>
              <w:snapToGrid w:val="0"/>
              <w:ind w:left="0" w:leftChars="0" w:right="0" w:rightChars="0" w:firstLine="0" w:firstLineChars="0"/>
              <w:jc w:val="left"/>
              <w:rPr>
                <w:rFonts w:hint="default" w:ascii="宋体" w:hAnsi="宋体" w:eastAsia="宋体" w:cs="宋体"/>
                <w:i w:val="0"/>
                <w:iCs w:val="0"/>
                <w:color w:val="000000"/>
                <w:sz w:val="20"/>
                <w:szCs w:val="20"/>
                <w:u w:val="none"/>
                <w:lang w:val="en-US" w:eastAsia="zh-CN"/>
              </w:rPr>
            </w:pPr>
          </w:p>
        </w:tc>
      </w:tr>
      <w:tr w14:paraId="48263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5CC1ED50">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170</w:t>
            </w:r>
          </w:p>
        </w:tc>
        <w:tc>
          <w:tcPr>
            <w:tcW w:w="1936" w:type="dxa"/>
            <w:shd w:val="clear" w:color="auto" w:fill="auto"/>
            <w:vAlign w:val="center"/>
          </w:tcPr>
          <w:p w14:paraId="07CCB2E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视频云存储设备（交警部分）</w:t>
            </w:r>
          </w:p>
        </w:tc>
        <w:tc>
          <w:tcPr>
            <w:tcW w:w="4502" w:type="dxa"/>
            <w:shd w:val="clear" w:color="auto" w:fill="auto"/>
            <w:vAlign w:val="center"/>
          </w:tcPr>
          <w:p w14:paraId="7E90DA2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备应能安装在19英寸标准机架中，全模块化无线缆，独立主控模块、热插拔硬盘、独立电源模块；电源模块支持1+1冗余备份，支持独立维护；单节点需配置两颗CPU，单颗CPU物理核数≥32，单颗CPU主频≥2.6GHz；不低于64GB，不低于DDR4规格；单台设备可配置两个独立的元数据盘，组成RAID1；单设备支持业务磁盘数量≥36，硬盘容量≥10TB企业盘，本次配置≥36块10T企业盘；单服务器配置不少于2个GE 网口和2个10GE网口；支持4个独立的风扇；单台可支持摄像机视频接入路数≥3024路，单台可并发支持视频存储带宽≥2048Mbps，视频转发带宽≥1024Mbps，录像下载带宽≥1024Mbps；同时支持视频流和图片流直接存储，不需要额外接入单独的流媒体转发服务器；支持将容器镜像及关键数据备份到数据磁盘中，支持容器故障快速重建。</w:t>
            </w:r>
          </w:p>
        </w:tc>
        <w:tc>
          <w:tcPr>
            <w:tcW w:w="1721" w:type="dxa"/>
            <w:shd w:val="clear" w:color="auto" w:fill="auto"/>
            <w:vAlign w:val="center"/>
          </w:tcPr>
          <w:p w14:paraId="3748ECAE">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78C5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restart"/>
            <w:shd w:val="clear" w:color="auto" w:fill="auto"/>
            <w:vAlign w:val="center"/>
          </w:tcPr>
          <w:p w14:paraId="6866DCAB">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171</w:t>
            </w:r>
          </w:p>
        </w:tc>
        <w:tc>
          <w:tcPr>
            <w:tcW w:w="1936" w:type="dxa"/>
            <w:vMerge w:val="restart"/>
            <w:shd w:val="clear" w:color="auto" w:fill="auto"/>
            <w:vAlign w:val="center"/>
          </w:tcPr>
          <w:p w14:paraId="55500EA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视频云存储千兆交换机</w:t>
            </w:r>
          </w:p>
        </w:tc>
        <w:tc>
          <w:tcPr>
            <w:tcW w:w="4502" w:type="dxa"/>
            <w:shd w:val="clear" w:color="auto" w:fill="auto"/>
            <w:vAlign w:val="center"/>
          </w:tcPr>
          <w:p w14:paraId="335158F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★1.支持在深圳市公安局交通管理局高清采集与应用平台基础上扩容。</w:t>
            </w:r>
          </w:p>
        </w:tc>
        <w:tc>
          <w:tcPr>
            <w:tcW w:w="1721" w:type="dxa"/>
            <w:shd w:val="clear" w:color="auto" w:fill="auto"/>
            <w:vAlign w:val="center"/>
          </w:tcPr>
          <w:p w14:paraId="492F5940">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D043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continue"/>
            <w:shd w:val="clear" w:color="auto" w:fill="auto"/>
            <w:vAlign w:val="center"/>
          </w:tcPr>
          <w:p w14:paraId="77649454">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p>
        </w:tc>
        <w:tc>
          <w:tcPr>
            <w:tcW w:w="1936" w:type="dxa"/>
            <w:vMerge w:val="continue"/>
            <w:shd w:val="clear" w:color="auto" w:fill="auto"/>
            <w:vAlign w:val="center"/>
          </w:tcPr>
          <w:p w14:paraId="02EE918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p>
        </w:tc>
        <w:tc>
          <w:tcPr>
            <w:tcW w:w="4502" w:type="dxa"/>
            <w:shd w:val="clear" w:color="auto" w:fill="auto"/>
            <w:vAlign w:val="center"/>
          </w:tcPr>
          <w:p w14:paraId="2E264E8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2.交换容量≥1.2Tbps、数据包转发率≥460Mpps；支持10/100/1000Base-T以太网端口≥48个，万兆SFP+≥4个；支持基于MAC/协议/IP子网/策略/端口的 VLAN；支持静态路由、RIP V1/2、RIPng、OSPF、OSPFv3、IS-IS、IS-ISv6、BGP、BGP4+、ECMP、路由策略；支持 VXLAN 二层网关、三层网关、支持 BGP-EVPN协议；支持 IGMP v1/v2/v3、PIM-SM、PIM-DM、PIM- SSM；实配:双电源、万兆多模光模块≥4 个、1 条堆叠线缆。</w:t>
            </w:r>
          </w:p>
        </w:tc>
        <w:tc>
          <w:tcPr>
            <w:tcW w:w="1721" w:type="dxa"/>
            <w:shd w:val="clear" w:color="auto" w:fill="auto"/>
            <w:vAlign w:val="center"/>
          </w:tcPr>
          <w:p w14:paraId="68A29111">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F2B4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restart"/>
            <w:shd w:val="clear" w:color="auto" w:fill="auto"/>
            <w:vAlign w:val="center"/>
          </w:tcPr>
          <w:p w14:paraId="36629811">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172</w:t>
            </w:r>
          </w:p>
        </w:tc>
        <w:tc>
          <w:tcPr>
            <w:tcW w:w="1936" w:type="dxa"/>
            <w:vMerge w:val="restart"/>
            <w:shd w:val="clear" w:color="auto" w:fill="auto"/>
            <w:vAlign w:val="center"/>
          </w:tcPr>
          <w:p w14:paraId="5CFB144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视频云存储万兆交换机</w:t>
            </w:r>
          </w:p>
        </w:tc>
        <w:tc>
          <w:tcPr>
            <w:tcW w:w="4502" w:type="dxa"/>
            <w:shd w:val="clear" w:color="auto" w:fill="auto"/>
            <w:vAlign w:val="center"/>
          </w:tcPr>
          <w:p w14:paraId="613B92E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★1.支持在深圳市公安局交通管理局高清采集与应用平台基础上扩容。</w:t>
            </w:r>
          </w:p>
        </w:tc>
        <w:tc>
          <w:tcPr>
            <w:tcW w:w="1721" w:type="dxa"/>
            <w:shd w:val="clear" w:color="auto" w:fill="auto"/>
            <w:vAlign w:val="center"/>
          </w:tcPr>
          <w:p w14:paraId="2A1B4CBA">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3C52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continue"/>
            <w:shd w:val="clear" w:color="auto" w:fill="auto"/>
            <w:vAlign w:val="center"/>
          </w:tcPr>
          <w:p w14:paraId="20B718FD">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p>
        </w:tc>
        <w:tc>
          <w:tcPr>
            <w:tcW w:w="1936" w:type="dxa"/>
            <w:vMerge w:val="continue"/>
            <w:shd w:val="clear" w:color="auto" w:fill="auto"/>
            <w:vAlign w:val="center"/>
          </w:tcPr>
          <w:p w14:paraId="4F44320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p>
        </w:tc>
        <w:tc>
          <w:tcPr>
            <w:tcW w:w="4502" w:type="dxa"/>
            <w:shd w:val="clear" w:color="auto" w:fill="auto"/>
            <w:vAlign w:val="center"/>
          </w:tcPr>
          <w:p w14:paraId="358F576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2.交换容量≥4.8Tbps、数据包转发率≥2000Mpps；支持10GE SFP+接口≥48个，40/100GE 光口≥6 个；支持VxLAN routing和VxLAN bridging、支持BGP-EVPN、支持 QinQ in VxLAN；支持跨设备链路聚合M-LAG，能够实现多台设备间的链路聚合；支持RIP、OSPF、ISIS、BGP、RIPng、OSPFv3、ISISv6、BGP4 等路由协议；支持STP、RSTP和MSTP，支持ERPS以太环保护协议(G.8032)；实配:双电源、万兆多模光模块≥48个、40GE多模光模块≥4 个、1条堆叠线缆。</w:t>
            </w:r>
          </w:p>
        </w:tc>
        <w:tc>
          <w:tcPr>
            <w:tcW w:w="1721" w:type="dxa"/>
            <w:shd w:val="clear" w:color="auto" w:fill="auto"/>
            <w:vAlign w:val="center"/>
          </w:tcPr>
          <w:p w14:paraId="0731B317">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CF0A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19" w:type="dxa"/>
            <w:vMerge w:val="restart"/>
            <w:shd w:val="clear" w:color="auto" w:fill="auto"/>
            <w:vAlign w:val="center"/>
          </w:tcPr>
          <w:p w14:paraId="36EB96B5">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173</w:t>
            </w:r>
          </w:p>
        </w:tc>
        <w:tc>
          <w:tcPr>
            <w:tcW w:w="1936" w:type="dxa"/>
            <w:vMerge w:val="restart"/>
            <w:shd w:val="clear" w:color="auto" w:fill="auto"/>
            <w:vAlign w:val="center"/>
          </w:tcPr>
          <w:p w14:paraId="6EA8143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BMC交换机</w:t>
            </w:r>
          </w:p>
        </w:tc>
        <w:tc>
          <w:tcPr>
            <w:tcW w:w="4502" w:type="dxa"/>
            <w:shd w:val="clear" w:color="auto" w:fill="auto"/>
            <w:vAlign w:val="center"/>
          </w:tcPr>
          <w:p w14:paraId="6B5C099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1.交换容量≥1.2Tbps、数据包转发率≥460Mpps；支持10/100/1000Base-T以太网端口≥48个，万兆SFP+≥4 个；支持基于MAC/协议/IP子网/策略/端口的 VLAN；支持静态路由、RIP V1/2、RIPng、OSPF、OSPFv3、IS-IS、IS-ISv6、BGP、BGP4+、ECMP、路由策略；支持 VXLAN 二层网关、三层网关、支持 BGP-EVPN协议；支持 IGMP v1/v2/v3、PIM-SM、PIM-DM、PIM- SSM；实配:双电源、万兆多模光模块≥4 个。</w:t>
            </w:r>
          </w:p>
        </w:tc>
        <w:tc>
          <w:tcPr>
            <w:tcW w:w="1721" w:type="dxa"/>
            <w:shd w:val="clear" w:color="auto" w:fill="auto"/>
            <w:vAlign w:val="center"/>
          </w:tcPr>
          <w:p w14:paraId="35C077F0">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43192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vMerge w:val="restart"/>
            <w:shd w:val="clear" w:color="auto" w:fill="auto"/>
            <w:vAlign w:val="center"/>
          </w:tcPr>
          <w:p w14:paraId="6F465FD9">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174</w:t>
            </w:r>
          </w:p>
        </w:tc>
        <w:tc>
          <w:tcPr>
            <w:tcW w:w="1936" w:type="dxa"/>
            <w:vMerge w:val="restart"/>
            <w:shd w:val="clear" w:color="auto" w:fill="auto"/>
            <w:vAlign w:val="center"/>
          </w:tcPr>
          <w:p w14:paraId="77681CE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OLT设备</w:t>
            </w:r>
          </w:p>
        </w:tc>
        <w:tc>
          <w:tcPr>
            <w:tcW w:w="4502" w:type="dxa"/>
            <w:shd w:val="clear" w:color="auto" w:fill="auto"/>
            <w:vAlign w:val="center"/>
          </w:tcPr>
          <w:p w14:paraId="22AFB17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w:t>
            </w:r>
            <w:r>
              <w:rPr>
                <w:rFonts w:hint="eastAsia" w:ascii="宋体" w:hAnsi="宋体" w:eastAsia="宋体" w:cs="宋体"/>
                <w:b/>
                <w:bCs/>
                <w:color w:val="FF0000"/>
                <w:sz w:val="20"/>
                <w:szCs w:val="21"/>
                <w:lang w:val="en-US" w:eastAsia="zh-CN"/>
              </w:rPr>
              <w:t>1.</w:t>
            </w:r>
            <w:r>
              <w:rPr>
                <w:rFonts w:hint="eastAsia" w:ascii="宋体" w:hAnsi="宋体" w:eastAsia="宋体" w:cs="宋体"/>
                <w:b/>
                <w:bCs/>
                <w:i w:val="0"/>
                <w:iCs w:val="0"/>
                <w:color w:val="FF0000"/>
                <w:kern w:val="0"/>
                <w:sz w:val="20"/>
                <w:szCs w:val="20"/>
                <w:u w:val="none"/>
                <w:lang w:val="en-US" w:eastAsia="zh-CN" w:bidi="ar"/>
              </w:rPr>
              <w:t>支持在深圳市公安局交通管理局高清采集与应用平台基础上扩容。</w:t>
            </w:r>
          </w:p>
        </w:tc>
        <w:tc>
          <w:tcPr>
            <w:tcW w:w="1721" w:type="dxa"/>
            <w:shd w:val="clear" w:color="auto" w:fill="auto"/>
            <w:vAlign w:val="center"/>
          </w:tcPr>
          <w:p w14:paraId="67D559B9">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E8C9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19" w:type="dxa"/>
            <w:vMerge w:val="continue"/>
            <w:shd w:val="clear" w:color="auto" w:fill="auto"/>
            <w:vAlign w:val="center"/>
          </w:tcPr>
          <w:p w14:paraId="4CAD129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936" w:type="dxa"/>
            <w:vMerge w:val="continue"/>
            <w:shd w:val="clear" w:color="auto" w:fill="auto"/>
            <w:vAlign w:val="center"/>
          </w:tcPr>
          <w:p w14:paraId="464D42D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tc>
        <w:tc>
          <w:tcPr>
            <w:tcW w:w="4502" w:type="dxa"/>
            <w:shd w:val="clear" w:color="auto" w:fill="auto"/>
            <w:vAlign w:val="center"/>
          </w:tcPr>
          <w:p w14:paraId="0DCC6BF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▲2.OLT支持堆叠功能。</w:t>
            </w:r>
          </w:p>
        </w:tc>
        <w:tc>
          <w:tcPr>
            <w:tcW w:w="1721" w:type="dxa"/>
            <w:shd w:val="clear" w:color="auto" w:fill="auto"/>
            <w:vAlign w:val="center"/>
          </w:tcPr>
          <w:p w14:paraId="6A523BEE">
            <w:pPr>
              <w:keepNext/>
              <w:snapToGrid w:val="0"/>
              <w:ind w:left="0" w:leftChars="0" w:right="0" w:rightChars="0" w:firstLine="0" w:firstLineChars="0"/>
              <w:jc w:val="left"/>
              <w:rPr>
                <w:rFonts w:hint="eastAsia" w:ascii="宋体" w:hAnsi="宋体" w:eastAsia="宋体" w:cs="宋体"/>
                <w:b/>
                <w:color w:val="000000"/>
                <w:sz w:val="20"/>
                <w:szCs w:val="21"/>
              </w:rPr>
            </w:pPr>
            <w:r>
              <w:rPr>
                <w:rFonts w:hint="eastAsia" w:ascii="宋体" w:hAnsi="宋体" w:eastAsia="宋体" w:cs="宋体"/>
                <w:b/>
                <w:color w:val="000000"/>
                <w:sz w:val="20"/>
                <w:szCs w:val="21"/>
              </w:rPr>
              <w:t>投标时同时提供：</w:t>
            </w:r>
          </w:p>
          <w:p w14:paraId="24701122">
            <w:pPr>
              <w:keepNext/>
              <w:snapToGrid w:val="0"/>
              <w:ind w:left="0" w:leftChars="0" w:right="0" w:rightChars="0" w:firstLine="0" w:firstLineChars="0"/>
              <w:jc w:val="left"/>
              <w:rPr>
                <w:rFonts w:hint="eastAsia" w:ascii="宋体" w:hAnsi="宋体" w:eastAsia="宋体" w:cs="宋体"/>
                <w:b/>
                <w:color w:val="000000"/>
                <w:sz w:val="20"/>
                <w:szCs w:val="21"/>
              </w:rPr>
            </w:pPr>
            <w:r>
              <w:rPr>
                <w:rFonts w:hint="eastAsia" w:ascii="宋体" w:hAnsi="宋体" w:eastAsia="宋体" w:cs="宋体"/>
                <w:b/>
                <w:color w:val="000000"/>
                <w:sz w:val="20"/>
                <w:szCs w:val="21"/>
              </w:rPr>
              <w:t>①第三方检测机构出具的检测（检验）报告扫描件，要求内容能体现满足上述参数要求。</w:t>
            </w:r>
          </w:p>
          <w:p w14:paraId="01A6BDF6">
            <w:pPr>
              <w:keepNext/>
              <w:snapToGrid w:val="0"/>
              <w:ind w:left="0" w:leftChars="0" w:right="0" w:rightChars="0" w:firstLine="0" w:firstLineChars="0"/>
              <w:jc w:val="left"/>
              <w:rPr>
                <w:rFonts w:hint="eastAsia" w:ascii="宋体" w:hAnsi="宋体" w:eastAsia="宋体" w:cs="宋体"/>
                <w:i w:val="0"/>
                <w:iCs w:val="0"/>
                <w:color w:val="auto"/>
                <w:sz w:val="20"/>
                <w:szCs w:val="20"/>
                <w:u w:val="none"/>
                <w:lang w:eastAsia="zh-CN"/>
              </w:rPr>
            </w:pPr>
            <w:r>
              <w:rPr>
                <w:rFonts w:hint="eastAsia" w:ascii="宋体" w:hAnsi="宋体" w:eastAsia="宋体" w:cs="宋体"/>
                <w:b/>
                <w:color w:val="000000"/>
                <w:sz w:val="20"/>
                <w:szCs w:val="21"/>
              </w:rPr>
              <w:t>②</w:t>
            </w:r>
            <w:r>
              <w:rPr>
                <w:rFonts w:hint="eastAsia" w:ascii="宋体" w:hAnsi="宋体" w:eastAsia="宋体" w:cs="宋体"/>
                <w:b/>
                <w:color w:val="000000"/>
                <w:sz w:val="20"/>
                <w:szCs w:val="21"/>
                <w:lang w:eastAsia="zh-CN"/>
              </w:rPr>
              <w:t>提供出具</w:t>
            </w:r>
            <w:r>
              <w:rPr>
                <w:rFonts w:hint="eastAsia" w:ascii="宋体" w:hAnsi="宋体" w:eastAsia="宋体" w:cs="宋体"/>
                <w:b/>
                <w:color w:val="000000"/>
                <w:sz w:val="20"/>
                <w:szCs w:val="21"/>
              </w:rPr>
              <w:t>检测（检验）报告</w:t>
            </w:r>
            <w:r>
              <w:rPr>
                <w:rFonts w:hint="eastAsia" w:ascii="宋体" w:hAnsi="宋体" w:eastAsia="宋体" w:cs="宋体"/>
                <w:b/>
                <w:color w:val="auto"/>
                <w:sz w:val="20"/>
                <w:szCs w:val="21"/>
                <w:lang w:eastAsia="zh-CN"/>
              </w:rPr>
              <w:t>的检测机构</w:t>
            </w:r>
            <w:r>
              <w:rPr>
                <w:rFonts w:hint="eastAsia" w:ascii="宋体" w:hAnsi="宋体" w:eastAsia="宋体" w:cs="宋体"/>
                <w:b/>
                <w:color w:val="auto"/>
                <w:sz w:val="20"/>
                <w:szCs w:val="21"/>
              </w:rPr>
              <w:t>在全国认证认可</w:t>
            </w:r>
            <w:r>
              <w:rPr>
                <w:rFonts w:hint="eastAsia" w:ascii="宋体" w:hAnsi="宋体" w:eastAsia="宋体" w:cs="宋体"/>
                <w:b/>
                <w:color w:val="000000"/>
                <w:sz w:val="20"/>
                <w:szCs w:val="21"/>
              </w:rPr>
              <w:t>信息公共服务平台（认e云）（http://cx.cnca.cn/）的</w:t>
            </w:r>
            <w:r>
              <w:rPr>
                <w:rFonts w:hint="eastAsia" w:ascii="宋体" w:hAnsi="宋体" w:eastAsia="宋体" w:cs="宋体"/>
                <w:b/>
                <w:color w:val="000000"/>
                <w:sz w:val="20"/>
                <w:szCs w:val="21"/>
                <w:lang w:eastAsia="zh-CN"/>
              </w:rPr>
              <w:t>机构</w:t>
            </w:r>
            <w:r>
              <w:rPr>
                <w:rFonts w:hint="eastAsia" w:ascii="宋体" w:hAnsi="宋体" w:eastAsia="宋体" w:cs="宋体"/>
                <w:b/>
                <w:color w:val="000000"/>
                <w:sz w:val="20"/>
                <w:szCs w:val="21"/>
              </w:rPr>
              <w:t>信息查询记录截图，因该平台升级等原因导致无法查询的，则需提供通过检测机构官网等可靠途径查询</w:t>
            </w:r>
            <w:r>
              <w:rPr>
                <w:rFonts w:hint="eastAsia" w:ascii="宋体" w:hAnsi="宋体" w:eastAsia="宋体" w:cs="宋体"/>
                <w:b/>
                <w:color w:val="000000"/>
                <w:sz w:val="20"/>
                <w:szCs w:val="21"/>
                <w:lang w:eastAsia="zh-CN"/>
              </w:rPr>
              <w:t>该检测机构</w:t>
            </w:r>
            <w:r>
              <w:rPr>
                <w:rFonts w:hint="eastAsia" w:ascii="宋体" w:hAnsi="宋体" w:eastAsia="宋体" w:cs="宋体"/>
                <w:b/>
                <w:color w:val="000000"/>
                <w:sz w:val="20"/>
                <w:szCs w:val="21"/>
              </w:rPr>
              <w:t>真实性</w:t>
            </w:r>
            <w:r>
              <w:rPr>
                <w:rFonts w:hint="eastAsia" w:ascii="宋体" w:hAnsi="宋体" w:eastAsia="宋体" w:cs="宋体"/>
                <w:b/>
                <w:color w:val="000000"/>
                <w:sz w:val="20"/>
                <w:szCs w:val="21"/>
                <w:lang w:eastAsia="zh-CN"/>
              </w:rPr>
              <w:t>、专业性及可靠性</w:t>
            </w:r>
            <w:r>
              <w:rPr>
                <w:rFonts w:hint="eastAsia" w:ascii="宋体" w:hAnsi="宋体" w:eastAsia="宋体" w:cs="宋体"/>
                <w:b/>
                <w:color w:val="000000"/>
                <w:sz w:val="20"/>
                <w:szCs w:val="21"/>
              </w:rPr>
              <w:t>的证明材料或者检测机构盖章的证明材料，证明该</w:t>
            </w:r>
            <w:r>
              <w:rPr>
                <w:rFonts w:hint="eastAsia" w:ascii="宋体" w:hAnsi="宋体" w:eastAsia="宋体" w:cs="宋体"/>
                <w:b/>
                <w:color w:val="000000"/>
                <w:sz w:val="20"/>
                <w:szCs w:val="21"/>
                <w:lang w:eastAsia="zh-CN"/>
              </w:rPr>
              <w:t>检测机构</w:t>
            </w:r>
            <w:r>
              <w:rPr>
                <w:rFonts w:hint="eastAsia" w:ascii="宋体" w:hAnsi="宋体" w:eastAsia="宋体" w:cs="宋体"/>
                <w:b/>
                <w:color w:val="000000"/>
                <w:sz w:val="20"/>
                <w:szCs w:val="21"/>
              </w:rPr>
              <w:t>真实</w:t>
            </w:r>
            <w:r>
              <w:rPr>
                <w:rFonts w:hint="eastAsia" w:ascii="宋体" w:hAnsi="宋体" w:eastAsia="宋体" w:cs="宋体"/>
                <w:b/>
                <w:color w:val="000000"/>
                <w:sz w:val="20"/>
                <w:szCs w:val="21"/>
                <w:lang w:eastAsia="zh-CN"/>
              </w:rPr>
              <w:t>专业可靠</w:t>
            </w:r>
            <w:r>
              <w:rPr>
                <w:rFonts w:hint="eastAsia" w:ascii="宋体" w:hAnsi="宋体" w:eastAsia="宋体" w:cs="宋体"/>
                <w:b/>
                <w:color w:val="000000"/>
                <w:sz w:val="20"/>
                <w:szCs w:val="21"/>
              </w:rPr>
              <w:t>。</w:t>
            </w:r>
          </w:p>
        </w:tc>
      </w:tr>
      <w:tr w14:paraId="7260D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vMerge w:val="continue"/>
            <w:shd w:val="clear" w:color="auto" w:fill="auto"/>
            <w:vAlign w:val="center"/>
          </w:tcPr>
          <w:p w14:paraId="4278D1AB">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p>
        </w:tc>
        <w:tc>
          <w:tcPr>
            <w:tcW w:w="1936" w:type="dxa"/>
            <w:vMerge w:val="continue"/>
            <w:shd w:val="clear" w:color="auto" w:fill="auto"/>
            <w:vAlign w:val="center"/>
          </w:tcPr>
          <w:p w14:paraId="0516055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p>
        </w:tc>
        <w:tc>
          <w:tcPr>
            <w:tcW w:w="4502" w:type="dxa"/>
            <w:shd w:val="clear" w:color="auto" w:fill="auto"/>
            <w:vAlign w:val="center"/>
          </w:tcPr>
          <w:p w14:paraId="5836946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lang w:val="en-US" w:eastAsia="zh-CN"/>
              </w:rPr>
              <w:t>3.</w:t>
            </w:r>
            <w:r>
              <w:rPr>
                <w:rFonts w:hint="eastAsia" w:ascii="宋体" w:hAnsi="宋体" w:eastAsia="宋体" w:cs="宋体"/>
                <w:i w:val="0"/>
                <w:iCs w:val="0"/>
                <w:color w:val="000000"/>
                <w:kern w:val="0"/>
                <w:sz w:val="20"/>
                <w:szCs w:val="20"/>
                <w:u w:val="none"/>
                <w:lang w:val="en-US" w:eastAsia="zh-CN" w:bidi="ar"/>
              </w:rPr>
              <w:t>主控板交换容量≥8Tbit/s，支持负载分担模式；槽位带宽≥200G；整机高度≤11U， 双主控板、双电源板冗余备份；支持GPON typeB、typeC保护；二层特性：支持VLAN+MAC转发,SVLAN+CVLAN 转发，PPPoE+,DHCPoption82；三层特性：支持静态路由,RIP,OSPF/OSPFv3；支持GPON/10GPON统一平台，业务板兼容；OLT同一PON口下ONU的距离差最大≥40km，当OLT和ONU之间的最大物理距离为20km时，支持的最大分路应≥1:64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9.4K视频用户并发数≥16000；交换转发时延：100Mbit/s以太网端口发送64Byte以太网数据包，时延不超过20μs；上行端口≥8*10GE光口，GPON端口≥240个；实际配置上行端口≥4*10G，GPON端口≥80个，并配备相应的光模块数量。</w:t>
            </w:r>
          </w:p>
        </w:tc>
        <w:tc>
          <w:tcPr>
            <w:tcW w:w="1721" w:type="dxa"/>
            <w:shd w:val="clear" w:color="auto" w:fill="auto"/>
            <w:vAlign w:val="center"/>
          </w:tcPr>
          <w:p w14:paraId="6324780D">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4B52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3E978B4B">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175</w:t>
            </w:r>
          </w:p>
        </w:tc>
        <w:tc>
          <w:tcPr>
            <w:tcW w:w="1936" w:type="dxa"/>
            <w:shd w:val="clear" w:color="auto" w:fill="auto"/>
            <w:vAlign w:val="center"/>
          </w:tcPr>
          <w:p w14:paraId="0FEBD90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10GE多模光模块</w:t>
            </w:r>
          </w:p>
        </w:tc>
        <w:tc>
          <w:tcPr>
            <w:tcW w:w="4502" w:type="dxa"/>
            <w:shd w:val="clear" w:color="auto" w:fill="auto"/>
            <w:vAlign w:val="center"/>
          </w:tcPr>
          <w:p w14:paraId="5F61E55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光模块-SFP+-10G-多模模块(850nm,0.3km,LC)</w:t>
            </w:r>
          </w:p>
        </w:tc>
        <w:tc>
          <w:tcPr>
            <w:tcW w:w="1721" w:type="dxa"/>
            <w:shd w:val="clear" w:color="auto" w:fill="auto"/>
            <w:vAlign w:val="center"/>
          </w:tcPr>
          <w:p w14:paraId="42D84E00">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1E1A9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40A30FC3">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176</w:t>
            </w:r>
          </w:p>
        </w:tc>
        <w:tc>
          <w:tcPr>
            <w:tcW w:w="1936" w:type="dxa"/>
            <w:shd w:val="clear" w:color="auto" w:fill="auto"/>
            <w:vAlign w:val="center"/>
          </w:tcPr>
          <w:p w14:paraId="02830CB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100GE多模光模块</w:t>
            </w:r>
          </w:p>
        </w:tc>
        <w:tc>
          <w:tcPr>
            <w:tcW w:w="4502" w:type="dxa"/>
            <w:shd w:val="clear" w:color="auto" w:fill="auto"/>
            <w:vAlign w:val="center"/>
          </w:tcPr>
          <w:p w14:paraId="768CC86C">
            <w:pPr>
              <w:keepNext/>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光模块-QSFP28-100G-多模模块(850nm,0.1km,MPO)。</w:t>
            </w:r>
          </w:p>
        </w:tc>
        <w:tc>
          <w:tcPr>
            <w:tcW w:w="1721" w:type="dxa"/>
            <w:shd w:val="clear" w:color="auto" w:fill="auto"/>
            <w:vAlign w:val="center"/>
          </w:tcPr>
          <w:p w14:paraId="589DA3BA">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08E16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548A963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w:t>
            </w:r>
          </w:p>
        </w:tc>
        <w:tc>
          <w:tcPr>
            <w:tcW w:w="1936" w:type="dxa"/>
            <w:shd w:val="clear" w:color="auto" w:fill="auto"/>
            <w:vAlign w:val="center"/>
          </w:tcPr>
          <w:p w14:paraId="60597BB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智慧道路网络安全及后台资源</w:t>
            </w:r>
          </w:p>
        </w:tc>
        <w:tc>
          <w:tcPr>
            <w:tcW w:w="4502" w:type="dxa"/>
            <w:shd w:val="clear" w:color="auto" w:fill="auto"/>
            <w:vAlign w:val="center"/>
          </w:tcPr>
          <w:p w14:paraId="26B781FF">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c>
          <w:tcPr>
            <w:tcW w:w="1721" w:type="dxa"/>
            <w:shd w:val="clear" w:color="auto" w:fill="auto"/>
            <w:vAlign w:val="center"/>
          </w:tcPr>
          <w:p w14:paraId="7E419D13">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4696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2B119AD9">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177</w:t>
            </w:r>
          </w:p>
        </w:tc>
        <w:tc>
          <w:tcPr>
            <w:tcW w:w="1936" w:type="dxa"/>
            <w:shd w:val="clear" w:color="auto" w:fill="auto"/>
            <w:vAlign w:val="center"/>
          </w:tcPr>
          <w:p w14:paraId="7E8EC5C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视频云存储设备</w:t>
            </w:r>
          </w:p>
        </w:tc>
        <w:tc>
          <w:tcPr>
            <w:tcW w:w="4502" w:type="dxa"/>
            <w:shd w:val="clear" w:color="auto" w:fill="auto"/>
            <w:vAlign w:val="center"/>
          </w:tcPr>
          <w:p w14:paraId="40C59D9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设备应能安装在19″标准机架中，单设备支持磁盘数量≥38；ARM处理器≥2颗，单颗CPU核数≥32核，主频≥2.6GHZ；内存≥64GB DDR4；支持 SATA 和 SAS 的混合使用（数据盘和系统盘），支持硬盘热插拔及在线更换故障；单台可支持摄像机接入不小于2048路；支持存储带宽不小于2048Mbps，转发带宽不小于2048Mbps，录像下载带宽不小于1024Mbps；采用全模块化无线缆设计，独立主控模块、热插拔磁盘，独立电源模块；电源模块支持1+1 冗余备份，支持独立维护；配置36块每块≥16TB企业级硬盘；配置2块每块≥1.2T SAS系统盘；支持视频流和图片流直存，无需额外接入单独的转发服务器；前端支持多码流的情况下，支持选择某个码流进行实时浏览；支持≥25路回放；支持≥8路同步录像回放，并能进行同步录像回放控制，支持分段回放；支持H.264、H.265、MJPEG等多种编码格式；支持视频备份功能：手动实况备份、计划实况备份、告警联动实况备份、手动历史录像备份、告警历史录像备份、前端历史录像备份；支持抓拍图片备份；支持数据盘RAID5:RAID5时支持RAID组内1块数据盘损坏而数据完全不丢失，三个RAID组3块（每组1块）数据盘损坏而数据完全不丢失；支持RAID5失效后（需 RAID组内≥1块硬盘工作）继续写入，允许数据读取且能实现读出视频基本可查看；多块数据盘损坏后新盘插入，RAID组自动恢复读写状态；支持容器故障快速重建，支持将故障的容器承载业务迁移到新的容器上；管理服务和业务服务分离，管理服务故障不影响其他业务；支持N+0集群，单集群内云节点不需要独立的集群管理服务。</w:t>
            </w:r>
          </w:p>
        </w:tc>
        <w:tc>
          <w:tcPr>
            <w:tcW w:w="1721" w:type="dxa"/>
            <w:shd w:val="clear" w:color="auto" w:fill="auto"/>
            <w:vAlign w:val="center"/>
          </w:tcPr>
          <w:p w14:paraId="7D2B8EF6">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F5B1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restart"/>
            <w:shd w:val="clear" w:color="auto" w:fill="auto"/>
            <w:vAlign w:val="center"/>
          </w:tcPr>
          <w:p w14:paraId="57C3A7DD">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178</w:t>
            </w:r>
          </w:p>
        </w:tc>
        <w:tc>
          <w:tcPr>
            <w:tcW w:w="1936" w:type="dxa"/>
            <w:vMerge w:val="restart"/>
            <w:shd w:val="clear" w:color="auto" w:fill="auto"/>
            <w:vAlign w:val="center"/>
          </w:tcPr>
          <w:p w14:paraId="0432E42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视频云存储万兆交换机</w:t>
            </w:r>
          </w:p>
        </w:tc>
        <w:tc>
          <w:tcPr>
            <w:tcW w:w="4502" w:type="dxa"/>
            <w:shd w:val="clear" w:color="auto" w:fill="auto"/>
            <w:vAlign w:val="center"/>
          </w:tcPr>
          <w:p w14:paraId="250FAAD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交换容量≥4.8Tbps，包转发率≥2000Mpps；10GE光端口数量≥48个，40GE/100GE光端口数量≥6个；支持M-LAG；支持VxLAN routing 和VxLAN bridging；支持VxLAN Mapping；支持RIP、OSPF、ISIS、BGP动态路由协议；支持硬件BFD（Bidirectional Forwarding Detection），最小发包间隔≤3.3ms。</w:t>
            </w:r>
          </w:p>
        </w:tc>
        <w:tc>
          <w:tcPr>
            <w:tcW w:w="1721" w:type="dxa"/>
            <w:shd w:val="clear" w:color="auto" w:fill="auto"/>
            <w:vAlign w:val="center"/>
          </w:tcPr>
          <w:p w14:paraId="3598348D">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0788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restart"/>
            <w:shd w:val="clear" w:color="auto" w:fill="auto"/>
            <w:vAlign w:val="center"/>
          </w:tcPr>
          <w:p w14:paraId="5BE8224F">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179</w:t>
            </w:r>
          </w:p>
        </w:tc>
        <w:tc>
          <w:tcPr>
            <w:tcW w:w="1936" w:type="dxa"/>
            <w:vMerge w:val="restart"/>
            <w:shd w:val="clear" w:color="auto" w:fill="auto"/>
            <w:vAlign w:val="center"/>
          </w:tcPr>
          <w:p w14:paraId="71D5387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视频云存储千兆交换机</w:t>
            </w:r>
          </w:p>
        </w:tc>
        <w:tc>
          <w:tcPr>
            <w:tcW w:w="4502" w:type="dxa"/>
            <w:shd w:val="clear" w:color="auto" w:fill="auto"/>
            <w:vAlign w:val="center"/>
          </w:tcPr>
          <w:p w14:paraId="350A951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交换容量≥1Tbps，包转发率≥200Mpps；支持≥48个千兆电,≥4个万兆SFP+；支持静态路由、RIP V1/2、RIPng、OSPF、OSPFv3、IS-IS、IS-ISv6、BGP、BGP4+、ECMP、路由策略；支持 VXLAN 二层网关、三层网关；支持集中式网关、分布式网关；配置≥2个交流电源。</w:t>
            </w:r>
          </w:p>
        </w:tc>
        <w:tc>
          <w:tcPr>
            <w:tcW w:w="1721" w:type="dxa"/>
            <w:shd w:val="clear" w:color="auto" w:fill="auto"/>
            <w:vAlign w:val="center"/>
          </w:tcPr>
          <w:p w14:paraId="70084D22">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201E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1FAF75D3">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180</w:t>
            </w:r>
          </w:p>
        </w:tc>
        <w:tc>
          <w:tcPr>
            <w:tcW w:w="1936" w:type="dxa"/>
            <w:shd w:val="clear" w:color="auto" w:fill="auto"/>
            <w:vAlign w:val="center"/>
          </w:tcPr>
          <w:p w14:paraId="7A879DB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BMC交换机</w:t>
            </w:r>
          </w:p>
        </w:tc>
        <w:tc>
          <w:tcPr>
            <w:tcW w:w="4502" w:type="dxa"/>
            <w:shd w:val="clear" w:color="auto" w:fill="auto"/>
            <w:vAlign w:val="center"/>
          </w:tcPr>
          <w:p w14:paraId="5858D81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交换容量≥600Gbps，包转发率≥100Mpps；10/100/1000BASE-T以太网端口≥48个，10GE光端口数量≥4个；支持RIP 、OSPF、BGP通用路由协议。</w:t>
            </w:r>
          </w:p>
        </w:tc>
        <w:tc>
          <w:tcPr>
            <w:tcW w:w="1721" w:type="dxa"/>
            <w:shd w:val="clear" w:color="auto" w:fill="auto"/>
            <w:vAlign w:val="center"/>
          </w:tcPr>
          <w:p w14:paraId="4DD4CA6F">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FA9B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661C18E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181</w:t>
            </w:r>
          </w:p>
        </w:tc>
        <w:tc>
          <w:tcPr>
            <w:tcW w:w="1936" w:type="dxa"/>
            <w:shd w:val="clear" w:color="auto" w:fill="auto"/>
            <w:vAlign w:val="center"/>
          </w:tcPr>
          <w:p w14:paraId="764CA2E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10GE多模光模块</w:t>
            </w:r>
          </w:p>
        </w:tc>
        <w:tc>
          <w:tcPr>
            <w:tcW w:w="4502" w:type="dxa"/>
            <w:shd w:val="clear" w:color="auto" w:fill="auto"/>
            <w:vAlign w:val="center"/>
          </w:tcPr>
          <w:p w14:paraId="4119B1C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光模块-SFP+-10G-多模模块(850nm,0.3km,LC)</w:t>
            </w:r>
          </w:p>
        </w:tc>
        <w:tc>
          <w:tcPr>
            <w:tcW w:w="1721" w:type="dxa"/>
            <w:shd w:val="clear" w:color="auto" w:fill="auto"/>
            <w:vAlign w:val="center"/>
          </w:tcPr>
          <w:p w14:paraId="0E62C83B">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B160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shd w:val="clear" w:color="auto" w:fill="auto"/>
            <w:vAlign w:val="center"/>
          </w:tcPr>
          <w:p w14:paraId="7C598A8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182</w:t>
            </w:r>
          </w:p>
        </w:tc>
        <w:tc>
          <w:tcPr>
            <w:tcW w:w="1936" w:type="dxa"/>
            <w:shd w:val="clear" w:color="auto" w:fill="auto"/>
            <w:vAlign w:val="center"/>
          </w:tcPr>
          <w:p w14:paraId="0C91A2B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100GE多模光模块</w:t>
            </w:r>
          </w:p>
        </w:tc>
        <w:tc>
          <w:tcPr>
            <w:tcW w:w="4502" w:type="dxa"/>
            <w:shd w:val="clear" w:color="auto" w:fill="auto"/>
            <w:vAlign w:val="center"/>
          </w:tcPr>
          <w:p w14:paraId="0B66B756">
            <w:pPr>
              <w:keepNext/>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光模块-QSFP28-100G-多模模块(850nm,0.1km,MPO)。</w:t>
            </w:r>
          </w:p>
        </w:tc>
        <w:tc>
          <w:tcPr>
            <w:tcW w:w="1721" w:type="dxa"/>
            <w:shd w:val="clear" w:color="auto" w:fill="auto"/>
            <w:vAlign w:val="center"/>
          </w:tcPr>
          <w:p w14:paraId="5A451813">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7B36B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8" w:hRule="atLeast"/>
        </w:trPr>
        <w:tc>
          <w:tcPr>
            <w:tcW w:w="819" w:type="dxa"/>
            <w:shd w:val="clear" w:color="auto" w:fill="auto"/>
            <w:vAlign w:val="center"/>
          </w:tcPr>
          <w:p w14:paraId="36ACA00F">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183</w:t>
            </w:r>
          </w:p>
        </w:tc>
        <w:tc>
          <w:tcPr>
            <w:tcW w:w="1936" w:type="dxa"/>
            <w:shd w:val="clear" w:color="auto" w:fill="auto"/>
            <w:vAlign w:val="center"/>
          </w:tcPr>
          <w:p w14:paraId="2FDCBCD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AC管理器</w:t>
            </w:r>
          </w:p>
        </w:tc>
        <w:tc>
          <w:tcPr>
            <w:tcW w:w="4502" w:type="dxa"/>
            <w:shd w:val="clear" w:color="auto" w:fill="auto"/>
            <w:vAlign w:val="center"/>
          </w:tcPr>
          <w:p w14:paraId="2C94F16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转发能力≥10Gbit/s；最大管理AP数量≥512个；配置AP管理授权数≥128个；千兆电口（GE）≥10个，万兆光口（SFP+）≥2个；配置≥2个万兆多模模块(850nm,300m,LC)。</w:t>
            </w:r>
          </w:p>
        </w:tc>
        <w:tc>
          <w:tcPr>
            <w:tcW w:w="1721" w:type="dxa"/>
            <w:shd w:val="clear" w:color="auto" w:fill="auto"/>
            <w:vAlign w:val="center"/>
          </w:tcPr>
          <w:p w14:paraId="18101A0E">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48393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vMerge w:val="restart"/>
            <w:shd w:val="clear" w:color="auto" w:fill="auto"/>
            <w:vAlign w:val="center"/>
          </w:tcPr>
          <w:p w14:paraId="4C10AF9E">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184</w:t>
            </w:r>
          </w:p>
        </w:tc>
        <w:tc>
          <w:tcPr>
            <w:tcW w:w="1936" w:type="dxa"/>
            <w:vMerge w:val="restart"/>
            <w:shd w:val="clear" w:color="auto" w:fill="auto"/>
            <w:vAlign w:val="center"/>
          </w:tcPr>
          <w:p w14:paraId="13DA19D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安全单向导入系统(万兆)-导入前置机</w:t>
            </w:r>
          </w:p>
        </w:tc>
        <w:tc>
          <w:tcPr>
            <w:tcW w:w="4502" w:type="dxa"/>
            <w:shd w:val="clear" w:color="auto" w:fill="auto"/>
            <w:vAlign w:val="center"/>
          </w:tcPr>
          <w:p w14:paraId="3A810C0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支持单向光闸API通讯模式、双单向光闸通讯模式、网闸通讯模式，可适配各种隔离场景；支持本地FTP、本地SFTP、本地SMB、远程SFTP、远程FTP方式进行文件交换同步。支持多通道负载传输，可通过队列任务获取文件传输队列，由文件处理任务获取队列文件，并通过不同的传输通道进行多通道负载传输，适用于前后置搭配多台隔离设备场景下使用。支持远程FTP模式下，多套链路协同工作，共同承载文件传输业务，实现多链路业务负载均衡；文件同步支持离线任务启动，可关闭启动任务前校验，启动时不校验文件服务连接状态，正常启动离线文件服务任务，待文件服务上线后自动连接，并进行文件同步交换。支持同步前文件属性判断，可通过文件重命名、文件大小对比、临时文件名方式判断文件是否处于变更状态，保证同步文件的完整性；文件同步支持图片关键字识别黑白名单过滤；支持文件特征黑白名单过滤；具备文件特征识别功能，可上传样本文件进行文件特征识别，识别后可针对新文件特征进行安全过滤。</w:t>
            </w:r>
          </w:p>
        </w:tc>
        <w:tc>
          <w:tcPr>
            <w:tcW w:w="1721" w:type="dxa"/>
            <w:shd w:val="clear" w:color="auto" w:fill="auto"/>
            <w:vAlign w:val="center"/>
          </w:tcPr>
          <w:p w14:paraId="248B7A51">
            <w:pPr>
              <w:keepNext/>
              <w:snapToGrid w:val="0"/>
              <w:ind w:left="0" w:leftChars="0" w:right="0" w:rightChars="0" w:firstLine="0" w:firstLineChars="0"/>
              <w:jc w:val="lef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t>提供</w:t>
            </w:r>
            <w:r>
              <w:rPr>
                <w:rFonts w:hint="eastAsia"/>
                <w:b/>
                <w:bCs/>
                <w:color w:val="auto"/>
                <w:lang w:val="en-US" w:eastAsia="zh-CN"/>
              </w:rPr>
              <w:t>产品说明书功能截图或产品彩页功能截图</w:t>
            </w:r>
            <w:r>
              <w:rPr>
                <w:rFonts w:hint="eastAsia" w:ascii="宋体" w:hAnsi="宋体" w:eastAsia="宋体" w:cs="宋体"/>
                <w:b/>
                <w:bCs/>
                <w:i w:val="0"/>
                <w:iCs w:val="0"/>
                <w:color w:val="auto"/>
                <w:sz w:val="20"/>
                <w:szCs w:val="20"/>
                <w:u w:val="none"/>
                <w:lang w:val="en-US" w:eastAsia="zh-CN"/>
              </w:rPr>
              <w:t>扫描件，</w:t>
            </w:r>
            <w:r>
              <w:rPr>
                <w:rFonts w:hint="eastAsia" w:ascii="宋体" w:hAnsi="宋体" w:eastAsia="宋体" w:cs="宋体"/>
                <w:b/>
                <w:color w:val="auto"/>
                <w:sz w:val="20"/>
                <w:szCs w:val="21"/>
              </w:rPr>
              <w:t>要求内容能体现满足上述参数要求</w:t>
            </w:r>
            <w:r>
              <w:rPr>
                <w:rFonts w:hint="eastAsia" w:ascii="宋体" w:hAnsi="宋体" w:eastAsia="宋体" w:cs="宋体"/>
                <w:b/>
                <w:color w:val="auto"/>
                <w:sz w:val="20"/>
                <w:szCs w:val="21"/>
                <w:lang w:eastAsia="zh-CN"/>
              </w:rPr>
              <w:t>。</w:t>
            </w:r>
          </w:p>
        </w:tc>
      </w:tr>
      <w:tr w14:paraId="1FA2F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continue"/>
            <w:shd w:val="clear" w:color="auto" w:fill="auto"/>
            <w:vAlign w:val="center"/>
          </w:tcPr>
          <w:p w14:paraId="67C20EFB">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p>
        </w:tc>
        <w:tc>
          <w:tcPr>
            <w:tcW w:w="1936" w:type="dxa"/>
            <w:vMerge w:val="continue"/>
            <w:shd w:val="clear" w:color="auto" w:fill="auto"/>
            <w:vAlign w:val="center"/>
          </w:tcPr>
          <w:p w14:paraId="19519AB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p>
        </w:tc>
        <w:tc>
          <w:tcPr>
            <w:tcW w:w="4502" w:type="dxa"/>
            <w:shd w:val="clear" w:color="auto" w:fill="auto"/>
            <w:vAlign w:val="center"/>
          </w:tcPr>
          <w:p w14:paraId="6420A9D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2.2U架式设备，部署在外网；均采用SSD固态硬盘；为冗余电源；具备≥10/100/1000M电口*6；≥SFP+光口*2；应用数据吞吐量≥3Gbps；数据库传输能力：≥3000 条/秒；文件单向传输任务具备对源端文件处理策略（删除、备份），支持SFTP传输加密功能；支持国产主流数据库，包括：达梦、南大通用、神州通用(oscar)、人大金仓等；具有文件交换冲突选项，具备策略：覆盖、放弃、重命名；支持多种数据库同步方式：触发器方式，全表采集方式，同表单向数据同步，主从表单向数据同步，删除源数据等同步方式；支持不同类型数据库之间及异构数据库的数据类型转换；支持断点重传功能，在出现断电或传输中断等情况下，能够保证系统恢复后，交换数据的重传或续传，防止数据丢失现象。</w:t>
            </w:r>
          </w:p>
        </w:tc>
        <w:tc>
          <w:tcPr>
            <w:tcW w:w="1721" w:type="dxa"/>
            <w:shd w:val="clear" w:color="auto" w:fill="auto"/>
            <w:vAlign w:val="center"/>
          </w:tcPr>
          <w:p w14:paraId="6102B922">
            <w:pPr>
              <w:keepNext/>
              <w:snapToGrid w:val="0"/>
              <w:ind w:left="0" w:leftChars="0" w:right="0" w:rightChars="0" w:firstLine="0" w:firstLineChars="0"/>
              <w:jc w:val="left"/>
              <w:rPr>
                <w:rFonts w:hint="eastAsia" w:ascii="宋体" w:hAnsi="宋体" w:eastAsia="宋体" w:cs="宋体"/>
                <w:b/>
                <w:bCs/>
                <w:i w:val="0"/>
                <w:iCs w:val="0"/>
                <w:color w:val="auto"/>
                <w:sz w:val="20"/>
                <w:szCs w:val="20"/>
                <w:u w:val="none"/>
              </w:rPr>
            </w:pPr>
          </w:p>
        </w:tc>
      </w:tr>
      <w:tr w14:paraId="24D7C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restart"/>
            <w:shd w:val="clear" w:color="auto" w:fill="auto"/>
            <w:vAlign w:val="center"/>
          </w:tcPr>
          <w:p w14:paraId="19F70596">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185</w:t>
            </w:r>
          </w:p>
        </w:tc>
        <w:tc>
          <w:tcPr>
            <w:tcW w:w="1936" w:type="dxa"/>
            <w:vMerge w:val="restart"/>
            <w:shd w:val="clear" w:color="auto" w:fill="auto"/>
            <w:vAlign w:val="center"/>
          </w:tcPr>
          <w:p w14:paraId="41B732D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安全单向导入系统(万兆)-安全单向隔离光闸</w:t>
            </w:r>
          </w:p>
        </w:tc>
        <w:tc>
          <w:tcPr>
            <w:tcW w:w="4502" w:type="dxa"/>
            <w:shd w:val="clear" w:color="auto" w:fill="auto"/>
            <w:vAlign w:val="center"/>
          </w:tcPr>
          <w:p w14:paraId="170E4625">
            <w:pPr>
              <w:keepNext/>
              <w:keepLines w:val="0"/>
              <w:widowControl/>
              <w:numPr>
                <w:ilvl w:val="-1"/>
                <w:numId w:val="0"/>
              </w:numPr>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支持用户组上传/下载权限设置，禁止用户组越权操作高于自身安全等级的标识文件；支持update转insert同步，如update操作出现数据无法匹配，则转为insert操作新增记录数据进行同步，否则丢弃数据。支持数据库同步条件过滤，自定义条件表达式，仅允许符合条件要求的数据进行传输，支持采用 WHERE语句编程；支持TCP单向代理功能，可将tcp应用裸数据单向传输到指定的tcp服务接口中，实现高性能TCP协议数据单向传输；API接口传输支持通道标识认证，绑定通道标识、目标接口地址、端口以及协议类型，仅允许认证通过的接口进行单向数据传输。</w:t>
            </w:r>
          </w:p>
        </w:tc>
        <w:tc>
          <w:tcPr>
            <w:tcW w:w="1721" w:type="dxa"/>
            <w:shd w:val="clear" w:color="auto" w:fill="auto"/>
            <w:vAlign w:val="center"/>
          </w:tcPr>
          <w:p w14:paraId="27382C4C">
            <w:pPr>
              <w:keepNext/>
              <w:snapToGrid w:val="0"/>
              <w:ind w:left="0" w:leftChars="0" w:right="0" w:rightChars="0" w:firstLine="0" w:firstLineChars="0"/>
              <w:jc w:val="lef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t>提供</w:t>
            </w:r>
            <w:r>
              <w:rPr>
                <w:rFonts w:hint="eastAsia"/>
                <w:b/>
                <w:bCs/>
                <w:color w:val="auto"/>
                <w:lang w:val="en-US" w:eastAsia="zh-CN"/>
              </w:rPr>
              <w:t>产品说明书功能截图或产品彩页功能截图</w:t>
            </w:r>
            <w:r>
              <w:rPr>
                <w:rFonts w:hint="eastAsia" w:ascii="宋体" w:hAnsi="宋体" w:eastAsia="宋体" w:cs="宋体"/>
                <w:b/>
                <w:bCs/>
                <w:i w:val="0"/>
                <w:iCs w:val="0"/>
                <w:color w:val="auto"/>
                <w:sz w:val="20"/>
                <w:szCs w:val="20"/>
                <w:u w:val="none"/>
                <w:lang w:val="en-US" w:eastAsia="zh-CN"/>
              </w:rPr>
              <w:t>扫描件，</w:t>
            </w:r>
            <w:r>
              <w:rPr>
                <w:rFonts w:hint="eastAsia" w:ascii="宋体" w:hAnsi="宋体" w:eastAsia="宋体" w:cs="宋体"/>
                <w:b/>
                <w:color w:val="auto"/>
                <w:sz w:val="20"/>
                <w:szCs w:val="21"/>
              </w:rPr>
              <w:t>要求内容能体现满足上述参数要求</w:t>
            </w:r>
            <w:r>
              <w:rPr>
                <w:rFonts w:hint="eastAsia" w:ascii="宋体" w:hAnsi="宋体" w:eastAsia="宋体" w:cs="宋体"/>
                <w:b/>
                <w:color w:val="auto"/>
                <w:sz w:val="20"/>
                <w:szCs w:val="21"/>
                <w:lang w:eastAsia="zh-CN"/>
              </w:rPr>
              <w:t>。</w:t>
            </w:r>
          </w:p>
        </w:tc>
      </w:tr>
      <w:tr w14:paraId="26744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vMerge w:val="continue"/>
            <w:shd w:val="clear" w:color="auto" w:fill="auto"/>
            <w:vAlign w:val="center"/>
          </w:tcPr>
          <w:p w14:paraId="76E238F3">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p>
        </w:tc>
        <w:tc>
          <w:tcPr>
            <w:tcW w:w="1936" w:type="dxa"/>
            <w:vMerge w:val="continue"/>
            <w:shd w:val="clear" w:color="auto" w:fill="auto"/>
            <w:vAlign w:val="center"/>
          </w:tcPr>
          <w:p w14:paraId="501D22B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p>
        </w:tc>
        <w:tc>
          <w:tcPr>
            <w:tcW w:w="4502" w:type="dxa"/>
            <w:shd w:val="clear" w:color="auto" w:fill="auto"/>
            <w:vAlign w:val="center"/>
          </w:tcPr>
          <w:p w14:paraId="6BAB2B33">
            <w:pPr>
              <w:keepNext/>
              <w:keepLines w:val="0"/>
              <w:widowControl/>
              <w:numPr>
                <w:ilvl w:val="-1"/>
                <w:numId w:val="0"/>
              </w:numPr>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标准2U机架式设备；为冗余电源；采用2+1架构和多模分光器隔离技术，物理部件通过光单向传输数据；万兆背板硬件架构；内外单元各具备≥6个10/100/1000BASE-TX接口，2个SFP+接口；传输性能≥3Gbps；底层硬件吞吐率≥单向5Gbps；文件传输延迟&lt;1秒；支持专用客户端等方式的文件数据物理单向传输（外向内）；支持实时文件摆渡；支持文件类型过滤；支持文件后缀过滤，支持多文件并发传输。</w:t>
            </w:r>
          </w:p>
        </w:tc>
        <w:tc>
          <w:tcPr>
            <w:tcW w:w="1721" w:type="dxa"/>
            <w:shd w:val="clear" w:color="auto" w:fill="auto"/>
            <w:vAlign w:val="center"/>
          </w:tcPr>
          <w:p w14:paraId="60ED7CF7">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2FF5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vMerge w:val="restart"/>
            <w:shd w:val="clear" w:color="auto" w:fill="auto"/>
            <w:vAlign w:val="center"/>
          </w:tcPr>
          <w:p w14:paraId="44D1CFAC">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186</w:t>
            </w:r>
          </w:p>
        </w:tc>
        <w:tc>
          <w:tcPr>
            <w:tcW w:w="1936" w:type="dxa"/>
            <w:vMerge w:val="restart"/>
            <w:shd w:val="clear" w:color="auto" w:fill="auto"/>
            <w:vAlign w:val="center"/>
          </w:tcPr>
          <w:p w14:paraId="26D1706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安全单向导入系统(万兆)</w:t>
            </w:r>
          </w:p>
        </w:tc>
        <w:tc>
          <w:tcPr>
            <w:tcW w:w="4502" w:type="dxa"/>
            <w:shd w:val="clear" w:color="auto" w:fill="auto"/>
            <w:vAlign w:val="center"/>
          </w:tcPr>
          <w:p w14:paraId="5E219C5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支持单向光闸API通讯模式、双单向光闸通讯模式、网闸通讯模式，可适配各种隔离场景；支持本地FTP、本地SFTP、本地SMB、远程SFTP、远程FTP方式进行文件交换同步。支持多通道负载传输，可通过队列任务获取文件传输队列，由文件处理任务获取队列文件，并通过不同的传输通道进行多通道负载传输，适用于前后置搭配多台隔离设备场景下使用。支持远程FTP模式下，多套链路协同工作，共同承载文件传输业务，实现多链路业务负载均衡；文件同步支持离线任务启动，可关闭启动任务前校验，启动时不校验文件服务连接状态，正常启动离线文件服务任务，待文件服务上线后自动连接，并进行文件同步交换。支持同步前文件属性判断，可通过文件重命名、文件大小对比、临时文件名方式判断文件是否处于变更状态，保证同步文件的完整性；文件同步支持图片关键字识别黑白名单过滤；支持文件特征黑白名单过滤；具备文件特征识别功能，可上传样本文件进行文件特征识别，识别后可针对新文件特征进行安全过滤。</w:t>
            </w:r>
          </w:p>
        </w:tc>
        <w:tc>
          <w:tcPr>
            <w:tcW w:w="1721" w:type="dxa"/>
            <w:shd w:val="clear" w:color="auto" w:fill="auto"/>
            <w:vAlign w:val="center"/>
          </w:tcPr>
          <w:p w14:paraId="13D285B3">
            <w:pPr>
              <w:keepNext/>
              <w:snapToGrid w:val="0"/>
              <w:ind w:left="0" w:leftChars="0" w:right="0" w:rightChars="0" w:firstLine="0" w:firstLineChars="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t>提供</w:t>
            </w:r>
            <w:r>
              <w:rPr>
                <w:rFonts w:hint="eastAsia"/>
                <w:b/>
                <w:bCs/>
                <w:color w:val="auto"/>
                <w:lang w:val="en-US" w:eastAsia="zh-CN"/>
              </w:rPr>
              <w:t>产品说明书功能截图或产品彩页功能截图</w:t>
            </w:r>
            <w:r>
              <w:rPr>
                <w:rFonts w:hint="eastAsia" w:ascii="宋体" w:hAnsi="宋体" w:eastAsia="宋体" w:cs="宋体"/>
                <w:b/>
                <w:bCs/>
                <w:i w:val="0"/>
                <w:iCs w:val="0"/>
                <w:color w:val="auto"/>
                <w:sz w:val="20"/>
                <w:szCs w:val="20"/>
                <w:u w:val="none"/>
                <w:lang w:val="en-US" w:eastAsia="zh-CN"/>
              </w:rPr>
              <w:t>扫描件，</w:t>
            </w:r>
            <w:r>
              <w:rPr>
                <w:rFonts w:hint="eastAsia" w:ascii="宋体" w:hAnsi="宋体" w:eastAsia="宋体" w:cs="宋体"/>
                <w:b/>
                <w:color w:val="auto"/>
                <w:sz w:val="20"/>
                <w:szCs w:val="21"/>
              </w:rPr>
              <w:t>要求内容能体现满足上述参数要求</w:t>
            </w:r>
            <w:r>
              <w:rPr>
                <w:rFonts w:hint="eastAsia" w:ascii="宋体" w:hAnsi="宋体" w:eastAsia="宋体" w:cs="宋体"/>
                <w:b/>
                <w:color w:val="1706F8"/>
                <w:sz w:val="20"/>
                <w:szCs w:val="21"/>
                <w:lang w:eastAsia="zh-CN"/>
              </w:rPr>
              <w:t>。</w:t>
            </w:r>
          </w:p>
        </w:tc>
      </w:tr>
      <w:tr w14:paraId="4E92C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continue"/>
            <w:shd w:val="clear" w:color="auto" w:fill="auto"/>
            <w:vAlign w:val="center"/>
          </w:tcPr>
          <w:p w14:paraId="35F8323B">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p>
        </w:tc>
        <w:tc>
          <w:tcPr>
            <w:tcW w:w="1936" w:type="dxa"/>
            <w:vMerge w:val="continue"/>
            <w:shd w:val="clear" w:color="auto" w:fill="auto"/>
            <w:vAlign w:val="center"/>
          </w:tcPr>
          <w:p w14:paraId="1F93DEF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p>
        </w:tc>
        <w:tc>
          <w:tcPr>
            <w:tcW w:w="4502" w:type="dxa"/>
            <w:shd w:val="clear" w:color="auto" w:fill="auto"/>
            <w:vAlign w:val="center"/>
          </w:tcPr>
          <w:p w14:paraId="47F6DCD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2.2U机架式设备，部署在内网；均采用SSD固态硬盘；为冗余电源；具备10/100/1000M电口*6；SFP+光口*2；应用数据吞吐量≥3Gbps；数据库传输能力：≥3000 条/秒；文件单向传输任务具备对源端文件处理策略（删除、备份），支持SFTP传输加密功能；支持主流数据库，包括：达梦、南大通用、神州通用(oscar)、人大金仓等；具有文件交换冲突选项，具备策略：覆盖、放弃、重命名；支持多种数据库同步方式：触发器方式，全表采集方式，同表单向数据同步，主从表单向数据同步，删除源数据等同步方式；支持不同类型数据库之间及异构数据库的数据类型转换；支持断点重传功能，在出现断电或传输中断等情况下，能够保证系统恢复后，交换数据的重传或续传，防止数据丢失现象。</w:t>
            </w:r>
          </w:p>
        </w:tc>
        <w:tc>
          <w:tcPr>
            <w:tcW w:w="1721" w:type="dxa"/>
            <w:shd w:val="clear" w:color="auto" w:fill="auto"/>
            <w:vAlign w:val="center"/>
          </w:tcPr>
          <w:p w14:paraId="73B2B5A0">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8DFB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6D2C863A">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187</w:t>
            </w:r>
          </w:p>
        </w:tc>
        <w:tc>
          <w:tcPr>
            <w:tcW w:w="1936" w:type="dxa"/>
            <w:shd w:val="clear" w:color="auto" w:fill="auto"/>
            <w:vAlign w:val="center"/>
          </w:tcPr>
          <w:p w14:paraId="01F3E0E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集控探针</w:t>
            </w:r>
          </w:p>
        </w:tc>
        <w:tc>
          <w:tcPr>
            <w:tcW w:w="4502" w:type="dxa"/>
            <w:shd w:val="clear" w:color="auto" w:fill="auto"/>
            <w:vAlign w:val="center"/>
          </w:tcPr>
          <w:p w14:paraId="2CD38E7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用于平台内部设备状态获取以及设备管理；标准机架式机箱，2U设备；为冗余电源；标配≥4个千兆网络接口；支持SYSLOG、SNMP v3、Telnet、ICMP协议。</w:t>
            </w:r>
          </w:p>
        </w:tc>
        <w:tc>
          <w:tcPr>
            <w:tcW w:w="1721" w:type="dxa"/>
            <w:shd w:val="clear" w:color="auto" w:fill="auto"/>
            <w:vAlign w:val="center"/>
          </w:tcPr>
          <w:p w14:paraId="2955B8FA">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6B037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36A3FDE9">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188</w:t>
            </w:r>
          </w:p>
        </w:tc>
        <w:tc>
          <w:tcPr>
            <w:tcW w:w="1936" w:type="dxa"/>
            <w:shd w:val="clear" w:color="auto" w:fill="auto"/>
            <w:vAlign w:val="center"/>
          </w:tcPr>
          <w:p w14:paraId="51135BD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可信边界安全网关（万兆）</w:t>
            </w:r>
          </w:p>
        </w:tc>
        <w:tc>
          <w:tcPr>
            <w:tcW w:w="4502" w:type="dxa"/>
            <w:shd w:val="clear" w:color="auto" w:fill="auto"/>
            <w:vAlign w:val="center"/>
          </w:tcPr>
          <w:p w14:paraId="743A25D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最大新建连接数≥3500次/秒；最大并发连接数≥100000条；每秒事务数目（TPS）≥8000次；最大接入用户数≥50000。</w:t>
            </w:r>
          </w:p>
        </w:tc>
        <w:tc>
          <w:tcPr>
            <w:tcW w:w="1721" w:type="dxa"/>
            <w:shd w:val="clear" w:color="auto" w:fill="auto"/>
            <w:vAlign w:val="center"/>
          </w:tcPr>
          <w:p w14:paraId="14028E22">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3E6D5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200FD43E">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189</w:t>
            </w:r>
          </w:p>
        </w:tc>
        <w:tc>
          <w:tcPr>
            <w:tcW w:w="1936" w:type="dxa"/>
            <w:shd w:val="clear" w:color="auto" w:fill="auto"/>
            <w:vAlign w:val="center"/>
          </w:tcPr>
          <w:p w14:paraId="1A9D579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防火墙（万兆）</w:t>
            </w:r>
          </w:p>
        </w:tc>
        <w:tc>
          <w:tcPr>
            <w:tcW w:w="4502" w:type="dxa"/>
            <w:shd w:val="clear" w:color="auto" w:fill="auto"/>
            <w:vAlign w:val="center"/>
          </w:tcPr>
          <w:p w14:paraId="75FC964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机架式硬件万兆防火墙；专用硬件平台；网络处理能力≥20G；标配≥6个10/100/1000M自适应电口；≥4个SFP+端口。</w:t>
            </w:r>
          </w:p>
        </w:tc>
        <w:tc>
          <w:tcPr>
            <w:tcW w:w="1721" w:type="dxa"/>
            <w:shd w:val="clear" w:color="auto" w:fill="auto"/>
            <w:vAlign w:val="center"/>
          </w:tcPr>
          <w:p w14:paraId="167AF150">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59B2C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9" w:type="dxa"/>
            <w:vMerge w:val="restart"/>
            <w:shd w:val="clear" w:color="auto" w:fill="auto"/>
            <w:vAlign w:val="center"/>
          </w:tcPr>
          <w:p w14:paraId="1246FCF2">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190</w:t>
            </w:r>
          </w:p>
        </w:tc>
        <w:tc>
          <w:tcPr>
            <w:tcW w:w="1936" w:type="dxa"/>
            <w:vMerge w:val="restart"/>
            <w:shd w:val="clear" w:color="auto" w:fill="auto"/>
            <w:vAlign w:val="center"/>
          </w:tcPr>
          <w:p w14:paraId="0324D96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入侵防御系统（万兆）</w:t>
            </w:r>
          </w:p>
        </w:tc>
        <w:tc>
          <w:tcPr>
            <w:tcW w:w="4502" w:type="dxa"/>
            <w:shd w:val="clear" w:color="auto" w:fill="auto"/>
            <w:vAlign w:val="center"/>
          </w:tcPr>
          <w:p w14:paraId="2E48AF2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支持对SSH、FTP等协议的弱密码扫描，扫描使用的密码表支持系统预置的完整表，常用表以及自定义表，可扫描IP地址、端口、服务、用户名、弱密码、风险等级等信息；支持对大量原始安全告警日志进行降噪、聚合后并产生安全事件，对安全事件的查询，查询条件包括源地址、目的地址、威胁等级、处置状态、研判状态，支持通过饼图统计展示安全事件威胁等级数量情况，包括严重、高危、中危、低危安全事件；支持对安全事件进行处置，处置动作支持“仅加黑源地址”、“仅加黑目的地址”、“同时加黑源目地址”，加黑处置支持展示加黑的IP列表（含源、目的IP），支持配置黑名单生命周期，对于已处置的安全事件，可查看对应处置结果，处置结果中可展示源地址、目的地址、状态（已加黑/未加黑），另外支持重新处置。</w:t>
            </w:r>
          </w:p>
        </w:tc>
        <w:tc>
          <w:tcPr>
            <w:tcW w:w="1721" w:type="dxa"/>
            <w:shd w:val="clear" w:color="auto" w:fill="auto"/>
            <w:vAlign w:val="center"/>
          </w:tcPr>
          <w:p w14:paraId="42B776BE">
            <w:pPr>
              <w:keepNext/>
              <w:snapToGrid w:val="0"/>
              <w:ind w:left="0" w:leftChars="0" w:right="0" w:rightChars="0" w:firstLine="0" w:firstLineChars="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auto"/>
                <w:sz w:val="20"/>
                <w:szCs w:val="20"/>
                <w:u w:val="none"/>
              </w:rPr>
              <w:t>提供</w:t>
            </w:r>
            <w:r>
              <w:rPr>
                <w:rFonts w:hint="eastAsia"/>
                <w:b/>
                <w:bCs/>
                <w:color w:val="auto"/>
                <w:lang w:val="en-US" w:eastAsia="zh-CN"/>
              </w:rPr>
              <w:t>产品说明书功能截图或产品彩页功能截图</w:t>
            </w:r>
            <w:r>
              <w:rPr>
                <w:rFonts w:hint="eastAsia" w:ascii="宋体" w:hAnsi="宋体" w:eastAsia="宋体" w:cs="宋体"/>
                <w:b/>
                <w:bCs/>
                <w:i w:val="0"/>
                <w:iCs w:val="0"/>
                <w:color w:val="auto"/>
                <w:sz w:val="20"/>
                <w:szCs w:val="20"/>
                <w:u w:val="none"/>
                <w:lang w:val="en-US" w:eastAsia="zh-CN"/>
              </w:rPr>
              <w:t>扫描件，</w:t>
            </w:r>
            <w:r>
              <w:rPr>
                <w:rFonts w:hint="eastAsia" w:ascii="宋体" w:hAnsi="宋体" w:eastAsia="宋体" w:cs="宋体"/>
                <w:b/>
                <w:color w:val="auto"/>
                <w:sz w:val="20"/>
                <w:szCs w:val="21"/>
              </w:rPr>
              <w:t>要求内容能体现满足上述参数要求</w:t>
            </w:r>
            <w:r>
              <w:rPr>
                <w:rFonts w:hint="eastAsia" w:ascii="宋体" w:hAnsi="宋体" w:eastAsia="宋体" w:cs="宋体"/>
                <w:b/>
                <w:color w:val="auto"/>
                <w:sz w:val="20"/>
                <w:szCs w:val="21"/>
                <w:lang w:eastAsia="zh-CN"/>
              </w:rPr>
              <w:t>。</w:t>
            </w:r>
          </w:p>
        </w:tc>
      </w:tr>
      <w:tr w14:paraId="7359E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vMerge w:val="continue"/>
            <w:shd w:val="clear" w:color="auto" w:fill="auto"/>
            <w:vAlign w:val="center"/>
          </w:tcPr>
          <w:p w14:paraId="342FF54D">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p>
        </w:tc>
        <w:tc>
          <w:tcPr>
            <w:tcW w:w="1936" w:type="dxa"/>
            <w:vMerge w:val="continue"/>
            <w:shd w:val="clear" w:color="auto" w:fill="auto"/>
            <w:vAlign w:val="center"/>
          </w:tcPr>
          <w:p w14:paraId="1FD5233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p>
        </w:tc>
        <w:tc>
          <w:tcPr>
            <w:tcW w:w="4502" w:type="dxa"/>
            <w:shd w:val="clear" w:color="auto" w:fill="auto"/>
            <w:vAlign w:val="center"/>
          </w:tcPr>
          <w:p w14:paraId="53BB7A0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2.</w:t>
            </w:r>
            <w:r>
              <w:rPr>
                <w:rFonts w:hint="eastAsia" w:ascii="宋体" w:hAnsi="宋体" w:eastAsia="宋体" w:cs="宋体"/>
                <w:i w:val="0"/>
                <w:iCs w:val="0"/>
                <w:color w:val="000000"/>
                <w:kern w:val="0"/>
                <w:sz w:val="20"/>
                <w:szCs w:val="20"/>
                <w:u w:val="none"/>
                <w:lang w:val="en-US" w:eastAsia="zh-CN" w:bidi="ar"/>
              </w:rPr>
              <w:t>标准机架式机箱，冗余电源，液晶屏；配置≥6个10/100/1000M自适应电口；≥2个万兆光口；支持发布库事件集≥8000，支持检测库≥11000，兼容CVE/CNCVE,支持事件集自定义，支持手动、自动或定期升级；支持DOS防护、入侵防御、病毒防护、共享接入、用户防暴力破解、资源管控日志，日志本地、硬盘存储和外发；支持启发式扫描查杀未知病毒、ZIP、RAR、TAR等压缩及打包文件的病毒查杀，支持≥20种的预定义文件格式。</w:t>
            </w:r>
          </w:p>
        </w:tc>
        <w:tc>
          <w:tcPr>
            <w:tcW w:w="1721" w:type="dxa"/>
            <w:shd w:val="clear" w:color="auto" w:fill="auto"/>
            <w:vAlign w:val="center"/>
          </w:tcPr>
          <w:p w14:paraId="5BE0333D">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4551C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19" w:type="dxa"/>
            <w:shd w:val="clear" w:color="auto" w:fill="auto"/>
            <w:vAlign w:val="center"/>
          </w:tcPr>
          <w:p w14:paraId="1D3E1D4E">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191</w:t>
            </w:r>
          </w:p>
        </w:tc>
        <w:tc>
          <w:tcPr>
            <w:tcW w:w="1936" w:type="dxa"/>
            <w:shd w:val="clear" w:color="auto" w:fill="auto"/>
            <w:vAlign w:val="center"/>
          </w:tcPr>
          <w:p w14:paraId="317C189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集中监控审计系统</w:t>
            </w:r>
          </w:p>
        </w:tc>
        <w:tc>
          <w:tcPr>
            <w:tcW w:w="4502" w:type="dxa"/>
            <w:shd w:val="clear" w:color="auto" w:fill="auto"/>
            <w:vAlign w:val="center"/>
          </w:tcPr>
          <w:p w14:paraId="057C3EF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实现对整个内外网数据交换平台的业务、应用、终端、服务器、网络设备监管；并实现对下级系统的管理和向上级网络的级联上报；2U标准机架式设备；配置≥6个千兆高速以太网网络接口；冗余电源模块；支持 WEB 方式配置管理；日志审计信息可导入导出；自身内置大型关系型数据库，也可使用外部数据库；内置级联上报信息系统，满足后期级联上报数据需求。</w:t>
            </w:r>
          </w:p>
        </w:tc>
        <w:tc>
          <w:tcPr>
            <w:tcW w:w="1721" w:type="dxa"/>
            <w:shd w:val="clear" w:color="auto" w:fill="auto"/>
            <w:vAlign w:val="center"/>
          </w:tcPr>
          <w:p w14:paraId="4654B808">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r w14:paraId="2A672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19" w:type="dxa"/>
            <w:shd w:val="clear" w:color="auto" w:fill="auto"/>
            <w:vAlign w:val="center"/>
          </w:tcPr>
          <w:p w14:paraId="1E47A24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192</w:t>
            </w:r>
          </w:p>
        </w:tc>
        <w:tc>
          <w:tcPr>
            <w:tcW w:w="1936" w:type="dxa"/>
            <w:shd w:val="clear" w:color="auto" w:fill="auto"/>
            <w:vAlign w:val="center"/>
          </w:tcPr>
          <w:p w14:paraId="2986DF8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边界三层交换机</w:t>
            </w:r>
          </w:p>
        </w:tc>
        <w:tc>
          <w:tcPr>
            <w:tcW w:w="4502" w:type="dxa"/>
            <w:shd w:val="clear" w:color="auto" w:fill="auto"/>
            <w:vAlign w:val="center"/>
          </w:tcPr>
          <w:p w14:paraId="50E0222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1"/>
                <w:lang w:val="en-US" w:eastAsia="zh-CN"/>
              </w:rPr>
              <w:t>1.</w:t>
            </w:r>
            <w:r>
              <w:rPr>
                <w:rFonts w:hint="eastAsia" w:ascii="宋体" w:hAnsi="宋体" w:eastAsia="宋体" w:cs="宋体"/>
                <w:i w:val="0"/>
                <w:iCs w:val="0"/>
                <w:color w:val="000000"/>
                <w:kern w:val="0"/>
                <w:sz w:val="20"/>
                <w:szCs w:val="20"/>
                <w:u w:val="none"/>
                <w:lang w:val="en-US" w:eastAsia="zh-CN" w:bidi="ar"/>
              </w:rPr>
              <w:t>配置≥24 个10/100/1000以太网端口；配置≥4 个万兆SFP+端口【带4个万兆光模块】。</w:t>
            </w:r>
          </w:p>
        </w:tc>
        <w:tc>
          <w:tcPr>
            <w:tcW w:w="1721" w:type="dxa"/>
            <w:shd w:val="clear" w:color="auto" w:fill="auto"/>
            <w:vAlign w:val="center"/>
          </w:tcPr>
          <w:p w14:paraId="3F56C16B">
            <w:pPr>
              <w:keepNext/>
              <w:snapToGrid w:val="0"/>
              <w:ind w:left="0" w:leftChars="0" w:right="0" w:rightChars="0" w:firstLine="0" w:firstLineChars="0"/>
              <w:jc w:val="left"/>
              <w:rPr>
                <w:rFonts w:hint="eastAsia" w:ascii="宋体" w:hAnsi="宋体" w:eastAsia="宋体" w:cs="宋体"/>
                <w:i w:val="0"/>
                <w:iCs w:val="0"/>
                <w:color w:val="000000"/>
                <w:sz w:val="20"/>
                <w:szCs w:val="20"/>
                <w:u w:val="none"/>
              </w:rPr>
            </w:pPr>
          </w:p>
        </w:tc>
      </w:tr>
    </w:tbl>
    <w:p w14:paraId="0C364AA1">
      <w:pPr>
        <w:pStyle w:val="19"/>
      </w:pPr>
    </w:p>
    <w:bookmarkEnd w:id="41"/>
    <w:p w14:paraId="38EEC066">
      <w:pPr>
        <w:spacing w:before="156" w:beforeLines="50" w:after="156" w:afterLines="50"/>
        <w:rPr>
          <w:rFonts w:ascii="Times New Roman" w:hAnsi="Times New Roman" w:eastAsia="宋体" w:cs="Times New Roman"/>
          <w:szCs w:val="24"/>
        </w:rPr>
      </w:pPr>
      <w:r>
        <w:rPr>
          <w:rFonts w:ascii="Times New Roman" w:hAnsi="Times New Roman" w:eastAsia="宋体" w:cs="Times New Roman"/>
          <w:szCs w:val="24"/>
        </w:rPr>
        <w:br w:type="page"/>
      </w:r>
    </w:p>
    <w:p w14:paraId="003F518E">
      <w:pPr>
        <w:keepNext/>
        <w:keepLines/>
        <w:widowControl/>
        <w:adjustRightInd w:val="0"/>
        <w:spacing w:before="156" w:beforeLines="50" w:after="156" w:afterLines="50"/>
        <w:jc w:val="center"/>
        <w:textAlignment w:val="baseline"/>
        <w:outlineLvl w:val="1"/>
        <w:rPr>
          <w:rFonts w:ascii="宋体" w:hAnsi="宋体" w:eastAsia="宋体" w:cs="Times New Roman"/>
          <w:b/>
          <w:bCs/>
          <w:color w:val="FF0000"/>
          <w:kern w:val="0"/>
          <w:sz w:val="24"/>
          <w:szCs w:val="24"/>
        </w:rPr>
      </w:pPr>
      <w:r>
        <w:rPr>
          <w:rFonts w:hint="eastAsia" w:ascii="宋体" w:hAnsi="宋体" w:eastAsia="宋体" w:cs="Times New Roman"/>
          <w:b/>
          <w:bCs/>
          <w:color w:val="FF0000"/>
          <w:kern w:val="0"/>
          <w:sz w:val="24"/>
          <w:szCs w:val="24"/>
          <w:lang w:eastAsia="zh-CN"/>
        </w:rPr>
        <w:t>★八</w:t>
      </w:r>
      <w:r>
        <w:rPr>
          <w:rFonts w:hint="eastAsia" w:ascii="宋体" w:hAnsi="宋体" w:eastAsia="宋体" w:cs="Times New Roman"/>
          <w:b/>
          <w:bCs/>
          <w:color w:val="FF0000"/>
          <w:kern w:val="0"/>
          <w:sz w:val="24"/>
          <w:szCs w:val="24"/>
        </w:rPr>
        <w:t>、商务要求</w:t>
      </w:r>
    </w:p>
    <w:p w14:paraId="33923733">
      <w:pPr>
        <w:widowControl/>
        <w:jc w:val="left"/>
        <w:rPr>
          <w:rFonts w:ascii="Times New Roman" w:hAnsi="Times New Roman" w:eastAsia="宋体" w:cs="Times New Roman"/>
          <w:b/>
          <w:color w:val="FF0000"/>
          <w:kern w:val="0"/>
          <w:sz w:val="24"/>
          <w:szCs w:val="21"/>
        </w:rPr>
      </w:pPr>
      <w:r>
        <w:rPr>
          <w:rFonts w:hint="eastAsia" w:ascii="Times New Roman" w:hAnsi="Times New Roman" w:eastAsia="宋体" w:cs="Times New Roman"/>
          <w:b/>
          <w:color w:val="FF0000"/>
          <w:kern w:val="0"/>
          <w:sz w:val="24"/>
          <w:szCs w:val="21"/>
        </w:rPr>
        <w:t>说明：本项所有招标商务需求均为实质性条款，如出现负偏离，将被视为未实质性满足招标文件要求作投标无效处理。</w:t>
      </w:r>
    </w:p>
    <w:p w14:paraId="31D60E36">
      <w:pPr>
        <w:spacing w:line="100" w:lineRule="exact"/>
      </w:pPr>
    </w:p>
    <w:tbl>
      <w:tblPr>
        <w:tblStyle w:val="492"/>
        <w:tblW w:w="87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2"/>
        <w:gridCol w:w="1645"/>
        <w:gridCol w:w="6288"/>
      </w:tblGrid>
      <w:tr w14:paraId="6CB407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9" w:hRule="atLeast"/>
        </w:trPr>
        <w:tc>
          <w:tcPr>
            <w:tcW w:w="792" w:type="dxa"/>
            <w:vAlign w:val="top"/>
          </w:tcPr>
          <w:p w14:paraId="5F7841C8">
            <w:pPr>
              <w:pStyle w:val="491"/>
              <w:keepNext w:val="0"/>
              <w:keepLines w:val="0"/>
              <w:pageBreakBefore w:val="0"/>
              <w:kinsoku/>
              <w:wordWrap/>
              <w:overflowPunct/>
              <w:topLinePunct w:val="0"/>
              <w:autoSpaceDN/>
              <w:bidi w:val="0"/>
              <w:adjustRightInd/>
              <w:snapToGrid/>
              <w:spacing w:line="207" w:lineRule="auto"/>
              <w:ind w:left="105" w:leftChars="50" w:right="0"/>
              <w:jc w:val="center"/>
              <w:rPr>
                <w:b/>
                <w:bCs/>
                <w:shd w:val="clear" w:color="auto" w:fill="auto"/>
              </w:rPr>
            </w:pPr>
            <w:r>
              <w:rPr>
                <w:b/>
                <w:bCs/>
                <w:color w:val="FF0000"/>
                <w:spacing w:val="-4"/>
                <w:shd w:val="clear" w:color="auto" w:fill="auto"/>
              </w:rPr>
              <w:t>序号</w:t>
            </w:r>
          </w:p>
        </w:tc>
        <w:tc>
          <w:tcPr>
            <w:tcW w:w="1645" w:type="dxa"/>
            <w:vAlign w:val="top"/>
          </w:tcPr>
          <w:p w14:paraId="3267CDE6">
            <w:pPr>
              <w:pStyle w:val="491"/>
              <w:keepNext w:val="0"/>
              <w:keepLines w:val="0"/>
              <w:pageBreakBefore w:val="0"/>
              <w:kinsoku/>
              <w:wordWrap/>
              <w:overflowPunct/>
              <w:topLinePunct w:val="0"/>
              <w:autoSpaceDN/>
              <w:bidi w:val="0"/>
              <w:adjustRightInd/>
              <w:snapToGrid/>
              <w:spacing w:line="207" w:lineRule="auto"/>
              <w:ind w:left="105" w:leftChars="50" w:right="0"/>
              <w:jc w:val="center"/>
              <w:rPr>
                <w:b/>
                <w:bCs/>
                <w:shd w:val="clear" w:color="auto" w:fill="auto"/>
              </w:rPr>
            </w:pPr>
            <w:r>
              <w:rPr>
                <w:b/>
                <w:bCs/>
                <w:color w:val="FF0000"/>
                <w:spacing w:val="-4"/>
                <w:shd w:val="clear" w:color="auto" w:fill="auto"/>
              </w:rPr>
              <w:t>商务需求项</w:t>
            </w:r>
          </w:p>
        </w:tc>
        <w:tc>
          <w:tcPr>
            <w:tcW w:w="6288" w:type="dxa"/>
            <w:vAlign w:val="top"/>
          </w:tcPr>
          <w:p w14:paraId="0556E364">
            <w:pPr>
              <w:pStyle w:val="491"/>
              <w:keepNext w:val="0"/>
              <w:keepLines w:val="0"/>
              <w:pageBreakBefore w:val="0"/>
              <w:kinsoku/>
              <w:wordWrap/>
              <w:overflowPunct/>
              <w:topLinePunct w:val="0"/>
              <w:autoSpaceDN/>
              <w:bidi w:val="0"/>
              <w:adjustRightInd/>
              <w:snapToGrid/>
              <w:spacing w:line="207" w:lineRule="auto"/>
              <w:ind w:left="105" w:leftChars="50" w:right="0"/>
              <w:jc w:val="center"/>
              <w:rPr>
                <w:b/>
                <w:bCs/>
                <w:shd w:val="clear" w:color="auto" w:fill="auto"/>
              </w:rPr>
            </w:pPr>
            <w:r>
              <w:rPr>
                <w:b/>
                <w:bCs/>
                <w:color w:val="FF0000"/>
                <w:spacing w:val="-3"/>
                <w:shd w:val="clear" w:color="auto" w:fill="auto"/>
              </w:rPr>
              <w:t>招标商务要求</w:t>
            </w:r>
          </w:p>
        </w:tc>
      </w:tr>
      <w:tr w14:paraId="5AD921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8725" w:type="dxa"/>
            <w:gridSpan w:val="3"/>
            <w:vAlign w:val="top"/>
          </w:tcPr>
          <w:p w14:paraId="11DC84BB">
            <w:pPr>
              <w:pStyle w:val="491"/>
              <w:keepNext w:val="0"/>
              <w:keepLines w:val="0"/>
              <w:pageBreakBefore w:val="0"/>
              <w:kinsoku/>
              <w:wordWrap/>
              <w:overflowPunct/>
              <w:topLinePunct w:val="0"/>
              <w:autoSpaceDN/>
              <w:bidi w:val="0"/>
              <w:adjustRightInd/>
              <w:snapToGrid/>
              <w:spacing w:line="208" w:lineRule="auto"/>
              <w:ind w:left="105" w:leftChars="50" w:right="0"/>
              <w:rPr>
                <w:b/>
                <w:bCs/>
                <w:shd w:val="clear" w:color="auto" w:fill="auto"/>
              </w:rPr>
            </w:pPr>
            <w:r>
              <w:rPr>
                <w:b/>
                <w:bCs/>
                <w:color w:val="FF0000"/>
                <w:spacing w:val="-3"/>
                <w:shd w:val="clear" w:color="auto" w:fill="auto"/>
              </w:rPr>
              <w:t>（一）免费保修期内售后服务要求</w:t>
            </w:r>
          </w:p>
        </w:tc>
      </w:tr>
      <w:tr w14:paraId="43D163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792" w:type="dxa"/>
            <w:vAlign w:val="top"/>
          </w:tcPr>
          <w:p w14:paraId="09E095B9">
            <w:pPr>
              <w:keepNext w:val="0"/>
              <w:keepLines w:val="0"/>
              <w:pageBreakBefore w:val="0"/>
              <w:kinsoku/>
              <w:wordWrap/>
              <w:overflowPunct/>
              <w:topLinePunct w:val="0"/>
              <w:autoSpaceDN/>
              <w:bidi w:val="0"/>
              <w:adjustRightInd/>
              <w:snapToGrid/>
              <w:spacing w:line="438" w:lineRule="auto"/>
              <w:ind w:left="105" w:leftChars="50" w:right="0"/>
              <w:rPr>
                <w:rFonts w:ascii="Arial"/>
                <w:b w:val="0"/>
                <w:bCs w:val="0"/>
                <w:sz w:val="21"/>
                <w:shd w:val="clear" w:color="auto" w:fill="auto"/>
              </w:rPr>
            </w:pPr>
          </w:p>
          <w:p w14:paraId="3884BA0A">
            <w:pPr>
              <w:pStyle w:val="491"/>
              <w:keepNext w:val="0"/>
              <w:keepLines w:val="0"/>
              <w:pageBreakBefore w:val="0"/>
              <w:kinsoku/>
              <w:wordWrap/>
              <w:overflowPunct/>
              <w:topLinePunct w:val="0"/>
              <w:autoSpaceDN/>
              <w:bidi w:val="0"/>
              <w:adjustRightInd/>
              <w:snapToGrid/>
              <w:spacing w:line="242" w:lineRule="auto"/>
              <w:ind w:left="105" w:leftChars="50" w:right="0"/>
              <w:rPr>
                <w:b w:val="0"/>
                <w:bCs w:val="0"/>
                <w:shd w:val="clear" w:color="auto" w:fill="auto"/>
              </w:rPr>
            </w:pPr>
            <w:r>
              <w:rPr>
                <w:b w:val="0"/>
                <w:bCs w:val="0"/>
                <w:color w:val="FF0000"/>
                <w:spacing w:val="-3"/>
                <w:shd w:val="clear" w:color="auto" w:fill="auto"/>
              </w:rPr>
              <w:t>1</w:t>
            </w:r>
          </w:p>
        </w:tc>
        <w:tc>
          <w:tcPr>
            <w:tcW w:w="1645" w:type="dxa"/>
            <w:vAlign w:val="top"/>
          </w:tcPr>
          <w:p w14:paraId="6607F284">
            <w:pPr>
              <w:keepNext w:val="0"/>
              <w:keepLines w:val="0"/>
              <w:pageBreakBefore w:val="0"/>
              <w:kinsoku/>
              <w:wordWrap/>
              <w:overflowPunct/>
              <w:topLinePunct w:val="0"/>
              <w:autoSpaceDN/>
              <w:bidi w:val="0"/>
              <w:adjustRightInd/>
              <w:snapToGrid/>
              <w:spacing w:line="287" w:lineRule="auto"/>
              <w:ind w:left="105" w:leftChars="50" w:right="0"/>
              <w:rPr>
                <w:rFonts w:ascii="Arial"/>
                <w:b w:val="0"/>
                <w:bCs w:val="0"/>
                <w:sz w:val="21"/>
                <w:shd w:val="clear" w:color="auto" w:fill="auto"/>
              </w:rPr>
            </w:pPr>
          </w:p>
          <w:p w14:paraId="38D3E991">
            <w:pPr>
              <w:pStyle w:val="491"/>
              <w:keepNext w:val="0"/>
              <w:keepLines w:val="0"/>
              <w:pageBreakBefore w:val="0"/>
              <w:kinsoku/>
              <w:wordWrap/>
              <w:overflowPunct/>
              <w:topLinePunct w:val="0"/>
              <w:autoSpaceDN/>
              <w:bidi w:val="0"/>
              <w:adjustRightInd/>
              <w:snapToGrid/>
              <w:spacing w:line="266" w:lineRule="auto"/>
              <w:ind w:left="217" w:leftChars="50" w:right="0" w:hanging="112"/>
              <w:rPr>
                <w:b w:val="0"/>
                <w:bCs w:val="0"/>
                <w:shd w:val="clear" w:color="auto" w:fill="auto"/>
              </w:rPr>
            </w:pPr>
            <w:r>
              <w:rPr>
                <w:b w:val="0"/>
                <w:bCs w:val="0"/>
                <w:color w:val="FF0000"/>
                <w:spacing w:val="-3"/>
                <w:shd w:val="clear" w:color="auto" w:fill="auto"/>
              </w:rPr>
              <w:t>维修响应及故</w:t>
            </w:r>
            <w:r>
              <w:rPr>
                <w:b w:val="0"/>
                <w:bCs w:val="0"/>
                <w:color w:val="FF0000"/>
                <w:spacing w:val="-5"/>
                <w:shd w:val="clear" w:color="auto" w:fill="auto"/>
              </w:rPr>
              <w:t>障解决时间</w:t>
            </w:r>
          </w:p>
        </w:tc>
        <w:tc>
          <w:tcPr>
            <w:tcW w:w="6288" w:type="dxa"/>
            <w:vAlign w:val="top"/>
          </w:tcPr>
          <w:p w14:paraId="5E941CA7">
            <w:pPr>
              <w:pStyle w:val="491"/>
              <w:keepNext w:val="0"/>
              <w:keepLines w:val="0"/>
              <w:pageBreakBefore w:val="0"/>
              <w:widowControl w:val="0"/>
              <w:kinsoku/>
              <w:wordWrap/>
              <w:overflowPunct/>
              <w:topLinePunct w:val="0"/>
              <w:autoSpaceDE/>
              <w:autoSpaceDN/>
              <w:bidi w:val="0"/>
              <w:adjustRightInd/>
              <w:snapToGrid/>
              <w:spacing w:line="250" w:lineRule="auto"/>
              <w:ind w:left="105" w:leftChars="50" w:right="0" w:firstLine="19"/>
              <w:jc w:val="both"/>
              <w:textAlignment w:val="auto"/>
              <w:rPr>
                <w:b w:val="0"/>
                <w:bCs w:val="0"/>
                <w:shd w:val="clear" w:color="auto" w:fill="auto"/>
              </w:rPr>
            </w:pPr>
            <w:r>
              <w:rPr>
                <w:rFonts w:hint="eastAsia"/>
                <w:b w:val="0"/>
                <w:bCs w:val="0"/>
                <w:color w:val="FF0000"/>
                <w:spacing w:val="-3"/>
                <w:shd w:val="clear" w:color="auto" w:fill="auto"/>
                <w:lang w:val="en-US" w:eastAsia="zh-CN"/>
              </w:rPr>
              <w:t>1.1</w:t>
            </w:r>
            <w:r>
              <w:rPr>
                <w:b w:val="0"/>
                <w:bCs w:val="0"/>
                <w:color w:val="FF0000"/>
                <w:spacing w:val="-3"/>
                <w:shd w:val="clear" w:color="auto" w:fill="auto"/>
              </w:rPr>
              <w:t>中标方提供</w:t>
            </w:r>
            <w:r>
              <w:rPr>
                <w:b w:val="0"/>
                <w:bCs w:val="0"/>
                <w:color w:val="FF0000"/>
                <w:spacing w:val="-27"/>
                <w:shd w:val="clear" w:color="auto" w:fill="auto"/>
              </w:rPr>
              <w:t xml:space="preserve"> </w:t>
            </w:r>
            <w:r>
              <w:rPr>
                <w:b w:val="0"/>
                <w:bCs w:val="0"/>
                <w:color w:val="FF0000"/>
                <w:spacing w:val="-3"/>
                <w:shd w:val="clear" w:color="auto" w:fill="auto"/>
              </w:rPr>
              <w:t>7x24</w:t>
            </w:r>
            <w:r>
              <w:rPr>
                <w:b w:val="0"/>
                <w:bCs w:val="0"/>
                <w:color w:val="FF0000"/>
                <w:spacing w:val="-27"/>
                <w:shd w:val="clear" w:color="auto" w:fill="auto"/>
              </w:rPr>
              <w:t xml:space="preserve"> </w:t>
            </w:r>
            <w:r>
              <w:rPr>
                <w:b w:val="0"/>
                <w:bCs w:val="0"/>
                <w:color w:val="FF0000"/>
                <w:spacing w:val="-3"/>
                <w:shd w:val="clear" w:color="auto" w:fill="auto"/>
              </w:rPr>
              <w:t>小时的故障服务技术支持。接到用</w:t>
            </w:r>
            <w:r>
              <w:rPr>
                <w:b w:val="0"/>
                <w:bCs w:val="0"/>
                <w:color w:val="FF0000"/>
                <w:spacing w:val="-4"/>
                <w:shd w:val="clear" w:color="auto" w:fill="auto"/>
              </w:rPr>
              <w:t>户通知后，中</w:t>
            </w:r>
            <w:r>
              <w:rPr>
                <w:b w:val="0"/>
                <w:bCs w:val="0"/>
                <w:color w:val="FF0000"/>
                <w:spacing w:val="-6"/>
                <w:shd w:val="clear" w:color="auto" w:fill="auto"/>
              </w:rPr>
              <w:t>标方维修人员</w:t>
            </w:r>
            <w:r>
              <w:rPr>
                <w:b w:val="0"/>
                <w:bCs w:val="0"/>
                <w:color w:val="FF0000"/>
                <w:spacing w:val="-42"/>
                <w:shd w:val="clear" w:color="auto" w:fill="auto"/>
              </w:rPr>
              <w:t xml:space="preserve"> </w:t>
            </w:r>
            <w:r>
              <w:rPr>
                <w:b w:val="0"/>
                <w:bCs w:val="0"/>
                <w:color w:val="FF0000"/>
                <w:spacing w:val="-6"/>
                <w:shd w:val="clear" w:color="auto" w:fill="auto"/>
              </w:rPr>
              <w:t>2</w:t>
            </w:r>
            <w:r>
              <w:rPr>
                <w:b w:val="0"/>
                <w:bCs w:val="0"/>
                <w:color w:val="FF0000"/>
                <w:spacing w:val="-39"/>
                <w:shd w:val="clear" w:color="auto" w:fill="auto"/>
              </w:rPr>
              <w:t xml:space="preserve"> </w:t>
            </w:r>
            <w:r>
              <w:rPr>
                <w:b w:val="0"/>
                <w:bCs w:val="0"/>
                <w:color w:val="FF0000"/>
                <w:spacing w:val="-6"/>
                <w:shd w:val="clear" w:color="auto" w:fill="auto"/>
              </w:rPr>
              <w:t>小时到场，一般故障维修时间不超过</w:t>
            </w:r>
            <w:r>
              <w:rPr>
                <w:b w:val="0"/>
                <w:bCs w:val="0"/>
                <w:color w:val="FF0000"/>
                <w:spacing w:val="-45"/>
                <w:shd w:val="clear" w:color="auto" w:fill="auto"/>
              </w:rPr>
              <w:t xml:space="preserve"> </w:t>
            </w:r>
            <w:r>
              <w:rPr>
                <w:b w:val="0"/>
                <w:bCs w:val="0"/>
                <w:color w:val="FF0000"/>
                <w:spacing w:val="-6"/>
                <w:shd w:val="clear" w:color="auto" w:fill="auto"/>
              </w:rPr>
              <w:t>4</w:t>
            </w:r>
            <w:r>
              <w:rPr>
                <w:b w:val="0"/>
                <w:bCs w:val="0"/>
                <w:color w:val="FF0000"/>
                <w:spacing w:val="-37"/>
                <w:shd w:val="clear" w:color="auto" w:fill="auto"/>
              </w:rPr>
              <w:t xml:space="preserve"> </w:t>
            </w:r>
            <w:r>
              <w:rPr>
                <w:b w:val="0"/>
                <w:bCs w:val="0"/>
                <w:color w:val="FF0000"/>
                <w:spacing w:val="-6"/>
                <w:shd w:val="clear" w:color="auto" w:fill="auto"/>
              </w:rPr>
              <w:t>小时，如果</w:t>
            </w:r>
            <w:r>
              <w:rPr>
                <w:b w:val="0"/>
                <w:bCs w:val="0"/>
                <w:color w:val="FF0000"/>
                <w:spacing w:val="-1"/>
                <w:shd w:val="clear" w:color="auto" w:fill="auto"/>
              </w:rPr>
              <w:t>24 小时仍无法解决故障，则必须免费提供不低于故障设备档次及</w:t>
            </w:r>
            <w:r>
              <w:rPr>
                <w:b w:val="0"/>
                <w:bCs w:val="0"/>
                <w:color w:val="FF0000"/>
                <w:spacing w:val="-4"/>
                <w:shd w:val="clear" w:color="auto" w:fill="auto"/>
              </w:rPr>
              <w:t>性能的备用设备或备件。</w:t>
            </w:r>
          </w:p>
        </w:tc>
      </w:tr>
      <w:tr w14:paraId="55A279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5" w:hRule="atLeast"/>
        </w:trPr>
        <w:tc>
          <w:tcPr>
            <w:tcW w:w="792" w:type="dxa"/>
            <w:vAlign w:val="top"/>
          </w:tcPr>
          <w:p w14:paraId="06765185">
            <w:pPr>
              <w:keepNext w:val="0"/>
              <w:keepLines w:val="0"/>
              <w:pageBreakBefore w:val="0"/>
              <w:kinsoku/>
              <w:wordWrap/>
              <w:overflowPunct/>
              <w:topLinePunct w:val="0"/>
              <w:autoSpaceDN/>
              <w:bidi w:val="0"/>
              <w:adjustRightInd/>
              <w:snapToGrid/>
              <w:spacing w:line="463" w:lineRule="auto"/>
              <w:ind w:left="105" w:leftChars="50" w:right="0"/>
              <w:rPr>
                <w:rFonts w:ascii="Arial"/>
                <w:b w:val="0"/>
                <w:bCs w:val="0"/>
                <w:sz w:val="21"/>
                <w:shd w:val="clear" w:color="auto" w:fill="auto"/>
              </w:rPr>
            </w:pPr>
          </w:p>
          <w:p w14:paraId="47F3E53E">
            <w:pPr>
              <w:pStyle w:val="491"/>
              <w:keepNext w:val="0"/>
              <w:keepLines w:val="0"/>
              <w:pageBreakBefore w:val="0"/>
              <w:kinsoku/>
              <w:wordWrap/>
              <w:overflowPunct/>
              <w:topLinePunct w:val="0"/>
              <w:autoSpaceDN/>
              <w:bidi w:val="0"/>
              <w:adjustRightInd/>
              <w:snapToGrid/>
              <w:spacing w:line="242" w:lineRule="auto"/>
              <w:ind w:left="105" w:leftChars="50" w:right="0"/>
              <w:rPr>
                <w:b w:val="0"/>
                <w:bCs w:val="0"/>
                <w:shd w:val="clear" w:color="auto" w:fill="auto"/>
              </w:rPr>
            </w:pPr>
            <w:r>
              <w:rPr>
                <w:b w:val="0"/>
                <w:bCs w:val="0"/>
                <w:color w:val="FF0000"/>
                <w:spacing w:val="-3"/>
                <w:shd w:val="clear" w:color="auto" w:fill="auto"/>
              </w:rPr>
              <w:t>2</w:t>
            </w:r>
          </w:p>
        </w:tc>
        <w:tc>
          <w:tcPr>
            <w:tcW w:w="1645" w:type="dxa"/>
            <w:vAlign w:val="top"/>
          </w:tcPr>
          <w:p w14:paraId="6ABF38D9">
            <w:pPr>
              <w:keepNext w:val="0"/>
              <w:keepLines w:val="0"/>
              <w:pageBreakBefore w:val="0"/>
              <w:kinsoku/>
              <w:wordWrap/>
              <w:overflowPunct/>
              <w:topLinePunct w:val="0"/>
              <w:autoSpaceDN/>
              <w:bidi w:val="0"/>
              <w:adjustRightInd/>
              <w:snapToGrid/>
              <w:spacing w:line="462" w:lineRule="auto"/>
              <w:ind w:left="105" w:leftChars="50" w:right="0"/>
              <w:rPr>
                <w:rFonts w:ascii="Arial"/>
                <w:b w:val="0"/>
                <w:bCs w:val="0"/>
                <w:sz w:val="21"/>
                <w:shd w:val="clear" w:color="auto" w:fill="auto"/>
              </w:rPr>
            </w:pPr>
          </w:p>
          <w:p w14:paraId="264B2FE5">
            <w:pPr>
              <w:pStyle w:val="491"/>
              <w:keepNext w:val="0"/>
              <w:keepLines w:val="0"/>
              <w:pageBreakBefore w:val="0"/>
              <w:kinsoku/>
              <w:wordWrap/>
              <w:overflowPunct/>
              <w:topLinePunct w:val="0"/>
              <w:autoSpaceDN/>
              <w:bidi w:val="0"/>
              <w:adjustRightInd/>
              <w:snapToGrid/>
              <w:spacing w:line="221" w:lineRule="auto"/>
              <w:ind w:left="105" w:leftChars="50" w:right="0"/>
              <w:rPr>
                <w:b w:val="0"/>
                <w:bCs w:val="0"/>
                <w:shd w:val="clear" w:color="auto" w:fill="auto"/>
              </w:rPr>
            </w:pPr>
            <w:r>
              <w:rPr>
                <w:b w:val="0"/>
                <w:bCs w:val="0"/>
                <w:color w:val="FF0000"/>
                <w:spacing w:val="-4"/>
                <w:shd w:val="clear" w:color="auto" w:fill="auto"/>
              </w:rPr>
              <w:t>免费保修期</w:t>
            </w:r>
          </w:p>
        </w:tc>
        <w:tc>
          <w:tcPr>
            <w:tcW w:w="6288" w:type="dxa"/>
            <w:vAlign w:val="top"/>
          </w:tcPr>
          <w:p w14:paraId="5912B1F4">
            <w:pPr>
              <w:pStyle w:val="491"/>
              <w:keepNext w:val="0"/>
              <w:keepLines w:val="0"/>
              <w:pageBreakBefore w:val="0"/>
              <w:widowControl w:val="0"/>
              <w:kinsoku/>
              <w:wordWrap/>
              <w:overflowPunct/>
              <w:topLinePunct w:val="0"/>
              <w:autoSpaceDE/>
              <w:autoSpaceDN/>
              <w:bidi w:val="0"/>
              <w:adjustRightInd/>
              <w:snapToGrid/>
              <w:spacing w:line="262" w:lineRule="auto"/>
              <w:ind w:left="105" w:leftChars="50" w:right="0" w:firstLine="2"/>
              <w:jc w:val="both"/>
              <w:textAlignment w:val="auto"/>
              <w:rPr>
                <w:b w:val="0"/>
                <w:bCs w:val="0"/>
                <w:shd w:val="clear" w:color="auto" w:fill="auto"/>
              </w:rPr>
            </w:pPr>
            <w:r>
              <w:rPr>
                <w:rFonts w:hint="eastAsia"/>
                <w:b w:val="0"/>
                <w:bCs w:val="0"/>
                <w:color w:val="FF0000"/>
                <w:spacing w:val="-5"/>
                <w:shd w:val="clear" w:color="auto" w:fill="auto"/>
                <w:lang w:val="en-US" w:eastAsia="zh-CN"/>
              </w:rPr>
              <w:t>2.2</w:t>
            </w:r>
            <w:r>
              <w:rPr>
                <w:b w:val="0"/>
                <w:bCs w:val="0"/>
                <w:color w:val="FF0000"/>
                <w:spacing w:val="-5"/>
                <w:shd w:val="clear" w:color="auto" w:fill="auto"/>
              </w:rPr>
              <w:t>项目</w:t>
            </w:r>
            <w:r>
              <w:rPr>
                <w:rFonts w:hint="eastAsia"/>
                <w:b w:val="0"/>
                <w:bCs w:val="0"/>
                <w:color w:val="FF0000"/>
                <w:spacing w:val="-5"/>
                <w:shd w:val="clear" w:color="auto" w:fill="auto"/>
                <w:lang w:eastAsia="zh-CN"/>
              </w:rPr>
              <w:t>软件</w:t>
            </w:r>
            <w:r>
              <w:rPr>
                <w:b w:val="0"/>
                <w:bCs w:val="0"/>
                <w:color w:val="FF0000"/>
                <w:spacing w:val="-5"/>
                <w:shd w:val="clear" w:color="auto" w:fill="auto"/>
              </w:rPr>
              <w:t>终验合格通过之日起进入维护期，软件开发提供一年的免费维</w:t>
            </w:r>
            <w:r>
              <w:rPr>
                <w:b w:val="0"/>
                <w:bCs w:val="0"/>
                <w:color w:val="FF0000"/>
                <w:spacing w:val="-4"/>
                <w:shd w:val="clear" w:color="auto" w:fill="auto"/>
              </w:rPr>
              <w:t>保，</w:t>
            </w:r>
            <w:r>
              <w:rPr>
                <w:b w:val="0"/>
                <w:bCs w:val="0"/>
                <w:color w:val="FF0000"/>
                <w:spacing w:val="-5"/>
                <w:shd w:val="clear" w:color="auto" w:fill="auto"/>
              </w:rPr>
              <w:t>项目</w:t>
            </w:r>
            <w:r>
              <w:rPr>
                <w:rFonts w:hint="eastAsia"/>
                <w:b w:val="0"/>
                <w:bCs w:val="0"/>
                <w:color w:val="FF0000"/>
                <w:spacing w:val="-5"/>
                <w:shd w:val="clear" w:color="auto" w:fill="auto"/>
                <w:lang w:eastAsia="zh-CN"/>
              </w:rPr>
              <w:t>硬件</w:t>
            </w:r>
            <w:r>
              <w:rPr>
                <w:rFonts w:hint="eastAsia" w:cs="宋体"/>
                <w:b w:val="0"/>
                <w:bCs w:val="0"/>
                <w:color w:val="FF0000"/>
                <w:spacing w:val="-5"/>
                <w:kern w:val="2"/>
                <w:sz w:val="21"/>
                <w:szCs w:val="21"/>
                <w:shd w:val="clear" w:color="auto" w:fill="auto"/>
                <w:lang w:val="en-US" w:eastAsia="zh-CN" w:bidi="ar-SA"/>
              </w:rPr>
              <w:t>对应</w:t>
            </w:r>
            <w:r>
              <w:rPr>
                <w:rFonts w:hint="eastAsia" w:ascii="宋体" w:hAnsi="宋体" w:eastAsia="宋体" w:cs="宋体"/>
                <w:b w:val="0"/>
                <w:bCs w:val="0"/>
                <w:color w:val="FF0000"/>
                <w:spacing w:val="-5"/>
                <w:kern w:val="2"/>
                <w:sz w:val="21"/>
                <w:szCs w:val="21"/>
                <w:shd w:val="clear" w:color="auto" w:fill="auto"/>
                <w:lang w:val="en-US" w:eastAsia="en-US" w:bidi="ar-SA"/>
              </w:rPr>
              <w:t>阶段任务</w:t>
            </w:r>
            <w:r>
              <w:rPr>
                <w:b w:val="0"/>
                <w:bCs w:val="0"/>
                <w:color w:val="FF0000"/>
                <w:spacing w:val="-5"/>
                <w:shd w:val="clear" w:color="auto" w:fill="auto"/>
              </w:rPr>
              <w:t>终验合格通过之日起进入维护期</w:t>
            </w:r>
            <w:r>
              <w:rPr>
                <w:rFonts w:hint="eastAsia"/>
                <w:b w:val="0"/>
                <w:bCs w:val="0"/>
                <w:color w:val="FF0000"/>
                <w:spacing w:val="-5"/>
                <w:shd w:val="clear" w:color="auto" w:fill="auto"/>
                <w:lang w:eastAsia="zh-CN"/>
              </w:rPr>
              <w:t>，</w:t>
            </w:r>
            <w:r>
              <w:rPr>
                <w:b w:val="0"/>
                <w:bCs w:val="0"/>
                <w:color w:val="FF0000"/>
                <w:spacing w:val="-4"/>
                <w:shd w:val="clear" w:color="auto" w:fill="auto"/>
              </w:rPr>
              <w:t>成品软件及硬件购置提供三年免费维保（含附件</w:t>
            </w:r>
            <w:r>
              <w:rPr>
                <w:b w:val="0"/>
                <w:bCs w:val="0"/>
                <w:color w:val="FF0000"/>
                <w:spacing w:val="-10"/>
                <w:shd w:val="clear" w:color="auto" w:fill="auto"/>
              </w:rPr>
              <w:t>），</w:t>
            </w:r>
            <w:r>
              <w:rPr>
                <w:b w:val="0"/>
                <w:bCs w:val="0"/>
                <w:color w:val="FF0000"/>
                <w:spacing w:val="-4"/>
                <w:shd w:val="clear" w:color="auto" w:fill="auto"/>
              </w:rPr>
              <w:t>维护期间</w:t>
            </w:r>
            <w:r>
              <w:rPr>
                <w:b w:val="0"/>
                <w:bCs w:val="0"/>
                <w:color w:val="FF0000"/>
                <w:spacing w:val="-8"/>
                <w:shd w:val="clear" w:color="auto" w:fill="auto"/>
              </w:rPr>
              <w:t>不再向采购单位收取费用。且在免费维护期内，中标供应商需提供</w:t>
            </w:r>
            <w:r>
              <w:rPr>
                <w:b w:val="0"/>
                <w:bCs w:val="0"/>
                <w:color w:val="FF0000"/>
                <w:spacing w:val="-4"/>
                <w:shd w:val="clear" w:color="auto" w:fill="auto"/>
              </w:rPr>
              <w:t>固定专人进行专职维护。</w:t>
            </w:r>
          </w:p>
        </w:tc>
      </w:tr>
      <w:tr w14:paraId="0F2EE1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trPr>
        <w:tc>
          <w:tcPr>
            <w:tcW w:w="792" w:type="dxa"/>
            <w:vMerge w:val="restart"/>
            <w:vAlign w:val="top"/>
          </w:tcPr>
          <w:p w14:paraId="7EA0F0F8">
            <w:pPr>
              <w:keepNext w:val="0"/>
              <w:keepLines w:val="0"/>
              <w:pageBreakBefore w:val="0"/>
              <w:kinsoku/>
              <w:wordWrap/>
              <w:overflowPunct/>
              <w:topLinePunct w:val="0"/>
              <w:autoSpaceDN/>
              <w:bidi w:val="0"/>
              <w:adjustRightInd/>
              <w:snapToGrid/>
              <w:spacing w:line="289" w:lineRule="auto"/>
              <w:ind w:left="105" w:leftChars="50" w:right="0"/>
              <w:rPr>
                <w:rFonts w:ascii="Arial"/>
                <w:b w:val="0"/>
                <w:bCs w:val="0"/>
                <w:sz w:val="21"/>
                <w:shd w:val="clear" w:color="auto" w:fill="auto"/>
              </w:rPr>
            </w:pPr>
          </w:p>
          <w:p w14:paraId="465532DC">
            <w:pPr>
              <w:pStyle w:val="491"/>
              <w:keepNext w:val="0"/>
              <w:keepLines w:val="0"/>
              <w:pageBreakBefore w:val="0"/>
              <w:kinsoku/>
              <w:wordWrap/>
              <w:overflowPunct/>
              <w:topLinePunct w:val="0"/>
              <w:autoSpaceDN/>
              <w:bidi w:val="0"/>
              <w:adjustRightInd/>
              <w:snapToGrid/>
              <w:spacing w:line="241" w:lineRule="auto"/>
              <w:ind w:left="105" w:leftChars="50" w:right="0"/>
              <w:rPr>
                <w:b w:val="0"/>
                <w:bCs w:val="0"/>
                <w:shd w:val="clear" w:color="auto" w:fill="auto"/>
              </w:rPr>
            </w:pPr>
            <w:r>
              <w:rPr>
                <w:b w:val="0"/>
                <w:bCs w:val="0"/>
                <w:color w:val="FF0000"/>
                <w:spacing w:val="-3"/>
                <w:shd w:val="clear" w:color="auto" w:fill="auto"/>
              </w:rPr>
              <w:t>3</w:t>
            </w:r>
          </w:p>
        </w:tc>
        <w:tc>
          <w:tcPr>
            <w:tcW w:w="1645" w:type="dxa"/>
            <w:vMerge w:val="restart"/>
            <w:vAlign w:val="top"/>
          </w:tcPr>
          <w:p w14:paraId="4A4184F9">
            <w:pPr>
              <w:pStyle w:val="491"/>
              <w:keepNext w:val="0"/>
              <w:keepLines w:val="0"/>
              <w:pageBreakBefore w:val="0"/>
              <w:kinsoku/>
              <w:wordWrap/>
              <w:overflowPunct/>
              <w:topLinePunct w:val="0"/>
              <w:autoSpaceDN/>
              <w:bidi w:val="0"/>
              <w:adjustRightInd/>
              <w:snapToGrid/>
              <w:spacing w:line="245" w:lineRule="auto"/>
              <w:ind w:left="105" w:leftChars="50" w:right="0" w:firstLine="3"/>
              <w:jc w:val="both"/>
              <w:rPr>
                <w:b w:val="0"/>
                <w:bCs w:val="0"/>
                <w:shd w:val="clear" w:color="auto" w:fill="auto"/>
              </w:rPr>
            </w:pPr>
            <w:r>
              <w:rPr>
                <w:b w:val="0"/>
                <w:bCs w:val="0"/>
                <w:color w:val="FF0000"/>
                <w:spacing w:val="-3"/>
                <w:shd w:val="clear" w:color="auto" w:fill="auto"/>
              </w:rPr>
              <w:t>厂商供货要求及售后服务承诺要求诺要求</w:t>
            </w:r>
          </w:p>
        </w:tc>
        <w:tc>
          <w:tcPr>
            <w:tcW w:w="6288" w:type="dxa"/>
            <w:vAlign w:val="top"/>
          </w:tcPr>
          <w:p w14:paraId="1EFCB4C7">
            <w:pPr>
              <w:pStyle w:val="491"/>
              <w:keepNext w:val="0"/>
              <w:keepLines w:val="0"/>
              <w:pageBreakBefore w:val="0"/>
              <w:widowControl w:val="0"/>
              <w:kinsoku/>
              <w:wordWrap/>
              <w:overflowPunct/>
              <w:topLinePunct w:val="0"/>
              <w:autoSpaceDE/>
              <w:autoSpaceDN/>
              <w:bidi w:val="0"/>
              <w:adjustRightInd/>
              <w:snapToGrid/>
              <w:spacing w:line="265" w:lineRule="auto"/>
              <w:ind w:left="105" w:leftChars="50" w:right="0" w:firstLine="1"/>
              <w:textAlignment w:val="auto"/>
              <w:rPr>
                <w:rFonts w:hint="eastAsia" w:eastAsia="宋体"/>
                <w:b w:val="0"/>
                <w:bCs w:val="0"/>
                <w:color w:val="FF0000"/>
                <w:spacing w:val="-3"/>
                <w:shd w:val="clear" w:color="auto" w:fill="auto"/>
                <w:lang w:eastAsia="zh-CN"/>
              </w:rPr>
            </w:pPr>
            <w:r>
              <w:rPr>
                <w:rFonts w:hint="eastAsia"/>
                <w:b w:val="0"/>
                <w:bCs w:val="0"/>
                <w:color w:val="FF0000"/>
                <w:spacing w:val="-5"/>
                <w:shd w:val="clear" w:color="auto" w:fill="auto"/>
                <w:lang w:val="en-US" w:eastAsia="zh-CN"/>
              </w:rPr>
              <w:t>3.1</w:t>
            </w:r>
            <w:r>
              <w:rPr>
                <w:b w:val="0"/>
                <w:bCs w:val="0"/>
                <w:color w:val="FF0000"/>
                <w:spacing w:val="-5"/>
                <w:shd w:val="clear" w:color="auto" w:fill="auto"/>
              </w:rPr>
              <w:t>投标人中标后将提供所投主要产品原厂售后服务，并在合同签订前</w:t>
            </w:r>
            <w:r>
              <w:rPr>
                <w:b w:val="0"/>
                <w:bCs w:val="0"/>
                <w:color w:val="FF0000"/>
                <w:spacing w:val="-3"/>
                <w:shd w:val="clear" w:color="auto" w:fill="auto"/>
              </w:rPr>
              <w:t>提供售后服务承诺函。</w:t>
            </w:r>
          </w:p>
        </w:tc>
      </w:tr>
      <w:tr w14:paraId="4E6E1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3" w:hRule="atLeast"/>
        </w:trPr>
        <w:tc>
          <w:tcPr>
            <w:tcW w:w="792" w:type="dxa"/>
            <w:vMerge w:val="continue"/>
            <w:vAlign w:val="top"/>
          </w:tcPr>
          <w:p w14:paraId="7E28EFDA">
            <w:pPr>
              <w:pStyle w:val="491"/>
              <w:keepNext w:val="0"/>
              <w:keepLines w:val="0"/>
              <w:pageBreakBefore w:val="0"/>
              <w:kinsoku/>
              <w:wordWrap/>
              <w:overflowPunct/>
              <w:topLinePunct w:val="0"/>
              <w:autoSpaceDN/>
              <w:bidi w:val="0"/>
              <w:adjustRightInd/>
              <w:snapToGrid/>
              <w:spacing w:line="265" w:lineRule="auto"/>
              <w:ind w:left="105" w:leftChars="50" w:right="0" w:firstLine="1"/>
              <w:rPr>
                <w:shd w:val="clear" w:color="auto" w:fill="auto"/>
              </w:rPr>
            </w:pPr>
          </w:p>
        </w:tc>
        <w:tc>
          <w:tcPr>
            <w:tcW w:w="1645" w:type="dxa"/>
            <w:vMerge w:val="continue"/>
            <w:vAlign w:val="top"/>
          </w:tcPr>
          <w:p w14:paraId="626CED62">
            <w:pPr>
              <w:pStyle w:val="491"/>
              <w:keepNext w:val="0"/>
              <w:keepLines w:val="0"/>
              <w:pageBreakBefore w:val="0"/>
              <w:kinsoku/>
              <w:wordWrap/>
              <w:overflowPunct/>
              <w:topLinePunct w:val="0"/>
              <w:autoSpaceDN/>
              <w:bidi w:val="0"/>
              <w:adjustRightInd/>
              <w:snapToGrid/>
              <w:spacing w:line="265" w:lineRule="auto"/>
              <w:ind w:left="105" w:leftChars="50" w:right="0" w:firstLine="1"/>
              <w:rPr>
                <w:shd w:val="clear" w:color="auto" w:fill="auto"/>
              </w:rPr>
            </w:pPr>
          </w:p>
        </w:tc>
        <w:tc>
          <w:tcPr>
            <w:tcW w:w="6288" w:type="dxa"/>
            <w:vAlign w:val="top"/>
          </w:tcPr>
          <w:p w14:paraId="0298F641">
            <w:pPr>
              <w:pStyle w:val="491"/>
              <w:keepNext w:val="0"/>
              <w:keepLines w:val="0"/>
              <w:pageBreakBefore w:val="0"/>
              <w:widowControl w:val="0"/>
              <w:kinsoku/>
              <w:wordWrap/>
              <w:overflowPunct/>
              <w:topLinePunct w:val="0"/>
              <w:autoSpaceDE/>
              <w:autoSpaceDN/>
              <w:bidi w:val="0"/>
              <w:adjustRightInd/>
              <w:snapToGrid/>
              <w:spacing w:line="265" w:lineRule="auto"/>
              <w:ind w:left="105" w:leftChars="50" w:right="0" w:firstLine="1"/>
              <w:textAlignment w:val="auto"/>
              <w:rPr>
                <w:rFonts w:hint="eastAsia"/>
                <w:b w:val="0"/>
                <w:bCs w:val="0"/>
                <w:color w:val="FF0000"/>
                <w:spacing w:val="-5"/>
                <w:shd w:val="clear" w:color="auto" w:fill="auto"/>
                <w:lang w:val="en-US" w:eastAsia="zh-CN"/>
              </w:rPr>
            </w:pPr>
            <w:r>
              <w:rPr>
                <w:rFonts w:hint="default"/>
                <w:b w:val="0"/>
                <w:bCs w:val="0"/>
                <w:color w:val="FF0000"/>
                <w:spacing w:val="-5"/>
                <w:shd w:val="clear" w:color="auto" w:fill="auto"/>
                <w:lang w:val="en-US" w:eastAsia="zh-CN"/>
              </w:rPr>
              <w:t>3.2</w:t>
            </w:r>
            <w:r>
              <w:rPr>
                <w:rFonts w:hint="default"/>
                <w:b w:val="0"/>
                <w:bCs w:val="0"/>
                <w:color w:val="FF0000"/>
                <w:spacing w:val="-5"/>
                <w:shd w:val="clear" w:color="auto" w:fill="auto"/>
                <w:lang w:eastAsia="zh-CN"/>
              </w:rPr>
              <w:t>投标人</w:t>
            </w:r>
            <w:r>
              <w:rPr>
                <w:rFonts w:hint="default" w:ascii="宋体" w:hAnsi="宋体" w:eastAsia="宋体" w:cs="宋体"/>
                <w:b w:val="0"/>
                <w:bCs w:val="0"/>
                <w:color w:val="FF0000"/>
                <w:spacing w:val="-5"/>
                <w:shd w:val="clear" w:color="auto" w:fill="auto"/>
                <w:lang w:val="en-US" w:eastAsia="zh-CN"/>
              </w:rPr>
              <w:t>中标后，签订合同前，中标人需</w:t>
            </w:r>
            <w:r>
              <w:rPr>
                <w:rFonts w:hint="default" w:ascii="宋体" w:hAnsi="宋体" w:eastAsia="宋体" w:cs="宋体"/>
                <w:b w:val="0"/>
                <w:bCs w:val="0"/>
                <w:color w:val="FF0000"/>
                <w:spacing w:val="-5"/>
                <w:shd w:val="clear" w:color="auto" w:fill="auto"/>
              </w:rPr>
              <w:t>提供</w:t>
            </w:r>
            <w:r>
              <w:rPr>
                <w:rFonts w:hint="default" w:ascii="宋体" w:hAnsi="宋体" w:eastAsia="宋体" w:cs="宋体"/>
                <w:b w:val="0"/>
                <w:bCs w:val="0"/>
                <w:color w:val="FF0000"/>
                <w:spacing w:val="-5"/>
                <w:shd w:val="clear" w:color="auto" w:fill="auto"/>
                <w:lang w:val="en-US" w:eastAsia="zh-CN"/>
              </w:rPr>
              <w:t>本项目采购</w:t>
            </w:r>
            <w:r>
              <w:rPr>
                <w:rFonts w:hint="default" w:ascii="宋体" w:hAnsi="宋体" w:eastAsia="宋体" w:cs="宋体"/>
                <w:b w:val="0"/>
                <w:bCs w:val="0"/>
                <w:color w:val="FF0000"/>
                <w:spacing w:val="-5"/>
                <w:shd w:val="clear" w:color="auto" w:fill="auto"/>
              </w:rPr>
              <w:t>设备</w:t>
            </w:r>
            <w:r>
              <w:rPr>
                <w:rFonts w:hint="default" w:ascii="宋体" w:hAnsi="宋体" w:eastAsia="宋体" w:cs="宋体"/>
                <w:b w:val="0"/>
                <w:bCs w:val="0"/>
                <w:color w:val="FF0000"/>
                <w:spacing w:val="-5"/>
                <w:shd w:val="clear" w:color="auto" w:fill="auto"/>
                <w:lang w:eastAsia="zh-CN"/>
              </w:rPr>
              <w:t>（第三章 用户需求书</w:t>
            </w:r>
            <w:r>
              <w:rPr>
                <w:rFonts w:hint="default" w:ascii="宋体" w:hAnsi="宋体" w:eastAsia="宋体" w:cs="宋体"/>
                <w:b w:val="0"/>
                <w:bCs w:val="0"/>
                <w:color w:val="FF0000"/>
                <w:spacing w:val="-5"/>
                <w:shd w:val="clear" w:color="auto" w:fill="auto"/>
                <w:lang w:val="en-US" w:eastAsia="zh-CN"/>
              </w:rPr>
              <w:t xml:space="preserve"> </w:t>
            </w:r>
            <w:r>
              <w:rPr>
                <w:rFonts w:hint="default" w:ascii="宋体" w:hAnsi="宋体" w:eastAsia="宋体" w:cs="宋体"/>
                <w:b w:val="0"/>
                <w:bCs w:val="0"/>
                <w:color w:val="FF0000"/>
                <w:spacing w:val="-5"/>
                <w:shd w:val="clear" w:color="auto" w:fill="auto"/>
                <w:lang w:eastAsia="zh-CN"/>
              </w:rPr>
              <w:t>三、货物需求明细（一）硬件设备货物清单中的</w:t>
            </w:r>
            <w:r>
              <w:rPr>
                <w:rFonts w:hint="default" w:ascii="宋体" w:hAnsi="宋体" w:eastAsia="宋体" w:cs="宋体"/>
                <w:b w:val="0"/>
                <w:bCs w:val="0"/>
                <w:color w:val="FF0000"/>
                <w:spacing w:val="-5"/>
                <w:shd w:val="clear" w:color="auto" w:fill="auto"/>
                <w:lang w:val="en-US" w:eastAsia="zh-CN"/>
              </w:rPr>
              <w:t>第25项：</w:t>
            </w:r>
            <w:r>
              <w:rPr>
                <w:rFonts w:hint="default" w:ascii="宋体" w:hAnsi="宋体" w:eastAsia="宋体" w:cs="宋体"/>
                <w:b w:val="0"/>
                <w:bCs w:val="0"/>
                <w:color w:val="FF0000"/>
                <w:spacing w:val="-5"/>
                <w:shd w:val="clear" w:color="auto" w:fill="auto"/>
                <w:lang w:eastAsia="zh-CN"/>
              </w:rPr>
              <w:t>一体化智能机柜；</w:t>
            </w:r>
            <w:r>
              <w:rPr>
                <w:rFonts w:hint="default" w:ascii="宋体" w:hAnsi="宋体" w:eastAsia="宋体" w:cs="宋体"/>
                <w:b w:val="0"/>
                <w:bCs w:val="0"/>
                <w:color w:val="FF0000"/>
                <w:spacing w:val="-5"/>
                <w:shd w:val="clear" w:color="auto" w:fill="auto"/>
                <w:lang w:val="en-US" w:eastAsia="zh-CN"/>
              </w:rPr>
              <w:t>162项：图片云存储设备;163项：图片云存储管理设备;164项：云存储软件;165项：高清平台接入设备;166项：图文库系统存储设备;167项：图文库软件;169项：大数据存储节点;171项：视频云存储千兆交换机；172项：视频云存储万兆交换机；174项：OLT设备</w:t>
            </w:r>
            <w:r>
              <w:rPr>
                <w:rFonts w:hint="default" w:ascii="宋体" w:hAnsi="宋体" w:eastAsia="宋体" w:cs="宋体"/>
                <w:b w:val="0"/>
                <w:bCs w:val="0"/>
                <w:color w:val="FF0000"/>
                <w:spacing w:val="-5"/>
                <w:shd w:val="clear" w:color="auto" w:fill="auto"/>
                <w:lang w:eastAsia="zh-CN"/>
              </w:rPr>
              <w:t>）</w:t>
            </w:r>
            <w:r>
              <w:rPr>
                <w:rFonts w:hint="default" w:ascii="宋体" w:hAnsi="宋体" w:eastAsia="宋体" w:cs="宋体"/>
                <w:b w:val="0"/>
                <w:bCs w:val="0"/>
                <w:color w:val="FF0000"/>
                <w:spacing w:val="-5"/>
                <w:shd w:val="clear" w:color="auto" w:fill="auto"/>
              </w:rPr>
              <w:t>与采购人现有管理平台的兼容性测试报告或提供由设备制造商出具的兼容性承诺函</w:t>
            </w:r>
            <w:r>
              <w:rPr>
                <w:rFonts w:hint="default" w:ascii="宋体" w:hAnsi="宋体" w:eastAsia="宋体" w:cs="宋体"/>
                <w:b w:val="0"/>
                <w:bCs w:val="0"/>
                <w:color w:val="FF0000"/>
                <w:spacing w:val="-5"/>
                <w:shd w:val="clear" w:color="auto" w:fill="auto"/>
                <w:lang w:eastAsia="zh-CN"/>
              </w:rPr>
              <w:t>。</w:t>
            </w:r>
            <w:r>
              <w:rPr>
                <w:rFonts w:ascii="宋体" w:hAnsi="宋体" w:eastAsia="宋体" w:cs="宋体"/>
                <w:b w:val="0"/>
                <w:bCs w:val="0"/>
                <w:color w:val="FF0000"/>
                <w:spacing w:val="-5"/>
                <w:shd w:val="clear" w:color="auto" w:fill="auto"/>
              </w:rPr>
              <w:t>中</w:t>
            </w:r>
            <w:r>
              <w:rPr>
                <w:rFonts w:ascii="宋体" w:hAnsi="宋体" w:eastAsia="宋体" w:cs="宋体"/>
                <w:color w:val="FF0000"/>
                <w:spacing w:val="-5"/>
                <w:sz w:val="21"/>
                <w:szCs w:val="21"/>
                <w:shd w:val="clear" w:color="auto" w:fill="auto"/>
              </w:rPr>
              <w:t>标后完成</w:t>
            </w:r>
            <w:r>
              <w:rPr>
                <w:rFonts w:hint="default" w:cs="宋体"/>
                <w:color w:val="FF0000"/>
                <w:spacing w:val="-5"/>
                <w:sz w:val="21"/>
                <w:szCs w:val="21"/>
                <w:shd w:val="clear" w:color="auto" w:fill="auto"/>
                <w:lang w:eastAsia="zh-CN"/>
              </w:rPr>
              <w:t>扩容</w:t>
            </w:r>
            <w:r>
              <w:rPr>
                <w:rFonts w:ascii="宋体" w:hAnsi="宋体" w:eastAsia="宋体" w:cs="宋体"/>
                <w:color w:val="FF0000"/>
                <w:spacing w:val="-5"/>
                <w:sz w:val="21"/>
                <w:szCs w:val="21"/>
                <w:shd w:val="clear" w:color="auto" w:fill="auto"/>
              </w:rPr>
              <w:t>设备与现有平台的对接测试，确保所有功能正常运行。如无法完成对接，视为中标无效，采购人有权取消其中标资格</w:t>
            </w:r>
            <w:r>
              <w:rPr>
                <w:rFonts w:hint="default" w:cs="宋体"/>
                <w:color w:val="FF0000"/>
                <w:spacing w:val="-5"/>
                <w:sz w:val="21"/>
                <w:szCs w:val="21"/>
                <w:shd w:val="clear" w:color="auto" w:fill="auto"/>
                <w:lang w:eastAsia="zh-CN"/>
              </w:rPr>
              <w:t>。</w:t>
            </w:r>
          </w:p>
        </w:tc>
      </w:tr>
      <w:tr w14:paraId="0B7BAF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3" w:hRule="atLeast"/>
        </w:trPr>
        <w:tc>
          <w:tcPr>
            <w:tcW w:w="792" w:type="dxa"/>
            <w:vMerge w:val="continue"/>
            <w:vAlign w:val="top"/>
          </w:tcPr>
          <w:p w14:paraId="188B1CF9">
            <w:pPr>
              <w:pStyle w:val="491"/>
              <w:keepNext w:val="0"/>
              <w:keepLines w:val="0"/>
              <w:pageBreakBefore w:val="0"/>
              <w:kinsoku/>
              <w:wordWrap/>
              <w:overflowPunct/>
              <w:topLinePunct w:val="0"/>
              <w:autoSpaceDN/>
              <w:bidi w:val="0"/>
              <w:adjustRightInd/>
              <w:snapToGrid/>
              <w:spacing w:line="265" w:lineRule="auto"/>
              <w:ind w:left="105" w:leftChars="50" w:right="0" w:firstLine="1"/>
              <w:rPr>
                <w:shd w:val="clear" w:color="auto" w:fill="auto"/>
              </w:rPr>
            </w:pPr>
          </w:p>
        </w:tc>
        <w:tc>
          <w:tcPr>
            <w:tcW w:w="1645" w:type="dxa"/>
            <w:vMerge w:val="continue"/>
            <w:vAlign w:val="top"/>
          </w:tcPr>
          <w:p w14:paraId="64F9B54D">
            <w:pPr>
              <w:pStyle w:val="491"/>
              <w:keepNext w:val="0"/>
              <w:keepLines w:val="0"/>
              <w:pageBreakBefore w:val="0"/>
              <w:kinsoku/>
              <w:wordWrap/>
              <w:overflowPunct/>
              <w:topLinePunct w:val="0"/>
              <w:autoSpaceDN/>
              <w:bidi w:val="0"/>
              <w:adjustRightInd/>
              <w:snapToGrid/>
              <w:spacing w:line="265" w:lineRule="auto"/>
              <w:ind w:left="105" w:leftChars="50" w:right="0" w:firstLine="1"/>
              <w:rPr>
                <w:shd w:val="clear" w:color="auto" w:fill="auto"/>
              </w:rPr>
            </w:pPr>
          </w:p>
        </w:tc>
        <w:tc>
          <w:tcPr>
            <w:tcW w:w="6288" w:type="dxa"/>
            <w:vAlign w:val="top"/>
          </w:tcPr>
          <w:p w14:paraId="494BC58A">
            <w:pPr>
              <w:pStyle w:val="491"/>
              <w:keepNext w:val="0"/>
              <w:keepLines w:val="0"/>
              <w:pageBreakBefore w:val="0"/>
              <w:widowControl w:val="0"/>
              <w:kinsoku/>
              <w:wordWrap/>
              <w:overflowPunct/>
              <w:topLinePunct w:val="0"/>
              <w:autoSpaceDE/>
              <w:autoSpaceDN/>
              <w:bidi w:val="0"/>
              <w:adjustRightInd/>
              <w:snapToGrid/>
              <w:spacing w:line="265" w:lineRule="auto"/>
              <w:ind w:left="105" w:leftChars="50" w:right="0" w:firstLine="1"/>
              <w:textAlignment w:val="auto"/>
              <w:rPr>
                <w:rFonts w:hint="default"/>
                <w:b w:val="0"/>
                <w:bCs w:val="0"/>
                <w:color w:val="FF0000"/>
                <w:spacing w:val="-5"/>
                <w:shd w:val="clear" w:color="auto" w:fill="auto"/>
                <w:lang w:val="en-US" w:eastAsia="zh-CN"/>
              </w:rPr>
            </w:pPr>
            <w:r>
              <w:rPr>
                <w:rFonts w:hint="eastAsia"/>
                <w:b w:val="0"/>
                <w:bCs w:val="0"/>
                <w:color w:val="FF0000"/>
                <w:spacing w:val="-5"/>
                <w:shd w:val="clear" w:color="auto" w:fill="auto"/>
                <w:lang w:val="en-US" w:eastAsia="zh-CN"/>
              </w:rPr>
              <w:t>3.3</w:t>
            </w:r>
            <w:r>
              <w:rPr>
                <w:rFonts w:hint="default"/>
                <w:b w:val="0"/>
                <w:bCs w:val="0"/>
                <w:color w:val="FF0000"/>
                <w:spacing w:val="-5"/>
                <w:shd w:val="clear" w:color="auto" w:fill="auto"/>
                <w:lang w:eastAsia="zh-CN"/>
              </w:rPr>
              <w:t>投标人</w:t>
            </w:r>
            <w:r>
              <w:rPr>
                <w:rFonts w:hint="default" w:ascii="宋体" w:hAnsi="宋体" w:eastAsia="宋体" w:cs="宋体"/>
                <w:b w:val="0"/>
                <w:bCs w:val="0"/>
                <w:color w:val="FF0000"/>
                <w:spacing w:val="-5"/>
                <w:shd w:val="clear" w:color="auto" w:fill="auto"/>
                <w:lang w:val="en-US" w:eastAsia="zh-CN"/>
              </w:rPr>
              <w:t>中标后，签订合同前，中标人需</w:t>
            </w:r>
            <w:r>
              <w:rPr>
                <w:rFonts w:hint="default" w:ascii="宋体" w:hAnsi="宋体" w:eastAsia="宋体" w:cs="宋体"/>
                <w:b w:val="0"/>
                <w:bCs w:val="0"/>
                <w:color w:val="FF0000"/>
                <w:spacing w:val="-5"/>
                <w:shd w:val="clear" w:color="auto" w:fill="auto"/>
              </w:rPr>
              <w:t>提供</w:t>
            </w:r>
            <w:r>
              <w:rPr>
                <w:rFonts w:hint="default" w:ascii="宋体" w:hAnsi="宋体" w:eastAsia="宋体" w:cs="宋体"/>
                <w:b w:val="0"/>
                <w:bCs w:val="0"/>
                <w:color w:val="FF0000"/>
                <w:spacing w:val="-5"/>
                <w:shd w:val="clear" w:color="auto" w:fill="auto"/>
                <w:lang w:val="en-US" w:eastAsia="zh-CN"/>
              </w:rPr>
              <w:t>本项目</w:t>
            </w:r>
            <w:r>
              <w:rPr>
                <w:rFonts w:hint="eastAsia" w:cs="宋体"/>
                <w:b w:val="0"/>
                <w:bCs w:val="0"/>
                <w:color w:val="FF0000"/>
                <w:spacing w:val="-5"/>
                <w:shd w:val="clear" w:color="auto" w:fill="auto"/>
                <w:lang w:val="en-US" w:eastAsia="zh-CN"/>
              </w:rPr>
              <w:t>软件开发</w:t>
            </w:r>
            <w:r>
              <w:rPr>
                <w:rFonts w:hint="default" w:ascii="宋体" w:hAnsi="宋体" w:eastAsia="宋体" w:cs="宋体"/>
                <w:b w:val="0"/>
                <w:bCs w:val="0"/>
                <w:color w:val="FF0000"/>
                <w:spacing w:val="-5"/>
                <w:shd w:val="clear" w:color="auto" w:fill="auto"/>
                <w:lang w:eastAsia="zh-CN"/>
              </w:rPr>
              <w:t>（第三章 用户需求书</w:t>
            </w:r>
            <w:r>
              <w:rPr>
                <w:rFonts w:hint="default" w:ascii="宋体" w:hAnsi="宋体" w:eastAsia="宋体" w:cs="宋体"/>
                <w:b w:val="0"/>
                <w:bCs w:val="0"/>
                <w:color w:val="FF0000"/>
                <w:spacing w:val="-5"/>
                <w:shd w:val="clear" w:color="auto" w:fill="auto"/>
                <w:lang w:val="en-US" w:eastAsia="zh-CN"/>
              </w:rPr>
              <w:t xml:space="preserve"> </w:t>
            </w:r>
            <w:r>
              <w:rPr>
                <w:rFonts w:hint="eastAsia" w:cs="宋体"/>
                <w:b w:val="0"/>
                <w:bCs w:val="0"/>
                <w:color w:val="FF0000"/>
                <w:spacing w:val="-5"/>
                <w:shd w:val="clear" w:color="auto" w:fill="auto"/>
                <w:lang w:eastAsia="zh-CN"/>
              </w:rPr>
              <w:t>四</w:t>
            </w:r>
            <w:r>
              <w:rPr>
                <w:rFonts w:hint="default" w:ascii="宋体" w:hAnsi="宋体" w:eastAsia="宋体" w:cs="宋体"/>
                <w:b w:val="0"/>
                <w:bCs w:val="0"/>
                <w:color w:val="FF0000"/>
                <w:spacing w:val="-5"/>
                <w:shd w:val="clear" w:color="auto" w:fill="auto"/>
                <w:lang w:eastAsia="zh-CN"/>
              </w:rPr>
              <w:t>、</w:t>
            </w:r>
            <w:r>
              <w:rPr>
                <w:rFonts w:hint="eastAsia" w:cs="宋体"/>
                <w:b w:val="0"/>
                <w:bCs w:val="0"/>
                <w:color w:val="FF0000"/>
                <w:spacing w:val="-5"/>
                <w:shd w:val="clear" w:color="auto" w:fill="auto"/>
                <w:lang w:eastAsia="zh-CN"/>
              </w:rPr>
              <w:t>软件开发明细要求</w:t>
            </w:r>
            <w:r>
              <w:rPr>
                <w:rFonts w:hint="eastAsia" w:cs="宋体"/>
                <w:b w:val="0"/>
                <w:bCs w:val="0"/>
                <w:color w:val="FF0000"/>
                <w:spacing w:val="-5"/>
                <w:shd w:val="clear" w:color="auto" w:fill="auto"/>
                <w:lang w:val="en-US" w:eastAsia="zh-CN"/>
              </w:rPr>
              <w:t>1、数字道路实时三维引擎</w:t>
            </w:r>
            <w:r>
              <w:rPr>
                <w:rFonts w:hint="default" w:ascii="宋体" w:hAnsi="宋体" w:eastAsia="宋体" w:cs="宋体"/>
                <w:b w:val="0"/>
                <w:bCs w:val="0"/>
                <w:color w:val="FF0000"/>
                <w:spacing w:val="-5"/>
                <w:shd w:val="clear" w:color="auto" w:fill="auto"/>
                <w:lang w:eastAsia="zh-CN"/>
              </w:rPr>
              <w:t>）</w:t>
            </w:r>
            <w:r>
              <w:rPr>
                <w:rFonts w:hint="eastAsia" w:cs="宋体"/>
                <w:b w:val="0"/>
                <w:bCs w:val="0"/>
                <w:color w:val="FF0000"/>
                <w:spacing w:val="-5"/>
                <w:shd w:val="clear" w:color="auto" w:fill="auto"/>
                <w:lang w:val="en-US" w:eastAsia="zh-CN"/>
              </w:rPr>
              <w:t>,由采购人指定第三方检测机构测试验证</w:t>
            </w:r>
            <w:r>
              <w:rPr>
                <w:rFonts w:hint="default" w:ascii="宋体" w:hAnsi="宋体" w:eastAsia="宋体" w:cs="宋体"/>
                <w:b w:val="0"/>
                <w:bCs w:val="0"/>
                <w:color w:val="FF0000"/>
                <w:spacing w:val="-5"/>
                <w:shd w:val="clear" w:color="auto" w:fill="auto"/>
              </w:rPr>
              <w:t>与</w:t>
            </w:r>
            <w:r>
              <w:rPr>
                <w:rFonts w:hint="eastAsia" w:cs="宋体"/>
                <w:b w:val="0"/>
                <w:bCs w:val="0"/>
                <w:color w:val="FF0000"/>
                <w:spacing w:val="-5"/>
                <w:shd w:val="clear" w:color="auto" w:fill="auto"/>
                <w:lang w:eastAsia="zh-CN"/>
              </w:rPr>
              <w:t>开源鸿蒙操作系统</w:t>
            </w:r>
            <w:r>
              <w:rPr>
                <w:rFonts w:hint="default" w:ascii="宋体" w:hAnsi="宋体" w:eastAsia="宋体" w:cs="宋体"/>
                <w:b w:val="0"/>
                <w:bCs w:val="0"/>
                <w:color w:val="FF0000"/>
                <w:spacing w:val="-5"/>
                <w:shd w:val="clear" w:color="auto" w:fill="auto"/>
              </w:rPr>
              <w:t>的兼容性测试</w:t>
            </w:r>
            <w:r>
              <w:rPr>
                <w:rFonts w:ascii="宋体" w:hAnsi="宋体" w:eastAsia="宋体" w:cs="宋体"/>
                <w:color w:val="FF0000"/>
                <w:spacing w:val="-5"/>
                <w:sz w:val="21"/>
                <w:szCs w:val="21"/>
                <w:shd w:val="clear" w:color="auto" w:fill="auto"/>
              </w:rPr>
              <w:t>，确保</w:t>
            </w:r>
            <w:r>
              <w:rPr>
                <w:rFonts w:hint="eastAsia" w:cs="宋体"/>
                <w:color w:val="FF0000"/>
                <w:spacing w:val="-5"/>
                <w:sz w:val="21"/>
                <w:szCs w:val="21"/>
                <w:shd w:val="clear" w:color="auto" w:fill="auto"/>
                <w:lang w:eastAsia="zh-CN"/>
              </w:rPr>
              <w:t>可以在开源鸿蒙操作系统上运行</w:t>
            </w:r>
            <w:r>
              <w:rPr>
                <w:rFonts w:ascii="宋体" w:hAnsi="宋体" w:eastAsia="宋体" w:cs="宋体"/>
                <w:color w:val="FF0000"/>
                <w:spacing w:val="-5"/>
                <w:sz w:val="21"/>
                <w:szCs w:val="21"/>
                <w:shd w:val="clear" w:color="auto" w:fill="auto"/>
              </w:rPr>
              <w:t>。如无法完成</w:t>
            </w:r>
            <w:r>
              <w:rPr>
                <w:rFonts w:hint="eastAsia" w:cs="宋体"/>
                <w:color w:val="FF0000"/>
                <w:spacing w:val="-5"/>
                <w:sz w:val="21"/>
                <w:szCs w:val="21"/>
                <w:shd w:val="clear" w:color="auto" w:fill="auto"/>
                <w:lang w:eastAsia="zh-CN"/>
              </w:rPr>
              <w:t>测试</w:t>
            </w:r>
            <w:r>
              <w:rPr>
                <w:rFonts w:ascii="宋体" w:hAnsi="宋体" w:eastAsia="宋体" w:cs="宋体"/>
                <w:color w:val="FF0000"/>
                <w:spacing w:val="-5"/>
                <w:sz w:val="21"/>
                <w:szCs w:val="21"/>
                <w:shd w:val="clear" w:color="auto" w:fill="auto"/>
              </w:rPr>
              <w:t>，视为中标无效，采购人有权取消其中标资格</w:t>
            </w:r>
            <w:r>
              <w:rPr>
                <w:rFonts w:hint="default" w:cs="宋体"/>
                <w:color w:val="FF0000"/>
                <w:spacing w:val="-5"/>
                <w:sz w:val="21"/>
                <w:szCs w:val="21"/>
                <w:shd w:val="clear" w:color="auto" w:fill="auto"/>
                <w:lang w:eastAsia="zh-CN"/>
              </w:rPr>
              <w:t>。</w:t>
            </w:r>
          </w:p>
        </w:tc>
      </w:tr>
      <w:tr w14:paraId="1899F3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792" w:type="dxa"/>
            <w:vMerge w:val="restart"/>
            <w:tcBorders>
              <w:bottom w:val="nil"/>
            </w:tcBorders>
            <w:vAlign w:val="center"/>
          </w:tcPr>
          <w:p w14:paraId="1115CED3">
            <w:pPr>
              <w:pStyle w:val="491"/>
              <w:keepNext w:val="0"/>
              <w:keepLines w:val="0"/>
              <w:pageBreakBefore w:val="0"/>
              <w:kinsoku/>
              <w:wordWrap/>
              <w:overflowPunct/>
              <w:topLinePunct w:val="0"/>
              <w:autoSpaceDN/>
              <w:bidi w:val="0"/>
              <w:adjustRightInd/>
              <w:snapToGrid/>
              <w:spacing w:line="242" w:lineRule="auto"/>
              <w:ind w:left="105" w:leftChars="50" w:right="0"/>
              <w:jc w:val="both"/>
              <w:rPr>
                <w:b w:val="0"/>
                <w:bCs w:val="0"/>
                <w:shd w:val="clear" w:color="auto" w:fill="auto"/>
              </w:rPr>
            </w:pPr>
            <w:r>
              <w:rPr>
                <w:b w:val="0"/>
                <w:bCs w:val="0"/>
                <w:color w:val="FF0000"/>
                <w:spacing w:val="-3"/>
                <w:shd w:val="clear" w:color="auto" w:fill="auto"/>
              </w:rPr>
              <w:t>4</w:t>
            </w:r>
          </w:p>
        </w:tc>
        <w:tc>
          <w:tcPr>
            <w:tcW w:w="1645" w:type="dxa"/>
            <w:vMerge w:val="restart"/>
            <w:tcBorders>
              <w:bottom w:val="nil"/>
            </w:tcBorders>
            <w:vAlign w:val="center"/>
          </w:tcPr>
          <w:p w14:paraId="69834E19">
            <w:pPr>
              <w:pStyle w:val="491"/>
              <w:keepNext w:val="0"/>
              <w:keepLines w:val="0"/>
              <w:pageBreakBefore w:val="0"/>
              <w:kinsoku/>
              <w:wordWrap/>
              <w:overflowPunct/>
              <w:topLinePunct w:val="0"/>
              <w:autoSpaceDN/>
              <w:bidi w:val="0"/>
              <w:adjustRightInd/>
              <w:snapToGrid/>
              <w:spacing w:line="221" w:lineRule="auto"/>
              <w:ind w:left="105" w:leftChars="50" w:right="0"/>
              <w:jc w:val="both"/>
              <w:rPr>
                <w:b w:val="0"/>
                <w:bCs w:val="0"/>
                <w:shd w:val="clear" w:color="auto" w:fill="auto"/>
              </w:rPr>
            </w:pPr>
            <w:r>
              <w:rPr>
                <w:b w:val="0"/>
                <w:bCs w:val="0"/>
                <w:color w:val="FF0000"/>
                <w:spacing w:val="-3"/>
                <w:shd w:val="clear" w:color="auto" w:fill="auto"/>
              </w:rPr>
              <w:t>其他服务要求</w:t>
            </w:r>
          </w:p>
        </w:tc>
        <w:tc>
          <w:tcPr>
            <w:tcW w:w="6288" w:type="dxa"/>
            <w:vAlign w:val="top"/>
          </w:tcPr>
          <w:p w14:paraId="2A2CC3A1">
            <w:pPr>
              <w:pStyle w:val="491"/>
              <w:keepNext w:val="0"/>
              <w:keepLines w:val="0"/>
              <w:pageBreakBefore w:val="0"/>
              <w:kinsoku/>
              <w:wordWrap/>
              <w:overflowPunct/>
              <w:topLinePunct w:val="0"/>
              <w:autoSpaceDN/>
              <w:bidi w:val="0"/>
              <w:adjustRightInd/>
              <w:snapToGrid/>
              <w:spacing w:line="249" w:lineRule="auto"/>
              <w:ind w:left="106" w:leftChars="50" w:right="0" w:hanging="1"/>
              <w:jc w:val="both"/>
              <w:rPr>
                <w:b w:val="0"/>
                <w:bCs w:val="0"/>
                <w:shd w:val="clear" w:color="auto" w:fill="auto"/>
              </w:rPr>
            </w:pPr>
            <w:r>
              <w:rPr>
                <w:b w:val="0"/>
                <w:bCs w:val="0"/>
                <w:color w:val="FF0000"/>
                <w:spacing w:val="-3"/>
                <w:shd w:val="clear" w:color="auto" w:fill="auto"/>
              </w:rPr>
              <w:t>4.1</w:t>
            </w:r>
            <w:r>
              <w:rPr>
                <w:b w:val="0"/>
                <w:bCs w:val="0"/>
                <w:color w:val="FF0000"/>
                <w:spacing w:val="-39"/>
                <w:shd w:val="clear" w:color="auto" w:fill="auto"/>
              </w:rPr>
              <w:t xml:space="preserve"> </w:t>
            </w:r>
            <w:r>
              <w:rPr>
                <w:b w:val="0"/>
                <w:bCs w:val="0"/>
                <w:color w:val="FF0000"/>
                <w:spacing w:val="-3"/>
                <w:shd w:val="clear" w:color="auto" w:fill="auto"/>
              </w:rPr>
              <w:t>免费保修期内，对因设备质量、设计制造、技术问题、电源稳</w:t>
            </w:r>
            <w:r>
              <w:rPr>
                <w:b w:val="0"/>
                <w:bCs w:val="0"/>
                <w:color w:val="FF0000"/>
                <w:spacing w:val="-4"/>
                <w:shd w:val="clear" w:color="auto" w:fill="auto"/>
              </w:rPr>
              <w:t>定问题、天气潮湿、雷电、未成灾雨天、未</w:t>
            </w:r>
            <w:r>
              <w:rPr>
                <w:b w:val="0"/>
                <w:bCs w:val="0"/>
                <w:color w:val="FF0000"/>
                <w:spacing w:val="-5"/>
                <w:shd w:val="clear" w:color="auto" w:fill="auto"/>
              </w:rPr>
              <w:t>成灾的大风等非采购人人为原因影响设备正常操作或造成设备损坏的，中标人应在采购人</w:t>
            </w:r>
            <w:r>
              <w:rPr>
                <w:b w:val="0"/>
                <w:bCs w:val="0"/>
                <w:color w:val="FF0000"/>
                <w:spacing w:val="-2"/>
                <w:shd w:val="clear" w:color="auto" w:fill="auto"/>
              </w:rPr>
              <w:t>要求的期限内为采购人进行免费维修或更换新设备。</w:t>
            </w:r>
          </w:p>
        </w:tc>
      </w:tr>
      <w:tr w14:paraId="70B5A3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792" w:type="dxa"/>
            <w:vMerge w:val="continue"/>
            <w:tcBorders>
              <w:top w:val="nil"/>
              <w:bottom w:val="nil"/>
            </w:tcBorders>
            <w:vAlign w:val="top"/>
          </w:tcPr>
          <w:p w14:paraId="76388C0F">
            <w:pPr>
              <w:keepNext w:val="0"/>
              <w:keepLines w:val="0"/>
              <w:pageBreakBefore w:val="0"/>
              <w:kinsoku/>
              <w:wordWrap/>
              <w:overflowPunct/>
              <w:topLinePunct w:val="0"/>
              <w:autoSpaceDN/>
              <w:bidi w:val="0"/>
              <w:adjustRightInd/>
              <w:snapToGrid/>
              <w:ind w:left="105" w:leftChars="50" w:right="0"/>
              <w:rPr>
                <w:rFonts w:ascii="Arial"/>
                <w:b w:val="0"/>
                <w:bCs w:val="0"/>
                <w:sz w:val="21"/>
                <w:shd w:val="clear" w:color="auto" w:fill="auto"/>
              </w:rPr>
            </w:pPr>
          </w:p>
        </w:tc>
        <w:tc>
          <w:tcPr>
            <w:tcW w:w="1645" w:type="dxa"/>
            <w:vMerge w:val="continue"/>
            <w:tcBorders>
              <w:top w:val="nil"/>
              <w:bottom w:val="nil"/>
            </w:tcBorders>
            <w:vAlign w:val="top"/>
          </w:tcPr>
          <w:p w14:paraId="49EB2A63">
            <w:pPr>
              <w:keepNext w:val="0"/>
              <w:keepLines w:val="0"/>
              <w:pageBreakBefore w:val="0"/>
              <w:kinsoku/>
              <w:wordWrap/>
              <w:overflowPunct/>
              <w:topLinePunct w:val="0"/>
              <w:autoSpaceDN/>
              <w:bidi w:val="0"/>
              <w:adjustRightInd/>
              <w:snapToGrid/>
              <w:ind w:left="105" w:leftChars="50" w:right="0"/>
              <w:rPr>
                <w:rFonts w:ascii="Arial"/>
                <w:b w:val="0"/>
                <w:bCs w:val="0"/>
                <w:sz w:val="21"/>
                <w:shd w:val="clear" w:color="auto" w:fill="auto"/>
              </w:rPr>
            </w:pPr>
          </w:p>
        </w:tc>
        <w:tc>
          <w:tcPr>
            <w:tcW w:w="6288" w:type="dxa"/>
            <w:vAlign w:val="top"/>
          </w:tcPr>
          <w:p w14:paraId="47B863DB">
            <w:pPr>
              <w:pStyle w:val="491"/>
              <w:keepNext w:val="0"/>
              <w:keepLines w:val="0"/>
              <w:pageBreakBefore w:val="0"/>
              <w:kinsoku/>
              <w:wordWrap/>
              <w:overflowPunct/>
              <w:topLinePunct w:val="0"/>
              <w:autoSpaceDN/>
              <w:bidi w:val="0"/>
              <w:adjustRightInd/>
              <w:snapToGrid/>
              <w:spacing w:line="244" w:lineRule="auto"/>
              <w:ind w:left="105" w:leftChars="50" w:right="0"/>
              <w:jc w:val="both"/>
              <w:rPr>
                <w:b w:val="0"/>
                <w:bCs w:val="0"/>
                <w:shd w:val="clear" w:color="auto" w:fill="auto"/>
              </w:rPr>
            </w:pPr>
            <w:r>
              <w:rPr>
                <w:b w:val="0"/>
                <w:bCs w:val="0"/>
                <w:color w:val="FF0000"/>
                <w:spacing w:val="-4"/>
                <w:shd w:val="clear" w:color="auto" w:fill="auto"/>
              </w:rPr>
              <w:t>4.2</w:t>
            </w:r>
            <w:r>
              <w:rPr>
                <w:b w:val="0"/>
                <w:bCs w:val="0"/>
                <w:color w:val="FF0000"/>
                <w:spacing w:val="-24"/>
                <w:shd w:val="clear" w:color="auto" w:fill="auto"/>
              </w:rPr>
              <w:t xml:space="preserve"> </w:t>
            </w:r>
            <w:r>
              <w:rPr>
                <w:b w:val="0"/>
                <w:bCs w:val="0"/>
                <w:color w:val="FF0000"/>
                <w:spacing w:val="-4"/>
                <w:shd w:val="clear" w:color="auto" w:fill="auto"/>
              </w:rPr>
              <w:t>中标人提供</w:t>
            </w:r>
            <w:r>
              <w:rPr>
                <w:b w:val="0"/>
                <w:bCs w:val="0"/>
                <w:color w:val="FF0000"/>
                <w:spacing w:val="-39"/>
                <w:shd w:val="clear" w:color="auto" w:fill="auto"/>
              </w:rPr>
              <w:t xml:space="preserve"> </w:t>
            </w:r>
            <w:r>
              <w:rPr>
                <w:b w:val="0"/>
                <w:bCs w:val="0"/>
                <w:color w:val="FF0000"/>
                <w:spacing w:val="-4"/>
                <w:shd w:val="clear" w:color="auto" w:fill="auto"/>
              </w:rPr>
              <w:t>7×24</w:t>
            </w:r>
            <w:r>
              <w:rPr>
                <w:b w:val="0"/>
                <w:bCs w:val="0"/>
                <w:color w:val="FF0000"/>
                <w:spacing w:val="-38"/>
                <w:shd w:val="clear" w:color="auto" w:fill="auto"/>
              </w:rPr>
              <w:t xml:space="preserve"> </w:t>
            </w:r>
            <w:r>
              <w:rPr>
                <w:b w:val="0"/>
                <w:bCs w:val="0"/>
                <w:color w:val="FF0000"/>
                <w:spacing w:val="-4"/>
                <w:shd w:val="clear" w:color="auto" w:fill="auto"/>
              </w:rPr>
              <w:t>小时的技术咨询服</w:t>
            </w:r>
            <w:r>
              <w:rPr>
                <w:b w:val="0"/>
                <w:bCs w:val="0"/>
                <w:color w:val="FF0000"/>
                <w:spacing w:val="-5"/>
                <w:shd w:val="clear" w:color="auto" w:fill="auto"/>
              </w:rPr>
              <w:t>务；每年对设备运行状况</w:t>
            </w:r>
            <w:r>
              <w:rPr>
                <w:b w:val="0"/>
                <w:bCs w:val="0"/>
                <w:color w:val="FF0000"/>
                <w:spacing w:val="-4"/>
                <w:shd w:val="clear" w:color="auto" w:fill="auto"/>
              </w:rPr>
              <w:t>进行二次评估服务；敏感时期、重大节假日提供技</w:t>
            </w:r>
            <w:r>
              <w:rPr>
                <w:b w:val="0"/>
                <w:bCs w:val="0"/>
                <w:color w:val="FF0000"/>
                <w:spacing w:val="-5"/>
                <w:shd w:val="clear" w:color="auto" w:fill="auto"/>
              </w:rPr>
              <w:t>术人员专门值守</w:t>
            </w:r>
            <w:r>
              <w:rPr>
                <w:b w:val="0"/>
                <w:bCs w:val="0"/>
                <w:color w:val="FF0000"/>
                <w:spacing w:val="-10"/>
                <w:shd w:val="clear" w:color="auto" w:fill="auto"/>
              </w:rPr>
              <w:t>服务。</w:t>
            </w:r>
          </w:p>
        </w:tc>
      </w:tr>
      <w:tr w14:paraId="3BF8A5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792" w:type="dxa"/>
            <w:vMerge w:val="continue"/>
            <w:tcBorders>
              <w:top w:val="nil"/>
              <w:bottom w:val="nil"/>
            </w:tcBorders>
            <w:vAlign w:val="top"/>
          </w:tcPr>
          <w:p w14:paraId="24E338E1">
            <w:pPr>
              <w:keepNext w:val="0"/>
              <w:keepLines w:val="0"/>
              <w:pageBreakBefore w:val="0"/>
              <w:kinsoku/>
              <w:wordWrap/>
              <w:overflowPunct/>
              <w:topLinePunct w:val="0"/>
              <w:autoSpaceDN/>
              <w:bidi w:val="0"/>
              <w:adjustRightInd/>
              <w:snapToGrid/>
              <w:ind w:left="105" w:leftChars="50" w:right="0"/>
              <w:rPr>
                <w:rFonts w:ascii="Arial"/>
                <w:b w:val="0"/>
                <w:bCs w:val="0"/>
                <w:sz w:val="21"/>
                <w:shd w:val="clear" w:color="auto" w:fill="auto"/>
              </w:rPr>
            </w:pPr>
          </w:p>
        </w:tc>
        <w:tc>
          <w:tcPr>
            <w:tcW w:w="1645" w:type="dxa"/>
            <w:vMerge w:val="continue"/>
            <w:tcBorders>
              <w:top w:val="nil"/>
              <w:bottom w:val="nil"/>
            </w:tcBorders>
            <w:vAlign w:val="top"/>
          </w:tcPr>
          <w:p w14:paraId="0A7E88DD">
            <w:pPr>
              <w:keepNext w:val="0"/>
              <w:keepLines w:val="0"/>
              <w:pageBreakBefore w:val="0"/>
              <w:kinsoku/>
              <w:wordWrap/>
              <w:overflowPunct/>
              <w:topLinePunct w:val="0"/>
              <w:autoSpaceDN/>
              <w:bidi w:val="0"/>
              <w:adjustRightInd/>
              <w:snapToGrid/>
              <w:ind w:left="105" w:leftChars="50" w:right="0"/>
              <w:rPr>
                <w:rFonts w:ascii="Arial"/>
                <w:b w:val="0"/>
                <w:bCs w:val="0"/>
                <w:sz w:val="21"/>
                <w:shd w:val="clear" w:color="auto" w:fill="auto"/>
              </w:rPr>
            </w:pPr>
          </w:p>
        </w:tc>
        <w:tc>
          <w:tcPr>
            <w:tcW w:w="6288" w:type="dxa"/>
            <w:vAlign w:val="top"/>
          </w:tcPr>
          <w:p w14:paraId="25779E22">
            <w:pPr>
              <w:pStyle w:val="491"/>
              <w:keepNext w:val="0"/>
              <w:keepLines w:val="0"/>
              <w:pageBreakBefore w:val="0"/>
              <w:kinsoku/>
              <w:wordWrap/>
              <w:overflowPunct/>
              <w:topLinePunct w:val="0"/>
              <w:autoSpaceDN/>
              <w:bidi w:val="0"/>
              <w:adjustRightInd/>
              <w:snapToGrid/>
              <w:spacing w:line="234" w:lineRule="auto"/>
              <w:ind w:left="106" w:leftChars="50" w:right="0" w:hanging="1"/>
              <w:rPr>
                <w:b w:val="0"/>
                <w:bCs w:val="0"/>
                <w:shd w:val="clear" w:color="auto" w:fill="auto"/>
              </w:rPr>
            </w:pPr>
            <w:r>
              <w:rPr>
                <w:b w:val="0"/>
                <w:bCs w:val="0"/>
                <w:color w:val="FF0000"/>
                <w:spacing w:val="-3"/>
                <w:shd w:val="clear" w:color="auto" w:fill="auto"/>
              </w:rPr>
              <w:t>4.3</w:t>
            </w:r>
            <w:r>
              <w:rPr>
                <w:b w:val="0"/>
                <w:bCs w:val="0"/>
                <w:color w:val="FF0000"/>
                <w:spacing w:val="-39"/>
                <w:shd w:val="clear" w:color="auto" w:fill="auto"/>
              </w:rPr>
              <w:t xml:space="preserve"> </w:t>
            </w:r>
            <w:r>
              <w:rPr>
                <w:b w:val="0"/>
                <w:bCs w:val="0"/>
                <w:color w:val="FF0000"/>
                <w:spacing w:val="-3"/>
                <w:shd w:val="clear" w:color="auto" w:fill="auto"/>
              </w:rPr>
              <w:t>在免费保修期内，中标人提供足够的备件、附件和易损件，以保障系统的正常运行。</w:t>
            </w:r>
          </w:p>
        </w:tc>
      </w:tr>
      <w:tr w14:paraId="68F44D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trPr>
        <w:tc>
          <w:tcPr>
            <w:tcW w:w="792" w:type="dxa"/>
            <w:vMerge w:val="continue"/>
            <w:tcBorders>
              <w:top w:val="nil"/>
            </w:tcBorders>
            <w:vAlign w:val="top"/>
          </w:tcPr>
          <w:p w14:paraId="48CF74D1">
            <w:pPr>
              <w:keepNext w:val="0"/>
              <w:keepLines w:val="0"/>
              <w:pageBreakBefore w:val="0"/>
              <w:kinsoku/>
              <w:wordWrap/>
              <w:overflowPunct/>
              <w:topLinePunct w:val="0"/>
              <w:autoSpaceDN/>
              <w:bidi w:val="0"/>
              <w:adjustRightInd/>
              <w:snapToGrid/>
              <w:ind w:left="105" w:leftChars="50" w:right="0"/>
              <w:rPr>
                <w:rFonts w:ascii="Arial"/>
                <w:b w:val="0"/>
                <w:bCs w:val="0"/>
                <w:sz w:val="21"/>
                <w:shd w:val="clear" w:color="auto" w:fill="auto"/>
              </w:rPr>
            </w:pPr>
          </w:p>
        </w:tc>
        <w:tc>
          <w:tcPr>
            <w:tcW w:w="1645" w:type="dxa"/>
            <w:vMerge w:val="continue"/>
            <w:tcBorders>
              <w:top w:val="nil"/>
            </w:tcBorders>
            <w:vAlign w:val="top"/>
          </w:tcPr>
          <w:p w14:paraId="331CD713">
            <w:pPr>
              <w:keepNext w:val="0"/>
              <w:keepLines w:val="0"/>
              <w:pageBreakBefore w:val="0"/>
              <w:kinsoku/>
              <w:wordWrap/>
              <w:overflowPunct/>
              <w:topLinePunct w:val="0"/>
              <w:autoSpaceDN/>
              <w:bidi w:val="0"/>
              <w:adjustRightInd/>
              <w:snapToGrid/>
              <w:ind w:left="105" w:leftChars="50" w:right="0"/>
              <w:rPr>
                <w:rFonts w:ascii="Arial"/>
                <w:b w:val="0"/>
                <w:bCs w:val="0"/>
                <w:sz w:val="21"/>
                <w:shd w:val="clear" w:color="auto" w:fill="auto"/>
              </w:rPr>
            </w:pPr>
          </w:p>
        </w:tc>
        <w:tc>
          <w:tcPr>
            <w:tcW w:w="6288" w:type="dxa"/>
            <w:vAlign w:val="top"/>
          </w:tcPr>
          <w:p w14:paraId="02C99EB5">
            <w:pPr>
              <w:pStyle w:val="491"/>
              <w:keepNext w:val="0"/>
              <w:keepLines w:val="0"/>
              <w:pageBreakBefore w:val="0"/>
              <w:kinsoku/>
              <w:wordWrap/>
              <w:overflowPunct/>
              <w:topLinePunct w:val="0"/>
              <w:autoSpaceDN/>
              <w:bidi w:val="0"/>
              <w:adjustRightInd/>
              <w:snapToGrid/>
              <w:spacing w:line="244" w:lineRule="auto"/>
              <w:ind w:left="107" w:leftChars="50" w:right="0" w:hanging="2"/>
              <w:jc w:val="both"/>
              <w:rPr>
                <w:b w:val="0"/>
                <w:bCs w:val="0"/>
                <w:shd w:val="clear" w:color="auto" w:fill="auto"/>
              </w:rPr>
            </w:pPr>
            <w:r>
              <w:rPr>
                <w:b w:val="0"/>
                <w:bCs w:val="0"/>
                <w:color w:val="FF0000"/>
                <w:spacing w:val="-3"/>
                <w:shd w:val="clear" w:color="auto" w:fill="auto"/>
              </w:rPr>
              <w:t>4.4</w:t>
            </w:r>
            <w:r>
              <w:rPr>
                <w:b w:val="0"/>
                <w:bCs w:val="0"/>
                <w:color w:val="FF0000"/>
                <w:spacing w:val="-39"/>
                <w:shd w:val="clear" w:color="auto" w:fill="auto"/>
              </w:rPr>
              <w:t xml:space="preserve"> </w:t>
            </w:r>
            <w:r>
              <w:rPr>
                <w:b w:val="0"/>
                <w:bCs w:val="0"/>
                <w:color w:val="FF0000"/>
                <w:spacing w:val="-3"/>
                <w:shd w:val="clear" w:color="auto" w:fill="auto"/>
              </w:rPr>
              <w:t>在维护期结束的一个星期之前，中标人必须保障所有设备的正</w:t>
            </w:r>
            <w:r>
              <w:rPr>
                <w:b w:val="0"/>
                <w:bCs w:val="0"/>
                <w:color w:val="FF0000"/>
                <w:spacing w:val="-5"/>
                <w:shd w:val="clear" w:color="auto" w:fill="auto"/>
              </w:rPr>
              <w:t>常运行，并在免费保修期结束的一个星期前，出具《维护报告》和《系统运行现状报告》。</w:t>
            </w:r>
          </w:p>
        </w:tc>
      </w:tr>
      <w:tr w14:paraId="74428F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8725" w:type="dxa"/>
            <w:gridSpan w:val="3"/>
            <w:vAlign w:val="top"/>
          </w:tcPr>
          <w:p w14:paraId="56818956">
            <w:pPr>
              <w:pStyle w:val="491"/>
              <w:keepNext w:val="0"/>
              <w:keepLines w:val="0"/>
              <w:pageBreakBefore w:val="0"/>
              <w:kinsoku/>
              <w:wordWrap/>
              <w:overflowPunct/>
              <w:topLinePunct w:val="0"/>
              <w:autoSpaceDN/>
              <w:bidi w:val="0"/>
              <w:adjustRightInd/>
              <w:snapToGrid/>
              <w:spacing w:line="205" w:lineRule="auto"/>
              <w:ind w:left="105" w:leftChars="50" w:right="0"/>
              <w:rPr>
                <w:b/>
                <w:bCs/>
                <w:shd w:val="clear" w:color="auto" w:fill="auto"/>
              </w:rPr>
            </w:pPr>
            <w:r>
              <w:rPr>
                <w:b/>
                <w:bCs/>
                <w:color w:val="FF0000"/>
                <w:spacing w:val="-3"/>
                <w:shd w:val="clear" w:color="auto" w:fill="auto"/>
              </w:rPr>
              <w:t>（二）免费保修期外售后服务要求</w:t>
            </w:r>
          </w:p>
        </w:tc>
      </w:tr>
      <w:tr w14:paraId="01950F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792" w:type="dxa"/>
            <w:vAlign w:val="top"/>
          </w:tcPr>
          <w:p w14:paraId="2FC2925A">
            <w:pPr>
              <w:pStyle w:val="491"/>
              <w:keepNext w:val="0"/>
              <w:keepLines w:val="0"/>
              <w:pageBreakBefore w:val="0"/>
              <w:kinsoku/>
              <w:wordWrap/>
              <w:overflowPunct/>
              <w:topLinePunct w:val="0"/>
              <w:autoSpaceDN/>
              <w:bidi w:val="0"/>
              <w:adjustRightInd/>
              <w:snapToGrid/>
              <w:spacing w:line="242" w:lineRule="auto"/>
              <w:ind w:left="105" w:leftChars="50" w:right="0"/>
              <w:rPr>
                <w:b w:val="0"/>
                <w:bCs w:val="0"/>
                <w:shd w:val="clear" w:color="auto" w:fill="auto"/>
              </w:rPr>
            </w:pPr>
            <w:r>
              <w:rPr>
                <w:b w:val="0"/>
                <w:bCs w:val="0"/>
                <w:color w:val="FF0000"/>
                <w:spacing w:val="-3"/>
                <w:shd w:val="clear" w:color="auto" w:fill="auto"/>
              </w:rPr>
              <w:t>1</w:t>
            </w:r>
          </w:p>
        </w:tc>
        <w:tc>
          <w:tcPr>
            <w:tcW w:w="1645" w:type="dxa"/>
            <w:vAlign w:val="top"/>
          </w:tcPr>
          <w:p w14:paraId="40364667">
            <w:pPr>
              <w:pStyle w:val="491"/>
              <w:keepNext w:val="0"/>
              <w:keepLines w:val="0"/>
              <w:pageBreakBefore w:val="0"/>
              <w:kinsoku/>
              <w:wordWrap/>
              <w:overflowPunct/>
              <w:topLinePunct w:val="0"/>
              <w:autoSpaceDN/>
              <w:bidi w:val="0"/>
              <w:adjustRightInd/>
              <w:snapToGrid/>
              <w:spacing w:line="219" w:lineRule="auto"/>
              <w:ind w:left="105" w:leftChars="50" w:right="0"/>
              <w:rPr>
                <w:b w:val="0"/>
                <w:bCs w:val="0"/>
                <w:shd w:val="clear" w:color="auto" w:fill="auto"/>
              </w:rPr>
            </w:pPr>
            <w:r>
              <w:rPr>
                <w:b w:val="0"/>
                <w:bCs w:val="0"/>
                <w:color w:val="FF0000"/>
                <w:spacing w:val="-4"/>
                <w:shd w:val="clear" w:color="auto" w:fill="auto"/>
              </w:rPr>
              <w:t>价格要求</w:t>
            </w:r>
          </w:p>
        </w:tc>
        <w:tc>
          <w:tcPr>
            <w:tcW w:w="6288" w:type="dxa"/>
            <w:vAlign w:val="top"/>
          </w:tcPr>
          <w:p w14:paraId="3EA39821">
            <w:pPr>
              <w:pStyle w:val="491"/>
              <w:keepNext w:val="0"/>
              <w:keepLines w:val="0"/>
              <w:pageBreakBefore w:val="0"/>
              <w:kinsoku/>
              <w:wordWrap/>
              <w:overflowPunct/>
              <w:topLinePunct w:val="0"/>
              <w:autoSpaceDN/>
              <w:bidi w:val="0"/>
              <w:adjustRightInd/>
              <w:snapToGrid/>
              <w:spacing w:line="234" w:lineRule="auto"/>
              <w:ind w:left="105" w:leftChars="50" w:right="0" w:firstLine="5"/>
              <w:rPr>
                <w:b w:val="0"/>
                <w:bCs w:val="0"/>
                <w:shd w:val="clear" w:color="auto" w:fill="auto"/>
              </w:rPr>
            </w:pPr>
            <w:r>
              <w:rPr>
                <w:rFonts w:hint="eastAsia"/>
                <w:b w:val="0"/>
                <w:bCs w:val="0"/>
                <w:color w:val="FF0000"/>
                <w:spacing w:val="-5"/>
                <w:shd w:val="clear" w:color="auto" w:fill="auto"/>
                <w:lang w:val="en-US" w:eastAsia="zh-CN"/>
              </w:rPr>
              <w:t>1.1</w:t>
            </w:r>
            <w:r>
              <w:rPr>
                <w:b w:val="0"/>
                <w:bCs w:val="0"/>
                <w:color w:val="FF0000"/>
                <w:spacing w:val="-5"/>
                <w:shd w:val="clear" w:color="auto" w:fill="auto"/>
              </w:rPr>
              <w:t>免费保修期满后，中标人继续支持维修服务，并按其在深圳地区同</w:t>
            </w:r>
            <w:r>
              <w:rPr>
                <w:b w:val="0"/>
                <w:bCs w:val="0"/>
                <w:color w:val="FF0000"/>
                <w:spacing w:val="-4"/>
                <w:shd w:val="clear" w:color="auto" w:fill="auto"/>
              </w:rPr>
              <w:t>类产品的最优惠价格提供服务和零件。</w:t>
            </w:r>
          </w:p>
        </w:tc>
      </w:tr>
      <w:tr w14:paraId="352AAC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4" w:hRule="atLeast"/>
        </w:trPr>
        <w:tc>
          <w:tcPr>
            <w:tcW w:w="792" w:type="dxa"/>
            <w:vAlign w:val="top"/>
          </w:tcPr>
          <w:p w14:paraId="7B17774B">
            <w:pPr>
              <w:keepNext w:val="0"/>
              <w:keepLines w:val="0"/>
              <w:pageBreakBefore w:val="0"/>
              <w:kinsoku/>
              <w:wordWrap/>
              <w:overflowPunct/>
              <w:topLinePunct w:val="0"/>
              <w:autoSpaceDN/>
              <w:bidi w:val="0"/>
              <w:adjustRightInd/>
              <w:snapToGrid/>
              <w:spacing w:line="292" w:lineRule="auto"/>
              <w:ind w:left="105" w:leftChars="50" w:right="0"/>
              <w:rPr>
                <w:rFonts w:ascii="Arial"/>
                <w:b w:val="0"/>
                <w:bCs w:val="0"/>
                <w:sz w:val="21"/>
                <w:shd w:val="clear" w:color="auto" w:fill="auto"/>
              </w:rPr>
            </w:pPr>
          </w:p>
          <w:p w14:paraId="161EA4D0">
            <w:pPr>
              <w:pStyle w:val="491"/>
              <w:keepNext w:val="0"/>
              <w:keepLines w:val="0"/>
              <w:pageBreakBefore w:val="0"/>
              <w:kinsoku/>
              <w:wordWrap/>
              <w:overflowPunct/>
              <w:topLinePunct w:val="0"/>
              <w:autoSpaceDN/>
              <w:bidi w:val="0"/>
              <w:adjustRightInd/>
              <w:snapToGrid/>
              <w:spacing w:line="242" w:lineRule="auto"/>
              <w:ind w:left="105" w:leftChars="50" w:right="0"/>
              <w:rPr>
                <w:b w:val="0"/>
                <w:bCs w:val="0"/>
                <w:shd w:val="clear" w:color="auto" w:fill="auto"/>
              </w:rPr>
            </w:pPr>
            <w:r>
              <w:rPr>
                <w:b w:val="0"/>
                <w:bCs w:val="0"/>
                <w:color w:val="FF0000"/>
                <w:spacing w:val="-3"/>
                <w:shd w:val="clear" w:color="auto" w:fill="auto"/>
              </w:rPr>
              <w:t>2</w:t>
            </w:r>
          </w:p>
        </w:tc>
        <w:tc>
          <w:tcPr>
            <w:tcW w:w="1645" w:type="dxa"/>
            <w:vAlign w:val="top"/>
          </w:tcPr>
          <w:p w14:paraId="3BC813ED">
            <w:pPr>
              <w:pStyle w:val="491"/>
              <w:keepNext w:val="0"/>
              <w:keepLines w:val="0"/>
              <w:pageBreakBefore w:val="0"/>
              <w:kinsoku/>
              <w:wordWrap/>
              <w:overflowPunct/>
              <w:topLinePunct w:val="0"/>
              <w:autoSpaceDN/>
              <w:bidi w:val="0"/>
              <w:adjustRightInd/>
              <w:snapToGrid/>
              <w:spacing w:line="266" w:lineRule="auto"/>
              <w:ind w:left="191" w:leftChars="50" w:right="0" w:hanging="86"/>
              <w:rPr>
                <w:b w:val="0"/>
                <w:bCs w:val="0"/>
                <w:shd w:val="clear" w:color="auto" w:fill="auto"/>
              </w:rPr>
            </w:pPr>
            <w:r>
              <w:rPr>
                <w:b w:val="0"/>
                <w:bCs w:val="0"/>
                <w:color w:val="FF0000"/>
                <w:spacing w:val="-9"/>
                <w:shd w:val="clear" w:color="auto" w:fill="auto"/>
              </w:rPr>
              <w:t>日常维护和备</w:t>
            </w:r>
            <w:r>
              <w:rPr>
                <w:b w:val="0"/>
                <w:bCs w:val="0"/>
                <w:color w:val="FF0000"/>
                <w:spacing w:val="-6"/>
                <w:shd w:val="clear" w:color="auto" w:fill="auto"/>
              </w:rPr>
              <w:t>品备件要求</w:t>
            </w:r>
          </w:p>
        </w:tc>
        <w:tc>
          <w:tcPr>
            <w:tcW w:w="6288" w:type="dxa"/>
            <w:vAlign w:val="top"/>
          </w:tcPr>
          <w:p w14:paraId="279E2C2E">
            <w:pPr>
              <w:pStyle w:val="491"/>
              <w:keepNext w:val="0"/>
              <w:keepLines w:val="0"/>
              <w:pageBreakBefore w:val="0"/>
              <w:kinsoku/>
              <w:wordWrap/>
              <w:overflowPunct/>
              <w:topLinePunct w:val="0"/>
              <w:autoSpaceDN/>
              <w:bidi w:val="0"/>
              <w:adjustRightInd/>
              <w:snapToGrid/>
              <w:spacing w:line="244" w:lineRule="auto"/>
              <w:ind w:left="105" w:leftChars="50" w:right="0" w:firstLine="8"/>
              <w:jc w:val="both"/>
              <w:rPr>
                <w:b w:val="0"/>
                <w:bCs w:val="0"/>
                <w:shd w:val="clear" w:color="auto" w:fill="auto"/>
              </w:rPr>
            </w:pPr>
            <w:r>
              <w:rPr>
                <w:rFonts w:hint="eastAsia"/>
                <w:b w:val="0"/>
                <w:bCs w:val="0"/>
                <w:color w:val="FF0000"/>
                <w:spacing w:val="-5"/>
                <w:shd w:val="clear" w:color="auto" w:fill="auto"/>
                <w:lang w:val="en-US" w:eastAsia="zh-CN"/>
              </w:rPr>
              <w:t>2.1</w:t>
            </w:r>
            <w:r>
              <w:rPr>
                <w:b w:val="0"/>
                <w:bCs w:val="0"/>
                <w:color w:val="FF0000"/>
                <w:spacing w:val="-5"/>
                <w:shd w:val="clear" w:color="auto" w:fill="auto"/>
              </w:rPr>
              <w:t>中标人具有提供日常维护和技术支持的能力；提供24小时售后服务电话，备有相应的备品备件。制造或技术影响设备正常操作的应免</w:t>
            </w:r>
            <w:r>
              <w:rPr>
                <w:b w:val="0"/>
                <w:bCs w:val="0"/>
                <w:color w:val="FF0000"/>
                <w:spacing w:val="-8"/>
                <w:shd w:val="clear" w:color="auto" w:fill="auto"/>
              </w:rPr>
              <w:t>费更换新设备。</w:t>
            </w:r>
          </w:p>
        </w:tc>
      </w:tr>
      <w:tr w14:paraId="19C30B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4" w:hRule="atLeast"/>
        </w:trPr>
        <w:tc>
          <w:tcPr>
            <w:tcW w:w="792" w:type="dxa"/>
            <w:vAlign w:val="top"/>
          </w:tcPr>
          <w:p w14:paraId="19985FD2">
            <w:pPr>
              <w:keepNext w:val="0"/>
              <w:keepLines w:val="0"/>
              <w:pageBreakBefore w:val="0"/>
              <w:kinsoku/>
              <w:wordWrap/>
              <w:overflowPunct/>
              <w:topLinePunct w:val="0"/>
              <w:autoSpaceDN/>
              <w:bidi w:val="0"/>
              <w:adjustRightInd/>
              <w:snapToGrid/>
              <w:spacing w:line="292" w:lineRule="auto"/>
              <w:ind w:left="105" w:leftChars="50" w:right="0"/>
              <w:rPr>
                <w:rFonts w:ascii="Arial"/>
                <w:b w:val="0"/>
                <w:bCs w:val="0"/>
                <w:sz w:val="21"/>
                <w:shd w:val="clear" w:color="auto" w:fill="auto"/>
              </w:rPr>
            </w:pPr>
          </w:p>
          <w:p w14:paraId="23C3C79B">
            <w:pPr>
              <w:pStyle w:val="491"/>
              <w:keepNext w:val="0"/>
              <w:keepLines w:val="0"/>
              <w:pageBreakBefore w:val="0"/>
              <w:kinsoku/>
              <w:wordWrap/>
              <w:overflowPunct/>
              <w:topLinePunct w:val="0"/>
              <w:autoSpaceDN/>
              <w:bidi w:val="0"/>
              <w:adjustRightInd/>
              <w:snapToGrid/>
              <w:spacing w:line="241" w:lineRule="auto"/>
              <w:ind w:left="105" w:leftChars="50" w:right="0"/>
              <w:rPr>
                <w:b w:val="0"/>
                <w:bCs w:val="0"/>
                <w:shd w:val="clear" w:color="auto" w:fill="auto"/>
              </w:rPr>
            </w:pPr>
            <w:r>
              <w:rPr>
                <w:b w:val="0"/>
                <w:bCs w:val="0"/>
                <w:color w:val="FF0000"/>
                <w:spacing w:val="-3"/>
                <w:shd w:val="clear" w:color="auto" w:fill="auto"/>
              </w:rPr>
              <w:t>3</w:t>
            </w:r>
          </w:p>
        </w:tc>
        <w:tc>
          <w:tcPr>
            <w:tcW w:w="1645" w:type="dxa"/>
            <w:vAlign w:val="top"/>
          </w:tcPr>
          <w:p w14:paraId="420C7B9A">
            <w:pPr>
              <w:pStyle w:val="491"/>
              <w:keepNext w:val="0"/>
              <w:keepLines w:val="0"/>
              <w:pageBreakBefore w:val="0"/>
              <w:kinsoku/>
              <w:wordWrap/>
              <w:overflowPunct/>
              <w:topLinePunct w:val="0"/>
              <w:autoSpaceDN/>
              <w:bidi w:val="0"/>
              <w:adjustRightInd/>
              <w:snapToGrid/>
              <w:spacing w:line="203" w:lineRule="auto"/>
              <w:ind w:left="105" w:leftChars="50" w:right="0"/>
              <w:rPr>
                <w:b w:val="0"/>
                <w:bCs w:val="0"/>
                <w:shd w:val="clear" w:color="auto" w:fill="auto"/>
              </w:rPr>
            </w:pPr>
            <w:r>
              <w:rPr>
                <w:b w:val="0"/>
                <w:bCs w:val="0"/>
                <w:color w:val="FF0000"/>
                <w:spacing w:val="-4"/>
                <w:shd w:val="clear" w:color="auto" w:fill="auto"/>
              </w:rPr>
              <w:t>维修及保养服务要求</w:t>
            </w:r>
          </w:p>
        </w:tc>
        <w:tc>
          <w:tcPr>
            <w:tcW w:w="6288" w:type="dxa"/>
            <w:vAlign w:val="top"/>
          </w:tcPr>
          <w:p w14:paraId="4466D848">
            <w:pPr>
              <w:pStyle w:val="491"/>
              <w:keepNext w:val="0"/>
              <w:keepLines w:val="0"/>
              <w:pageBreakBefore w:val="0"/>
              <w:kinsoku/>
              <w:wordWrap/>
              <w:overflowPunct/>
              <w:topLinePunct w:val="0"/>
              <w:autoSpaceDN/>
              <w:bidi w:val="0"/>
              <w:adjustRightInd/>
              <w:snapToGrid/>
              <w:spacing w:line="243" w:lineRule="auto"/>
              <w:ind w:left="105" w:leftChars="50" w:right="0" w:firstLine="19"/>
              <w:jc w:val="both"/>
              <w:rPr>
                <w:b w:val="0"/>
                <w:bCs w:val="0"/>
                <w:shd w:val="clear" w:color="auto" w:fill="auto"/>
              </w:rPr>
            </w:pPr>
            <w:r>
              <w:rPr>
                <w:rFonts w:hint="eastAsia"/>
                <w:b w:val="0"/>
                <w:bCs w:val="0"/>
                <w:color w:val="FF0000"/>
                <w:spacing w:val="-5"/>
                <w:shd w:val="clear" w:color="auto" w:fill="auto"/>
                <w:lang w:val="en-US" w:eastAsia="zh-CN"/>
              </w:rPr>
              <w:t>3.1</w:t>
            </w:r>
            <w:r>
              <w:rPr>
                <w:b w:val="0"/>
                <w:bCs w:val="0"/>
                <w:color w:val="FF0000"/>
                <w:spacing w:val="-5"/>
                <w:shd w:val="clear" w:color="auto" w:fill="auto"/>
              </w:rPr>
              <w:t>中标人</w:t>
            </w:r>
            <w:r>
              <w:rPr>
                <w:rFonts w:hint="eastAsia"/>
                <w:b w:val="0"/>
                <w:bCs w:val="0"/>
                <w:color w:val="FF0000"/>
                <w:spacing w:val="-5"/>
                <w:shd w:val="clear" w:color="auto" w:fill="auto"/>
                <w:lang w:eastAsia="zh-CN"/>
              </w:rPr>
              <w:t>在免费保修期外以优惠价格</w:t>
            </w:r>
            <w:r>
              <w:rPr>
                <w:b w:val="0"/>
                <w:bCs w:val="0"/>
                <w:color w:val="FF0000"/>
                <w:spacing w:val="-5"/>
                <w:shd w:val="clear" w:color="auto" w:fill="auto"/>
              </w:rPr>
              <w:t>[（实际供应价/市场价）不</w:t>
            </w:r>
            <w:r>
              <w:rPr>
                <w:rFonts w:hint="eastAsia"/>
                <w:b w:val="0"/>
                <w:bCs w:val="0"/>
                <w:color w:val="FF0000"/>
                <w:spacing w:val="-5"/>
                <w:shd w:val="clear" w:color="auto" w:fill="auto"/>
                <w:lang w:eastAsia="zh-CN"/>
              </w:rPr>
              <w:t>高</w:t>
            </w:r>
            <w:r>
              <w:rPr>
                <w:b w:val="0"/>
                <w:bCs w:val="0"/>
                <w:color w:val="FF0000"/>
                <w:spacing w:val="-5"/>
                <w:shd w:val="clear" w:color="auto" w:fill="auto"/>
              </w:rPr>
              <w:t>于</w:t>
            </w:r>
            <w:r>
              <w:rPr>
                <w:rFonts w:hint="eastAsia"/>
                <w:b w:val="0"/>
                <w:bCs w:val="0"/>
                <w:color w:val="FF0000"/>
                <w:spacing w:val="-5"/>
                <w:shd w:val="clear" w:color="auto" w:fill="auto"/>
                <w:lang w:val="en-US" w:eastAsia="zh-CN"/>
              </w:rPr>
              <w:t>8</w:t>
            </w:r>
            <w:r>
              <w:rPr>
                <w:b w:val="0"/>
                <w:bCs w:val="0"/>
                <w:color w:val="FF0000"/>
                <w:spacing w:val="-5"/>
                <w:shd w:val="clear" w:color="auto" w:fill="auto"/>
              </w:rPr>
              <w:t>5%]供应设备正常使用所必须的配件等，提供修复时间、关键设备备用</w:t>
            </w:r>
            <w:r>
              <w:rPr>
                <w:b w:val="0"/>
                <w:bCs w:val="0"/>
                <w:color w:val="FF0000"/>
                <w:spacing w:val="-7"/>
                <w:shd w:val="clear" w:color="auto" w:fill="auto"/>
              </w:rPr>
              <w:t>方案等资料。</w:t>
            </w:r>
          </w:p>
        </w:tc>
      </w:tr>
      <w:tr w14:paraId="62D797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792" w:type="dxa"/>
            <w:vAlign w:val="top"/>
          </w:tcPr>
          <w:p w14:paraId="16303FFD">
            <w:pPr>
              <w:pStyle w:val="491"/>
              <w:keepNext w:val="0"/>
              <w:keepLines w:val="0"/>
              <w:pageBreakBefore w:val="0"/>
              <w:kinsoku/>
              <w:wordWrap/>
              <w:overflowPunct/>
              <w:topLinePunct w:val="0"/>
              <w:autoSpaceDN/>
              <w:bidi w:val="0"/>
              <w:adjustRightInd/>
              <w:snapToGrid/>
              <w:spacing w:line="203" w:lineRule="auto"/>
              <w:ind w:left="105" w:leftChars="50" w:right="0"/>
              <w:rPr>
                <w:b w:val="0"/>
                <w:bCs w:val="0"/>
                <w:shd w:val="clear" w:color="auto" w:fill="auto"/>
              </w:rPr>
            </w:pPr>
            <w:r>
              <w:rPr>
                <w:b w:val="0"/>
                <w:bCs w:val="0"/>
                <w:color w:val="FF0000"/>
                <w:spacing w:val="-3"/>
                <w:shd w:val="clear" w:color="auto" w:fill="auto"/>
              </w:rPr>
              <w:t>4</w:t>
            </w:r>
          </w:p>
        </w:tc>
        <w:tc>
          <w:tcPr>
            <w:tcW w:w="1645" w:type="dxa"/>
            <w:vAlign w:val="top"/>
          </w:tcPr>
          <w:p w14:paraId="474E9732">
            <w:pPr>
              <w:pStyle w:val="491"/>
              <w:keepNext w:val="0"/>
              <w:keepLines w:val="0"/>
              <w:pageBreakBefore w:val="0"/>
              <w:kinsoku/>
              <w:wordWrap/>
              <w:overflowPunct/>
              <w:topLinePunct w:val="0"/>
              <w:autoSpaceDN/>
              <w:bidi w:val="0"/>
              <w:adjustRightInd/>
              <w:snapToGrid/>
              <w:spacing w:line="203" w:lineRule="auto"/>
              <w:ind w:left="105" w:leftChars="50" w:right="0"/>
              <w:rPr>
                <w:b w:val="0"/>
                <w:bCs w:val="0"/>
                <w:shd w:val="clear" w:color="auto" w:fill="auto"/>
              </w:rPr>
            </w:pPr>
            <w:r>
              <w:rPr>
                <w:b w:val="0"/>
                <w:bCs w:val="0"/>
                <w:color w:val="FF0000"/>
                <w:spacing w:val="-4"/>
                <w:shd w:val="clear" w:color="auto" w:fill="auto"/>
              </w:rPr>
              <w:t>其他要求</w:t>
            </w:r>
          </w:p>
        </w:tc>
        <w:tc>
          <w:tcPr>
            <w:tcW w:w="6288" w:type="dxa"/>
            <w:vAlign w:val="top"/>
          </w:tcPr>
          <w:p w14:paraId="1FFA7C60">
            <w:pPr>
              <w:pStyle w:val="491"/>
              <w:keepNext w:val="0"/>
              <w:keepLines w:val="0"/>
              <w:pageBreakBefore w:val="0"/>
              <w:kinsoku/>
              <w:wordWrap/>
              <w:overflowPunct/>
              <w:topLinePunct w:val="0"/>
              <w:autoSpaceDN/>
              <w:bidi w:val="0"/>
              <w:adjustRightInd/>
              <w:snapToGrid/>
              <w:spacing w:line="203" w:lineRule="auto"/>
              <w:ind w:left="105" w:leftChars="50" w:right="0"/>
              <w:rPr>
                <w:b w:val="0"/>
                <w:bCs w:val="0"/>
                <w:shd w:val="clear" w:color="auto" w:fill="auto"/>
              </w:rPr>
            </w:pPr>
            <w:r>
              <w:rPr>
                <w:rFonts w:hint="eastAsia"/>
                <w:b w:val="0"/>
                <w:bCs w:val="0"/>
                <w:color w:val="FF0000"/>
                <w:spacing w:val="-3"/>
                <w:shd w:val="clear" w:color="auto" w:fill="auto"/>
                <w:lang w:val="en-US" w:eastAsia="zh-CN"/>
              </w:rPr>
              <w:t>4.1</w:t>
            </w:r>
            <w:r>
              <w:rPr>
                <w:b w:val="0"/>
                <w:bCs w:val="0"/>
                <w:color w:val="FF0000"/>
                <w:spacing w:val="-3"/>
                <w:shd w:val="clear" w:color="auto" w:fill="auto"/>
              </w:rPr>
              <w:t>中标人应提供项目相关的技术咨询和指导服务。</w:t>
            </w:r>
          </w:p>
        </w:tc>
      </w:tr>
      <w:tr w14:paraId="4A40DB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8725" w:type="dxa"/>
            <w:gridSpan w:val="3"/>
            <w:vAlign w:val="top"/>
          </w:tcPr>
          <w:p w14:paraId="3CD8FDBB">
            <w:pPr>
              <w:pStyle w:val="491"/>
              <w:keepNext w:val="0"/>
              <w:keepLines w:val="0"/>
              <w:pageBreakBefore w:val="0"/>
              <w:kinsoku/>
              <w:wordWrap/>
              <w:overflowPunct/>
              <w:topLinePunct w:val="0"/>
              <w:autoSpaceDN/>
              <w:bidi w:val="0"/>
              <w:adjustRightInd/>
              <w:snapToGrid/>
              <w:spacing w:line="203" w:lineRule="auto"/>
              <w:ind w:left="105" w:leftChars="50" w:right="0"/>
              <w:rPr>
                <w:b/>
                <w:bCs/>
                <w:shd w:val="clear" w:color="auto" w:fill="auto"/>
              </w:rPr>
            </w:pPr>
            <w:r>
              <w:rPr>
                <w:b/>
                <w:bCs/>
                <w:color w:val="FF0000"/>
                <w:spacing w:val="-4"/>
                <w:shd w:val="clear" w:color="auto" w:fill="auto"/>
              </w:rPr>
              <w:t>（三）其他商务要求</w:t>
            </w:r>
          </w:p>
        </w:tc>
      </w:tr>
      <w:tr w14:paraId="5AA3EE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792" w:type="dxa"/>
            <w:vMerge w:val="restart"/>
            <w:vAlign w:val="center"/>
          </w:tcPr>
          <w:p w14:paraId="317C06EB">
            <w:pPr>
              <w:pStyle w:val="491"/>
              <w:keepNext w:val="0"/>
              <w:keepLines w:val="0"/>
              <w:pageBreakBefore w:val="0"/>
              <w:kinsoku/>
              <w:wordWrap/>
              <w:overflowPunct/>
              <w:topLinePunct w:val="0"/>
              <w:autoSpaceDN/>
              <w:bidi w:val="0"/>
              <w:adjustRightInd/>
              <w:snapToGrid/>
              <w:spacing w:line="242" w:lineRule="auto"/>
              <w:ind w:left="105" w:leftChars="50" w:right="0"/>
              <w:jc w:val="both"/>
              <w:rPr>
                <w:b w:val="0"/>
                <w:bCs w:val="0"/>
                <w:shd w:val="clear" w:color="auto" w:fill="auto"/>
              </w:rPr>
            </w:pPr>
            <w:r>
              <w:rPr>
                <w:b w:val="0"/>
                <w:bCs w:val="0"/>
                <w:color w:val="FF0000"/>
                <w:spacing w:val="-3"/>
                <w:shd w:val="clear" w:color="auto" w:fill="auto"/>
              </w:rPr>
              <w:t>1</w:t>
            </w:r>
          </w:p>
        </w:tc>
        <w:tc>
          <w:tcPr>
            <w:tcW w:w="1645" w:type="dxa"/>
            <w:vMerge w:val="restart"/>
            <w:vAlign w:val="center"/>
          </w:tcPr>
          <w:p w14:paraId="18A0D215">
            <w:pPr>
              <w:pStyle w:val="491"/>
              <w:keepNext w:val="0"/>
              <w:keepLines w:val="0"/>
              <w:pageBreakBefore w:val="0"/>
              <w:kinsoku/>
              <w:wordWrap/>
              <w:overflowPunct/>
              <w:topLinePunct w:val="0"/>
              <w:autoSpaceDN/>
              <w:bidi w:val="0"/>
              <w:adjustRightInd/>
              <w:snapToGrid/>
              <w:spacing w:line="220" w:lineRule="auto"/>
              <w:ind w:left="105" w:leftChars="50" w:right="0"/>
              <w:jc w:val="both"/>
              <w:rPr>
                <w:b w:val="0"/>
                <w:bCs w:val="0"/>
                <w:shd w:val="clear" w:color="auto" w:fill="auto"/>
              </w:rPr>
            </w:pPr>
            <w:r>
              <w:rPr>
                <w:b w:val="0"/>
                <w:bCs w:val="0"/>
                <w:color w:val="FF0000"/>
                <w:spacing w:val="-4"/>
                <w:shd w:val="clear" w:color="auto" w:fill="auto"/>
              </w:rPr>
              <w:t>关于交货</w:t>
            </w:r>
          </w:p>
        </w:tc>
        <w:tc>
          <w:tcPr>
            <w:tcW w:w="6288" w:type="dxa"/>
            <w:vAlign w:val="top"/>
          </w:tcPr>
          <w:p w14:paraId="09AD4911">
            <w:pPr>
              <w:pStyle w:val="491"/>
              <w:keepNext w:val="0"/>
              <w:keepLines w:val="0"/>
              <w:pageBreakBefore w:val="0"/>
              <w:kinsoku/>
              <w:wordWrap/>
              <w:overflowPunct/>
              <w:topLinePunct w:val="0"/>
              <w:autoSpaceDN/>
              <w:bidi w:val="0"/>
              <w:adjustRightInd/>
              <w:snapToGrid/>
              <w:spacing w:line="244" w:lineRule="auto"/>
              <w:ind w:left="105" w:leftChars="50" w:right="0" w:firstLine="15"/>
              <w:jc w:val="both"/>
              <w:rPr>
                <w:b w:val="0"/>
                <w:bCs w:val="0"/>
                <w:shd w:val="clear" w:color="auto" w:fill="auto"/>
              </w:rPr>
            </w:pPr>
            <w:r>
              <w:rPr>
                <w:b w:val="0"/>
                <w:bCs w:val="0"/>
                <w:color w:val="FF0000"/>
                <w:spacing w:val="-4"/>
                <w:shd w:val="clear" w:color="auto" w:fill="auto"/>
              </w:rPr>
              <w:t>1.</w:t>
            </w:r>
            <w:r>
              <w:rPr>
                <w:rFonts w:hint="eastAsia"/>
                <w:b w:val="0"/>
                <w:bCs w:val="0"/>
                <w:color w:val="FF0000"/>
                <w:spacing w:val="-4"/>
                <w:shd w:val="clear" w:color="auto" w:fill="auto"/>
                <w:lang w:val="en-US" w:eastAsia="zh-CN"/>
              </w:rPr>
              <w:t>1</w:t>
            </w:r>
            <w:r>
              <w:rPr>
                <w:b w:val="0"/>
                <w:bCs w:val="0"/>
                <w:color w:val="FF0000"/>
                <w:spacing w:val="-4"/>
                <w:shd w:val="clear" w:color="auto" w:fill="auto"/>
              </w:rPr>
              <w:t xml:space="preserve">交货期：自合同签订之日起 </w:t>
            </w:r>
            <w:r>
              <w:rPr>
                <w:rFonts w:hint="eastAsia"/>
                <w:b w:val="0"/>
                <w:bCs w:val="0"/>
                <w:color w:val="FF0000"/>
                <w:spacing w:val="-4"/>
                <w:shd w:val="clear" w:color="auto" w:fill="auto"/>
                <w:lang w:val="en-US" w:eastAsia="zh-CN"/>
              </w:rPr>
              <w:t>36</w:t>
            </w:r>
            <w:r>
              <w:rPr>
                <w:b w:val="0"/>
                <w:bCs w:val="0"/>
                <w:color w:val="FF0000"/>
                <w:spacing w:val="-4"/>
                <w:shd w:val="clear" w:color="auto" w:fill="auto"/>
              </w:rPr>
              <w:t>个月内完成本项目到货</w:t>
            </w:r>
            <w:r>
              <w:rPr>
                <w:b w:val="0"/>
                <w:bCs w:val="0"/>
                <w:color w:val="FF0000"/>
                <w:spacing w:val="-7"/>
                <w:shd w:val="clear" w:color="auto" w:fill="auto"/>
              </w:rPr>
              <w:t>（不含</w:t>
            </w:r>
            <w:r>
              <w:rPr>
                <w:b w:val="0"/>
                <w:bCs w:val="0"/>
                <w:color w:val="FF0000"/>
                <w:spacing w:val="-4"/>
                <w:shd w:val="clear" w:color="auto" w:fill="auto"/>
              </w:rPr>
              <w:t>安装调</w:t>
            </w:r>
            <w:r>
              <w:rPr>
                <w:b w:val="0"/>
                <w:bCs w:val="0"/>
                <w:color w:val="FF0000"/>
                <w:spacing w:val="-7"/>
                <w:shd w:val="clear" w:color="auto" w:fill="auto"/>
              </w:rPr>
              <w:t>试完毕、初步验收合格</w:t>
            </w:r>
            <w:r>
              <w:rPr>
                <w:rFonts w:hint="eastAsia"/>
                <w:b w:val="0"/>
                <w:bCs w:val="0"/>
                <w:color w:val="FF0000"/>
                <w:spacing w:val="-7"/>
                <w:shd w:val="clear" w:color="auto" w:fill="auto"/>
                <w:lang w:eastAsia="zh-CN"/>
              </w:rPr>
              <w:t>、</w:t>
            </w:r>
            <w:r>
              <w:rPr>
                <w:b w:val="0"/>
                <w:bCs w:val="0"/>
                <w:color w:val="FF0000"/>
                <w:spacing w:val="-7"/>
                <w:shd w:val="clear" w:color="auto" w:fill="auto"/>
              </w:rPr>
              <w:t>试运行时间、项目终验</w:t>
            </w:r>
            <w:r>
              <w:rPr>
                <w:b w:val="0"/>
                <w:bCs w:val="0"/>
                <w:color w:val="FF0000"/>
                <w:spacing w:val="-43"/>
                <w:shd w:val="clear" w:color="auto" w:fill="auto"/>
              </w:rPr>
              <w:t>），</w:t>
            </w:r>
            <w:r>
              <w:rPr>
                <w:b w:val="0"/>
                <w:bCs w:val="0"/>
                <w:color w:val="FF0000"/>
                <w:spacing w:val="-2"/>
                <w:shd w:val="clear" w:color="auto" w:fill="auto"/>
              </w:rPr>
              <w:t>项目进度必须满足采购单位对项目的总体计划和进度要求。</w:t>
            </w:r>
          </w:p>
        </w:tc>
      </w:tr>
      <w:tr w14:paraId="7D14E8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92" w:type="dxa"/>
            <w:vMerge w:val="continue"/>
            <w:vAlign w:val="top"/>
          </w:tcPr>
          <w:p w14:paraId="5670365B">
            <w:pPr>
              <w:keepNext w:val="0"/>
              <w:keepLines w:val="0"/>
              <w:pageBreakBefore w:val="0"/>
              <w:kinsoku/>
              <w:wordWrap/>
              <w:overflowPunct/>
              <w:topLinePunct w:val="0"/>
              <w:autoSpaceDN/>
              <w:bidi w:val="0"/>
              <w:adjustRightInd/>
              <w:snapToGrid/>
              <w:ind w:left="105" w:leftChars="50" w:right="0"/>
              <w:rPr>
                <w:rFonts w:ascii="Arial"/>
                <w:b w:val="0"/>
                <w:bCs w:val="0"/>
                <w:sz w:val="21"/>
                <w:shd w:val="clear" w:color="auto" w:fill="auto"/>
              </w:rPr>
            </w:pPr>
          </w:p>
        </w:tc>
        <w:tc>
          <w:tcPr>
            <w:tcW w:w="1645" w:type="dxa"/>
            <w:vMerge w:val="continue"/>
            <w:vAlign w:val="top"/>
          </w:tcPr>
          <w:p w14:paraId="0F2489DA">
            <w:pPr>
              <w:keepNext w:val="0"/>
              <w:keepLines w:val="0"/>
              <w:pageBreakBefore w:val="0"/>
              <w:kinsoku/>
              <w:wordWrap/>
              <w:overflowPunct/>
              <w:topLinePunct w:val="0"/>
              <w:autoSpaceDN/>
              <w:bidi w:val="0"/>
              <w:adjustRightInd/>
              <w:snapToGrid/>
              <w:ind w:left="105" w:leftChars="50" w:right="0"/>
              <w:rPr>
                <w:rFonts w:ascii="Arial"/>
                <w:b w:val="0"/>
                <w:bCs w:val="0"/>
                <w:sz w:val="21"/>
                <w:shd w:val="clear" w:color="auto" w:fill="auto"/>
              </w:rPr>
            </w:pPr>
          </w:p>
        </w:tc>
        <w:tc>
          <w:tcPr>
            <w:tcW w:w="6288" w:type="dxa"/>
            <w:vAlign w:val="top"/>
          </w:tcPr>
          <w:p w14:paraId="79C854D1">
            <w:pPr>
              <w:pStyle w:val="491"/>
              <w:keepNext w:val="0"/>
              <w:keepLines w:val="0"/>
              <w:pageBreakBefore w:val="0"/>
              <w:kinsoku/>
              <w:wordWrap/>
              <w:overflowPunct/>
              <w:topLinePunct w:val="0"/>
              <w:autoSpaceDN/>
              <w:bidi w:val="0"/>
              <w:adjustRightInd/>
              <w:snapToGrid/>
              <w:spacing w:line="235" w:lineRule="auto"/>
              <w:ind w:left="119" w:leftChars="50" w:right="0" w:hanging="14"/>
              <w:rPr>
                <w:b w:val="0"/>
                <w:bCs w:val="0"/>
                <w:shd w:val="clear" w:color="auto" w:fill="auto"/>
              </w:rPr>
            </w:pPr>
            <w:r>
              <w:rPr>
                <w:rFonts w:hint="eastAsia"/>
                <w:b w:val="0"/>
                <w:bCs w:val="0"/>
                <w:color w:val="FF0000"/>
                <w:spacing w:val="-5"/>
                <w:shd w:val="clear" w:color="auto" w:fill="auto"/>
                <w:lang w:val="en-US" w:eastAsia="zh-CN"/>
              </w:rPr>
              <w:t>1.</w:t>
            </w:r>
            <w:r>
              <w:rPr>
                <w:b w:val="0"/>
                <w:bCs w:val="0"/>
                <w:color w:val="FF0000"/>
                <w:spacing w:val="-5"/>
                <w:shd w:val="clear" w:color="auto" w:fill="auto"/>
              </w:rPr>
              <w:t>2质量要求：中标方保证提供的货物为全新、未使用的原装合格正</w:t>
            </w:r>
            <w:r>
              <w:rPr>
                <w:b w:val="0"/>
                <w:bCs w:val="0"/>
                <w:color w:val="FF0000"/>
                <w:spacing w:val="-4"/>
                <w:shd w:val="clear" w:color="auto" w:fill="auto"/>
              </w:rPr>
              <w:t>品（如货物安装或配置有软件，应是正版软件</w:t>
            </w:r>
            <w:r>
              <w:rPr>
                <w:b w:val="0"/>
                <w:bCs w:val="0"/>
                <w:color w:val="FF0000"/>
                <w:spacing w:val="-19"/>
                <w:shd w:val="clear" w:color="auto" w:fill="auto"/>
              </w:rPr>
              <w:t>），</w:t>
            </w:r>
            <w:r>
              <w:rPr>
                <w:b w:val="0"/>
                <w:bCs w:val="0"/>
                <w:color w:val="FF0000"/>
                <w:spacing w:val="-4"/>
                <w:shd w:val="clear" w:color="auto" w:fill="auto"/>
              </w:rPr>
              <w:t>符合招标文件规</w:t>
            </w:r>
            <w:r>
              <w:rPr>
                <w:b w:val="0"/>
                <w:bCs w:val="0"/>
                <w:color w:val="FF0000"/>
                <w:spacing w:val="-10"/>
                <w:shd w:val="clear" w:color="auto" w:fill="auto"/>
              </w:rPr>
              <w:t>定、投标文件承诺及本合同约定的质量标准、技术规格及性能要求，</w:t>
            </w:r>
            <w:r>
              <w:rPr>
                <w:b w:val="0"/>
                <w:bCs w:val="0"/>
                <w:color w:val="FF0000"/>
                <w:spacing w:val="-4"/>
                <w:shd w:val="clear" w:color="auto" w:fill="auto"/>
              </w:rPr>
              <w:t>符合相关国家或行业标准、规范要求。</w:t>
            </w:r>
          </w:p>
        </w:tc>
      </w:tr>
      <w:tr w14:paraId="532FF6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792" w:type="dxa"/>
            <w:vMerge w:val="continue"/>
            <w:vAlign w:val="top"/>
          </w:tcPr>
          <w:p w14:paraId="0BCE618A">
            <w:pPr>
              <w:keepNext w:val="0"/>
              <w:keepLines w:val="0"/>
              <w:pageBreakBefore w:val="0"/>
              <w:kinsoku/>
              <w:wordWrap/>
              <w:overflowPunct/>
              <w:topLinePunct w:val="0"/>
              <w:autoSpaceDN/>
              <w:bidi w:val="0"/>
              <w:adjustRightInd/>
              <w:snapToGrid/>
              <w:ind w:left="105" w:leftChars="50" w:right="0"/>
              <w:rPr>
                <w:rFonts w:ascii="Arial"/>
                <w:sz w:val="21"/>
                <w:shd w:val="clear" w:color="auto" w:fill="auto"/>
              </w:rPr>
            </w:pPr>
          </w:p>
        </w:tc>
        <w:tc>
          <w:tcPr>
            <w:tcW w:w="1645" w:type="dxa"/>
            <w:vMerge w:val="continue"/>
            <w:vAlign w:val="top"/>
          </w:tcPr>
          <w:p w14:paraId="502D01F2">
            <w:pPr>
              <w:keepNext w:val="0"/>
              <w:keepLines w:val="0"/>
              <w:pageBreakBefore w:val="0"/>
              <w:kinsoku/>
              <w:wordWrap/>
              <w:overflowPunct/>
              <w:topLinePunct w:val="0"/>
              <w:autoSpaceDN/>
              <w:bidi w:val="0"/>
              <w:adjustRightInd/>
              <w:snapToGrid/>
              <w:ind w:left="105" w:leftChars="50" w:right="0"/>
              <w:rPr>
                <w:rFonts w:ascii="Arial"/>
                <w:b w:val="0"/>
                <w:bCs w:val="0"/>
                <w:sz w:val="21"/>
                <w:shd w:val="clear" w:color="auto" w:fill="auto"/>
              </w:rPr>
            </w:pPr>
          </w:p>
        </w:tc>
        <w:tc>
          <w:tcPr>
            <w:tcW w:w="6288" w:type="dxa"/>
            <w:vAlign w:val="top"/>
          </w:tcPr>
          <w:p w14:paraId="65A70AD5">
            <w:pPr>
              <w:pStyle w:val="491"/>
              <w:keepNext w:val="0"/>
              <w:keepLines w:val="0"/>
              <w:pageBreakBefore w:val="0"/>
              <w:kinsoku/>
              <w:wordWrap/>
              <w:overflowPunct/>
              <w:topLinePunct w:val="0"/>
              <w:autoSpaceDN/>
              <w:bidi w:val="0"/>
              <w:adjustRightInd/>
              <w:snapToGrid/>
              <w:spacing w:line="236" w:lineRule="auto"/>
              <w:ind w:left="105" w:leftChars="50" w:right="0" w:firstLine="4"/>
              <w:rPr>
                <w:b w:val="0"/>
                <w:bCs w:val="0"/>
                <w:shd w:val="clear" w:color="auto" w:fill="auto"/>
              </w:rPr>
            </w:pPr>
            <w:r>
              <w:rPr>
                <w:rFonts w:hint="eastAsia"/>
                <w:b w:val="0"/>
                <w:bCs w:val="0"/>
                <w:color w:val="FF0000"/>
                <w:spacing w:val="-5"/>
                <w:shd w:val="clear" w:color="auto" w:fill="auto"/>
                <w:lang w:val="en-US" w:eastAsia="zh-CN"/>
              </w:rPr>
              <w:t>1.</w:t>
            </w:r>
            <w:r>
              <w:rPr>
                <w:b w:val="0"/>
                <w:bCs w:val="0"/>
                <w:color w:val="FF0000"/>
                <w:spacing w:val="-5"/>
                <w:shd w:val="clear" w:color="auto" w:fill="auto"/>
              </w:rPr>
              <w:t>3包装要求：中标方保证货物的包装符合运输的要求，足以保护货</w:t>
            </w:r>
            <w:r>
              <w:rPr>
                <w:b w:val="0"/>
                <w:bCs w:val="0"/>
                <w:color w:val="FF0000"/>
                <w:spacing w:val="-4"/>
                <w:shd w:val="clear" w:color="auto" w:fill="auto"/>
              </w:rPr>
              <w:t>物在运输过程中不受锈蚀、损坏或灭失。</w:t>
            </w:r>
          </w:p>
        </w:tc>
      </w:tr>
      <w:tr w14:paraId="1DE7B1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6" w:hRule="atLeast"/>
        </w:trPr>
        <w:tc>
          <w:tcPr>
            <w:tcW w:w="792" w:type="dxa"/>
            <w:vMerge w:val="continue"/>
            <w:vAlign w:val="top"/>
          </w:tcPr>
          <w:p w14:paraId="0CBBDF7F">
            <w:pPr>
              <w:keepNext w:val="0"/>
              <w:keepLines w:val="0"/>
              <w:pageBreakBefore w:val="0"/>
              <w:kinsoku/>
              <w:wordWrap/>
              <w:overflowPunct/>
              <w:topLinePunct w:val="0"/>
              <w:autoSpaceDN/>
              <w:bidi w:val="0"/>
              <w:adjustRightInd/>
              <w:snapToGrid/>
              <w:ind w:left="105" w:leftChars="50" w:right="0"/>
              <w:rPr>
                <w:rFonts w:ascii="Arial"/>
                <w:sz w:val="21"/>
                <w:shd w:val="clear" w:color="auto" w:fill="auto"/>
              </w:rPr>
            </w:pPr>
          </w:p>
        </w:tc>
        <w:tc>
          <w:tcPr>
            <w:tcW w:w="1645" w:type="dxa"/>
            <w:vMerge w:val="continue"/>
            <w:vAlign w:val="top"/>
          </w:tcPr>
          <w:p w14:paraId="4CA5B3BD">
            <w:pPr>
              <w:keepNext w:val="0"/>
              <w:keepLines w:val="0"/>
              <w:pageBreakBefore w:val="0"/>
              <w:kinsoku/>
              <w:wordWrap/>
              <w:overflowPunct/>
              <w:topLinePunct w:val="0"/>
              <w:autoSpaceDN/>
              <w:bidi w:val="0"/>
              <w:adjustRightInd/>
              <w:snapToGrid/>
              <w:ind w:left="105" w:leftChars="50" w:right="0"/>
              <w:rPr>
                <w:rFonts w:ascii="Arial"/>
                <w:b w:val="0"/>
                <w:bCs w:val="0"/>
                <w:sz w:val="21"/>
                <w:shd w:val="clear" w:color="auto" w:fill="auto"/>
              </w:rPr>
            </w:pPr>
          </w:p>
        </w:tc>
        <w:tc>
          <w:tcPr>
            <w:tcW w:w="6288" w:type="dxa"/>
            <w:vAlign w:val="top"/>
          </w:tcPr>
          <w:p w14:paraId="558647BF">
            <w:pPr>
              <w:pStyle w:val="491"/>
              <w:keepNext w:val="0"/>
              <w:keepLines w:val="0"/>
              <w:pageBreakBefore w:val="0"/>
              <w:kinsoku/>
              <w:wordWrap/>
              <w:overflowPunct/>
              <w:topLinePunct w:val="0"/>
              <w:autoSpaceDN/>
              <w:bidi w:val="0"/>
              <w:adjustRightInd/>
              <w:snapToGrid/>
              <w:spacing w:line="264" w:lineRule="auto"/>
              <w:ind w:left="105" w:leftChars="50" w:right="0"/>
              <w:jc w:val="both"/>
              <w:rPr>
                <w:b w:val="0"/>
                <w:bCs w:val="0"/>
                <w:shd w:val="clear" w:color="auto" w:fill="auto"/>
              </w:rPr>
            </w:pPr>
            <w:r>
              <w:rPr>
                <w:rFonts w:hint="eastAsia"/>
                <w:b w:val="0"/>
                <w:bCs w:val="0"/>
                <w:color w:val="FF0000"/>
                <w:spacing w:val="-4"/>
                <w:shd w:val="clear" w:color="auto" w:fill="auto"/>
                <w:lang w:val="en-US" w:eastAsia="zh-CN"/>
              </w:rPr>
              <w:t>1.</w:t>
            </w:r>
            <w:r>
              <w:rPr>
                <w:b w:val="0"/>
                <w:bCs w:val="0"/>
                <w:color w:val="FF0000"/>
                <w:spacing w:val="-4"/>
                <w:shd w:val="clear" w:color="auto" w:fill="auto"/>
              </w:rPr>
              <w:t>4交货要求：货物的装箱清单、用户手册</w:t>
            </w:r>
            <w:r>
              <w:rPr>
                <w:b w:val="0"/>
                <w:bCs w:val="0"/>
                <w:color w:val="FF0000"/>
                <w:spacing w:val="-5"/>
                <w:shd w:val="clear" w:color="auto" w:fill="auto"/>
              </w:rPr>
              <w:t>、原厂保修卡、产品合格证、随机技术资料、配件及工具等应随同交付，否则视同未按照合</w:t>
            </w:r>
            <w:r>
              <w:rPr>
                <w:b w:val="0"/>
                <w:bCs w:val="0"/>
                <w:color w:val="FF0000"/>
                <w:spacing w:val="-3"/>
                <w:shd w:val="clear" w:color="auto" w:fill="auto"/>
              </w:rPr>
              <w:t>同约定交货，由中标方负责补齐，且项目工期不顺延。</w:t>
            </w:r>
          </w:p>
          <w:p w14:paraId="6F205E4D">
            <w:pPr>
              <w:pStyle w:val="491"/>
              <w:keepNext w:val="0"/>
              <w:keepLines w:val="0"/>
              <w:pageBreakBefore w:val="0"/>
              <w:kinsoku/>
              <w:wordWrap/>
              <w:overflowPunct/>
              <w:topLinePunct w:val="0"/>
              <w:autoSpaceDN/>
              <w:bidi w:val="0"/>
              <w:adjustRightInd/>
              <w:snapToGrid/>
              <w:spacing w:line="244" w:lineRule="auto"/>
              <w:ind w:left="105" w:leftChars="50" w:right="0" w:firstLine="19"/>
              <w:jc w:val="both"/>
              <w:rPr>
                <w:b w:val="0"/>
                <w:bCs w:val="0"/>
                <w:shd w:val="clear" w:color="auto" w:fill="auto"/>
              </w:rPr>
            </w:pPr>
            <w:r>
              <w:rPr>
                <w:b w:val="0"/>
                <w:bCs w:val="0"/>
                <w:color w:val="FF0000"/>
                <w:spacing w:val="-5"/>
                <w:shd w:val="clear" w:color="auto" w:fill="auto"/>
              </w:rPr>
              <w:t>中标方所交付的设备品种、型号、规格、质量、数量等与合同</w:t>
            </w:r>
            <w:r>
              <w:rPr>
                <w:b w:val="0"/>
                <w:bCs w:val="0"/>
                <w:color w:val="FF0000"/>
                <w:spacing w:val="-6"/>
                <w:shd w:val="clear" w:color="auto" w:fill="auto"/>
              </w:rPr>
              <w:t>约定</w:t>
            </w:r>
            <w:r>
              <w:rPr>
                <w:b w:val="0"/>
                <w:bCs w:val="0"/>
                <w:color w:val="FF0000"/>
                <w:spacing w:val="-5"/>
                <w:shd w:val="clear" w:color="auto" w:fill="auto"/>
              </w:rPr>
              <w:t>要求不符合的，采购方有权拒绝收货，由中标方负责整改，且项目</w:t>
            </w:r>
            <w:r>
              <w:rPr>
                <w:b w:val="0"/>
                <w:bCs w:val="0"/>
                <w:color w:val="FF0000"/>
                <w:spacing w:val="-7"/>
                <w:shd w:val="clear" w:color="auto" w:fill="auto"/>
              </w:rPr>
              <w:t>工期不顺延。</w:t>
            </w:r>
          </w:p>
        </w:tc>
      </w:tr>
      <w:tr w14:paraId="110488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4" w:hRule="atLeast"/>
        </w:trPr>
        <w:tc>
          <w:tcPr>
            <w:tcW w:w="792" w:type="dxa"/>
            <w:vMerge w:val="continue"/>
            <w:vAlign w:val="top"/>
          </w:tcPr>
          <w:p w14:paraId="397AC728">
            <w:pPr>
              <w:keepNext w:val="0"/>
              <w:keepLines w:val="0"/>
              <w:pageBreakBefore w:val="0"/>
              <w:kinsoku/>
              <w:wordWrap/>
              <w:overflowPunct/>
              <w:topLinePunct w:val="0"/>
              <w:autoSpaceDN/>
              <w:bidi w:val="0"/>
              <w:adjustRightInd/>
              <w:snapToGrid/>
              <w:ind w:left="105" w:leftChars="50" w:right="0"/>
              <w:rPr>
                <w:rFonts w:ascii="Arial"/>
                <w:sz w:val="21"/>
                <w:shd w:val="clear" w:color="auto" w:fill="auto"/>
              </w:rPr>
            </w:pPr>
          </w:p>
        </w:tc>
        <w:tc>
          <w:tcPr>
            <w:tcW w:w="1645" w:type="dxa"/>
            <w:vMerge w:val="continue"/>
            <w:vAlign w:val="top"/>
          </w:tcPr>
          <w:p w14:paraId="34B5D4EA">
            <w:pPr>
              <w:keepNext w:val="0"/>
              <w:keepLines w:val="0"/>
              <w:pageBreakBefore w:val="0"/>
              <w:kinsoku/>
              <w:wordWrap/>
              <w:overflowPunct/>
              <w:topLinePunct w:val="0"/>
              <w:autoSpaceDN/>
              <w:bidi w:val="0"/>
              <w:adjustRightInd/>
              <w:snapToGrid/>
              <w:ind w:left="105" w:leftChars="50" w:right="0"/>
              <w:rPr>
                <w:rFonts w:ascii="Arial"/>
                <w:b w:val="0"/>
                <w:bCs w:val="0"/>
                <w:sz w:val="21"/>
                <w:shd w:val="clear" w:color="auto" w:fill="auto"/>
              </w:rPr>
            </w:pPr>
          </w:p>
        </w:tc>
        <w:tc>
          <w:tcPr>
            <w:tcW w:w="6288" w:type="dxa"/>
            <w:vAlign w:val="top"/>
          </w:tcPr>
          <w:p w14:paraId="2B58A6FB">
            <w:pPr>
              <w:pStyle w:val="491"/>
              <w:keepNext w:val="0"/>
              <w:keepLines w:val="0"/>
              <w:pageBreakBefore w:val="0"/>
              <w:kinsoku/>
              <w:wordWrap/>
              <w:overflowPunct/>
              <w:topLinePunct w:val="0"/>
              <w:autoSpaceDN/>
              <w:bidi w:val="0"/>
              <w:adjustRightInd/>
              <w:snapToGrid/>
              <w:spacing w:line="244" w:lineRule="auto"/>
              <w:ind w:left="105" w:leftChars="50" w:right="0"/>
              <w:jc w:val="both"/>
              <w:rPr>
                <w:b w:val="0"/>
                <w:bCs w:val="0"/>
                <w:shd w:val="clear" w:color="auto" w:fill="auto"/>
              </w:rPr>
            </w:pPr>
            <w:r>
              <w:rPr>
                <w:rFonts w:hint="eastAsia"/>
                <w:b w:val="0"/>
                <w:bCs w:val="0"/>
                <w:color w:val="FF0000"/>
                <w:spacing w:val="-5"/>
                <w:shd w:val="clear" w:color="auto" w:fill="auto"/>
                <w:lang w:val="en-US" w:eastAsia="zh-CN"/>
              </w:rPr>
              <w:t>1.</w:t>
            </w:r>
            <w:r>
              <w:rPr>
                <w:b w:val="0"/>
                <w:bCs w:val="0"/>
                <w:color w:val="FF0000"/>
                <w:spacing w:val="-5"/>
                <w:shd w:val="clear" w:color="auto" w:fill="auto"/>
              </w:rPr>
              <w:t>5安装标准：符合我国国家有关技术规范和技术标准。如因采购方原因无法安装时，待采购方安装准备工作就绪后，中标方须在接通</w:t>
            </w:r>
            <w:r>
              <w:rPr>
                <w:b w:val="0"/>
                <w:bCs w:val="0"/>
                <w:color w:val="FF0000"/>
                <w:spacing w:val="-3"/>
                <w:shd w:val="clear" w:color="auto" w:fill="auto"/>
              </w:rPr>
              <w:t>知后一周内上门安装调试。</w:t>
            </w:r>
          </w:p>
        </w:tc>
      </w:tr>
      <w:tr w14:paraId="0FB2D7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792" w:type="dxa"/>
            <w:vMerge w:val="continue"/>
            <w:vAlign w:val="top"/>
          </w:tcPr>
          <w:p w14:paraId="2856D9CC">
            <w:pPr>
              <w:keepNext w:val="0"/>
              <w:keepLines w:val="0"/>
              <w:pageBreakBefore w:val="0"/>
              <w:kinsoku/>
              <w:wordWrap/>
              <w:overflowPunct/>
              <w:topLinePunct w:val="0"/>
              <w:autoSpaceDN/>
              <w:bidi w:val="0"/>
              <w:adjustRightInd/>
              <w:snapToGrid/>
              <w:ind w:left="105" w:leftChars="50" w:right="0"/>
              <w:rPr>
                <w:rFonts w:ascii="Arial"/>
                <w:sz w:val="21"/>
                <w:shd w:val="clear" w:color="auto" w:fill="auto"/>
              </w:rPr>
            </w:pPr>
          </w:p>
        </w:tc>
        <w:tc>
          <w:tcPr>
            <w:tcW w:w="1645" w:type="dxa"/>
            <w:vMerge w:val="continue"/>
            <w:vAlign w:val="top"/>
          </w:tcPr>
          <w:p w14:paraId="5B48982D">
            <w:pPr>
              <w:keepNext w:val="0"/>
              <w:keepLines w:val="0"/>
              <w:pageBreakBefore w:val="0"/>
              <w:kinsoku/>
              <w:wordWrap/>
              <w:overflowPunct/>
              <w:topLinePunct w:val="0"/>
              <w:autoSpaceDN/>
              <w:bidi w:val="0"/>
              <w:adjustRightInd/>
              <w:snapToGrid/>
              <w:ind w:left="105" w:leftChars="50" w:right="0"/>
              <w:rPr>
                <w:rFonts w:ascii="Arial"/>
                <w:b w:val="0"/>
                <w:bCs w:val="0"/>
                <w:sz w:val="21"/>
                <w:shd w:val="clear" w:color="auto" w:fill="auto"/>
              </w:rPr>
            </w:pPr>
          </w:p>
        </w:tc>
        <w:tc>
          <w:tcPr>
            <w:tcW w:w="6288" w:type="dxa"/>
            <w:vAlign w:val="top"/>
          </w:tcPr>
          <w:p w14:paraId="006BC488">
            <w:pPr>
              <w:pStyle w:val="491"/>
              <w:keepNext w:val="0"/>
              <w:keepLines w:val="0"/>
              <w:pageBreakBefore w:val="0"/>
              <w:kinsoku/>
              <w:wordWrap/>
              <w:overflowPunct/>
              <w:topLinePunct w:val="0"/>
              <w:autoSpaceDN/>
              <w:bidi w:val="0"/>
              <w:adjustRightInd/>
              <w:snapToGrid/>
              <w:spacing w:line="206" w:lineRule="auto"/>
              <w:ind w:left="105" w:leftChars="50" w:right="0"/>
              <w:rPr>
                <w:b w:val="0"/>
                <w:bCs w:val="0"/>
                <w:shd w:val="clear" w:color="auto" w:fill="auto"/>
              </w:rPr>
            </w:pPr>
            <w:r>
              <w:rPr>
                <w:rFonts w:hint="eastAsia"/>
                <w:b w:val="0"/>
                <w:bCs w:val="0"/>
                <w:color w:val="FF0000"/>
                <w:spacing w:val="-4"/>
                <w:shd w:val="clear" w:color="auto" w:fill="auto"/>
                <w:lang w:val="en-US" w:eastAsia="zh-CN"/>
              </w:rPr>
              <w:t>1.</w:t>
            </w:r>
            <w:r>
              <w:rPr>
                <w:b w:val="0"/>
                <w:bCs w:val="0"/>
                <w:color w:val="FF0000"/>
                <w:spacing w:val="-4"/>
                <w:shd w:val="clear" w:color="auto" w:fill="auto"/>
              </w:rPr>
              <w:t>6交货地点：采购方指定地点。</w:t>
            </w:r>
          </w:p>
        </w:tc>
      </w:tr>
      <w:tr w14:paraId="65653C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4" w:hRule="atLeast"/>
        </w:trPr>
        <w:tc>
          <w:tcPr>
            <w:tcW w:w="792" w:type="dxa"/>
            <w:vMerge w:val="continue"/>
            <w:vAlign w:val="top"/>
          </w:tcPr>
          <w:p w14:paraId="20F4E3A9">
            <w:pPr>
              <w:keepNext w:val="0"/>
              <w:keepLines w:val="0"/>
              <w:pageBreakBefore w:val="0"/>
              <w:kinsoku/>
              <w:wordWrap/>
              <w:overflowPunct/>
              <w:topLinePunct w:val="0"/>
              <w:autoSpaceDN/>
              <w:bidi w:val="0"/>
              <w:adjustRightInd/>
              <w:snapToGrid/>
              <w:ind w:left="105" w:leftChars="50" w:right="0"/>
              <w:rPr>
                <w:rFonts w:ascii="Arial"/>
                <w:sz w:val="21"/>
                <w:shd w:val="clear" w:color="auto" w:fill="auto"/>
              </w:rPr>
            </w:pPr>
          </w:p>
        </w:tc>
        <w:tc>
          <w:tcPr>
            <w:tcW w:w="1645" w:type="dxa"/>
            <w:vMerge w:val="continue"/>
            <w:vAlign w:val="top"/>
          </w:tcPr>
          <w:p w14:paraId="3C299316">
            <w:pPr>
              <w:keepNext w:val="0"/>
              <w:keepLines w:val="0"/>
              <w:pageBreakBefore w:val="0"/>
              <w:kinsoku/>
              <w:wordWrap/>
              <w:overflowPunct/>
              <w:topLinePunct w:val="0"/>
              <w:autoSpaceDN/>
              <w:bidi w:val="0"/>
              <w:adjustRightInd/>
              <w:snapToGrid/>
              <w:ind w:left="105" w:leftChars="50" w:right="0"/>
              <w:rPr>
                <w:rFonts w:ascii="Arial"/>
                <w:b w:val="0"/>
                <w:bCs w:val="0"/>
                <w:sz w:val="21"/>
                <w:shd w:val="clear" w:color="auto" w:fill="auto"/>
              </w:rPr>
            </w:pPr>
          </w:p>
        </w:tc>
        <w:tc>
          <w:tcPr>
            <w:tcW w:w="6288" w:type="dxa"/>
            <w:vAlign w:val="top"/>
          </w:tcPr>
          <w:p w14:paraId="23323BEA">
            <w:pPr>
              <w:pStyle w:val="491"/>
              <w:keepNext w:val="0"/>
              <w:keepLines w:val="0"/>
              <w:pageBreakBefore w:val="0"/>
              <w:kinsoku/>
              <w:wordWrap/>
              <w:overflowPunct/>
              <w:topLinePunct w:val="0"/>
              <w:autoSpaceDN/>
              <w:bidi w:val="0"/>
              <w:adjustRightInd/>
              <w:snapToGrid/>
              <w:spacing w:line="244" w:lineRule="auto"/>
              <w:ind w:left="105" w:leftChars="50" w:right="0" w:firstLine="5"/>
              <w:jc w:val="both"/>
              <w:rPr>
                <w:b w:val="0"/>
                <w:bCs w:val="0"/>
                <w:shd w:val="clear" w:color="auto" w:fill="auto"/>
              </w:rPr>
            </w:pPr>
            <w:r>
              <w:rPr>
                <w:rFonts w:hint="eastAsia"/>
                <w:b w:val="0"/>
                <w:bCs w:val="0"/>
                <w:color w:val="FF0000"/>
                <w:spacing w:val="-5"/>
                <w:shd w:val="clear" w:color="auto" w:fill="auto"/>
                <w:lang w:val="en-US" w:eastAsia="zh-CN"/>
              </w:rPr>
              <w:t>1.</w:t>
            </w:r>
            <w:r>
              <w:rPr>
                <w:b w:val="0"/>
                <w:bCs w:val="0"/>
                <w:color w:val="FF0000"/>
                <w:spacing w:val="-5"/>
                <w:shd w:val="clear" w:color="auto" w:fill="auto"/>
              </w:rPr>
              <w:t>7交货方式：中标方送货上门，并承担因运输货物所发生的一切费</w:t>
            </w:r>
            <w:r>
              <w:rPr>
                <w:b w:val="0"/>
                <w:bCs w:val="0"/>
                <w:color w:val="FF0000"/>
                <w:spacing w:val="-4"/>
                <w:shd w:val="clear" w:color="auto" w:fill="auto"/>
              </w:rPr>
              <w:t>用，包括但不限于运输费、保险费、装卸费</w:t>
            </w:r>
            <w:r>
              <w:rPr>
                <w:b w:val="0"/>
                <w:bCs w:val="0"/>
                <w:color w:val="FF0000"/>
                <w:spacing w:val="-5"/>
                <w:shd w:val="clear" w:color="auto" w:fill="auto"/>
              </w:rPr>
              <w:t>等。货物经采购方竣工</w:t>
            </w:r>
            <w:r>
              <w:rPr>
                <w:b w:val="0"/>
                <w:bCs w:val="0"/>
                <w:color w:val="FF0000"/>
                <w:spacing w:val="-4"/>
                <w:shd w:val="clear" w:color="auto" w:fill="auto"/>
              </w:rPr>
              <w:t>验收合格前毁损、灭失的风险由中标方承担。</w:t>
            </w:r>
          </w:p>
        </w:tc>
      </w:tr>
      <w:tr w14:paraId="1E486E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792" w:type="dxa"/>
            <w:vMerge w:val="continue"/>
            <w:vAlign w:val="top"/>
          </w:tcPr>
          <w:p w14:paraId="6B55000F">
            <w:pPr>
              <w:keepNext w:val="0"/>
              <w:keepLines w:val="0"/>
              <w:pageBreakBefore w:val="0"/>
              <w:kinsoku/>
              <w:wordWrap/>
              <w:overflowPunct/>
              <w:topLinePunct w:val="0"/>
              <w:autoSpaceDN/>
              <w:bidi w:val="0"/>
              <w:adjustRightInd/>
              <w:snapToGrid/>
              <w:ind w:left="105" w:leftChars="50" w:right="0"/>
              <w:rPr>
                <w:rFonts w:ascii="Arial"/>
                <w:sz w:val="21"/>
                <w:shd w:val="clear" w:color="auto" w:fill="auto"/>
              </w:rPr>
            </w:pPr>
          </w:p>
        </w:tc>
        <w:tc>
          <w:tcPr>
            <w:tcW w:w="1645" w:type="dxa"/>
            <w:vMerge w:val="continue"/>
            <w:vAlign w:val="top"/>
          </w:tcPr>
          <w:p w14:paraId="4F701E86">
            <w:pPr>
              <w:keepNext w:val="0"/>
              <w:keepLines w:val="0"/>
              <w:pageBreakBefore w:val="0"/>
              <w:kinsoku/>
              <w:wordWrap/>
              <w:overflowPunct/>
              <w:topLinePunct w:val="0"/>
              <w:autoSpaceDN/>
              <w:bidi w:val="0"/>
              <w:adjustRightInd/>
              <w:snapToGrid/>
              <w:ind w:left="105" w:leftChars="50" w:right="0"/>
              <w:rPr>
                <w:rFonts w:ascii="Arial"/>
                <w:b w:val="0"/>
                <w:bCs w:val="0"/>
                <w:sz w:val="21"/>
                <w:shd w:val="clear" w:color="auto" w:fill="auto"/>
              </w:rPr>
            </w:pPr>
          </w:p>
        </w:tc>
        <w:tc>
          <w:tcPr>
            <w:tcW w:w="6288" w:type="dxa"/>
            <w:vAlign w:val="top"/>
          </w:tcPr>
          <w:p w14:paraId="2D6EDF87">
            <w:pPr>
              <w:pStyle w:val="491"/>
              <w:keepNext w:val="0"/>
              <w:keepLines w:val="0"/>
              <w:pageBreakBefore w:val="0"/>
              <w:kinsoku/>
              <w:wordWrap/>
              <w:overflowPunct/>
              <w:topLinePunct w:val="0"/>
              <w:autoSpaceDN/>
              <w:bidi w:val="0"/>
              <w:adjustRightInd/>
              <w:snapToGrid/>
              <w:spacing w:line="235" w:lineRule="auto"/>
              <w:ind w:left="105" w:leftChars="50" w:right="0"/>
              <w:rPr>
                <w:b w:val="0"/>
                <w:bCs w:val="0"/>
                <w:shd w:val="clear" w:color="auto" w:fill="auto"/>
              </w:rPr>
            </w:pPr>
            <w:r>
              <w:rPr>
                <w:rFonts w:hint="eastAsia"/>
                <w:b w:val="0"/>
                <w:bCs w:val="0"/>
                <w:color w:val="FF0000"/>
                <w:spacing w:val="-4"/>
                <w:shd w:val="clear" w:color="auto" w:fill="auto"/>
                <w:lang w:val="en-US" w:eastAsia="zh-CN"/>
              </w:rPr>
              <w:t>1.</w:t>
            </w:r>
            <w:r>
              <w:rPr>
                <w:b w:val="0"/>
                <w:bCs w:val="0"/>
                <w:color w:val="FF0000"/>
                <w:spacing w:val="-4"/>
                <w:shd w:val="clear" w:color="auto" w:fill="auto"/>
              </w:rPr>
              <w:t>8开箱验货：中标方根据设备清单，负责运</w:t>
            </w:r>
            <w:r>
              <w:rPr>
                <w:b w:val="0"/>
                <w:bCs w:val="0"/>
                <w:color w:val="FF0000"/>
                <w:spacing w:val="-5"/>
                <w:shd w:val="clear" w:color="auto" w:fill="auto"/>
              </w:rPr>
              <w:t>输货物到达采购方指定</w:t>
            </w:r>
            <w:r>
              <w:rPr>
                <w:b w:val="0"/>
                <w:bCs w:val="0"/>
                <w:color w:val="FF0000"/>
                <w:spacing w:val="-3"/>
                <w:shd w:val="clear" w:color="auto" w:fill="auto"/>
              </w:rPr>
              <w:t>地点。根据有关规定，采购方组织中标方、监理方实施开箱验货。</w:t>
            </w:r>
          </w:p>
        </w:tc>
      </w:tr>
      <w:tr w14:paraId="47F422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4" w:hRule="atLeast"/>
        </w:trPr>
        <w:tc>
          <w:tcPr>
            <w:tcW w:w="792" w:type="dxa"/>
            <w:vMerge w:val="continue"/>
            <w:vAlign w:val="top"/>
          </w:tcPr>
          <w:p w14:paraId="79037CEC">
            <w:pPr>
              <w:keepNext w:val="0"/>
              <w:keepLines w:val="0"/>
              <w:pageBreakBefore w:val="0"/>
              <w:kinsoku/>
              <w:wordWrap/>
              <w:overflowPunct/>
              <w:topLinePunct w:val="0"/>
              <w:autoSpaceDN/>
              <w:bidi w:val="0"/>
              <w:adjustRightInd/>
              <w:snapToGrid/>
              <w:ind w:left="105" w:leftChars="50" w:right="0"/>
              <w:rPr>
                <w:rFonts w:ascii="Arial"/>
                <w:sz w:val="21"/>
                <w:shd w:val="clear" w:color="auto" w:fill="auto"/>
              </w:rPr>
            </w:pPr>
          </w:p>
        </w:tc>
        <w:tc>
          <w:tcPr>
            <w:tcW w:w="1645" w:type="dxa"/>
            <w:vMerge w:val="continue"/>
            <w:vAlign w:val="top"/>
          </w:tcPr>
          <w:p w14:paraId="0A079729">
            <w:pPr>
              <w:keepNext w:val="0"/>
              <w:keepLines w:val="0"/>
              <w:pageBreakBefore w:val="0"/>
              <w:kinsoku/>
              <w:wordWrap/>
              <w:overflowPunct/>
              <w:topLinePunct w:val="0"/>
              <w:autoSpaceDN/>
              <w:bidi w:val="0"/>
              <w:adjustRightInd/>
              <w:snapToGrid/>
              <w:ind w:left="105" w:leftChars="50" w:right="0"/>
              <w:rPr>
                <w:rFonts w:ascii="Arial"/>
                <w:b w:val="0"/>
                <w:bCs w:val="0"/>
                <w:sz w:val="21"/>
                <w:shd w:val="clear" w:color="auto" w:fill="auto"/>
              </w:rPr>
            </w:pPr>
          </w:p>
        </w:tc>
        <w:tc>
          <w:tcPr>
            <w:tcW w:w="6288" w:type="dxa"/>
            <w:vAlign w:val="top"/>
          </w:tcPr>
          <w:p w14:paraId="555133E7">
            <w:pPr>
              <w:pStyle w:val="491"/>
              <w:keepNext w:val="0"/>
              <w:keepLines w:val="0"/>
              <w:pageBreakBefore w:val="0"/>
              <w:kinsoku/>
              <w:wordWrap/>
              <w:overflowPunct/>
              <w:topLinePunct w:val="0"/>
              <w:autoSpaceDN/>
              <w:bidi w:val="0"/>
              <w:adjustRightInd/>
              <w:snapToGrid/>
              <w:spacing w:line="244" w:lineRule="auto"/>
              <w:ind w:left="105" w:leftChars="50" w:right="0"/>
              <w:jc w:val="both"/>
              <w:rPr>
                <w:b w:val="0"/>
                <w:bCs w:val="0"/>
                <w:shd w:val="clear" w:color="auto" w:fill="auto"/>
              </w:rPr>
            </w:pPr>
            <w:r>
              <w:rPr>
                <w:rFonts w:hint="eastAsia"/>
                <w:b w:val="0"/>
                <w:bCs w:val="0"/>
                <w:color w:val="FF0000"/>
                <w:spacing w:val="-4"/>
                <w:shd w:val="clear" w:color="auto" w:fill="auto"/>
                <w:lang w:val="en-US" w:eastAsia="zh-CN"/>
              </w:rPr>
              <w:t>1.</w:t>
            </w:r>
            <w:r>
              <w:rPr>
                <w:b w:val="0"/>
                <w:bCs w:val="0"/>
                <w:color w:val="FF0000"/>
                <w:spacing w:val="-4"/>
                <w:shd w:val="clear" w:color="auto" w:fill="auto"/>
              </w:rPr>
              <w:t>9中标方必须承担设备运输、安装调试、验</w:t>
            </w:r>
            <w:r>
              <w:rPr>
                <w:b w:val="0"/>
                <w:bCs w:val="0"/>
                <w:color w:val="FF0000"/>
                <w:spacing w:val="-5"/>
                <w:shd w:val="clear" w:color="auto" w:fill="auto"/>
              </w:rPr>
              <w:t>收检测和提供设备操作</w:t>
            </w:r>
            <w:r>
              <w:rPr>
                <w:b w:val="0"/>
                <w:bCs w:val="0"/>
                <w:color w:val="FF0000"/>
                <w:spacing w:val="-4"/>
                <w:shd w:val="clear" w:color="auto" w:fill="auto"/>
              </w:rPr>
              <w:t>说明书、图纸等其他类似的义务。所有设备</w:t>
            </w:r>
            <w:r>
              <w:rPr>
                <w:b w:val="0"/>
                <w:bCs w:val="0"/>
                <w:color w:val="FF0000"/>
                <w:spacing w:val="-5"/>
                <w:shd w:val="clear" w:color="auto" w:fill="auto"/>
              </w:rPr>
              <w:t>安装调试经采购方验收</w:t>
            </w:r>
            <w:r>
              <w:rPr>
                <w:b w:val="0"/>
                <w:bCs w:val="0"/>
                <w:color w:val="FF0000"/>
                <w:spacing w:val="-6"/>
                <w:shd w:val="clear" w:color="auto" w:fill="auto"/>
              </w:rPr>
              <w:t>合格后方可完成。</w:t>
            </w:r>
          </w:p>
        </w:tc>
      </w:tr>
      <w:tr w14:paraId="409183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92" w:type="dxa"/>
            <w:vAlign w:val="center"/>
          </w:tcPr>
          <w:p w14:paraId="33576C86">
            <w:pPr>
              <w:pStyle w:val="491"/>
              <w:keepNext w:val="0"/>
              <w:keepLines w:val="0"/>
              <w:pageBreakBefore w:val="0"/>
              <w:kinsoku/>
              <w:wordWrap/>
              <w:overflowPunct/>
              <w:topLinePunct w:val="0"/>
              <w:autoSpaceDN/>
              <w:bidi w:val="0"/>
              <w:adjustRightInd/>
              <w:snapToGrid/>
              <w:spacing w:line="242" w:lineRule="auto"/>
              <w:ind w:left="105" w:leftChars="50" w:right="0"/>
              <w:jc w:val="both"/>
              <w:rPr>
                <w:b w:val="0"/>
                <w:bCs w:val="0"/>
                <w:shd w:val="clear" w:color="auto" w:fill="auto"/>
              </w:rPr>
            </w:pPr>
            <w:r>
              <w:rPr>
                <w:b w:val="0"/>
                <w:bCs w:val="0"/>
                <w:color w:val="FF0000"/>
                <w:spacing w:val="-3"/>
                <w:shd w:val="clear" w:color="auto" w:fill="auto"/>
              </w:rPr>
              <w:t>2</w:t>
            </w:r>
          </w:p>
        </w:tc>
        <w:tc>
          <w:tcPr>
            <w:tcW w:w="1645" w:type="dxa"/>
            <w:vAlign w:val="center"/>
          </w:tcPr>
          <w:p w14:paraId="736CE523">
            <w:pPr>
              <w:pStyle w:val="491"/>
              <w:keepNext w:val="0"/>
              <w:keepLines w:val="0"/>
              <w:pageBreakBefore w:val="0"/>
              <w:kinsoku/>
              <w:wordWrap/>
              <w:overflowPunct/>
              <w:topLinePunct w:val="0"/>
              <w:autoSpaceDN/>
              <w:bidi w:val="0"/>
              <w:adjustRightInd/>
              <w:snapToGrid/>
              <w:spacing w:line="221" w:lineRule="auto"/>
              <w:ind w:left="105" w:leftChars="50" w:right="0"/>
              <w:jc w:val="both"/>
              <w:rPr>
                <w:b w:val="0"/>
                <w:bCs w:val="0"/>
                <w:shd w:val="clear" w:color="auto" w:fill="auto"/>
              </w:rPr>
            </w:pPr>
            <w:r>
              <w:rPr>
                <w:b w:val="0"/>
                <w:bCs w:val="0"/>
                <w:color w:val="FF0000"/>
                <w:spacing w:val="-4"/>
                <w:shd w:val="clear" w:color="auto" w:fill="auto"/>
              </w:rPr>
              <w:t>知识产权</w:t>
            </w:r>
          </w:p>
        </w:tc>
        <w:tc>
          <w:tcPr>
            <w:tcW w:w="6288" w:type="dxa"/>
            <w:vAlign w:val="top"/>
          </w:tcPr>
          <w:p w14:paraId="0864477F">
            <w:pPr>
              <w:pStyle w:val="491"/>
              <w:keepNext w:val="0"/>
              <w:keepLines w:val="0"/>
              <w:pageBreakBefore w:val="0"/>
              <w:kinsoku/>
              <w:wordWrap/>
              <w:overflowPunct/>
              <w:topLinePunct w:val="0"/>
              <w:autoSpaceDN/>
              <w:bidi w:val="0"/>
              <w:adjustRightInd/>
              <w:snapToGrid/>
              <w:spacing w:line="264" w:lineRule="auto"/>
              <w:ind w:left="105" w:leftChars="50" w:right="0" w:firstLine="6"/>
              <w:rPr>
                <w:b w:val="0"/>
                <w:bCs w:val="0"/>
                <w:shd w:val="clear" w:color="auto" w:fill="auto"/>
              </w:rPr>
            </w:pPr>
            <w:r>
              <w:rPr>
                <w:b w:val="0"/>
                <w:bCs w:val="0"/>
                <w:color w:val="FF0000"/>
                <w:spacing w:val="-1"/>
                <w:shd w:val="clear" w:color="auto" w:fill="auto"/>
              </w:rPr>
              <w:t>（1）本项目中所采用的、由中标单位授权采购单位使用</w:t>
            </w:r>
            <w:r>
              <w:rPr>
                <w:b w:val="0"/>
                <w:bCs w:val="0"/>
                <w:color w:val="FF0000"/>
                <w:spacing w:val="-2"/>
                <w:shd w:val="clear" w:color="auto" w:fill="auto"/>
              </w:rPr>
              <w:t>的应用系</w:t>
            </w:r>
            <w:r>
              <w:rPr>
                <w:b w:val="0"/>
                <w:bCs w:val="0"/>
                <w:color w:val="FF0000"/>
                <w:spacing w:val="-5"/>
                <w:shd w:val="clear" w:color="auto" w:fill="auto"/>
              </w:rPr>
              <w:t>统软件产品的知识产权，归中标单位或者是其他软件著作权单位所有。未经中标单位或者是其他软件著作权单位书面许可，采购单位（包括采购单位参与项目开发的人员）不得将该产品以任何方式提</w:t>
            </w:r>
            <w:r>
              <w:rPr>
                <w:b w:val="0"/>
                <w:bCs w:val="0"/>
                <w:color w:val="FF0000"/>
                <w:spacing w:val="-4"/>
                <w:shd w:val="clear" w:color="auto" w:fill="auto"/>
              </w:rPr>
              <w:t>供给任何第三方或扩大使用版权的范围。</w:t>
            </w:r>
          </w:p>
          <w:p w14:paraId="117ECE0C">
            <w:pPr>
              <w:pStyle w:val="491"/>
              <w:keepNext w:val="0"/>
              <w:keepLines w:val="0"/>
              <w:pageBreakBefore w:val="0"/>
              <w:kinsoku/>
              <w:wordWrap/>
              <w:overflowPunct/>
              <w:topLinePunct w:val="0"/>
              <w:autoSpaceDN/>
              <w:bidi w:val="0"/>
              <w:adjustRightInd/>
              <w:snapToGrid/>
              <w:spacing w:line="263" w:lineRule="auto"/>
              <w:ind w:left="105" w:leftChars="50" w:right="0" w:firstLine="7"/>
              <w:rPr>
                <w:b w:val="0"/>
                <w:bCs w:val="0"/>
                <w:shd w:val="clear" w:color="auto" w:fill="auto"/>
              </w:rPr>
            </w:pPr>
            <w:r>
              <w:rPr>
                <w:b w:val="0"/>
                <w:bCs w:val="0"/>
                <w:color w:val="FF0000"/>
                <w:spacing w:val="-2"/>
                <w:shd w:val="clear" w:color="auto" w:fill="auto"/>
              </w:rPr>
              <w:t>（2）在本项目中，中标单位根据采购单位的需求订制开发的软件及其知识产权归采购单位和中标单位双方共同所有。</w:t>
            </w:r>
          </w:p>
          <w:p w14:paraId="1B918BEA">
            <w:pPr>
              <w:pStyle w:val="491"/>
              <w:keepNext w:val="0"/>
              <w:keepLines w:val="0"/>
              <w:pageBreakBefore w:val="0"/>
              <w:kinsoku/>
              <w:wordWrap/>
              <w:overflowPunct/>
              <w:topLinePunct w:val="0"/>
              <w:autoSpaceDN/>
              <w:bidi w:val="0"/>
              <w:adjustRightInd/>
              <w:snapToGrid/>
              <w:spacing w:line="263" w:lineRule="auto"/>
              <w:ind w:left="105" w:leftChars="50" w:right="0" w:firstLine="5"/>
              <w:rPr>
                <w:b w:val="0"/>
                <w:bCs w:val="0"/>
                <w:shd w:val="clear" w:color="auto" w:fill="auto"/>
              </w:rPr>
            </w:pPr>
            <w:r>
              <w:rPr>
                <w:b w:val="0"/>
                <w:bCs w:val="0"/>
                <w:color w:val="FF0000"/>
                <w:spacing w:val="-1"/>
                <w:shd w:val="clear" w:color="auto" w:fill="auto"/>
              </w:rPr>
              <w:t>（3）中标单位提供的服务及其任何部分不受到任何第三</w:t>
            </w:r>
            <w:r>
              <w:rPr>
                <w:b w:val="0"/>
                <w:bCs w:val="0"/>
                <w:color w:val="FF0000"/>
                <w:spacing w:val="-2"/>
                <w:shd w:val="clear" w:color="auto" w:fill="auto"/>
              </w:rPr>
              <w:t>方关于侵</w:t>
            </w:r>
            <w:r>
              <w:rPr>
                <w:b w:val="0"/>
                <w:bCs w:val="0"/>
                <w:color w:val="FF0000"/>
                <w:spacing w:val="-5"/>
                <w:shd w:val="clear" w:color="auto" w:fill="auto"/>
              </w:rPr>
              <w:t>犯知识产权的指控。任何第三方如果提出侵权指控，中标单位需承担由此而引起的一切法律责任和费用，并赔偿采购单位由此造成的</w:t>
            </w:r>
            <w:r>
              <w:rPr>
                <w:b w:val="0"/>
                <w:bCs w:val="0"/>
                <w:color w:val="FF0000"/>
                <w:spacing w:val="-8"/>
                <w:shd w:val="clear" w:color="auto" w:fill="auto"/>
              </w:rPr>
              <w:t>一切损失。</w:t>
            </w:r>
          </w:p>
          <w:p w14:paraId="2A3A886B">
            <w:pPr>
              <w:pStyle w:val="491"/>
              <w:keepNext w:val="0"/>
              <w:keepLines w:val="0"/>
              <w:pageBreakBefore w:val="0"/>
              <w:kinsoku/>
              <w:wordWrap/>
              <w:overflowPunct/>
              <w:topLinePunct w:val="0"/>
              <w:autoSpaceDN/>
              <w:bidi w:val="0"/>
              <w:adjustRightInd/>
              <w:snapToGrid/>
              <w:spacing w:line="263" w:lineRule="auto"/>
              <w:ind w:left="105" w:leftChars="50" w:right="0" w:firstLine="6"/>
              <w:rPr>
                <w:b w:val="0"/>
                <w:bCs w:val="0"/>
                <w:shd w:val="clear" w:color="auto" w:fill="auto"/>
              </w:rPr>
            </w:pPr>
            <w:r>
              <w:rPr>
                <w:b w:val="0"/>
                <w:bCs w:val="0"/>
                <w:color w:val="FF0000"/>
                <w:spacing w:val="-1"/>
                <w:shd w:val="clear" w:color="auto" w:fill="auto"/>
              </w:rPr>
              <w:t>（4）中标单位应向采购单位提供数据库结构的清单。清</w:t>
            </w:r>
            <w:r>
              <w:rPr>
                <w:b w:val="0"/>
                <w:bCs w:val="0"/>
                <w:color w:val="FF0000"/>
                <w:spacing w:val="-2"/>
                <w:shd w:val="clear" w:color="auto" w:fill="auto"/>
              </w:rPr>
              <w:t>单内容包</w:t>
            </w:r>
            <w:r>
              <w:rPr>
                <w:b w:val="0"/>
                <w:bCs w:val="0"/>
                <w:color w:val="FF0000"/>
                <w:spacing w:val="-9"/>
                <w:shd w:val="clear" w:color="auto" w:fill="auto"/>
              </w:rPr>
              <w:t>括：数据库名、表结构；表名、字段名的详</w:t>
            </w:r>
            <w:r>
              <w:rPr>
                <w:b w:val="0"/>
                <w:bCs w:val="0"/>
                <w:color w:val="FF0000"/>
                <w:spacing w:val="-10"/>
                <w:shd w:val="clear" w:color="auto" w:fill="auto"/>
              </w:rPr>
              <w:t>细描述；表的主键及外</w:t>
            </w:r>
            <w:r>
              <w:rPr>
                <w:b w:val="0"/>
                <w:bCs w:val="0"/>
                <w:color w:val="FF0000"/>
                <w:spacing w:val="-4"/>
                <w:shd w:val="clear" w:color="auto" w:fill="auto"/>
              </w:rPr>
              <w:t>部键的定义；索引定义及描述等。</w:t>
            </w:r>
          </w:p>
          <w:p w14:paraId="6FFE3370">
            <w:pPr>
              <w:pStyle w:val="491"/>
              <w:keepNext w:val="0"/>
              <w:keepLines w:val="0"/>
              <w:pageBreakBefore w:val="0"/>
              <w:kinsoku/>
              <w:wordWrap/>
              <w:overflowPunct/>
              <w:topLinePunct w:val="0"/>
              <w:autoSpaceDN/>
              <w:bidi w:val="0"/>
              <w:adjustRightInd/>
              <w:snapToGrid/>
              <w:spacing w:line="263" w:lineRule="auto"/>
              <w:ind w:left="105" w:leftChars="50" w:right="0" w:firstLine="7"/>
              <w:rPr>
                <w:b w:val="0"/>
                <w:bCs w:val="0"/>
                <w:shd w:val="clear" w:color="auto" w:fill="auto"/>
              </w:rPr>
            </w:pPr>
            <w:r>
              <w:rPr>
                <w:b w:val="0"/>
                <w:bCs w:val="0"/>
                <w:color w:val="FF0000"/>
                <w:spacing w:val="-2"/>
                <w:shd w:val="clear" w:color="auto" w:fill="auto"/>
              </w:rPr>
              <w:t>（5）中标单位应向采购单位提供软件开发和接口开发的全套程序</w:t>
            </w:r>
            <w:r>
              <w:rPr>
                <w:b w:val="0"/>
                <w:bCs w:val="0"/>
                <w:color w:val="FF0000"/>
                <w:spacing w:val="-9"/>
                <w:shd w:val="clear" w:color="auto" w:fill="auto"/>
              </w:rPr>
              <w:t>源代码。</w:t>
            </w:r>
          </w:p>
          <w:p w14:paraId="01B30961">
            <w:pPr>
              <w:pStyle w:val="491"/>
              <w:keepNext w:val="0"/>
              <w:keepLines w:val="0"/>
              <w:pageBreakBefore w:val="0"/>
              <w:kinsoku/>
              <w:wordWrap/>
              <w:overflowPunct/>
              <w:topLinePunct w:val="0"/>
              <w:autoSpaceDN/>
              <w:bidi w:val="0"/>
              <w:adjustRightInd/>
              <w:snapToGrid/>
              <w:spacing w:line="263" w:lineRule="auto"/>
              <w:ind w:left="105" w:leftChars="50" w:right="0" w:firstLine="2"/>
              <w:rPr>
                <w:b w:val="0"/>
                <w:bCs w:val="0"/>
                <w:shd w:val="clear" w:color="auto" w:fill="auto"/>
              </w:rPr>
            </w:pPr>
            <w:r>
              <w:rPr>
                <w:b w:val="0"/>
                <w:bCs w:val="0"/>
                <w:color w:val="FF0000"/>
                <w:spacing w:val="-1"/>
                <w:shd w:val="clear" w:color="auto" w:fill="auto"/>
              </w:rPr>
              <w:t>（6）中标单位在完成系统建设工程后应参照软件工程的</w:t>
            </w:r>
            <w:r>
              <w:rPr>
                <w:b w:val="0"/>
                <w:bCs w:val="0"/>
                <w:color w:val="FF0000"/>
                <w:spacing w:val="-2"/>
                <w:shd w:val="clear" w:color="auto" w:fill="auto"/>
              </w:rPr>
              <w:t>国家标准</w:t>
            </w:r>
            <w:r>
              <w:rPr>
                <w:b w:val="0"/>
                <w:bCs w:val="0"/>
                <w:color w:val="FF0000"/>
                <w:spacing w:val="-5"/>
                <w:shd w:val="clear" w:color="auto" w:fill="auto"/>
              </w:rPr>
              <w:t>向采购单位提供相关技术文档，包括详细设计、测试报告、验收报</w:t>
            </w:r>
            <w:r>
              <w:rPr>
                <w:b w:val="0"/>
                <w:bCs w:val="0"/>
                <w:color w:val="FF0000"/>
                <w:spacing w:val="-9"/>
                <w:shd w:val="clear" w:color="auto" w:fill="auto"/>
              </w:rPr>
              <w:t>告、系统及应用软件清单及介质、用户手册、管理手册、安装指南、</w:t>
            </w:r>
            <w:r>
              <w:rPr>
                <w:b w:val="0"/>
                <w:bCs w:val="0"/>
                <w:color w:val="FF0000"/>
                <w:spacing w:val="-4"/>
                <w:shd w:val="clear" w:color="auto" w:fill="auto"/>
              </w:rPr>
              <w:t>项目源代码等用户文档资料。</w:t>
            </w:r>
          </w:p>
          <w:p w14:paraId="1115BFEA">
            <w:pPr>
              <w:pStyle w:val="491"/>
              <w:keepNext w:val="0"/>
              <w:keepLines w:val="0"/>
              <w:pageBreakBefore w:val="0"/>
              <w:kinsoku/>
              <w:wordWrap/>
              <w:overflowPunct/>
              <w:topLinePunct w:val="0"/>
              <w:autoSpaceDN/>
              <w:bidi w:val="0"/>
              <w:adjustRightInd/>
              <w:snapToGrid/>
              <w:spacing w:line="249" w:lineRule="auto"/>
              <w:ind w:left="105" w:leftChars="50" w:right="0" w:firstLine="7"/>
              <w:rPr>
                <w:b w:val="0"/>
                <w:bCs w:val="0"/>
                <w:shd w:val="clear" w:color="auto" w:fill="auto"/>
              </w:rPr>
            </w:pPr>
            <w:r>
              <w:rPr>
                <w:b w:val="0"/>
                <w:bCs w:val="0"/>
                <w:color w:val="FF0000"/>
                <w:spacing w:val="-1"/>
                <w:shd w:val="clear" w:color="auto" w:fill="auto"/>
              </w:rPr>
              <w:t>（7）中标单位提交给采购单位的所有书面成果及相关资料的</w:t>
            </w:r>
            <w:r>
              <w:rPr>
                <w:b w:val="0"/>
                <w:bCs w:val="0"/>
                <w:color w:val="FF0000"/>
                <w:spacing w:val="-2"/>
                <w:shd w:val="clear" w:color="auto" w:fill="auto"/>
              </w:rPr>
              <w:t>最后</w:t>
            </w:r>
            <w:r>
              <w:rPr>
                <w:b w:val="0"/>
                <w:bCs w:val="0"/>
                <w:color w:val="FF0000"/>
                <w:spacing w:val="-5"/>
                <w:shd w:val="clear" w:color="auto" w:fill="auto"/>
              </w:rPr>
              <w:t>文本，包括为履行本合同义务所编制的图纸、计划、证明资料、源</w:t>
            </w:r>
            <w:r>
              <w:rPr>
                <w:b w:val="0"/>
                <w:bCs w:val="0"/>
                <w:color w:val="FF0000"/>
                <w:spacing w:val="-4"/>
                <w:shd w:val="clear" w:color="auto" w:fill="auto"/>
              </w:rPr>
              <w:t>代码、清单等材料的所有权、知识产权等合法权</w:t>
            </w:r>
            <w:r>
              <w:rPr>
                <w:b w:val="0"/>
                <w:bCs w:val="0"/>
                <w:color w:val="FF0000"/>
                <w:spacing w:val="-5"/>
                <w:shd w:val="clear" w:color="auto" w:fill="auto"/>
              </w:rPr>
              <w:t>益均为采购单位和中标单位双方共同享有，中标单位在提交给采购单位之前应将上述资料进行整理归类和编制索引。</w:t>
            </w:r>
          </w:p>
        </w:tc>
      </w:tr>
      <w:tr w14:paraId="28D991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792" w:type="dxa"/>
            <w:vAlign w:val="top"/>
          </w:tcPr>
          <w:p w14:paraId="47B31D02">
            <w:pPr>
              <w:keepNext w:val="0"/>
              <w:keepLines w:val="0"/>
              <w:pageBreakBefore w:val="0"/>
              <w:kinsoku/>
              <w:wordWrap/>
              <w:overflowPunct/>
              <w:topLinePunct w:val="0"/>
              <w:autoSpaceDN/>
              <w:bidi w:val="0"/>
              <w:adjustRightInd/>
              <w:snapToGrid/>
              <w:spacing w:line="258" w:lineRule="auto"/>
              <w:ind w:left="105" w:leftChars="50" w:right="0"/>
              <w:rPr>
                <w:rFonts w:ascii="Arial"/>
                <w:b w:val="0"/>
                <w:bCs w:val="0"/>
                <w:sz w:val="21"/>
                <w:shd w:val="clear" w:color="auto" w:fill="auto"/>
              </w:rPr>
            </w:pPr>
          </w:p>
          <w:p w14:paraId="7810393C">
            <w:pPr>
              <w:keepNext w:val="0"/>
              <w:keepLines w:val="0"/>
              <w:pageBreakBefore w:val="0"/>
              <w:kinsoku/>
              <w:wordWrap/>
              <w:overflowPunct/>
              <w:topLinePunct w:val="0"/>
              <w:autoSpaceDN/>
              <w:bidi w:val="0"/>
              <w:adjustRightInd/>
              <w:snapToGrid/>
              <w:spacing w:line="259" w:lineRule="auto"/>
              <w:ind w:left="105" w:leftChars="50" w:right="0"/>
              <w:rPr>
                <w:rFonts w:ascii="Arial"/>
                <w:b w:val="0"/>
                <w:bCs w:val="0"/>
                <w:sz w:val="21"/>
                <w:shd w:val="clear" w:color="auto" w:fill="auto"/>
              </w:rPr>
            </w:pPr>
          </w:p>
          <w:p w14:paraId="1B778A60">
            <w:pPr>
              <w:keepNext w:val="0"/>
              <w:keepLines w:val="0"/>
              <w:pageBreakBefore w:val="0"/>
              <w:kinsoku/>
              <w:wordWrap/>
              <w:overflowPunct/>
              <w:topLinePunct w:val="0"/>
              <w:autoSpaceDN/>
              <w:bidi w:val="0"/>
              <w:adjustRightInd/>
              <w:snapToGrid/>
              <w:spacing w:line="259" w:lineRule="auto"/>
              <w:ind w:left="105" w:leftChars="50" w:right="0"/>
              <w:rPr>
                <w:rFonts w:ascii="Arial"/>
                <w:b w:val="0"/>
                <w:bCs w:val="0"/>
                <w:sz w:val="21"/>
                <w:shd w:val="clear" w:color="auto" w:fill="auto"/>
              </w:rPr>
            </w:pPr>
          </w:p>
          <w:p w14:paraId="3FC2599A">
            <w:pPr>
              <w:keepNext w:val="0"/>
              <w:keepLines w:val="0"/>
              <w:pageBreakBefore w:val="0"/>
              <w:kinsoku/>
              <w:wordWrap/>
              <w:overflowPunct/>
              <w:topLinePunct w:val="0"/>
              <w:autoSpaceDN/>
              <w:bidi w:val="0"/>
              <w:adjustRightInd/>
              <w:snapToGrid/>
              <w:spacing w:line="259" w:lineRule="auto"/>
              <w:ind w:left="105" w:leftChars="50" w:right="0"/>
              <w:rPr>
                <w:rFonts w:ascii="Arial"/>
                <w:b w:val="0"/>
                <w:bCs w:val="0"/>
                <w:sz w:val="21"/>
                <w:shd w:val="clear" w:color="auto" w:fill="auto"/>
              </w:rPr>
            </w:pPr>
          </w:p>
          <w:p w14:paraId="2E3859B0">
            <w:pPr>
              <w:pStyle w:val="491"/>
              <w:keepNext w:val="0"/>
              <w:keepLines w:val="0"/>
              <w:pageBreakBefore w:val="0"/>
              <w:kinsoku/>
              <w:wordWrap/>
              <w:overflowPunct/>
              <w:topLinePunct w:val="0"/>
              <w:autoSpaceDN/>
              <w:bidi w:val="0"/>
              <w:adjustRightInd/>
              <w:snapToGrid/>
              <w:spacing w:line="241" w:lineRule="auto"/>
              <w:ind w:left="105" w:leftChars="50" w:right="0"/>
              <w:rPr>
                <w:b w:val="0"/>
                <w:bCs w:val="0"/>
                <w:shd w:val="clear" w:color="auto" w:fill="auto"/>
              </w:rPr>
            </w:pPr>
            <w:r>
              <w:rPr>
                <w:b w:val="0"/>
                <w:bCs w:val="0"/>
                <w:color w:val="FF0000"/>
                <w:spacing w:val="-3"/>
                <w:shd w:val="clear" w:color="auto" w:fill="auto"/>
              </w:rPr>
              <w:t>3</w:t>
            </w:r>
          </w:p>
        </w:tc>
        <w:tc>
          <w:tcPr>
            <w:tcW w:w="1645" w:type="dxa"/>
            <w:vAlign w:val="top"/>
          </w:tcPr>
          <w:p w14:paraId="32FA04D7">
            <w:pPr>
              <w:keepNext w:val="0"/>
              <w:keepLines w:val="0"/>
              <w:pageBreakBefore w:val="0"/>
              <w:kinsoku/>
              <w:wordWrap/>
              <w:overflowPunct/>
              <w:topLinePunct w:val="0"/>
              <w:autoSpaceDN/>
              <w:bidi w:val="0"/>
              <w:adjustRightInd/>
              <w:snapToGrid/>
              <w:spacing w:line="258" w:lineRule="auto"/>
              <w:ind w:left="105" w:leftChars="50" w:right="0"/>
              <w:rPr>
                <w:rFonts w:ascii="Arial"/>
                <w:b w:val="0"/>
                <w:bCs w:val="0"/>
                <w:sz w:val="21"/>
                <w:shd w:val="clear" w:color="auto" w:fill="auto"/>
              </w:rPr>
            </w:pPr>
          </w:p>
          <w:p w14:paraId="5D9EABBD">
            <w:pPr>
              <w:keepNext w:val="0"/>
              <w:keepLines w:val="0"/>
              <w:pageBreakBefore w:val="0"/>
              <w:kinsoku/>
              <w:wordWrap/>
              <w:overflowPunct/>
              <w:topLinePunct w:val="0"/>
              <w:autoSpaceDN/>
              <w:bidi w:val="0"/>
              <w:adjustRightInd/>
              <w:snapToGrid/>
              <w:spacing w:line="259" w:lineRule="auto"/>
              <w:ind w:left="105" w:leftChars="50" w:right="0"/>
              <w:rPr>
                <w:rFonts w:ascii="Arial"/>
                <w:b w:val="0"/>
                <w:bCs w:val="0"/>
                <w:sz w:val="21"/>
                <w:shd w:val="clear" w:color="auto" w:fill="auto"/>
              </w:rPr>
            </w:pPr>
          </w:p>
          <w:p w14:paraId="13CF9DC2">
            <w:pPr>
              <w:keepNext w:val="0"/>
              <w:keepLines w:val="0"/>
              <w:pageBreakBefore w:val="0"/>
              <w:kinsoku/>
              <w:wordWrap/>
              <w:overflowPunct/>
              <w:topLinePunct w:val="0"/>
              <w:autoSpaceDN/>
              <w:bidi w:val="0"/>
              <w:adjustRightInd/>
              <w:snapToGrid/>
              <w:spacing w:line="259" w:lineRule="auto"/>
              <w:ind w:left="105" w:leftChars="50" w:right="0"/>
              <w:rPr>
                <w:rFonts w:ascii="Arial"/>
                <w:b w:val="0"/>
                <w:bCs w:val="0"/>
                <w:sz w:val="21"/>
                <w:shd w:val="clear" w:color="auto" w:fill="auto"/>
              </w:rPr>
            </w:pPr>
          </w:p>
          <w:p w14:paraId="247B756F">
            <w:pPr>
              <w:keepNext w:val="0"/>
              <w:keepLines w:val="0"/>
              <w:pageBreakBefore w:val="0"/>
              <w:kinsoku/>
              <w:wordWrap/>
              <w:overflowPunct/>
              <w:topLinePunct w:val="0"/>
              <w:autoSpaceDN/>
              <w:bidi w:val="0"/>
              <w:adjustRightInd/>
              <w:snapToGrid/>
              <w:spacing w:line="259" w:lineRule="auto"/>
              <w:ind w:left="105" w:leftChars="50" w:right="0"/>
              <w:rPr>
                <w:rFonts w:ascii="Arial"/>
                <w:b w:val="0"/>
                <w:bCs w:val="0"/>
                <w:sz w:val="21"/>
                <w:shd w:val="clear" w:color="auto" w:fill="auto"/>
              </w:rPr>
            </w:pPr>
          </w:p>
          <w:p w14:paraId="2EFE8D33">
            <w:pPr>
              <w:pStyle w:val="491"/>
              <w:keepNext w:val="0"/>
              <w:keepLines w:val="0"/>
              <w:pageBreakBefore w:val="0"/>
              <w:kinsoku/>
              <w:wordWrap/>
              <w:overflowPunct/>
              <w:topLinePunct w:val="0"/>
              <w:autoSpaceDN/>
              <w:bidi w:val="0"/>
              <w:adjustRightInd/>
              <w:snapToGrid/>
              <w:spacing w:line="221" w:lineRule="auto"/>
              <w:ind w:left="105" w:leftChars="50" w:right="0"/>
              <w:rPr>
                <w:b w:val="0"/>
                <w:bCs w:val="0"/>
                <w:shd w:val="clear" w:color="auto" w:fill="auto"/>
              </w:rPr>
            </w:pPr>
            <w:r>
              <w:rPr>
                <w:b w:val="0"/>
                <w:bCs w:val="0"/>
                <w:color w:val="FF0000"/>
                <w:spacing w:val="-3"/>
                <w:shd w:val="clear" w:color="auto" w:fill="auto"/>
              </w:rPr>
              <w:t>验收要求</w:t>
            </w:r>
          </w:p>
        </w:tc>
        <w:tc>
          <w:tcPr>
            <w:tcW w:w="6288" w:type="dxa"/>
            <w:vAlign w:val="top"/>
          </w:tcPr>
          <w:p w14:paraId="5CD7A0E2">
            <w:pPr>
              <w:keepNext w:val="0"/>
              <w:keepLines w:val="0"/>
              <w:pageBreakBefore w:val="0"/>
              <w:widowControl/>
              <w:kinsoku/>
              <w:wordWrap/>
              <w:overflowPunct/>
              <w:topLinePunct w:val="0"/>
              <w:autoSpaceDN/>
              <w:bidi w:val="0"/>
              <w:adjustRightInd/>
              <w:snapToGrid/>
              <w:ind w:left="105" w:leftChars="50" w:right="0"/>
              <w:textAlignment w:val="baseline"/>
              <w:rPr>
                <w:rFonts w:ascii="宋体" w:hAnsi="宋体" w:eastAsia="宋体" w:cs="宋体"/>
                <w:b w:val="0"/>
                <w:bCs w:val="0"/>
                <w:color w:val="FF0000"/>
                <w:spacing w:val="-5"/>
                <w:kern w:val="2"/>
                <w:sz w:val="21"/>
                <w:szCs w:val="21"/>
                <w:shd w:val="clear" w:color="auto" w:fill="auto"/>
                <w:lang w:val="en-US" w:eastAsia="en-US" w:bidi="ar-SA"/>
              </w:rPr>
            </w:pPr>
            <w:r>
              <w:rPr>
                <w:rFonts w:hint="eastAsia" w:ascii="宋体" w:hAnsi="宋体" w:eastAsia="宋体" w:cs="宋体"/>
                <w:b w:val="0"/>
                <w:bCs w:val="0"/>
                <w:color w:val="FF0000"/>
                <w:spacing w:val="-5"/>
                <w:kern w:val="2"/>
                <w:sz w:val="21"/>
                <w:szCs w:val="21"/>
                <w:shd w:val="clear" w:color="auto" w:fill="auto"/>
                <w:lang w:val="en-US" w:eastAsia="en-US" w:bidi="ar-SA"/>
              </w:rPr>
              <w:t>1.项目验收前，中标单位将系统及软硬件安装调试至采购单位指定地点及部署环境，将服务有关的技术文件、资料、验收报告等文档交付采购单位。</w:t>
            </w:r>
          </w:p>
          <w:p w14:paraId="3708126A">
            <w:pPr>
              <w:keepNext w:val="0"/>
              <w:keepLines w:val="0"/>
              <w:pageBreakBefore w:val="0"/>
              <w:kinsoku/>
              <w:wordWrap/>
              <w:overflowPunct/>
              <w:topLinePunct w:val="0"/>
              <w:autoSpaceDN/>
              <w:bidi w:val="0"/>
              <w:adjustRightInd/>
              <w:snapToGrid/>
              <w:ind w:left="105" w:leftChars="50" w:right="0"/>
              <w:textAlignment w:val="baseline"/>
              <w:rPr>
                <w:rFonts w:ascii="宋体" w:hAnsi="宋体" w:eastAsia="宋体" w:cs="宋体"/>
                <w:b w:val="0"/>
                <w:bCs w:val="0"/>
                <w:color w:val="FF0000"/>
                <w:spacing w:val="-5"/>
                <w:kern w:val="2"/>
                <w:sz w:val="21"/>
                <w:szCs w:val="21"/>
                <w:shd w:val="clear" w:color="auto" w:fill="auto"/>
                <w:lang w:val="en-US" w:eastAsia="en-US" w:bidi="ar-SA"/>
              </w:rPr>
            </w:pPr>
            <w:r>
              <w:rPr>
                <w:rFonts w:hint="eastAsia" w:ascii="宋体" w:hAnsi="宋体" w:eastAsia="宋体" w:cs="宋体"/>
                <w:b w:val="0"/>
                <w:bCs w:val="0"/>
                <w:color w:val="FF0000"/>
                <w:spacing w:val="-5"/>
                <w:kern w:val="2"/>
                <w:sz w:val="21"/>
                <w:szCs w:val="21"/>
                <w:shd w:val="clear" w:color="auto" w:fill="auto"/>
                <w:lang w:val="en-US" w:eastAsia="en-US" w:bidi="ar-SA"/>
              </w:rPr>
              <w:t>2.</w:t>
            </w:r>
            <w:r>
              <w:rPr>
                <w:rFonts w:hint="eastAsia" w:ascii="宋体" w:hAnsi="宋体" w:eastAsia="宋体" w:cs="宋体"/>
                <w:b w:val="0"/>
                <w:bCs w:val="0"/>
                <w:color w:val="FF0000"/>
                <w:spacing w:val="-5"/>
                <w:kern w:val="2"/>
                <w:sz w:val="21"/>
                <w:szCs w:val="21"/>
                <w:shd w:val="clear" w:color="auto" w:fill="auto"/>
                <w:lang w:val="en-US" w:eastAsia="zh-CN" w:bidi="ar-SA"/>
              </w:rPr>
              <w:t>项目软件和硬件两部分分开验收，硬件部分依据创新大道整体规划分为“施工I标”、“施工II标”、“施工III标”、“施工IV标”共四个阶段，不分先后，</w:t>
            </w:r>
            <w:r>
              <w:rPr>
                <w:rFonts w:hint="eastAsia" w:ascii="宋体" w:hAnsi="宋体" w:eastAsia="宋体" w:cs="宋体"/>
                <w:b w:val="0"/>
                <w:bCs w:val="0"/>
                <w:color w:val="FF0000"/>
                <w:spacing w:val="-5"/>
                <w:kern w:val="2"/>
                <w:sz w:val="21"/>
                <w:szCs w:val="21"/>
                <w:shd w:val="clear" w:color="auto" w:fill="auto"/>
                <w:lang w:val="en-US" w:eastAsia="en-US" w:bidi="ar-SA"/>
              </w:rPr>
              <w:t>各阶段任务达到可验收状态后，中标单位应及时提交采购单位验收。验收合格的，出具初步/最终验收报告；验收不合格的，中标单位应在30个工作日内按采购单位反馈要求进行整改，直至采购单位验收合格，且中标单位工期不顺延。</w:t>
            </w:r>
          </w:p>
          <w:p w14:paraId="3DA4390E">
            <w:pPr>
              <w:keepNext w:val="0"/>
              <w:keepLines w:val="0"/>
              <w:pageBreakBefore w:val="0"/>
              <w:kinsoku/>
              <w:wordWrap/>
              <w:overflowPunct/>
              <w:topLinePunct w:val="0"/>
              <w:autoSpaceDN/>
              <w:bidi w:val="0"/>
              <w:adjustRightInd/>
              <w:snapToGrid/>
              <w:ind w:left="105" w:leftChars="50" w:right="0"/>
              <w:textAlignment w:val="baseline"/>
              <w:rPr>
                <w:rFonts w:ascii="宋体" w:hAnsi="宋体" w:eastAsia="宋体" w:cs="宋体"/>
                <w:b w:val="0"/>
                <w:bCs w:val="0"/>
                <w:color w:val="FF0000"/>
                <w:spacing w:val="-5"/>
                <w:kern w:val="2"/>
                <w:sz w:val="21"/>
                <w:szCs w:val="21"/>
                <w:shd w:val="clear" w:color="auto" w:fill="auto"/>
                <w:lang w:val="en-US" w:eastAsia="en-US" w:bidi="ar-SA"/>
              </w:rPr>
            </w:pPr>
            <w:r>
              <w:rPr>
                <w:rFonts w:hint="eastAsia" w:ascii="宋体" w:hAnsi="宋体" w:eastAsia="宋体" w:cs="宋体"/>
                <w:b w:val="0"/>
                <w:bCs w:val="0"/>
                <w:color w:val="FF0000"/>
                <w:spacing w:val="-5"/>
                <w:kern w:val="2"/>
                <w:sz w:val="21"/>
                <w:szCs w:val="21"/>
                <w:shd w:val="clear" w:color="auto" w:fill="auto"/>
                <w:lang w:val="en-US" w:eastAsia="en-US" w:bidi="ar-SA"/>
              </w:rPr>
              <w:t>3.当满足以下条件时，采购单位向中标单位出具项目验收报告：</w:t>
            </w:r>
          </w:p>
          <w:p w14:paraId="1F159D36">
            <w:pPr>
              <w:keepNext w:val="0"/>
              <w:keepLines w:val="0"/>
              <w:pageBreakBefore w:val="0"/>
              <w:kinsoku/>
              <w:wordWrap/>
              <w:overflowPunct/>
              <w:topLinePunct w:val="0"/>
              <w:autoSpaceDN/>
              <w:bidi w:val="0"/>
              <w:adjustRightInd/>
              <w:snapToGrid/>
              <w:ind w:left="105" w:leftChars="50" w:right="0"/>
              <w:textAlignment w:val="baseline"/>
              <w:rPr>
                <w:rFonts w:ascii="宋体" w:hAnsi="宋体" w:eastAsia="宋体" w:cs="宋体"/>
                <w:b w:val="0"/>
                <w:bCs w:val="0"/>
                <w:color w:val="FF0000"/>
                <w:spacing w:val="-5"/>
                <w:kern w:val="2"/>
                <w:sz w:val="21"/>
                <w:szCs w:val="21"/>
                <w:shd w:val="clear" w:color="auto" w:fill="auto"/>
                <w:lang w:val="en-US" w:eastAsia="en-US" w:bidi="ar-SA"/>
              </w:rPr>
            </w:pPr>
            <w:r>
              <w:rPr>
                <w:rFonts w:hint="eastAsia" w:ascii="宋体" w:hAnsi="宋体" w:eastAsia="宋体" w:cs="宋体"/>
                <w:b w:val="0"/>
                <w:bCs w:val="0"/>
                <w:color w:val="FF0000"/>
                <w:spacing w:val="-5"/>
                <w:kern w:val="2"/>
                <w:sz w:val="21"/>
                <w:szCs w:val="21"/>
                <w:shd w:val="clear" w:color="auto" w:fill="auto"/>
                <w:lang w:val="en-US" w:eastAsia="en-US" w:bidi="ar-SA"/>
              </w:rPr>
              <w:t>（1）软件</w:t>
            </w:r>
            <w:r>
              <w:rPr>
                <w:rFonts w:hint="eastAsia" w:ascii="宋体" w:hAnsi="宋体" w:eastAsia="宋体" w:cs="宋体"/>
                <w:b w:val="0"/>
                <w:bCs w:val="0"/>
                <w:color w:val="FF0000"/>
                <w:spacing w:val="-5"/>
                <w:kern w:val="2"/>
                <w:sz w:val="21"/>
                <w:szCs w:val="21"/>
                <w:shd w:val="clear" w:color="auto" w:fill="auto"/>
                <w:lang w:val="en-US" w:eastAsia="zh-CN" w:bidi="ar-SA"/>
              </w:rPr>
              <w:t>部分</w:t>
            </w:r>
            <w:r>
              <w:rPr>
                <w:rFonts w:hint="eastAsia" w:ascii="宋体" w:hAnsi="宋体" w:eastAsia="宋体" w:cs="宋体"/>
                <w:b w:val="0"/>
                <w:bCs w:val="0"/>
                <w:color w:val="FF0000"/>
                <w:spacing w:val="-5"/>
                <w:kern w:val="2"/>
                <w:sz w:val="21"/>
                <w:szCs w:val="21"/>
                <w:shd w:val="clear" w:color="auto" w:fill="auto"/>
                <w:lang w:val="en-US" w:eastAsia="en-US" w:bidi="ar-SA"/>
              </w:rPr>
              <w:t>：</w:t>
            </w:r>
          </w:p>
          <w:p w14:paraId="71D2CB76">
            <w:pPr>
              <w:keepNext w:val="0"/>
              <w:keepLines w:val="0"/>
              <w:pageBreakBefore w:val="0"/>
              <w:widowControl/>
              <w:kinsoku/>
              <w:wordWrap/>
              <w:overflowPunct/>
              <w:topLinePunct w:val="0"/>
              <w:autoSpaceDN/>
              <w:bidi w:val="0"/>
              <w:adjustRightInd/>
              <w:snapToGrid/>
              <w:ind w:left="105" w:leftChars="50" w:right="0"/>
              <w:textAlignment w:val="baseline"/>
              <w:rPr>
                <w:rFonts w:ascii="宋体" w:hAnsi="宋体" w:eastAsia="宋体" w:cs="宋体"/>
                <w:b w:val="0"/>
                <w:bCs w:val="0"/>
                <w:color w:val="FF0000"/>
                <w:spacing w:val="-5"/>
                <w:kern w:val="2"/>
                <w:sz w:val="21"/>
                <w:szCs w:val="21"/>
                <w:shd w:val="clear" w:color="auto" w:fill="auto"/>
                <w:lang w:val="en-US" w:eastAsia="en-US" w:bidi="ar-SA"/>
              </w:rPr>
            </w:pPr>
            <w:r>
              <w:rPr>
                <w:rFonts w:hint="eastAsia" w:ascii="宋体" w:hAnsi="宋体" w:eastAsia="宋体" w:cs="宋体"/>
                <w:b w:val="0"/>
                <w:bCs w:val="0"/>
                <w:color w:val="FF0000"/>
                <w:spacing w:val="-5"/>
                <w:kern w:val="2"/>
                <w:sz w:val="21"/>
                <w:szCs w:val="21"/>
                <w:shd w:val="clear" w:color="auto" w:fill="auto"/>
                <w:lang w:val="en-US" w:eastAsia="en-US" w:bidi="ar-SA"/>
              </w:rPr>
              <w:t>1）中标单位已按照合同规定为项目服务配备了项目初验阶段规定交付的所有产品及提供了相应的技术资料，完成项目系统的安装调试，通过第三方验收测评并交付试运行。由中标单位提出书面申请，采购单位组织验收，由采购单位、中标单位、监理单位等共同出具相应的初步验收报告，完成项目</w:t>
            </w:r>
            <w:r>
              <w:rPr>
                <w:rFonts w:hint="eastAsia" w:ascii="宋体" w:hAnsi="宋体" w:eastAsia="宋体" w:cs="宋体"/>
                <w:b w:val="0"/>
                <w:bCs w:val="0"/>
                <w:color w:val="FF0000"/>
                <w:spacing w:val="-5"/>
                <w:kern w:val="2"/>
                <w:sz w:val="21"/>
                <w:szCs w:val="21"/>
                <w:shd w:val="clear" w:color="auto" w:fill="auto"/>
                <w:lang w:val="en-US" w:eastAsia="zh-CN" w:bidi="ar-SA"/>
              </w:rPr>
              <w:t>软件开发</w:t>
            </w:r>
            <w:r>
              <w:rPr>
                <w:rFonts w:hint="eastAsia" w:ascii="宋体" w:hAnsi="宋体" w:eastAsia="宋体" w:cs="宋体"/>
                <w:b w:val="0"/>
                <w:bCs w:val="0"/>
                <w:color w:val="FF0000"/>
                <w:spacing w:val="-5"/>
                <w:kern w:val="2"/>
                <w:sz w:val="21"/>
                <w:szCs w:val="21"/>
                <w:shd w:val="clear" w:color="auto" w:fill="auto"/>
                <w:lang w:val="en-US" w:eastAsia="en-US" w:bidi="ar-SA"/>
              </w:rPr>
              <w:t>初验。</w:t>
            </w:r>
          </w:p>
          <w:p w14:paraId="7B59AEC1">
            <w:pPr>
              <w:keepNext w:val="0"/>
              <w:keepLines w:val="0"/>
              <w:pageBreakBefore w:val="0"/>
              <w:widowControl/>
              <w:kinsoku/>
              <w:wordWrap/>
              <w:overflowPunct/>
              <w:topLinePunct w:val="0"/>
              <w:autoSpaceDN/>
              <w:bidi w:val="0"/>
              <w:adjustRightInd/>
              <w:snapToGrid/>
              <w:ind w:left="105" w:leftChars="50" w:right="0"/>
              <w:textAlignment w:val="baseline"/>
              <w:rPr>
                <w:rFonts w:ascii="宋体" w:hAnsi="宋体" w:eastAsia="宋体" w:cs="宋体"/>
                <w:b w:val="0"/>
                <w:bCs w:val="0"/>
                <w:color w:val="FF0000"/>
                <w:spacing w:val="-5"/>
                <w:kern w:val="2"/>
                <w:sz w:val="21"/>
                <w:szCs w:val="21"/>
                <w:shd w:val="clear" w:color="auto" w:fill="auto"/>
                <w:lang w:val="en-US" w:eastAsia="en-US" w:bidi="ar-SA"/>
              </w:rPr>
            </w:pPr>
            <w:r>
              <w:rPr>
                <w:rFonts w:hint="eastAsia" w:ascii="宋体" w:hAnsi="宋体" w:eastAsia="宋体" w:cs="宋体"/>
                <w:b w:val="0"/>
                <w:bCs w:val="0"/>
                <w:color w:val="FF0000"/>
                <w:spacing w:val="-5"/>
                <w:kern w:val="2"/>
                <w:sz w:val="21"/>
                <w:szCs w:val="21"/>
                <w:shd w:val="clear" w:color="auto" w:fill="auto"/>
                <w:lang w:val="en-US" w:eastAsia="en-US" w:bidi="ar-SA"/>
              </w:rPr>
              <w:t>2）中标单位完成项目</w:t>
            </w:r>
            <w:r>
              <w:rPr>
                <w:rFonts w:hint="eastAsia" w:ascii="宋体" w:hAnsi="宋体" w:eastAsia="宋体" w:cs="宋体"/>
                <w:b w:val="0"/>
                <w:bCs w:val="0"/>
                <w:color w:val="FF0000"/>
                <w:spacing w:val="-5"/>
                <w:kern w:val="2"/>
                <w:sz w:val="21"/>
                <w:szCs w:val="21"/>
                <w:shd w:val="clear" w:color="auto" w:fill="auto"/>
                <w:lang w:val="en-US" w:eastAsia="zh-CN" w:bidi="ar-SA"/>
              </w:rPr>
              <w:t>软件开发初验后</w:t>
            </w:r>
            <w:r>
              <w:rPr>
                <w:rFonts w:hint="eastAsia" w:ascii="宋体" w:hAnsi="宋体" w:eastAsia="宋体" w:cs="宋体"/>
                <w:b w:val="0"/>
                <w:bCs w:val="0"/>
                <w:color w:val="FF0000"/>
                <w:spacing w:val="-5"/>
                <w:kern w:val="2"/>
                <w:sz w:val="21"/>
                <w:szCs w:val="21"/>
                <w:shd w:val="clear" w:color="auto" w:fill="auto"/>
                <w:lang w:val="en-US" w:eastAsia="en-US" w:bidi="ar-SA"/>
              </w:rPr>
              <w:t>，</w:t>
            </w:r>
            <w:r>
              <w:rPr>
                <w:b w:val="0"/>
                <w:bCs w:val="0"/>
                <w:color w:val="FF0000"/>
                <w:spacing w:val="-4"/>
                <w:shd w:val="clear" w:color="auto" w:fill="auto"/>
              </w:rPr>
              <w:t>按要求完成不少于</w:t>
            </w:r>
            <w:r>
              <w:rPr>
                <w:rFonts w:hint="eastAsia"/>
                <w:b w:val="0"/>
                <w:bCs w:val="0"/>
                <w:color w:val="FF0000"/>
                <w:spacing w:val="-4"/>
                <w:shd w:val="clear" w:color="auto" w:fill="auto"/>
                <w:lang w:val="en-US" w:eastAsia="zh-CN"/>
              </w:rPr>
              <w:t>3</w:t>
            </w:r>
            <w:r>
              <w:rPr>
                <w:b w:val="0"/>
                <w:bCs w:val="0"/>
                <w:color w:val="FF0000"/>
                <w:spacing w:val="-4"/>
                <w:shd w:val="clear" w:color="auto" w:fill="auto"/>
              </w:rPr>
              <w:t>个月的试运行</w:t>
            </w:r>
            <w:r>
              <w:rPr>
                <w:rFonts w:hint="eastAsia" w:ascii="宋体" w:hAnsi="宋体" w:eastAsia="宋体" w:cs="宋体"/>
                <w:b w:val="0"/>
                <w:bCs w:val="0"/>
                <w:color w:val="FF0000"/>
                <w:spacing w:val="-5"/>
                <w:kern w:val="2"/>
                <w:sz w:val="21"/>
                <w:szCs w:val="21"/>
                <w:shd w:val="clear" w:color="auto" w:fill="auto"/>
                <w:lang w:val="en-US" w:eastAsia="en-US" w:bidi="ar-SA"/>
              </w:rPr>
              <w:t>，并保障系统整体性能、稳定性、可靠性以及准备系统建设文档，通过第三方验收测评、信创符合性测试、密评及信息安全等级保护评测</w:t>
            </w:r>
            <w:r>
              <w:rPr>
                <w:rFonts w:hint="eastAsia" w:ascii="宋体" w:hAnsi="宋体" w:eastAsia="宋体" w:cs="宋体"/>
                <w:b w:val="0"/>
                <w:bCs w:val="0"/>
                <w:color w:val="FF0000"/>
                <w:spacing w:val="-5"/>
                <w:kern w:val="2"/>
                <w:sz w:val="21"/>
                <w:szCs w:val="21"/>
                <w:shd w:val="clear" w:color="auto" w:fill="auto"/>
                <w:lang w:val="en-US" w:eastAsia="zh-CN" w:bidi="ar-SA"/>
              </w:rPr>
              <w:t>等</w:t>
            </w:r>
            <w:r>
              <w:rPr>
                <w:rFonts w:hint="eastAsia" w:ascii="宋体" w:hAnsi="宋体" w:eastAsia="宋体" w:cs="宋体"/>
                <w:b w:val="0"/>
                <w:bCs w:val="0"/>
                <w:color w:val="FF0000"/>
                <w:spacing w:val="-5"/>
                <w:kern w:val="2"/>
                <w:sz w:val="21"/>
                <w:szCs w:val="21"/>
                <w:shd w:val="clear" w:color="auto" w:fill="auto"/>
                <w:lang w:val="en-US" w:eastAsia="en-US" w:bidi="ar-SA"/>
              </w:rPr>
              <w:t>，由中标单位提出书面申请，采购单位组织验收，由采购单位、中标单位、监理单位等共同出具最终验收报告，完成项目</w:t>
            </w:r>
            <w:r>
              <w:rPr>
                <w:rFonts w:hint="eastAsia" w:ascii="宋体" w:hAnsi="宋体" w:eastAsia="宋体" w:cs="宋体"/>
                <w:b w:val="0"/>
                <w:bCs w:val="0"/>
                <w:color w:val="FF0000"/>
                <w:spacing w:val="-5"/>
                <w:kern w:val="2"/>
                <w:sz w:val="21"/>
                <w:szCs w:val="21"/>
                <w:shd w:val="clear" w:color="auto" w:fill="auto"/>
                <w:lang w:val="en-US" w:eastAsia="zh-CN" w:bidi="ar-SA"/>
              </w:rPr>
              <w:t>软件开发</w:t>
            </w:r>
            <w:r>
              <w:rPr>
                <w:rFonts w:hint="eastAsia" w:ascii="宋体" w:hAnsi="宋体" w:eastAsia="宋体" w:cs="宋体"/>
                <w:b w:val="0"/>
                <w:bCs w:val="0"/>
                <w:color w:val="FF0000"/>
                <w:spacing w:val="-5"/>
                <w:kern w:val="2"/>
                <w:sz w:val="21"/>
                <w:szCs w:val="21"/>
                <w:shd w:val="clear" w:color="auto" w:fill="auto"/>
                <w:lang w:val="en-US" w:eastAsia="en-US" w:bidi="ar-SA"/>
              </w:rPr>
              <w:t>终验。</w:t>
            </w:r>
          </w:p>
          <w:p w14:paraId="6A1B7A3F">
            <w:pPr>
              <w:keepNext w:val="0"/>
              <w:keepLines w:val="0"/>
              <w:pageBreakBefore w:val="0"/>
              <w:kinsoku/>
              <w:wordWrap/>
              <w:overflowPunct/>
              <w:topLinePunct w:val="0"/>
              <w:autoSpaceDE w:val="0"/>
              <w:autoSpaceDN/>
              <w:bidi w:val="0"/>
              <w:adjustRightInd/>
              <w:snapToGrid/>
              <w:ind w:left="105" w:leftChars="50" w:right="0"/>
              <w:textAlignment w:val="baseline"/>
              <w:rPr>
                <w:rFonts w:ascii="宋体" w:hAnsi="宋体" w:eastAsia="宋体" w:cs="宋体"/>
                <w:b w:val="0"/>
                <w:bCs w:val="0"/>
                <w:color w:val="FF0000"/>
                <w:spacing w:val="-5"/>
                <w:kern w:val="2"/>
                <w:sz w:val="21"/>
                <w:szCs w:val="21"/>
                <w:shd w:val="clear" w:color="auto" w:fill="auto"/>
                <w:lang w:val="en-US" w:eastAsia="en-US" w:bidi="ar-SA"/>
              </w:rPr>
            </w:pPr>
            <w:r>
              <w:rPr>
                <w:rFonts w:hint="eastAsia" w:ascii="宋体" w:hAnsi="宋体" w:eastAsia="宋体" w:cs="宋体"/>
                <w:b w:val="0"/>
                <w:bCs w:val="0"/>
                <w:color w:val="FF0000"/>
                <w:spacing w:val="-5"/>
                <w:kern w:val="2"/>
                <w:sz w:val="21"/>
                <w:szCs w:val="21"/>
                <w:shd w:val="clear" w:color="auto" w:fill="auto"/>
                <w:lang w:val="en-US" w:eastAsia="en-US" w:bidi="ar-SA"/>
              </w:rPr>
              <w:t>（2）硬件</w:t>
            </w:r>
            <w:r>
              <w:rPr>
                <w:rFonts w:hint="eastAsia" w:ascii="宋体" w:hAnsi="宋体" w:eastAsia="宋体" w:cs="宋体"/>
                <w:b w:val="0"/>
                <w:bCs w:val="0"/>
                <w:color w:val="FF0000"/>
                <w:spacing w:val="-5"/>
                <w:kern w:val="2"/>
                <w:sz w:val="21"/>
                <w:szCs w:val="21"/>
                <w:shd w:val="clear" w:color="auto" w:fill="auto"/>
                <w:lang w:val="en-US" w:eastAsia="zh-CN" w:bidi="ar-SA"/>
              </w:rPr>
              <w:t>部分</w:t>
            </w:r>
            <w:r>
              <w:rPr>
                <w:rFonts w:hint="eastAsia" w:ascii="宋体" w:hAnsi="宋体" w:eastAsia="宋体" w:cs="宋体"/>
                <w:b w:val="0"/>
                <w:bCs w:val="0"/>
                <w:color w:val="FF0000"/>
                <w:spacing w:val="-5"/>
                <w:kern w:val="2"/>
                <w:sz w:val="21"/>
                <w:szCs w:val="21"/>
                <w:shd w:val="clear" w:color="auto" w:fill="auto"/>
                <w:lang w:val="en-US" w:eastAsia="en-US" w:bidi="ar-SA"/>
              </w:rPr>
              <w:t>：</w:t>
            </w:r>
          </w:p>
          <w:p w14:paraId="4BEA528E">
            <w:pPr>
              <w:keepNext w:val="0"/>
              <w:keepLines w:val="0"/>
              <w:pageBreakBefore w:val="0"/>
              <w:kinsoku/>
              <w:wordWrap/>
              <w:overflowPunct/>
              <w:topLinePunct w:val="0"/>
              <w:autoSpaceDE w:val="0"/>
              <w:autoSpaceDN/>
              <w:bidi w:val="0"/>
              <w:adjustRightInd/>
              <w:snapToGrid/>
              <w:ind w:left="105" w:leftChars="50" w:right="0"/>
              <w:textAlignment w:val="baseline"/>
              <w:rPr>
                <w:rFonts w:ascii="宋体" w:hAnsi="宋体" w:eastAsia="宋体" w:cs="宋体"/>
                <w:b w:val="0"/>
                <w:bCs w:val="0"/>
                <w:color w:val="FF0000"/>
                <w:spacing w:val="-5"/>
                <w:kern w:val="2"/>
                <w:sz w:val="21"/>
                <w:szCs w:val="21"/>
                <w:shd w:val="clear" w:color="auto" w:fill="auto"/>
                <w:lang w:val="en-US" w:eastAsia="en-US" w:bidi="ar-SA"/>
              </w:rPr>
            </w:pPr>
            <w:r>
              <w:rPr>
                <w:rFonts w:hint="eastAsia" w:ascii="宋体" w:hAnsi="宋体" w:eastAsia="宋体" w:cs="宋体"/>
                <w:b w:val="0"/>
                <w:bCs w:val="0"/>
                <w:color w:val="FF0000"/>
                <w:spacing w:val="-5"/>
                <w:kern w:val="2"/>
                <w:sz w:val="21"/>
                <w:szCs w:val="21"/>
                <w:shd w:val="clear" w:color="auto" w:fill="auto"/>
                <w:lang w:val="en-US" w:eastAsia="en-US" w:bidi="ar-SA"/>
              </w:rPr>
              <w:t>1）中标单位各阶段任务达到可验收状态后</w:t>
            </w:r>
            <w:r>
              <w:rPr>
                <w:rFonts w:hint="eastAsia" w:ascii="宋体" w:hAnsi="宋体" w:eastAsia="宋体" w:cs="宋体"/>
                <w:b w:val="0"/>
                <w:bCs w:val="0"/>
                <w:color w:val="FF0000"/>
                <w:spacing w:val="-5"/>
                <w:kern w:val="2"/>
                <w:sz w:val="21"/>
                <w:szCs w:val="21"/>
                <w:shd w:val="clear" w:color="auto" w:fill="auto"/>
                <w:lang w:val="en-US" w:eastAsia="zh-CN" w:bidi="ar-SA"/>
              </w:rPr>
              <w:t>，</w:t>
            </w:r>
            <w:r>
              <w:rPr>
                <w:rFonts w:hint="eastAsia" w:ascii="宋体" w:hAnsi="宋体" w:eastAsia="宋体" w:cs="宋体"/>
                <w:b w:val="0"/>
                <w:bCs w:val="0"/>
                <w:color w:val="FF0000"/>
                <w:spacing w:val="-5"/>
                <w:kern w:val="2"/>
                <w:sz w:val="21"/>
                <w:szCs w:val="21"/>
                <w:shd w:val="clear" w:color="auto" w:fill="auto"/>
                <w:lang w:val="en-US" w:eastAsia="en-US" w:bidi="ar-SA"/>
              </w:rPr>
              <w:t>经过检验合格</w:t>
            </w:r>
            <w:r>
              <w:rPr>
                <w:rFonts w:hint="eastAsia" w:ascii="宋体" w:hAnsi="宋体" w:eastAsia="宋体" w:cs="宋体"/>
                <w:b w:val="0"/>
                <w:bCs w:val="0"/>
                <w:color w:val="FF0000"/>
                <w:spacing w:val="-5"/>
                <w:kern w:val="2"/>
                <w:sz w:val="21"/>
                <w:szCs w:val="21"/>
                <w:shd w:val="clear" w:color="auto" w:fill="auto"/>
                <w:lang w:val="en-US" w:eastAsia="zh-CN" w:bidi="ar-SA"/>
              </w:rPr>
              <w:t>并完成</w:t>
            </w:r>
            <w:r>
              <w:rPr>
                <w:b w:val="0"/>
                <w:bCs w:val="0"/>
                <w:color w:val="FF0000"/>
                <w:spacing w:val="-4"/>
                <w:shd w:val="clear" w:color="auto" w:fill="auto"/>
              </w:rPr>
              <w:t>安装调</w:t>
            </w:r>
            <w:r>
              <w:rPr>
                <w:b w:val="0"/>
                <w:bCs w:val="0"/>
                <w:color w:val="FF0000"/>
                <w:spacing w:val="-7"/>
                <w:shd w:val="clear" w:color="auto" w:fill="auto"/>
              </w:rPr>
              <w:t>试</w:t>
            </w:r>
            <w:r>
              <w:rPr>
                <w:rFonts w:hint="eastAsia"/>
                <w:b w:val="0"/>
                <w:bCs w:val="0"/>
                <w:color w:val="FF0000"/>
                <w:spacing w:val="-7"/>
                <w:shd w:val="clear" w:color="auto" w:fill="auto"/>
                <w:lang w:eastAsia="zh-CN"/>
              </w:rPr>
              <w:t>，达到</w:t>
            </w:r>
            <w:r>
              <w:rPr>
                <w:b w:val="0"/>
                <w:bCs w:val="0"/>
                <w:color w:val="FF0000"/>
                <w:spacing w:val="-7"/>
                <w:shd w:val="clear" w:color="auto" w:fill="auto"/>
              </w:rPr>
              <w:t>初步验收</w:t>
            </w:r>
            <w:r>
              <w:rPr>
                <w:rFonts w:hint="eastAsia"/>
                <w:b w:val="0"/>
                <w:bCs w:val="0"/>
                <w:color w:val="FF0000"/>
                <w:spacing w:val="-7"/>
                <w:shd w:val="clear" w:color="auto" w:fill="auto"/>
                <w:lang w:eastAsia="zh-CN"/>
              </w:rPr>
              <w:t>条件</w:t>
            </w:r>
            <w:r>
              <w:rPr>
                <w:rFonts w:hint="eastAsia" w:ascii="宋体" w:hAnsi="宋体" w:eastAsia="宋体" w:cs="宋体"/>
                <w:b w:val="0"/>
                <w:bCs w:val="0"/>
                <w:color w:val="FF0000"/>
                <w:spacing w:val="-5"/>
                <w:kern w:val="2"/>
                <w:sz w:val="21"/>
                <w:szCs w:val="21"/>
                <w:shd w:val="clear" w:color="auto" w:fill="auto"/>
                <w:lang w:val="en-US" w:eastAsia="en-US" w:bidi="ar-SA"/>
              </w:rPr>
              <w:t>后，由中标单位提出书面申请，采购单位组织验收</w:t>
            </w:r>
            <w:r>
              <w:rPr>
                <w:rFonts w:hint="eastAsia" w:ascii="宋体" w:hAnsi="宋体" w:eastAsia="宋体" w:cs="宋体"/>
                <w:b w:val="0"/>
                <w:bCs w:val="0"/>
                <w:color w:val="FF0000"/>
                <w:spacing w:val="-5"/>
                <w:kern w:val="2"/>
                <w:sz w:val="21"/>
                <w:szCs w:val="21"/>
                <w:shd w:val="clear" w:color="auto" w:fill="auto"/>
                <w:lang w:val="en-US" w:eastAsia="zh-CN" w:bidi="ar-SA"/>
              </w:rPr>
              <w:t>，</w:t>
            </w:r>
            <w:r>
              <w:rPr>
                <w:rFonts w:hint="eastAsia" w:ascii="宋体" w:hAnsi="宋体" w:eastAsia="宋体" w:cs="宋体"/>
                <w:b w:val="0"/>
                <w:bCs w:val="0"/>
                <w:color w:val="FF0000"/>
                <w:spacing w:val="-5"/>
                <w:kern w:val="2"/>
                <w:sz w:val="21"/>
                <w:szCs w:val="21"/>
                <w:shd w:val="clear" w:color="auto" w:fill="auto"/>
                <w:lang w:val="en-US" w:eastAsia="en-US" w:bidi="ar-SA"/>
              </w:rPr>
              <w:t>由采购单位、中标单位、监理单位等共同出具相应的初步验收报告，完成项目</w:t>
            </w:r>
            <w:r>
              <w:rPr>
                <w:rFonts w:hint="eastAsia" w:ascii="宋体" w:hAnsi="宋体" w:eastAsia="宋体" w:cs="宋体"/>
                <w:b w:val="0"/>
                <w:bCs w:val="0"/>
                <w:color w:val="FF0000"/>
                <w:spacing w:val="-5"/>
                <w:kern w:val="2"/>
                <w:sz w:val="21"/>
                <w:szCs w:val="21"/>
                <w:shd w:val="clear" w:color="auto" w:fill="auto"/>
                <w:lang w:val="en-US" w:eastAsia="zh-CN" w:bidi="ar-SA"/>
              </w:rPr>
              <w:t>对应阶段任务</w:t>
            </w:r>
            <w:r>
              <w:rPr>
                <w:rFonts w:hint="eastAsia" w:ascii="宋体" w:hAnsi="宋体" w:eastAsia="宋体" w:cs="宋体"/>
                <w:b w:val="0"/>
                <w:bCs w:val="0"/>
                <w:color w:val="FF0000"/>
                <w:spacing w:val="-5"/>
                <w:kern w:val="2"/>
                <w:sz w:val="21"/>
                <w:szCs w:val="21"/>
                <w:shd w:val="clear" w:color="auto" w:fill="auto"/>
                <w:lang w:val="en-US" w:eastAsia="en-US" w:bidi="ar-SA"/>
              </w:rPr>
              <w:t>初验。</w:t>
            </w:r>
          </w:p>
          <w:p w14:paraId="4A682BD6">
            <w:pPr>
              <w:keepNext w:val="0"/>
              <w:keepLines w:val="0"/>
              <w:pageBreakBefore w:val="0"/>
              <w:kinsoku/>
              <w:wordWrap/>
              <w:overflowPunct/>
              <w:topLinePunct w:val="0"/>
              <w:autoSpaceDN/>
              <w:bidi w:val="0"/>
              <w:adjustRightInd/>
              <w:snapToGrid/>
              <w:ind w:left="105" w:leftChars="50" w:right="0"/>
              <w:jc w:val="left"/>
              <w:rPr>
                <w:rFonts w:ascii="宋体" w:hAnsi="宋体" w:eastAsia="宋体" w:cs="宋体"/>
                <w:b w:val="0"/>
                <w:bCs w:val="0"/>
                <w:color w:val="FF0000"/>
                <w:spacing w:val="-5"/>
                <w:kern w:val="2"/>
                <w:sz w:val="21"/>
                <w:szCs w:val="21"/>
                <w:shd w:val="clear" w:color="auto" w:fill="auto"/>
                <w:lang w:val="en-US" w:eastAsia="en-US" w:bidi="ar-SA"/>
              </w:rPr>
            </w:pPr>
            <w:r>
              <w:rPr>
                <w:rFonts w:hint="eastAsia" w:ascii="宋体" w:hAnsi="宋体" w:eastAsia="宋体" w:cs="宋体"/>
                <w:b w:val="0"/>
                <w:bCs w:val="0"/>
                <w:color w:val="FF0000"/>
                <w:spacing w:val="-5"/>
                <w:kern w:val="2"/>
                <w:sz w:val="21"/>
                <w:szCs w:val="21"/>
                <w:shd w:val="clear" w:color="auto" w:fill="auto"/>
                <w:lang w:val="en-US" w:eastAsia="en-US" w:bidi="ar-SA"/>
              </w:rPr>
              <w:t>2）中标单位各阶段任务</w:t>
            </w:r>
            <w:r>
              <w:rPr>
                <w:rFonts w:hint="eastAsia" w:ascii="宋体" w:hAnsi="宋体" w:eastAsia="宋体" w:cs="宋体"/>
                <w:b w:val="0"/>
                <w:bCs w:val="0"/>
                <w:color w:val="FF0000"/>
                <w:spacing w:val="-5"/>
                <w:kern w:val="2"/>
                <w:sz w:val="21"/>
                <w:szCs w:val="21"/>
                <w:shd w:val="clear" w:color="auto" w:fill="auto"/>
                <w:lang w:val="en-US" w:eastAsia="zh-CN" w:bidi="ar-SA"/>
              </w:rPr>
              <w:t>完成初验后</w:t>
            </w:r>
            <w:r>
              <w:rPr>
                <w:b w:val="0"/>
                <w:bCs w:val="0"/>
                <w:color w:val="FF0000"/>
                <w:spacing w:val="-4"/>
                <w:shd w:val="clear" w:color="auto" w:fill="auto"/>
              </w:rPr>
              <w:t>按要求完成不少于</w:t>
            </w:r>
            <w:r>
              <w:rPr>
                <w:rFonts w:hint="eastAsia"/>
                <w:b w:val="0"/>
                <w:bCs w:val="0"/>
                <w:color w:val="FF0000"/>
                <w:spacing w:val="-4"/>
                <w:shd w:val="clear" w:color="auto" w:fill="auto"/>
                <w:lang w:val="en-US" w:eastAsia="zh-CN"/>
              </w:rPr>
              <w:t>3</w:t>
            </w:r>
            <w:r>
              <w:rPr>
                <w:b w:val="0"/>
                <w:bCs w:val="0"/>
                <w:color w:val="FF0000"/>
                <w:spacing w:val="-4"/>
                <w:shd w:val="clear" w:color="auto" w:fill="auto"/>
              </w:rPr>
              <w:t>个月的试运行</w:t>
            </w:r>
            <w:r>
              <w:rPr>
                <w:rFonts w:hint="eastAsia" w:ascii="宋体" w:hAnsi="宋体" w:eastAsia="宋体" w:cs="宋体"/>
                <w:b w:val="0"/>
                <w:bCs w:val="0"/>
                <w:color w:val="FF0000"/>
                <w:spacing w:val="-5"/>
                <w:kern w:val="2"/>
                <w:sz w:val="21"/>
                <w:szCs w:val="21"/>
                <w:shd w:val="clear" w:color="auto" w:fill="auto"/>
                <w:lang w:val="en-US" w:eastAsia="zh-CN" w:bidi="ar-SA"/>
              </w:rPr>
              <w:t>，</w:t>
            </w:r>
            <w:r>
              <w:rPr>
                <w:rFonts w:hint="eastAsia" w:ascii="宋体" w:hAnsi="宋体" w:eastAsia="宋体" w:cs="宋体"/>
                <w:b w:val="0"/>
                <w:bCs w:val="0"/>
                <w:color w:val="FF0000"/>
                <w:spacing w:val="-5"/>
                <w:kern w:val="2"/>
                <w:sz w:val="21"/>
                <w:szCs w:val="21"/>
                <w:shd w:val="clear" w:color="auto" w:fill="auto"/>
                <w:lang w:val="en-US" w:eastAsia="en-US" w:bidi="ar-SA"/>
              </w:rPr>
              <w:t>经过</w:t>
            </w:r>
            <w:r>
              <w:rPr>
                <w:rFonts w:hint="eastAsia" w:ascii="宋体" w:hAnsi="宋体" w:eastAsia="宋体" w:cs="宋体"/>
                <w:b w:val="0"/>
                <w:bCs w:val="0"/>
                <w:color w:val="FF0000"/>
                <w:spacing w:val="-5"/>
                <w:kern w:val="2"/>
                <w:sz w:val="21"/>
                <w:szCs w:val="21"/>
                <w:shd w:val="clear" w:color="auto" w:fill="auto"/>
                <w:lang w:val="en-US" w:eastAsia="zh-CN" w:bidi="ar-SA"/>
              </w:rPr>
              <w:t>最终</w:t>
            </w:r>
            <w:r>
              <w:rPr>
                <w:rFonts w:hint="eastAsia" w:ascii="宋体" w:hAnsi="宋体" w:eastAsia="宋体" w:cs="宋体"/>
                <w:b w:val="0"/>
                <w:bCs w:val="0"/>
                <w:color w:val="FF0000"/>
                <w:spacing w:val="-5"/>
                <w:kern w:val="2"/>
                <w:sz w:val="21"/>
                <w:szCs w:val="21"/>
                <w:shd w:val="clear" w:color="auto" w:fill="auto"/>
                <w:lang w:val="en-US" w:eastAsia="en-US" w:bidi="ar-SA"/>
              </w:rPr>
              <w:t>检验合格，由中标单位提出书面申请，采购单位组织验收，由采购单位、中标单位、监理单位等共同出具最终验收报告，完成项目</w:t>
            </w:r>
            <w:r>
              <w:rPr>
                <w:rFonts w:hint="eastAsia" w:ascii="宋体" w:hAnsi="宋体" w:eastAsia="宋体" w:cs="宋体"/>
                <w:b w:val="0"/>
                <w:bCs w:val="0"/>
                <w:color w:val="FF0000"/>
                <w:spacing w:val="-5"/>
                <w:kern w:val="2"/>
                <w:sz w:val="21"/>
                <w:szCs w:val="21"/>
                <w:shd w:val="clear" w:color="auto" w:fill="auto"/>
                <w:lang w:val="en-US" w:eastAsia="zh-CN" w:bidi="ar-SA"/>
              </w:rPr>
              <w:t>对应阶段任务</w:t>
            </w:r>
            <w:r>
              <w:rPr>
                <w:rFonts w:hint="eastAsia" w:ascii="宋体" w:hAnsi="宋体" w:eastAsia="宋体" w:cs="宋体"/>
                <w:b w:val="0"/>
                <w:bCs w:val="0"/>
                <w:color w:val="FF0000"/>
                <w:spacing w:val="-5"/>
                <w:kern w:val="2"/>
                <w:sz w:val="21"/>
                <w:szCs w:val="21"/>
                <w:shd w:val="clear" w:color="auto" w:fill="auto"/>
                <w:lang w:val="en-US" w:eastAsia="en-US" w:bidi="ar-SA"/>
              </w:rPr>
              <w:t>终验。</w:t>
            </w:r>
          </w:p>
          <w:p w14:paraId="1755F0D3">
            <w:pPr>
              <w:pStyle w:val="491"/>
              <w:keepNext w:val="0"/>
              <w:keepLines w:val="0"/>
              <w:pageBreakBefore w:val="0"/>
              <w:kinsoku/>
              <w:wordWrap/>
              <w:overflowPunct/>
              <w:topLinePunct w:val="0"/>
              <w:autoSpaceDN/>
              <w:bidi w:val="0"/>
              <w:adjustRightInd/>
              <w:snapToGrid/>
              <w:spacing w:line="235" w:lineRule="auto"/>
              <w:ind w:left="123" w:leftChars="50" w:right="0" w:hanging="18"/>
              <w:rPr>
                <w:rFonts w:hint="eastAsia" w:ascii="宋体" w:hAnsi="宋体" w:eastAsia="宋体" w:cs="宋体"/>
                <w:b w:val="0"/>
                <w:bCs w:val="0"/>
                <w:color w:val="FF0000"/>
                <w:spacing w:val="-5"/>
                <w:kern w:val="2"/>
                <w:sz w:val="21"/>
                <w:szCs w:val="21"/>
                <w:shd w:val="clear" w:color="auto" w:fill="auto"/>
                <w:lang w:val="en-US" w:eastAsia="en-US" w:bidi="ar-SA"/>
              </w:rPr>
            </w:pPr>
            <w:r>
              <w:rPr>
                <w:rFonts w:hint="eastAsia" w:ascii="宋体" w:hAnsi="宋体" w:eastAsia="宋体" w:cs="宋体"/>
                <w:b w:val="0"/>
                <w:bCs w:val="0"/>
                <w:color w:val="FF0000"/>
                <w:spacing w:val="-5"/>
                <w:kern w:val="2"/>
                <w:sz w:val="21"/>
                <w:szCs w:val="21"/>
                <w:shd w:val="clear" w:color="auto" w:fill="auto"/>
                <w:lang w:val="en-US" w:eastAsia="en-US" w:bidi="ar-SA"/>
              </w:rPr>
              <w:t>4.项目免费售后维保期自项目终验合格并交付使用之日起，提供项目售后维保人员开展维护工作。</w:t>
            </w:r>
          </w:p>
          <w:p w14:paraId="28F849D9">
            <w:pPr>
              <w:pStyle w:val="491"/>
              <w:keepNext w:val="0"/>
              <w:keepLines w:val="0"/>
              <w:pageBreakBefore w:val="0"/>
              <w:kinsoku/>
              <w:wordWrap/>
              <w:overflowPunct/>
              <w:topLinePunct w:val="0"/>
              <w:autoSpaceDN/>
              <w:bidi w:val="0"/>
              <w:adjustRightInd/>
              <w:snapToGrid/>
              <w:spacing w:line="235" w:lineRule="auto"/>
              <w:ind w:left="123" w:leftChars="50" w:right="0" w:hanging="18"/>
              <w:rPr>
                <w:rFonts w:hint="eastAsia" w:cs="宋体"/>
                <w:b w:val="0"/>
                <w:bCs w:val="0"/>
                <w:color w:val="FF0000"/>
                <w:spacing w:val="-5"/>
                <w:kern w:val="2"/>
                <w:sz w:val="21"/>
                <w:szCs w:val="21"/>
                <w:shd w:val="clear" w:color="auto" w:fill="auto"/>
                <w:lang w:val="en-US" w:eastAsia="zh-CN" w:bidi="ar-SA"/>
              </w:rPr>
            </w:pPr>
            <w:r>
              <w:rPr>
                <w:rFonts w:hint="eastAsia" w:cs="宋体"/>
                <w:b w:val="0"/>
                <w:bCs w:val="0"/>
                <w:color w:val="FF0000"/>
                <w:spacing w:val="-5"/>
                <w:kern w:val="2"/>
                <w:sz w:val="21"/>
                <w:szCs w:val="21"/>
                <w:shd w:val="clear" w:color="auto" w:fill="auto"/>
                <w:lang w:val="en-US" w:eastAsia="zh-CN" w:bidi="ar-SA"/>
              </w:rPr>
              <w:t>说明：</w:t>
            </w:r>
          </w:p>
          <w:p w14:paraId="3B57C8DA">
            <w:pPr>
              <w:pStyle w:val="491"/>
              <w:keepNext w:val="0"/>
              <w:keepLines w:val="0"/>
              <w:pageBreakBefore w:val="0"/>
              <w:numPr>
                <w:ilvl w:val="0"/>
                <w:numId w:val="10"/>
              </w:numPr>
              <w:kinsoku/>
              <w:wordWrap/>
              <w:overflowPunct/>
              <w:topLinePunct w:val="0"/>
              <w:autoSpaceDN/>
              <w:bidi w:val="0"/>
              <w:adjustRightInd/>
              <w:snapToGrid/>
              <w:spacing w:line="235" w:lineRule="auto"/>
              <w:ind w:left="123" w:leftChars="50" w:right="0" w:hanging="18"/>
              <w:rPr>
                <w:rFonts w:hint="eastAsia" w:cs="宋体"/>
                <w:b w:val="0"/>
                <w:bCs w:val="0"/>
                <w:color w:val="FF0000"/>
                <w:spacing w:val="-5"/>
                <w:kern w:val="2"/>
                <w:sz w:val="21"/>
                <w:szCs w:val="21"/>
                <w:shd w:val="clear" w:color="auto" w:fill="auto"/>
                <w:lang w:val="en-US" w:eastAsia="zh-CN" w:bidi="ar-SA"/>
              </w:rPr>
            </w:pPr>
            <w:r>
              <w:rPr>
                <w:rFonts w:hint="eastAsia" w:ascii="宋体" w:hAnsi="宋体" w:eastAsia="宋体" w:cs="宋体"/>
                <w:b w:val="0"/>
                <w:bCs w:val="0"/>
                <w:color w:val="FF0000"/>
                <w:spacing w:val="-5"/>
                <w:kern w:val="2"/>
                <w:sz w:val="21"/>
                <w:szCs w:val="21"/>
                <w:shd w:val="clear" w:color="auto" w:fill="auto"/>
                <w:lang w:val="en-US" w:eastAsia="zh-CN" w:bidi="ar-SA"/>
              </w:rPr>
              <w:t>“施工I标”</w:t>
            </w:r>
            <w:r>
              <w:rPr>
                <w:rFonts w:hint="eastAsia" w:cs="宋体"/>
                <w:b w:val="0"/>
                <w:bCs w:val="0"/>
                <w:color w:val="FF0000"/>
                <w:spacing w:val="-5"/>
                <w:kern w:val="2"/>
                <w:sz w:val="21"/>
                <w:szCs w:val="21"/>
                <w:shd w:val="clear" w:color="auto" w:fill="auto"/>
                <w:lang w:val="en-US" w:eastAsia="zh-CN" w:bidi="ar-SA"/>
              </w:rPr>
              <w:t>：创新大道“工业八路”至“海德三道”范围及创新大道“留仙大道”至“同沙路”范围；</w:t>
            </w:r>
          </w:p>
          <w:p w14:paraId="124131E2">
            <w:pPr>
              <w:pStyle w:val="491"/>
              <w:keepNext w:val="0"/>
              <w:keepLines w:val="0"/>
              <w:pageBreakBefore w:val="0"/>
              <w:numPr>
                <w:ilvl w:val="0"/>
                <w:numId w:val="10"/>
              </w:numPr>
              <w:kinsoku/>
              <w:wordWrap/>
              <w:overflowPunct/>
              <w:topLinePunct w:val="0"/>
              <w:autoSpaceDN/>
              <w:bidi w:val="0"/>
              <w:adjustRightInd/>
              <w:snapToGrid/>
              <w:spacing w:line="235" w:lineRule="auto"/>
              <w:ind w:left="123" w:leftChars="50" w:right="0" w:hanging="18"/>
              <w:rPr>
                <w:rFonts w:hint="eastAsia" w:cs="宋体"/>
                <w:b w:val="0"/>
                <w:bCs w:val="0"/>
                <w:color w:val="FF0000"/>
                <w:spacing w:val="-5"/>
                <w:kern w:val="2"/>
                <w:sz w:val="21"/>
                <w:szCs w:val="21"/>
                <w:shd w:val="clear" w:color="auto" w:fill="auto"/>
                <w:lang w:val="en-US" w:eastAsia="zh-CN" w:bidi="ar-SA"/>
              </w:rPr>
            </w:pPr>
            <w:r>
              <w:rPr>
                <w:rFonts w:hint="eastAsia" w:ascii="宋体" w:hAnsi="宋体" w:eastAsia="宋体" w:cs="宋体"/>
                <w:b w:val="0"/>
                <w:bCs w:val="0"/>
                <w:color w:val="FF0000"/>
                <w:spacing w:val="-5"/>
                <w:kern w:val="2"/>
                <w:sz w:val="21"/>
                <w:szCs w:val="21"/>
                <w:shd w:val="clear" w:color="auto" w:fill="auto"/>
                <w:lang w:val="en-US" w:eastAsia="zh-CN" w:bidi="ar-SA"/>
              </w:rPr>
              <w:t>“施工II标”</w:t>
            </w:r>
            <w:r>
              <w:rPr>
                <w:rFonts w:hint="eastAsia" w:cs="宋体"/>
                <w:b w:val="0"/>
                <w:bCs w:val="0"/>
                <w:color w:val="FF0000"/>
                <w:spacing w:val="-5"/>
                <w:kern w:val="2"/>
                <w:sz w:val="21"/>
                <w:szCs w:val="21"/>
                <w:shd w:val="clear" w:color="auto" w:fill="auto"/>
                <w:lang w:val="en-US" w:eastAsia="zh-CN" w:bidi="ar-SA"/>
              </w:rPr>
              <w:t>：创新大道“深南大道”范围；</w:t>
            </w:r>
          </w:p>
          <w:p w14:paraId="6493370E">
            <w:pPr>
              <w:pStyle w:val="491"/>
              <w:keepNext w:val="0"/>
              <w:keepLines w:val="0"/>
              <w:pageBreakBefore w:val="0"/>
              <w:numPr>
                <w:ilvl w:val="0"/>
                <w:numId w:val="10"/>
              </w:numPr>
              <w:kinsoku/>
              <w:wordWrap/>
              <w:overflowPunct/>
              <w:topLinePunct w:val="0"/>
              <w:autoSpaceDN/>
              <w:bidi w:val="0"/>
              <w:adjustRightInd/>
              <w:snapToGrid/>
              <w:spacing w:line="235" w:lineRule="auto"/>
              <w:ind w:left="123" w:leftChars="50" w:right="0" w:hanging="18"/>
              <w:rPr>
                <w:rFonts w:hint="eastAsia" w:cs="宋体"/>
                <w:b w:val="0"/>
                <w:bCs w:val="0"/>
                <w:color w:val="FF0000"/>
                <w:spacing w:val="-5"/>
                <w:kern w:val="2"/>
                <w:sz w:val="21"/>
                <w:szCs w:val="21"/>
                <w:shd w:val="clear" w:color="auto" w:fill="auto"/>
                <w:lang w:val="en-US" w:eastAsia="zh-CN" w:bidi="ar-SA"/>
              </w:rPr>
            </w:pPr>
            <w:r>
              <w:rPr>
                <w:rFonts w:hint="eastAsia" w:ascii="宋体" w:hAnsi="宋体" w:eastAsia="宋体" w:cs="宋体"/>
                <w:b w:val="0"/>
                <w:bCs w:val="0"/>
                <w:color w:val="FF0000"/>
                <w:spacing w:val="-5"/>
                <w:kern w:val="2"/>
                <w:sz w:val="21"/>
                <w:szCs w:val="21"/>
                <w:shd w:val="clear" w:color="auto" w:fill="auto"/>
                <w:lang w:val="en-US" w:eastAsia="zh-CN" w:bidi="ar-SA"/>
              </w:rPr>
              <w:t>“施工III标”</w:t>
            </w:r>
            <w:r>
              <w:rPr>
                <w:rFonts w:hint="eastAsia" w:cs="宋体"/>
                <w:b w:val="0"/>
                <w:bCs w:val="0"/>
                <w:color w:val="FF0000"/>
                <w:spacing w:val="-5"/>
                <w:kern w:val="2"/>
                <w:sz w:val="21"/>
                <w:szCs w:val="21"/>
                <w:shd w:val="clear" w:color="auto" w:fill="auto"/>
                <w:lang w:val="en-US" w:eastAsia="zh-CN" w:bidi="ar-SA"/>
              </w:rPr>
              <w:t>：创新大道“海天一路”至“深南大道”范围及创新大道“深南大道”至“宝深路”范围；</w:t>
            </w:r>
          </w:p>
          <w:p w14:paraId="1E8857D6">
            <w:pPr>
              <w:pStyle w:val="491"/>
              <w:keepNext w:val="0"/>
              <w:keepLines w:val="0"/>
              <w:pageBreakBefore w:val="0"/>
              <w:numPr>
                <w:ilvl w:val="0"/>
                <w:numId w:val="10"/>
              </w:numPr>
              <w:kinsoku/>
              <w:wordWrap/>
              <w:overflowPunct/>
              <w:topLinePunct w:val="0"/>
              <w:autoSpaceDN/>
              <w:bidi w:val="0"/>
              <w:adjustRightInd/>
              <w:snapToGrid/>
              <w:spacing w:line="235" w:lineRule="auto"/>
              <w:ind w:left="123" w:leftChars="50" w:right="0" w:hanging="18"/>
              <w:rPr>
                <w:rFonts w:hint="eastAsia" w:cs="宋体"/>
                <w:b w:val="0"/>
                <w:bCs w:val="0"/>
                <w:color w:val="FF0000"/>
                <w:spacing w:val="-5"/>
                <w:kern w:val="2"/>
                <w:sz w:val="21"/>
                <w:szCs w:val="21"/>
                <w:shd w:val="clear" w:color="auto" w:fill="auto"/>
                <w:lang w:val="en-US" w:eastAsia="zh-CN" w:bidi="ar-SA"/>
              </w:rPr>
            </w:pPr>
            <w:r>
              <w:rPr>
                <w:rFonts w:hint="eastAsia" w:ascii="宋体" w:hAnsi="宋体" w:eastAsia="宋体" w:cs="宋体"/>
                <w:b w:val="0"/>
                <w:bCs w:val="0"/>
                <w:color w:val="FF0000"/>
                <w:spacing w:val="-5"/>
                <w:kern w:val="2"/>
                <w:sz w:val="21"/>
                <w:szCs w:val="21"/>
                <w:shd w:val="clear" w:color="auto" w:fill="auto"/>
                <w:lang w:val="en-US" w:eastAsia="zh-CN" w:bidi="ar-SA"/>
              </w:rPr>
              <w:t>“施工IV标”</w:t>
            </w:r>
            <w:r>
              <w:rPr>
                <w:rFonts w:hint="eastAsia" w:cs="宋体"/>
                <w:b w:val="0"/>
                <w:bCs w:val="0"/>
                <w:color w:val="FF0000"/>
                <w:spacing w:val="-5"/>
                <w:kern w:val="2"/>
                <w:sz w:val="21"/>
                <w:szCs w:val="21"/>
                <w:shd w:val="clear" w:color="auto" w:fill="auto"/>
                <w:lang w:val="en-US" w:eastAsia="zh-CN" w:bidi="ar-SA"/>
              </w:rPr>
              <w:t>：创新大道“茶光路”至“留仙大道”范围。</w:t>
            </w:r>
          </w:p>
        </w:tc>
      </w:tr>
      <w:tr w14:paraId="676134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6" w:hRule="atLeast"/>
        </w:trPr>
        <w:tc>
          <w:tcPr>
            <w:tcW w:w="792" w:type="dxa"/>
            <w:vAlign w:val="center"/>
          </w:tcPr>
          <w:p w14:paraId="265FC6B1">
            <w:pPr>
              <w:pStyle w:val="491"/>
              <w:keepNext w:val="0"/>
              <w:keepLines w:val="0"/>
              <w:pageBreakBefore w:val="0"/>
              <w:kinsoku/>
              <w:wordWrap/>
              <w:overflowPunct/>
              <w:topLinePunct w:val="0"/>
              <w:autoSpaceDN/>
              <w:bidi w:val="0"/>
              <w:adjustRightInd/>
              <w:snapToGrid/>
              <w:spacing w:line="242" w:lineRule="auto"/>
              <w:ind w:left="105" w:leftChars="50" w:right="0"/>
              <w:jc w:val="both"/>
              <w:rPr>
                <w:b w:val="0"/>
                <w:bCs w:val="0"/>
                <w:shd w:val="clear" w:color="auto" w:fill="auto"/>
              </w:rPr>
            </w:pPr>
            <w:r>
              <w:rPr>
                <w:b w:val="0"/>
                <w:bCs w:val="0"/>
                <w:color w:val="FF0000"/>
                <w:spacing w:val="-3"/>
                <w:shd w:val="clear" w:color="auto" w:fill="auto"/>
              </w:rPr>
              <w:t>4</w:t>
            </w:r>
          </w:p>
        </w:tc>
        <w:tc>
          <w:tcPr>
            <w:tcW w:w="1645" w:type="dxa"/>
            <w:vAlign w:val="center"/>
          </w:tcPr>
          <w:p w14:paraId="38E17C0B">
            <w:pPr>
              <w:pStyle w:val="491"/>
              <w:keepNext w:val="0"/>
              <w:keepLines w:val="0"/>
              <w:pageBreakBefore w:val="0"/>
              <w:kinsoku/>
              <w:wordWrap/>
              <w:overflowPunct/>
              <w:topLinePunct w:val="0"/>
              <w:autoSpaceDN/>
              <w:bidi w:val="0"/>
              <w:adjustRightInd/>
              <w:snapToGrid/>
              <w:spacing w:line="222" w:lineRule="auto"/>
              <w:ind w:left="105" w:leftChars="50" w:right="0"/>
              <w:jc w:val="both"/>
              <w:rPr>
                <w:b w:val="0"/>
                <w:bCs w:val="0"/>
                <w:shd w:val="clear" w:color="auto" w:fill="auto"/>
              </w:rPr>
            </w:pPr>
            <w:r>
              <w:rPr>
                <w:b w:val="0"/>
                <w:bCs w:val="0"/>
                <w:color w:val="FF0000"/>
                <w:spacing w:val="-3"/>
                <w:shd w:val="clear" w:color="auto" w:fill="auto"/>
              </w:rPr>
              <w:t>施工安全要求</w:t>
            </w:r>
          </w:p>
        </w:tc>
        <w:tc>
          <w:tcPr>
            <w:tcW w:w="6288" w:type="dxa"/>
            <w:vAlign w:val="top"/>
          </w:tcPr>
          <w:p w14:paraId="26E7A987">
            <w:pPr>
              <w:pStyle w:val="491"/>
              <w:keepNext w:val="0"/>
              <w:keepLines w:val="0"/>
              <w:pageBreakBefore w:val="0"/>
              <w:kinsoku/>
              <w:wordWrap/>
              <w:overflowPunct/>
              <w:topLinePunct w:val="0"/>
              <w:autoSpaceDN/>
              <w:bidi w:val="0"/>
              <w:adjustRightInd/>
              <w:snapToGrid/>
              <w:spacing w:line="264" w:lineRule="auto"/>
              <w:ind w:left="105" w:leftChars="50" w:right="0" w:firstLine="6"/>
              <w:rPr>
                <w:b w:val="0"/>
                <w:bCs w:val="0"/>
                <w:shd w:val="clear" w:color="auto" w:fill="auto"/>
              </w:rPr>
            </w:pPr>
            <w:r>
              <w:rPr>
                <w:b w:val="0"/>
                <w:bCs w:val="0"/>
                <w:color w:val="FF0000"/>
                <w:spacing w:val="-1"/>
                <w:shd w:val="clear" w:color="auto" w:fill="auto"/>
              </w:rPr>
              <w:t>（1）中标人编制各项安全保障及安全文明施工方案及措</w:t>
            </w:r>
            <w:r>
              <w:rPr>
                <w:b w:val="0"/>
                <w:bCs w:val="0"/>
                <w:color w:val="FF0000"/>
                <w:spacing w:val="-2"/>
                <w:shd w:val="clear" w:color="auto" w:fill="auto"/>
              </w:rPr>
              <w:t>施，并经</w:t>
            </w:r>
            <w:r>
              <w:rPr>
                <w:b w:val="0"/>
                <w:bCs w:val="0"/>
                <w:color w:val="FF0000"/>
                <w:spacing w:val="-3"/>
                <w:shd w:val="clear" w:color="auto" w:fill="auto"/>
              </w:rPr>
              <w:t>监理单位审核后实施。在施工过程中应配置相</w:t>
            </w:r>
            <w:r>
              <w:rPr>
                <w:b w:val="0"/>
                <w:bCs w:val="0"/>
                <w:color w:val="FF0000"/>
                <w:spacing w:val="-4"/>
                <w:shd w:val="clear" w:color="auto" w:fill="auto"/>
              </w:rPr>
              <w:t>关的安全防护用具，</w:t>
            </w:r>
            <w:r>
              <w:rPr>
                <w:b w:val="0"/>
                <w:bCs w:val="0"/>
                <w:color w:val="FF0000"/>
                <w:spacing w:val="-5"/>
                <w:shd w:val="clear" w:color="auto" w:fill="auto"/>
              </w:rPr>
              <w:t>坚持安全教育制度及安全技术交底制度，并保留交底资料，供建设方及政府相关管理机构随时查验，确保安全制度及安全技术措施落</w:t>
            </w:r>
            <w:r>
              <w:rPr>
                <w:b w:val="0"/>
                <w:bCs w:val="0"/>
                <w:color w:val="FF0000"/>
                <w:spacing w:val="-4"/>
                <w:shd w:val="clear" w:color="auto" w:fill="auto"/>
              </w:rPr>
              <w:t>实到位，确保施工期间零事故。中标人违反上</w:t>
            </w:r>
            <w:r>
              <w:rPr>
                <w:b w:val="0"/>
                <w:bCs w:val="0"/>
                <w:color w:val="FF0000"/>
                <w:spacing w:val="-5"/>
                <w:shd w:val="clear" w:color="auto" w:fill="auto"/>
              </w:rPr>
              <w:t>述规定导致发生安全</w:t>
            </w:r>
            <w:r>
              <w:rPr>
                <w:b w:val="0"/>
                <w:bCs w:val="0"/>
                <w:color w:val="FF0000"/>
                <w:spacing w:val="-4"/>
                <w:shd w:val="clear" w:color="auto" w:fill="auto"/>
              </w:rPr>
              <w:t>事故的，由中标方承担相应一切责任和费用。</w:t>
            </w:r>
          </w:p>
          <w:p w14:paraId="54057250">
            <w:pPr>
              <w:pStyle w:val="491"/>
              <w:keepNext w:val="0"/>
              <w:keepLines w:val="0"/>
              <w:pageBreakBefore w:val="0"/>
              <w:kinsoku/>
              <w:wordWrap/>
              <w:overflowPunct/>
              <w:topLinePunct w:val="0"/>
              <w:autoSpaceDN/>
              <w:bidi w:val="0"/>
              <w:adjustRightInd/>
              <w:snapToGrid/>
              <w:spacing w:line="263" w:lineRule="auto"/>
              <w:ind w:left="105" w:leftChars="50" w:right="0" w:firstLine="5"/>
              <w:rPr>
                <w:b w:val="0"/>
                <w:bCs w:val="0"/>
                <w:shd w:val="clear" w:color="auto" w:fill="auto"/>
              </w:rPr>
            </w:pPr>
            <w:r>
              <w:rPr>
                <w:b w:val="0"/>
                <w:bCs w:val="0"/>
                <w:color w:val="FF0000"/>
                <w:spacing w:val="-2"/>
                <w:shd w:val="clear" w:color="auto" w:fill="auto"/>
              </w:rPr>
              <w:t>（2）严格执行施工规范、安全操作规程、防火及安全规定、环境保护规定。做好各种安全记录及质量检查记录。</w:t>
            </w:r>
          </w:p>
          <w:p w14:paraId="0819970A">
            <w:pPr>
              <w:pStyle w:val="491"/>
              <w:keepNext w:val="0"/>
              <w:keepLines w:val="0"/>
              <w:pageBreakBefore w:val="0"/>
              <w:kinsoku/>
              <w:wordWrap/>
              <w:overflowPunct/>
              <w:topLinePunct w:val="0"/>
              <w:autoSpaceDN/>
              <w:bidi w:val="0"/>
              <w:adjustRightInd/>
              <w:snapToGrid/>
              <w:spacing w:line="263" w:lineRule="auto"/>
              <w:ind w:left="105" w:leftChars="50" w:right="0" w:firstLine="2"/>
              <w:rPr>
                <w:b w:val="0"/>
                <w:bCs w:val="0"/>
                <w:shd w:val="clear" w:color="auto" w:fill="auto"/>
              </w:rPr>
            </w:pPr>
            <w:r>
              <w:rPr>
                <w:b w:val="0"/>
                <w:bCs w:val="0"/>
                <w:color w:val="FF0000"/>
                <w:spacing w:val="-1"/>
                <w:shd w:val="clear" w:color="auto" w:fill="auto"/>
              </w:rPr>
              <w:t>（3）中标人指派本项目的所有人员应经过安全培训，严</w:t>
            </w:r>
            <w:r>
              <w:rPr>
                <w:b w:val="0"/>
                <w:bCs w:val="0"/>
                <w:color w:val="FF0000"/>
                <w:spacing w:val="-2"/>
                <w:shd w:val="clear" w:color="auto" w:fill="auto"/>
              </w:rPr>
              <w:t>格按照相</w:t>
            </w:r>
            <w:r>
              <w:rPr>
                <w:b w:val="0"/>
                <w:bCs w:val="0"/>
                <w:color w:val="FF0000"/>
                <w:spacing w:val="-4"/>
                <w:shd w:val="clear" w:color="auto" w:fill="auto"/>
              </w:rPr>
              <w:t>关规范进行操作。由于不按规范操作引起的安全及人员伤亡事故，由中标方承担一切责任及经济赔偿。</w:t>
            </w:r>
          </w:p>
          <w:p w14:paraId="2365C5F7">
            <w:pPr>
              <w:pStyle w:val="491"/>
              <w:keepNext w:val="0"/>
              <w:keepLines w:val="0"/>
              <w:pageBreakBefore w:val="0"/>
              <w:kinsoku/>
              <w:wordWrap/>
              <w:overflowPunct/>
              <w:topLinePunct w:val="0"/>
              <w:autoSpaceDN/>
              <w:bidi w:val="0"/>
              <w:adjustRightInd/>
              <w:snapToGrid/>
              <w:spacing w:line="249" w:lineRule="auto"/>
              <w:ind w:left="105" w:leftChars="50" w:right="0" w:firstLine="5"/>
              <w:rPr>
                <w:b w:val="0"/>
                <w:bCs w:val="0"/>
                <w:shd w:val="clear" w:color="auto" w:fill="auto"/>
              </w:rPr>
            </w:pPr>
            <w:r>
              <w:rPr>
                <w:b w:val="0"/>
                <w:bCs w:val="0"/>
                <w:color w:val="FF0000"/>
                <w:spacing w:val="-1"/>
                <w:shd w:val="clear" w:color="auto" w:fill="auto"/>
              </w:rPr>
              <w:t>（4）中标人为现场管理及施工人员办理意外伤害保险，</w:t>
            </w:r>
            <w:r>
              <w:rPr>
                <w:b w:val="0"/>
                <w:bCs w:val="0"/>
                <w:color w:val="FF0000"/>
                <w:spacing w:val="-2"/>
                <w:shd w:val="clear" w:color="auto" w:fill="auto"/>
              </w:rPr>
              <w:t>费用由中</w:t>
            </w:r>
            <w:r>
              <w:rPr>
                <w:b w:val="0"/>
                <w:bCs w:val="0"/>
                <w:color w:val="FF0000"/>
                <w:spacing w:val="-5"/>
                <w:shd w:val="clear" w:color="auto" w:fill="auto"/>
              </w:rPr>
              <w:t>标方承担，</w:t>
            </w:r>
            <w:r>
              <w:rPr>
                <w:rFonts w:hint="eastAsia"/>
                <w:b w:val="0"/>
                <w:bCs w:val="0"/>
                <w:color w:val="FF0000"/>
                <w:spacing w:val="-5"/>
                <w:shd w:val="clear" w:color="auto" w:fill="auto"/>
                <w:lang w:eastAsia="zh-CN"/>
              </w:rPr>
              <w:t>采购方</w:t>
            </w:r>
            <w:r>
              <w:rPr>
                <w:b w:val="0"/>
                <w:bCs w:val="0"/>
                <w:color w:val="FF0000"/>
                <w:spacing w:val="-5"/>
                <w:shd w:val="clear" w:color="auto" w:fill="auto"/>
              </w:rPr>
              <w:t>有权要求中标方提供相关人员的意外伤害保险的保</w:t>
            </w:r>
            <w:r>
              <w:rPr>
                <w:b w:val="0"/>
                <w:bCs w:val="0"/>
                <w:color w:val="FF0000"/>
                <w:spacing w:val="-4"/>
                <w:shd w:val="clear" w:color="auto" w:fill="auto"/>
              </w:rPr>
              <w:t>单信息，检查保险购买情况。若因中标方未</w:t>
            </w:r>
            <w:r>
              <w:rPr>
                <w:b w:val="0"/>
                <w:bCs w:val="0"/>
                <w:color w:val="FF0000"/>
                <w:spacing w:val="-5"/>
                <w:shd w:val="clear" w:color="auto" w:fill="auto"/>
              </w:rPr>
              <w:t>提供相关保单信息或未</w:t>
            </w:r>
            <w:r>
              <w:rPr>
                <w:b w:val="0"/>
                <w:bCs w:val="0"/>
                <w:color w:val="FF0000"/>
                <w:spacing w:val="-4"/>
                <w:shd w:val="clear" w:color="auto" w:fill="auto"/>
              </w:rPr>
              <w:t>办理意外伤害保险，由中标方承担全部责任。</w:t>
            </w:r>
          </w:p>
        </w:tc>
      </w:tr>
      <w:tr w14:paraId="14C27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4" w:hRule="atLeast"/>
        </w:trPr>
        <w:tc>
          <w:tcPr>
            <w:tcW w:w="792" w:type="dxa"/>
            <w:vAlign w:val="center"/>
          </w:tcPr>
          <w:p w14:paraId="61DCC490">
            <w:pPr>
              <w:pStyle w:val="491"/>
              <w:keepNext w:val="0"/>
              <w:keepLines w:val="0"/>
              <w:pageBreakBefore w:val="0"/>
              <w:kinsoku/>
              <w:wordWrap/>
              <w:overflowPunct/>
              <w:topLinePunct w:val="0"/>
              <w:autoSpaceDN/>
              <w:bidi w:val="0"/>
              <w:adjustRightInd/>
              <w:snapToGrid/>
              <w:spacing w:line="241" w:lineRule="auto"/>
              <w:ind w:left="105" w:leftChars="50" w:right="0"/>
              <w:jc w:val="both"/>
              <w:rPr>
                <w:b w:val="0"/>
                <w:bCs w:val="0"/>
                <w:shd w:val="clear" w:color="auto" w:fill="auto"/>
              </w:rPr>
            </w:pPr>
            <w:r>
              <w:rPr>
                <w:b w:val="0"/>
                <w:bCs w:val="0"/>
                <w:color w:val="FF0000"/>
                <w:spacing w:val="-3"/>
                <w:shd w:val="clear" w:color="auto" w:fill="auto"/>
              </w:rPr>
              <w:t>5</w:t>
            </w:r>
          </w:p>
        </w:tc>
        <w:tc>
          <w:tcPr>
            <w:tcW w:w="1645" w:type="dxa"/>
            <w:vAlign w:val="center"/>
          </w:tcPr>
          <w:p w14:paraId="55B39786">
            <w:pPr>
              <w:pStyle w:val="491"/>
              <w:keepNext w:val="0"/>
              <w:keepLines w:val="0"/>
              <w:pageBreakBefore w:val="0"/>
              <w:kinsoku/>
              <w:wordWrap/>
              <w:overflowPunct/>
              <w:topLinePunct w:val="0"/>
              <w:autoSpaceDN/>
              <w:bidi w:val="0"/>
              <w:adjustRightInd/>
              <w:snapToGrid/>
              <w:spacing w:line="265" w:lineRule="auto"/>
              <w:ind w:left="105" w:leftChars="50" w:right="0" w:firstLine="15"/>
              <w:jc w:val="both"/>
              <w:rPr>
                <w:b w:val="0"/>
                <w:bCs w:val="0"/>
                <w:shd w:val="clear" w:color="auto" w:fill="auto"/>
              </w:rPr>
            </w:pPr>
            <w:r>
              <w:rPr>
                <w:b w:val="0"/>
                <w:bCs w:val="0"/>
                <w:color w:val="FF0000"/>
                <w:spacing w:val="-6"/>
                <w:shd w:val="clear" w:color="auto" w:fill="auto"/>
              </w:rPr>
              <w:t>网络安全等级</w:t>
            </w:r>
            <w:r>
              <w:rPr>
                <w:b w:val="0"/>
                <w:bCs w:val="0"/>
                <w:color w:val="FF0000"/>
                <w:spacing w:val="-3"/>
                <w:shd w:val="clear" w:color="auto" w:fill="auto"/>
              </w:rPr>
              <w:t>保护和密码应用测评的要求</w:t>
            </w:r>
          </w:p>
        </w:tc>
        <w:tc>
          <w:tcPr>
            <w:tcW w:w="6288" w:type="dxa"/>
            <w:vAlign w:val="top"/>
          </w:tcPr>
          <w:p w14:paraId="732EB620">
            <w:pPr>
              <w:pStyle w:val="491"/>
              <w:keepNext w:val="0"/>
              <w:keepLines w:val="0"/>
              <w:pageBreakBefore w:val="0"/>
              <w:kinsoku/>
              <w:wordWrap/>
              <w:overflowPunct/>
              <w:topLinePunct w:val="0"/>
              <w:autoSpaceDN/>
              <w:bidi w:val="0"/>
              <w:adjustRightInd/>
              <w:snapToGrid/>
              <w:spacing w:line="221" w:lineRule="auto"/>
              <w:ind w:left="105" w:leftChars="50" w:right="0"/>
              <w:rPr>
                <w:b w:val="0"/>
                <w:bCs w:val="0"/>
                <w:shd w:val="clear" w:color="auto" w:fill="auto"/>
              </w:rPr>
            </w:pPr>
            <w:r>
              <w:rPr>
                <w:b w:val="0"/>
                <w:bCs w:val="0"/>
                <w:color w:val="FF0000"/>
                <w:spacing w:val="-6"/>
                <w:shd w:val="clear" w:color="auto" w:fill="auto"/>
              </w:rPr>
              <w:t>网络安全等级保护要求：</w:t>
            </w:r>
          </w:p>
          <w:p w14:paraId="57D682FC">
            <w:pPr>
              <w:pStyle w:val="491"/>
              <w:keepNext w:val="0"/>
              <w:keepLines w:val="0"/>
              <w:pageBreakBefore w:val="0"/>
              <w:kinsoku/>
              <w:wordWrap/>
              <w:overflowPunct/>
              <w:topLinePunct w:val="0"/>
              <w:autoSpaceDN/>
              <w:bidi w:val="0"/>
              <w:adjustRightInd/>
              <w:snapToGrid/>
              <w:spacing w:line="264" w:lineRule="auto"/>
              <w:ind w:left="105" w:leftChars="50" w:right="0" w:firstLine="14"/>
              <w:rPr>
                <w:b w:val="0"/>
                <w:bCs w:val="0"/>
                <w:shd w:val="clear" w:color="auto" w:fill="auto"/>
              </w:rPr>
            </w:pPr>
            <w:r>
              <w:rPr>
                <w:b w:val="0"/>
                <w:bCs w:val="0"/>
                <w:color w:val="FF0000"/>
                <w:spacing w:val="2"/>
                <w:shd w:val="clear" w:color="auto" w:fill="auto"/>
              </w:rPr>
              <w:t>1.本项目所建系统应符合国家现行网络安全法及网络安全等级保</w:t>
            </w:r>
            <w:r>
              <w:rPr>
                <w:b w:val="0"/>
                <w:bCs w:val="0"/>
                <w:color w:val="FF0000"/>
                <w:spacing w:val="-4"/>
                <w:shd w:val="clear" w:color="auto" w:fill="auto"/>
              </w:rPr>
              <w:t>护制度标准等文件要求。</w:t>
            </w:r>
          </w:p>
          <w:p w14:paraId="5A6E6C4C">
            <w:pPr>
              <w:pStyle w:val="491"/>
              <w:keepNext w:val="0"/>
              <w:keepLines w:val="0"/>
              <w:pageBreakBefore w:val="0"/>
              <w:kinsoku/>
              <w:wordWrap/>
              <w:overflowPunct/>
              <w:topLinePunct w:val="0"/>
              <w:autoSpaceDN/>
              <w:bidi w:val="0"/>
              <w:adjustRightInd/>
              <w:snapToGrid/>
              <w:spacing w:line="263" w:lineRule="auto"/>
              <w:ind w:left="105" w:leftChars="50" w:right="0"/>
              <w:rPr>
                <w:b w:val="0"/>
                <w:bCs w:val="0"/>
                <w:shd w:val="clear" w:color="auto" w:fill="auto"/>
              </w:rPr>
            </w:pPr>
            <w:r>
              <w:rPr>
                <w:b w:val="0"/>
                <w:bCs w:val="0"/>
                <w:color w:val="FF0000"/>
                <w:spacing w:val="-5"/>
                <w:shd w:val="clear" w:color="auto" w:fill="auto"/>
              </w:rPr>
              <w:t>2.本项目终验前，所建信息系统应具备等保评测机构在开发阶段或项目实施阶段评定的等级的安全保护能力。中标单位应在项目终验</w:t>
            </w:r>
            <w:r>
              <w:rPr>
                <w:b w:val="0"/>
                <w:bCs w:val="0"/>
                <w:color w:val="FF0000"/>
                <w:spacing w:val="3"/>
                <w:shd w:val="clear" w:color="auto" w:fill="auto"/>
              </w:rPr>
              <w:t>前配合由采购单位委托的等保评测机构对本项目进行</w:t>
            </w:r>
            <w:r>
              <w:rPr>
                <w:b w:val="0"/>
                <w:bCs w:val="0"/>
                <w:color w:val="FF0000"/>
                <w:spacing w:val="2"/>
                <w:shd w:val="clear" w:color="auto" w:fill="auto"/>
              </w:rPr>
              <w:t>信息安全等</w:t>
            </w:r>
            <w:r>
              <w:rPr>
                <w:b w:val="0"/>
                <w:bCs w:val="0"/>
                <w:color w:val="FF0000"/>
                <w:spacing w:val="-5"/>
                <w:shd w:val="clear" w:color="auto" w:fill="auto"/>
              </w:rPr>
              <w:t>级保护评测，并按照等保评测机构出具的整改建议完成整改，直至</w:t>
            </w:r>
            <w:r>
              <w:rPr>
                <w:b w:val="0"/>
                <w:bCs w:val="0"/>
                <w:color w:val="FF0000"/>
                <w:spacing w:val="-4"/>
                <w:shd w:val="clear" w:color="auto" w:fill="auto"/>
              </w:rPr>
              <w:t>项目等级保护符合终验标准。</w:t>
            </w:r>
          </w:p>
          <w:p w14:paraId="5ED56452">
            <w:pPr>
              <w:pStyle w:val="491"/>
              <w:keepNext w:val="0"/>
              <w:keepLines w:val="0"/>
              <w:pageBreakBefore w:val="0"/>
              <w:kinsoku/>
              <w:wordWrap/>
              <w:overflowPunct/>
              <w:topLinePunct w:val="0"/>
              <w:autoSpaceDN/>
              <w:bidi w:val="0"/>
              <w:adjustRightInd/>
              <w:snapToGrid/>
              <w:spacing w:line="233" w:lineRule="auto"/>
              <w:ind w:left="105" w:leftChars="50" w:right="0"/>
              <w:rPr>
                <w:b w:val="0"/>
                <w:bCs w:val="0"/>
                <w:color w:val="FF0000"/>
                <w:spacing w:val="-4"/>
                <w:shd w:val="clear" w:color="auto" w:fill="auto"/>
              </w:rPr>
            </w:pPr>
            <w:r>
              <w:rPr>
                <w:b w:val="0"/>
                <w:bCs w:val="0"/>
                <w:color w:val="FF0000"/>
                <w:spacing w:val="-5"/>
                <w:shd w:val="clear" w:color="auto" w:fill="auto"/>
              </w:rPr>
              <w:t>3.本项目终验后，中标单位在软件维护期内按要求开展网络安全等</w:t>
            </w:r>
            <w:r>
              <w:rPr>
                <w:b w:val="0"/>
                <w:bCs w:val="0"/>
                <w:color w:val="FF0000"/>
                <w:spacing w:val="-4"/>
                <w:shd w:val="clear" w:color="auto" w:fill="auto"/>
              </w:rPr>
              <w:t>级测评和商用密码应用安全性评估工作。</w:t>
            </w:r>
          </w:p>
          <w:p w14:paraId="481E13C7">
            <w:pPr>
              <w:pStyle w:val="491"/>
              <w:keepNext w:val="0"/>
              <w:keepLines w:val="0"/>
              <w:pageBreakBefore w:val="0"/>
              <w:kinsoku/>
              <w:wordWrap/>
              <w:overflowPunct/>
              <w:topLinePunct w:val="0"/>
              <w:autoSpaceDN/>
              <w:bidi w:val="0"/>
              <w:adjustRightInd/>
              <w:snapToGrid/>
              <w:spacing w:line="233" w:lineRule="auto"/>
              <w:ind w:left="105" w:leftChars="50" w:right="0"/>
              <w:rPr>
                <w:rFonts w:hint="default" w:eastAsia="宋体"/>
                <w:b w:val="0"/>
                <w:bCs w:val="0"/>
                <w:color w:val="FF0000"/>
                <w:spacing w:val="-4"/>
                <w:shd w:val="clear" w:color="auto" w:fill="auto"/>
                <w:lang w:val="en-US" w:eastAsia="zh-CN"/>
              </w:rPr>
            </w:pPr>
            <w:r>
              <w:rPr>
                <w:rFonts w:hint="eastAsia"/>
                <w:b w:val="0"/>
                <w:bCs w:val="0"/>
                <w:color w:val="FF0000"/>
                <w:spacing w:val="-4"/>
                <w:shd w:val="clear" w:color="auto" w:fill="auto"/>
                <w:lang w:val="en-US" w:eastAsia="zh-CN"/>
              </w:rPr>
              <w:t>4.根据国家《信息安全等级保护管理办法》规定，等保二级信息系统两年开展一次测评。等保三级信息系统每年开展一次测评。本项目约定，本软件平台项目根据相应等保定级情况需完成两次等级保护测评工作，首次等级保护测评费用由中标方承担，第二次等级保护测评费用由采购方承担。</w:t>
            </w:r>
          </w:p>
        </w:tc>
      </w:tr>
      <w:tr w14:paraId="433F7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8" w:hRule="atLeast"/>
        </w:trPr>
        <w:tc>
          <w:tcPr>
            <w:tcW w:w="792" w:type="dxa"/>
            <w:vAlign w:val="center"/>
          </w:tcPr>
          <w:p w14:paraId="6171E9FF">
            <w:pPr>
              <w:pStyle w:val="491"/>
              <w:keepNext w:val="0"/>
              <w:keepLines w:val="0"/>
              <w:pageBreakBefore w:val="0"/>
              <w:kinsoku/>
              <w:wordWrap/>
              <w:overflowPunct/>
              <w:topLinePunct w:val="0"/>
              <w:autoSpaceDN/>
              <w:bidi w:val="0"/>
              <w:adjustRightInd/>
              <w:snapToGrid/>
              <w:spacing w:line="241" w:lineRule="auto"/>
              <w:ind w:left="105" w:leftChars="50" w:right="0"/>
              <w:jc w:val="both"/>
              <w:rPr>
                <w:b w:val="0"/>
                <w:bCs w:val="0"/>
                <w:shd w:val="clear" w:color="auto" w:fill="auto"/>
              </w:rPr>
            </w:pPr>
            <w:r>
              <w:rPr>
                <w:b w:val="0"/>
                <w:bCs w:val="0"/>
                <w:color w:val="FF0000"/>
                <w:spacing w:val="-3"/>
                <w:shd w:val="clear" w:color="auto" w:fill="auto"/>
              </w:rPr>
              <w:t>6</w:t>
            </w:r>
          </w:p>
        </w:tc>
        <w:tc>
          <w:tcPr>
            <w:tcW w:w="1645" w:type="dxa"/>
            <w:vAlign w:val="center"/>
          </w:tcPr>
          <w:p w14:paraId="10582056">
            <w:pPr>
              <w:pStyle w:val="491"/>
              <w:keepNext w:val="0"/>
              <w:keepLines w:val="0"/>
              <w:pageBreakBefore w:val="0"/>
              <w:kinsoku/>
              <w:wordWrap/>
              <w:overflowPunct/>
              <w:topLinePunct w:val="0"/>
              <w:autoSpaceDN/>
              <w:bidi w:val="0"/>
              <w:adjustRightInd/>
              <w:snapToGrid/>
              <w:spacing w:line="221" w:lineRule="auto"/>
              <w:ind w:left="105" w:leftChars="50" w:right="0"/>
              <w:jc w:val="both"/>
              <w:rPr>
                <w:b w:val="0"/>
                <w:bCs w:val="0"/>
                <w:shd w:val="clear" w:color="auto" w:fill="auto"/>
              </w:rPr>
            </w:pPr>
            <w:r>
              <w:rPr>
                <w:b w:val="0"/>
                <w:bCs w:val="0"/>
                <w:color w:val="FF0000"/>
                <w:spacing w:val="-3"/>
                <w:shd w:val="clear" w:color="auto" w:fill="auto"/>
              </w:rPr>
              <w:t>培训服务要求</w:t>
            </w:r>
          </w:p>
        </w:tc>
        <w:tc>
          <w:tcPr>
            <w:tcW w:w="6288" w:type="dxa"/>
            <w:vAlign w:val="top"/>
          </w:tcPr>
          <w:p w14:paraId="5109CD7D">
            <w:pPr>
              <w:pStyle w:val="491"/>
              <w:keepNext w:val="0"/>
              <w:keepLines w:val="0"/>
              <w:pageBreakBefore w:val="0"/>
              <w:kinsoku/>
              <w:wordWrap/>
              <w:overflowPunct/>
              <w:topLinePunct w:val="0"/>
              <w:autoSpaceDN/>
              <w:bidi w:val="0"/>
              <w:adjustRightInd/>
              <w:snapToGrid/>
              <w:spacing w:line="264" w:lineRule="auto"/>
              <w:ind w:left="105" w:leftChars="50" w:right="0" w:firstLine="14"/>
              <w:rPr>
                <w:b w:val="0"/>
                <w:bCs w:val="0"/>
                <w:shd w:val="clear" w:color="auto" w:fill="auto"/>
              </w:rPr>
            </w:pPr>
            <w:r>
              <w:rPr>
                <w:b w:val="0"/>
                <w:bCs w:val="0"/>
                <w:color w:val="FF0000"/>
                <w:spacing w:val="-5"/>
                <w:shd w:val="clear" w:color="auto" w:fill="auto"/>
              </w:rPr>
              <w:t>1.中标人应负责对采购单位人员进行全面技术培训。培训内容包括</w:t>
            </w:r>
            <w:r>
              <w:rPr>
                <w:b w:val="0"/>
                <w:bCs w:val="0"/>
                <w:color w:val="FF0000"/>
                <w:spacing w:val="-9"/>
                <w:shd w:val="clear" w:color="auto" w:fill="auto"/>
              </w:rPr>
              <w:t>以系统（含软硬件）技术性能、使用、测试、维护及故障排除为主。</w:t>
            </w:r>
            <w:r>
              <w:rPr>
                <w:b w:val="0"/>
                <w:bCs w:val="0"/>
                <w:color w:val="FF0000"/>
                <w:spacing w:val="3"/>
                <w:shd w:val="clear" w:color="auto" w:fill="auto"/>
              </w:rPr>
              <w:t>使之能够正确操作与使用全部设备及其系统并能进行常见故</w:t>
            </w:r>
            <w:r>
              <w:rPr>
                <w:b w:val="0"/>
                <w:bCs w:val="0"/>
                <w:color w:val="FF0000"/>
                <w:spacing w:val="2"/>
                <w:shd w:val="clear" w:color="auto" w:fill="auto"/>
              </w:rPr>
              <w:t>障排</w:t>
            </w:r>
            <w:r>
              <w:rPr>
                <w:b w:val="0"/>
                <w:bCs w:val="0"/>
                <w:color w:val="FF0000"/>
                <w:spacing w:val="-3"/>
                <w:shd w:val="clear" w:color="auto" w:fill="auto"/>
              </w:rPr>
              <w:t>除，并提供系统操作、维修手册及各类设备的说明书。</w:t>
            </w:r>
          </w:p>
          <w:p w14:paraId="20677087">
            <w:pPr>
              <w:pStyle w:val="491"/>
              <w:keepNext w:val="0"/>
              <w:keepLines w:val="0"/>
              <w:pageBreakBefore w:val="0"/>
              <w:kinsoku/>
              <w:wordWrap/>
              <w:overflowPunct/>
              <w:topLinePunct w:val="0"/>
              <w:autoSpaceDN/>
              <w:bidi w:val="0"/>
              <w:adjustRightInd/>
              <w:snapToGrid/>
              <w:spacing w:line="264" w:lineRule="auto"/>
              <w:ind w:left="105" w:leftChars="50" w:right="0"/>
              <w:rPr>
                <w:b w:val="0"/>
                <w:bCs w:val="0"/>
                <w:shd w:val="clear" w:color="auto" w:fill="auto"/>
              </w:rPr>
            </w:pPr>
            <w:r>
              <w:rPr>
                <w:b w:val="0"/>
                <w:bCs w:val="0"/>
                <w:color w:val="FF0000"/>
                <w:spacing w:val="3"/>
                <w:shd w:val="clear" w:color="auto" w:fill="auto"/>
              </w:rPr>
              <w:t>2.中标人提供的负责培训的人员应具有同类产品</w:t>
            </w:r>
            <w:r>
              <w:rPr>
                <w:b w:val="0"/>
                <w:bCs w:val="0"/>
                <w:color w:val="FF0000"/>
                <w:spacing w:val="2"/>
                <w:shd w:val="clear" w:color="auto" w:fill="auto"/>
              </w:rPr>
              <w:t>五年</w:t>
            </w:r>
            <w:r>
              <w:rPr>
                <w:rFonts w:hint="eastAsia"/>
                <w:b w:val="0"/>
                <w:bCs w:val="0"/>
                <w:color w:val="FF0000"/>
                <w:spacing w:val="2"/>
                <w:shd w:val="clear" w:color="auto" w:fill="auto"/>
                <w:lang w:eastAsia="zh-CN"/>
              </w:rPr>
              <w:t>及</w:t>
            </w:r>
            <w:r>
              <w:rPr>
                <w:b w:val="0"/>
                <w:bCs w:val="0"/>
                <w:color w:val="FF0000"/>
                <w:spacing w:val="2"/>
                <w:shd w:val="clear" w:color="auto" w:fill="auto"/>
              </w:rPr>
              <w:t>以上的维修</w:t>
            </w:r>
            <w:r>
              <w:rPr>
                <w:b w:val="0"/>
                <w:bCs w:val="0"/>
                <w:color w:val="FF0000"/>
                <w:spacing w:val="-4"/>
                <w:shd w:val="clear" w:color="auto" w:fill="auto"/>
              </w:rPr>
              <w:t>经验。负责培训人员的资格应由采购人确认。</w:t>
            </w:r>
          </w:p>
          <w:p w14:paraId="1B92A420">
            <w:pPr>
              <w:pStyle w:val="491"/>
              <w:keepNext w:val="0"/>
              <w:keepLines w:val="0"/>
              <w:pageBreakBefore w:val="0"/>
              <w:kinsoku/>
              <w:wordWrap/>
              <w:overflowPunct/>
              <w:topLinePunct w:val="0"/>
              <w:autoSpaceDN/>
              <w:bidi w:val="0"/>
              <w:adjustRightInd/>
              <w:snapToGrid/>
              <w:spacing w:line="263" w:lineRule="auto"/>
              <w:ind w:left="105" w:leftChars="50" w:right="0" w:firstLine="4"/>
              <w:rPr>
                <w:b w:val="0"/>
                <w:bCs w:val="0"/>
                <w:shd w:val="clear" w:color="auto" w:fill="auto"/>
              </w:rPr>
            </w:pPr>
            <w:r>
              <w:rPr>
                <w:b w:val="0"/>
                <w:bCs w:val="0"/>
                <w:color w:val="FF0000"/>
                <w:spacing w:val="-5"/>
                <w:shd w:val="clear" w:color="auto" w:fill="auto"/>
              </w:rPr>
              <w:t>3.中标人须提出详细的用户培训计划，培</w:t>
            </w:r>
            <w:r>
              <w:rPr>
                <w:b w:val="0"/>
                <w:bCs w:val="0"/>
                <w:color w:val="FF0000"/>
                <w:spacing w:val="-6"/>
                <w:shd w:val="clear" w:color="auto" w:fill="auto"/>
              </w:rPr>
              <w:t>训次数不少于</w:t>
            </w:r>
            <w:r>
              <w:rPr>
                <w:b w:val="0"/>
                <w:bCs w:val="0"/>
                <w:color w:val="FF0000"/>
                <w:spacing w:val="-39"/>
                <w:shd w:val="clear" w:color="auto" w:fill="auto"/>
              </w:rPr>
              <w:t xml:space="preserve"> </w:t>
            </w:r>
            <w:r>
              <w:rPr>
                <w:b w:val="0"/>
                <w:bCs w:val="0"/>
                <w:color w:val="FF0000"/>
                <w:spacing w:val="-6"/>
                <w:shd w:val="clear" w:color="auto" w:fill="auto"/>
              </w:rPr>
              <w:t>3</w:t>
            </w:r>
            <w:r>
              <w:rPr>
                <w:b w:val="0"/>
                <w:bCs w:val="0"/>
                <w:color w:val="FF0000"/>
                <w:spacing w:val="-38"/>
                <w:shd w:val="clear" w:color="auto" w:fill="auto"/>
              </w:rPr>
              <w:t xml:space="preserve"> </w:t>
            </w:r>
            <w:r>
              <w:rPr>
                <w:b w:val="0"/>
                <w:bCs w:val="0"/>
                <w:color w:val="FF0000"/>
                <w:spacing w:val="-6"/>
                <w:shd w:val="clear" w:color="auto" w:fill="auto"/>
              </w:rPr>
              <w:t>次，至少</w:t>
            </w:r>
            <w:r>
              <w:rPr>
                <w:b w:val="0"/>
                <w:bCs w:val="0"/>
                <w:color w:val="FF0000"/>
                <w:spacing w:val="-15"/>
                <w:shd w:val="clear" w:color="auto" w:fill="auto"/>
              </w:rPr>
              <w:t>包括：</w:t>
            </w:r>
          </w:p>
          <w:p w14:paraId="791DD403">
            <w:pPr>
              <w:pStyle w:val="491"/>
              <w:keepNext w:val="0"/>
              <w:keepLines w:val="0"/>
              <w:pageBreakBefore w:val="0"/>
              <w:kinsoku/>
              <w:wordWrap/>
              <w:overflowPunct/>
              <w:topLinePunct w:val="0"/>
              <w:autoSpaceDN/>
              <w:bidi w:val="0"/>
              <w:adjustRightInd/>
              <w:snapToGrid/>
              <w:spacing w:line="220" w:lineRule="auto"/>
              <w:ind w:left="105" w:leftChars="50" w:right="0"/>
              <w:rPr>
                <w:b w:val="0"/>
                <w:bCs w:val="0"/>
                <w:shd w:val="clear" w:color="auto" w:fill="auto"/>
              </w:rPr>
            </w:pPr>
            <w:r>
              <w:rPr>
                <w:b w:val="0"/>
                <w:bCs w:val="0"/>
                <w:color w:val="FF0000"/>
                <w:spacing w:val="-3"/>
                <w:shd w:val="clear" w:color="auto" w:fill="auto"/>
              </w:rPr>
              <w:t>（1）对用户、系统运行维护管理人员等不同对象的培训计划。</w:t>
            </w:r>
          </w:p>
          <w:p w14:paraId="138DEE62">
            <w:pPr>
              <w:pStyle w:val="491"/>
              <w:keepNext w:val="0"/>
              <w:keepLines w:val="0"/>
              <w:pageBreakBefore w:val="0"/>
              <w:kinsoku/>
              <w:wordWrap/>
              <w:overflowPunct/>
              <w:topLinePunct w:val="0"/>
              <w:autoSpaceDN/>
              <w:bidi w:val="0"/>
              <w:adjustRightInd/>
              <w:snapToGrid/>
              <w:spacing w:line="245" w:lineRule="auto"/>
              <w:ind w:left="105" w:leftChars="50" w:right="0" w:firstLine="5"/>
              <w:rPr>
                <w:b w:val="0"/>
                <w:bCs w:val="0"/>
                <w:color w:val="FF0000"/>
                <w:spacing w:val="-1"/>
                <w:shd w:val="clear" w:color="auto" w:fill="auto"/>
              </w:rPr>
            </w:pPr>
            <w:r>
              <w:rPr>
                <w:b w:val="0"/>
                <w:bCs w:val="0"/>
                <w:color w:val="FF0000"/>
                <w:spacing w:val="-1"/>
                <w:shd w:val="clear" w:color="auto" w:fill="auto"/>
              </w:rPr>
              <w:t>（2）受训人员经过培训后，应能熟练掌握和使用所培训</w:t>
            </w:r>
            <w:r>
              <w:rPr>
                <w:b w:val="0"/>
                <w:bCs w:val="0"/>
                <w:color w:val="FF0000"/>
                <w:spacing w:val="-2"/>
                <w:shd w:val="clear" w:color="auto" w:fill="auto"/>
              </w:rPr>
              <w:t>的技术内</w:t>
            </w:r>
            <w:r>
              <w:rPr>
                <w:b w:val="0"/>
                <w:bCs w:val="0"/>
                <w:color w:val="FF0000"/>
                <w:spacing w:val="-5"/>
                <w:shd w:val="clear" w:color="auto" w:fill="auto"/>
              </w:rPr>
              <w:t>容，并且系统运行维护管理人员能够独立承担和完成相应的系统维</w:t>
            </w:r>
            <w:r>
              <w:rPr>
                <w:b w:val="0"/>
                <w:bCs w:val="0"/>
                <w:color w:val="FF0000"/>
                <w:spacing w:val="-7"/>
                <w:shd w:val="clear" w:color="auto" w:fill="auto"/>
              </w:rPr>
              <w:t>护和管理工作。</w:t>
            </w:r>
          </w:p>
          <w:p w14:paraId="49C16138">
            <w:pPr>
              <w:pStyle w:val="491"/>
              <w:keepNext w:val="0"/>
              <w:keepLines w:val="0"/>
              <w:pageBreakBefore w:val="0"/>
              <w:kinsoku/>
              <w:wordWrap/>
              <w:overflowPunct/>
              <w:topLinePunct w:val="0"/>
              <w:autoSpaceDN/>
              <w:bidi w:val="0"/>
              <w:adjustRightInd/>
              <w:snapToGrid/>
              <w:spacing w:line="220" w:lineRule="auto"/>
              <w:ind w:left="105" w:leftChars="50" w:right="0"/>
              <w:rPr>
                <w:b w:val="0"/>
                <w:bCs w:val="0"/>
                <w:shd w:val="clear" w:color="auto" w:fill="auto"/>
              </w:rPr>
            </w:pPr>
            <w:r>
              <w:rPr>
                <w:b w:val="0"/>
                <w:bCs w:val="0"/>
                <w:color w:val="FF0000"/>
                <w:spacing w:val="-2"/>
                <w:shd w:val="clear" w:color="auto" w:fill="auto"/>
              </w:rPr>
              <w:t>4.对用户方的系统维护管理人员提供下列专业培训：</w:t>
            </w:r>
          </w:p>
          <w:p w14:paraId="7FD57BBB">
            <w:pPr>
              <w:pStyle w:val="491"/>
              <w:keepNext w:val="0"/>
              <w:keepLines w:val="0"/>
              <w:pageBreakBefore w:val="0"/>
              <w:kinsoku/>
              <w:wordWrap/>
              <w:overflowPunct/>
              <w:topLinePunct w:val="0"/>
              <w:autoSpaceDN/>
              <w:bidi w:val="0"/>
              <w:adjustRightInd/>
              <w:snapToGrid/>
              <w:spacing w:line="264" w:lineRule="auto"/>
              <w:ind w:left="105" w:leftChars="50" w:right="0" w:firstLine="5"/>
              <w:rPr>
                <w:b w:val="0"/>
                <w:bCs w:val="0"/>
                <w:shd w:val="clear" w:color="auto" w:fill="auto"/>
              </w:rPr>
            </w:pPr>
            <w:r>
              <w:rPr>
                <w:b w:val="0"/>
                <w:bCs w:val="0"/>
                <w:color w:val="FF0000"/>
                <w:spacing w:val="-2"/>
                <w:shd w:val="clear" w:color="auto" w:fill="auto"/>
              </w:rPr>
              <w:t>（1）系统维护管理、故障的诊断与处理、系统设备技术等方面的</w:t>
            </w:r>
            <w:r>
              <w:rPr>
                <w:b w:val="0"/>
                <w:bCs w:val="0"/>
                <w:color w:val="FF0000"/>
                <w:spacing w:val="-11"/>
                <w:shd w:val="clear" w:color="auto" w:fill="auto"/>
              </w:rPr>
              <w:t>培训。</w:t>
            </w:r>
          </w:p>
          <w:p w14:paraId="6CE77807">
            <w:pPr>
              <w:pStyle w:val="491"/>
              <w:keepNext w:val="0"/>
              <w:keepLines w:val="0"/>
              <w:pageBreakBefore w:val="0"/>
              <w:kinsoku/>
              <w:wordWrap/>
              <w:overflowPunct/>
              <w:topLinePunct w:val="0"/>
              <w:autoSpaceDN/>
              <w:bidi w:val="0"/>
              <w:adjustRightInd/>
              <w:snapToGrid/>
              <w:spacing w:line="206" w:lineRule="auto"/>
              <w:ind w:left="105" w:leftChars="50" w:right="0"/>
              <w:rPr>
                <w:b w:val="0"/>
                <w:bCs w:val="0"/>
                <w:shd w:val="clear" w:color="auto" w:fill="auto"/>
              </w:rPr>
            </w:pPr>
            <w:r>
              <w:rPr>
                <w:b w:val="0"/>
                <w:bCs w:val="0"/>
                <w:color w:val="FF0000"/>
                <w:spacing w:val="-4"/>
                <w:shd w:val="clear" w:color="auto" w:fill="auto"/>
              </w:rPr>
              <w:t>（2）每年提供</w:t>
            </w:r>
            <w:r>
              <w:rPr>
                <w:b w:val="0"/>
                <w:bCs w:val="0"/>
                <w:color w:val="FF0000"/>
                <w:spacing w:val="-16"/>
                <w:shd w:val="clear" w:color="auto" w:fill="auto"/>
              </w:rPr>
              <w:t xml:space="preserve"> </w:t>
            </w:r>
            <w:r>
              <w:rPr>
                <w:b w:val="0"/>
                <w:bCs w:val="0"/>
                <w:color w:val="FF0000"/>
                <w:spacing w:val="-4"/>
                <w:shd w:val="clear" w:color="auto" w:fill="auto"/>
              </w:rPr>
              <w:t>2</w:t>
            </w:r>
            <w:r>
              <w:rPr>
                <w:b w:val="0"/>
                <w:bCs w:val="0"/>
                <w:color w:val="FF0000"/>
                <w:spacing w:val="-38"/>
                <w:shd w:val="clear" w:color="auto" w:fill="auto"/>
              </w:rPr>
              <w:t xml:space="preserve"> </w:t>
            </w:r>
            <w:r>
              <w:rPr>
                <w:b w:val="0"/>
                <w:bCs w:val="0"/>
                <w:color w:val="FF0000"/>
                <w:spacing w:val="-4"/>
                <w:shd w:val="clear" w:color="auto" w:fill="auto"/>
              </w:rPr>
              <w:t>次新技术、新产品等方面的培训。</w:t>
            </w:r>
          </w:p>
        </w:tc>
      </w:tr>
      <w:tr w14:paraId="0FDA21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4" w:hRule="atLeast"/>
        </w:trPr>
        <w:tc>
          <w:tcPr>
            <w:tcW w:w="792" w:type="dxa"/>
            <w:vAlign w:val="center"/>
          </w:tcPr>
          <w:p w14:paraId="350D395D">
            <w:pPr>
              <w:pStyle w:val="491"/>
              <w:keepNext w:val="0"/>
              <w:keepLines w:val="0"/>
              <w:pageBreakBefore w:val="0"/>
              <w:kinsoku/>
              <w:wordWrap/>
              <w:overflowPunct/>
              <w:topLinePunct w:val="0"/>
              <w:autoSpaceDN/>
              <w:bidi w:val="0"/>
              <w:adjustRightInd/>
              <w:snapToGrid/>
              <w:spacing w:line="241" w:lineRule="auto"/>
              <w:ind w:left="105" w:leftChars="50" w:right="0"/>
              <w:jc w:val="both"/>
              <w:rPr>
                <w:b w:val="0"/>
                <w:bCs w:val="0"/>
                <w:shd w:val="clear" w:color="auto" w:fill="auto"/>
              </w:rPr>
            </w:pPr>
            <w:r>
              <w:rPr>
                <w:b w:val="0"/>
                <w:bCs w:val="0"/>
                <w:color w:val="FF0000"/>
                <w:spacing w:val="-3"/>
                <w:shd w:val="clear" w:color="auto" w:fill="auto"/>
              </w:rPr>
              <w:t>7</w:t>
            </w:r>
          </w:p>
        </w:tc>
        <w:tc>
          <w:tcPr>
            <w:tcW w:w="1645" w:type="dxa"/>
            <w:vAlign w:val="center"/>
          </w:tcPr>
          <w:p w14:paraId="22EC0D2E">
            <w:pPr>
              <w:pStyle w:val="491"/>
              <w:keepNext w:val="0"/>
              <w:keepLines w:val="0"/>
              <w:pageBreakBefore w:val="0"/>
              <w:kinsoku/>
              <w:wordWrap/>
              <w:overflowPunct/>
              <w:topLinePunct w:val="0"/>
              <w:autoSpaceDN/>
              <w:bidi w:val="0"/>
              <w:adjustRightInd/>
              <w:snapToGrid/>
              <w:spacing w:line="221" w:lineRule="auto"/>
              <w:ind w:left="105" w:leftChars="50" w:right="0"/>
              <w:jc w:val="both"/>
              <w:rPr>
                <w:b w:val="0"/>
                <w:bCs w:val="0"/>
                <w:shd w:val="clear" w:color="auto" w:fill="auto"/>
              </w:rPr>
            </w:pPr>
            <w:r>
              <w:rPr>
                <w:b w:val="0"/>
                <w:bCs w:val="0"/>
                <w:color w:val="FF0000"/>
                <w:spacing w:val="-3"/>
                <w:shd w:val="clear" w:color="auto" w:fill="auto"/>
              </w:rPr>
              <w:t>巡检服务要求</w:t>
            </w:r>
          </w:p>
        </w:tc>
        <w:tc>
          <w:tcPr>
            <w:tcW w:w="6288" w:type="dxa"/>
            <w:vAlign w:val="top"/>
          </w:tcPr>
          <w:p w14:paraId="570A9242">
            <w:pPr>
              <w:pStyle w:val="491"/>
              <w:keepNext w:val="0"/>
              <w:keepLines w:val="0"/>
              <w:pageBreakBefore w:val="0"/>
              <w:kinsoku/>
              <w:wordWrap/>
              <w:overflowPunct/>
              <w:topLinePunct w:val="0"/>
              <w:autoSpaceDN/>
              <w:bidi w:val="0"/>
              <w:adjustRightInd/>
              <w:snapToGrid/>
              <w:spacing w:line="264" w:lineRule="auto"/>
              <w:ind w:left="105" w:leftChars="50" w:right="0" w:firstLine="12"/>
              <w:rPr>
                <w:b w:val="0"/>
                <w:bCs w:val="0"/>
                <w:shd w:val="clear" w:color="auto" w:fill="auto"/>
              </w:rPr>
            </w:pPr>
            <w:r>
              <w:rPr>
                <w:b w:val="0"/>
                <w:bCs w:val="0"/>
                <w:color w:val="FF0000"/>
                <w:spacing w:val="-5"/>
                <w:shd w:val="clear" w:color="auto" w:fill="auto"/>
              </w:rPr>
              <w:t>1.中标人按季度提供保修期内的巡检服务，检测设备运行情况、清洁设备，做好设备运行记录，双方签名验收，由此产生的所有费用</w:t>
            </w:r>
            <w:r>
              <w:rPr>
                <w:b w:val="0"/>
                <w:bCs w:val="0"/>
                <w:color w:val="FF0000"/>
                <w:spacing w:val="-7"/>
                <w:shd w:val="clear" w:color="auto" w:fill="auto"/>
              </w:rPr>
              <w:t>由中标人负责。</w:t>
            </w:r>
          </w:p>
          <w:p w14:paraId="5860C64C">
            <w:pPr>
              <w:pStyle w:val="491"/>
              <w:keepNext w:val="0"/>
              <w:keepLines w:val="0"/>
              <w:pageBreakBefore w:val="0"/>
              <w:kinsoku/>
              <w:wordWrap/>
              <w:overflowPunct/>
              <w:topLinePunct w:val="0"/>
              <w:autoSpaceDN/>
              <w:bidi w:val="0"/>
              <w:adjustRightInd/>
              <w:snapToGrid/>
              <w:spacing w:line="219" w:lineRule="auto"/>
              <w:ind w:left="105" w:leftChars="50" w:right="0"/>
              <w:rPr>
                <w:b w:val="0"/>
                <w:bCs w:val="0"/>
                <w:shd w:val="clear" w:color="auto" w:fill="auto"/>
              </w:rPr>
            </w:pPr>
            <w:r>
              <w:rPr>
                <w:b w:val="0"/>
                <w:bCs w:val="0"/>
                <w:color w:val="FF0000"/>
                <w:spacing w:val="-3"/>
                <w:shd w:val="clear" w:color="auto" w:fill="auto"/>
              </w:rPr>
              <w:t>2.中标人在免费保修期内需要提供不限次数性能调优服务。</w:t>
            </w:r>
          </w:p>
          <w:p w14:paraId="54153575">
            <w:pPr>
              <w:pStyle w:val="491"/>
              <w:keepNext w:val="0"/>
              <w:keepLines w:val="0"/>
              <w:pageBreakBefore w:val="0"/>
              <w:kinsoku/>
              <w:wordWrap/>
              <w:overflowPunct/>
              <w:topLinePunct w:val="0"/>
              <w:autoSpaceDN/>
              <w:bidi w:val="0"/>
              <w:adjustRightInd/>
              <w:snapToGrid/>
              <w:spacing w:line="206" w:lineRule="auto"/>
              <w:ind w:left="105" w:leftChars="50" w:right="0"/>
              <w:rPr>
                <w:b w:val="0"/>
                <w:bCs w:val="0"/>
                <w:shd w:val="clear" w:color="auto" w:fill="auto"/>
              </w:rPr>
            </w:pPr>
            <w:r>
              <w:rPr>
                <w:b w:val="0"/>
                <w:bCs w:val="0"/>
                <w:color w:val="FF0000"/>
                <w:spacing w:val="-3"/>
                <w:shd w:val="clear" w:color="auto" w:fill="auto"/>
              </w:rPr>
              <w:t>3.中标人在免费保修期内需要提供不限次数固件升级服务。</w:t>
            </w:r>
          </w:p>
        </w:tc>
      </w:tr>
      <w:tr w14:paraId="61D827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7" w:hRule="atLeast"/>
        </w:trPr>
        <w:tc>
          <w:tcPr>
            <w:tcW w:w="792" w:type="dxa"/>
            <w:vAlign w:val="center"/>
          </w:tcPr>
          <w:p w14:paraId="52A08433">
            <w:pPr>
              <w:pStyle w:val="491"/>
              <w:keepNext w:val="0"/>
              <w:keepLines w:val="0"/>
              <w:pageBreakBefore w:val="0"/>
              <w:kinsoku/>
              <w:wordWrap/>
              <w:overflowPunct/>
              <w:topLinePunct w:val="0"/>
              <w:autoSpaceDN/>
              <w:bidi w:val="0"/>
              <w:adjustRightInd/>
              <w:snapToGrid/>
              <w:spacing w:line="241" w:lineRule="auto"/>
              <w:ind w:left="105" w:leftChars="50" w:right="0"/>
              <w:jc w:val="both"/>
              <w:rPr>
                <w:b w:val="0"/>
                <w:bCs w:val="0"/>
                <w:shd w:val="clear" w:color="auto" w:fill="auto"/>
              </w:rPr>
            </w:pPr>
            <w:r>
              <w:rPr>
                <w:b w:val="0"/>
                <w:bCs w:val="0"/>
                <w:color w:val="FF0000"/>
                <w:spacing w:val="-3"/>
                <w:shd w:val="clear" w:color="auto" w:fill="auto"/>
              </w:rPr>
              <w:t>8</w:t>
            </w:r>
          </w:p>
        </w:tc>
        <w:tc>
          <w:tcPr>
            <w:tcW w:w="1645" w:type="dxa"/>
            <w:vAlign w:val="center"/>
          </w:tcPr>
          <w:p w14:paraId="2F3059A1">
            <w:pPr>
              <w:pStyle w:val="491"/>
              <w:keepNext w:val="0"/>
              <w:keepLines w:val="0"/>
              <w:pageBreakBefore w:val="0"/>
              <w:kinsoku/>
              <w:wordWrap/>
              <w:overflowPunct/>
              <w:topLinePunct w:val="0"/>
              <w:autoSpaceDN/>
              <w:bidi w:val="0"/>
              <w:adjustRightInd/>
              <w:snapToGrid/>
              <w:spacing w:line="221" w:lineRule="auto"/>
              <w:ind w:left="105" w:leftChars="50" w:right="0"/>
              <w:jc w:val="both"/>
              <w:rPr>
                <w:b w:val="0"/>
                <w:bCs w:val="0"/>
                <w:shd w:val="clear" w:color="auto" w:fill="auto"/>
              </w:rPr>
            </w:pPr>
            <w:r>
              <w:rPr>
                <w:b w:val="0"/>
                <w:bCs w:val="0"/>
                <w:color w:val="FF0000"/>
                <w:spacing w:val="-3"/>
                <w:shd w:val="clear" w:color="auto" w:fill="auto"/>
              </w:rPr>
              <w:t>项目进度计划</w:t>
            </w:r>
          </w:p>
        </w:tc>
        <w:tc>
          <w:tcPr>
            <w:tcW w:w="6288" w:type="dxa"/>
            <w:vAlign w:val="top"/>
          </w:tcPr>
          <w:p w14:paraId="212F2DA1">
            <w:pPr>
              <w:pStyle w:val="491"/>
              <w:keepNext w:val="0"/>
              <w:keepLines w:val="0"/>
              <w:pageBreakBefore w:val="0"/>
              <w:kinsoku/>
              <w:wordWrap/>
              <w:overflowPunct/>
              <w:topLinePunct w:val="0"/>
              <w:autoSpaceDN/>
              <w:bidi w:val="0"/>
              <w:adjustRightInd/>
              <w:snapToGrid/>
              <w:spacing w:line="264" w:lineRule="auto"/>
              <w:ind w:left="105" w:leftChars="50" w:right="0" w:firstLine="4"/>
              <w:rPr>
                <w:b w:val="0"/>
                <w:bCs w:val="0"/>
                <w:shd w:val="clear" w:color="auto" w:fill="auto"/>
              </w:rPr>
            </w:pPr>
            <w:r>
              <w:rPr>
                <w:b w:val="0"/>
                <w:bCs w:val="0"/>
                <w:color w:val="FF0000"/>
                <w:spacing w:val="-6"/>
                <w:shd w:val="clear" w:color="auto" w:fill="auto"/>
              </w:rPr>
              <w:t>（1）</w:t>
            </w:r>
            <w:r>
              <w:rPr>
                <w:b w:val="0"/>
                <w:bCs w:val="0"/>
                <w:color w:val="FF0000"/>
                <w:spacing w:val="-4"/>
                <w:shd w:val="clear" w:color="auto" w:fill="auto"/>
              </w:rPr>
              <w:t xml:space="preserve">自合同签订之日起 </w:t>
            </w:r>
            <w:r>
              <w:rPr>
                <w:rFonts w:hint="eastAsia"/>
                <w:b w:val="0"/>
                <w:bCs w:val="0"/>
                <w:color w:val="FF0000"/>
                <w:spacing w:val="-4"/>
                <w:shd w:val="clear" w:color="auto" w:fill="auto"/>
                <w:lang w:val="en-US" w:eastAsia="zh-CN"/>
              </w:rPr>
              <w:t>36</w:t>
            </w:r>
            <w:r>
              <w:rPr>
                <w:b w:val="0"/>
                <w:bCs w:val="0"/>
                <w:color w:val="FF0000"/>
                <w:spacing w:val="-4"/>
                <w:shd w:val="clear" w:color="auto" w:fill="auto"/>
              </w:rPr>
              <w:t>个月内完成本项目到货</w:t>
            </w:r>
            <w:r>
              <w:rPr>
                <w:b w:val="0"/>
                <w:bCs w:val="0"/>
                <w:color w:val="FF0000"/>
                <w:spacing w:val="-7"/>
                <w:shd w:val="clear" w:color="auto" w:fill="auto"/>
              </w:rPr>
              <w:t>（不含</w:t>
            </w:r>
            <w:r>
              <w:rPr>
                <w:b w:val="0"/>
                <w:bCs w:val="0"/>
                <w:color w:val="FF0000"/>
                <w:spacing w:val="-4"/>
                <w:shd w:val="clear" w:color="auto" w:fill="auto"/>
              </w:rPr>
              <w:t>安装调</w:t>
            </w:r>
            <w:r>
              <w:rPr>
                <w:b w:val="0"/>
                <w:bCs w:val="0"/>
                <w:color w:val="FF0000"/>
                <w:spacing w:val="-7"/>
                <w:shd w:val="clear" w:color="auto" w:fill="auto"/>
              </w:rPr>
              <w:t>试完毕、初步验收合格</w:t>
            </w:r>
            <w:r>
              <w:rPr>
                <w:rFonts w:hint="eastAsia"/>
                <w:b w:val="0"/>
                <w:bCs w:val="0"/>
                <w:color w:val="FF0000"/>
                <w:spacing w:val="-7"/>
                <w:shd w:val="clear" w:color="auto" w:fill="auto"/>
                <w:lang w:eastAsia="zh-CN"/>
              </w:rPr>
              <w:t>、</w:t>
            </w:r>
            <w:r>
              <w:rPr>
                <w:b w:val="0"/>
                <w:bCs w:val="0"/>
                <w:color w:val="FF0000"/>
                <w:spacing w:val="-7"/>
                <w:shd w:val="clear" w:color="auto" w:fill="auto"/>
              </w:rPr>
              <w:t>试运行时间、项目终验</w:t>
            </w:r>
            <w:r>
              <w:rPr>
                <w:b w:val="0"/>
                <w:bCs w:val="0"/>
                <w:color w:val="FF0000"/>
                <w:spacing w:val="-43"/>
                <w:shd w:val="clear" w:color="auto" w:fill="auto"/>
              </w:rPr>
              <w:t>），</w:t>
            </w:r>
            <w:r>
              <w:rPr>
                <w:b w:val="0"/>
                <w:bCs w:val="0"/>
                <w:color w:val="FF0000"/>
                <w:spacing w:val="-2"/>
                <w:shd w:val="clear" w:color="auto" w:fill="auto"/>
              </w:rPr>
              <w:t>项目进度必须满足采购单位对项目的总体计划和进度要求。</w:t>
            </w:r>
          </w:p>
          <w:p w14:paraId="7E0172B9">
            <w:pPr>
              <w:pStyle w:val="491"/>
              <w:keepNext w:val="0"/>
              <w:keepLines w:val="0"/>
              <w:pageBreakBefore w:val="0"/>
              <w:kinsoku/>
              <w:wordWrap/>
              <w:overflowPunct/>
              <w:topLinePunct w:val="0"/>
              <w:autoSpaceDN/>
              <w:bidi w:val="0"/>
              <w:adjustRightInd/>
              <w:snapToGrid/>
              <w:spacing w:line="263" w:lineRule="auto"/>
              <w:ind w:left="105" w:leftChars="50" w:right="0"/>
              <w:rPr>
                <w:b w:val="0"/>
                <w:bCs w:val="0"/>
                <w:shd w:val="clear" w:color="auto" w:fill="auto"/>
              </w:rPr>
            </w:pPr>
            <w:r>
              <w:rPr>
                <w:b w:val="0"/>
                <w:bCs w:val="0"/>
                <w:color w:val="FF0000"/>
                <w:spacing w:val="-4"/>
                <w:shd w:val="clear" w:color="auto" w:fill="auto"/>
              </w:rPr>
              <w:t>（2）项目初步验收合格后按要求完成不少于</w:t>
            </w:r>
            <w:r>
              <w:rPr>
                <w:rFonts w:hint="eastAsia"/>
                <w:b w:val="0"/>
                <w:bCs w:val="0"/>
                <w:color w:val="FF0000"/>
                <w:spacing w:val="-4"/>
                <w:shd w:val="clear" w:color="auto" w:fill="auto"/>
                <w:lang w:val="en-US" w:eastAsia="zh-CN"/>
              </w:rPr>
              <w:t>3</w:t>
            </w:r>
            <w:r>
              <w:rPr>
                <w:b w:val="0"/>
                <w:bCs w:val="0"/>
                <w:color w:val="FF0000"/>
                <w:spacing w:val="-4"/>
                <w:shd w:val="clear" w:color="auto" w:fill="auto"/>
              </w:rPr>
              <w:t>个月的试运行，解决初验遗留问题，完成问题整改。</w:t>
            </w:r>
          </w:p>
          <w:p w14:paraId="6C6A7F58">
            <w:pPr>
              <w:pStyle w:val="491"/>
              <w:keepNext w:val="0"/>
              <w:keepLines w:val="0"/>
              <w:pageBreakBefore w:val="0"/>
              <w:kinsoku/>
              <w:wordWrap/>
              <w:overflowPunct/>
              <w:topLinePunct w:val="0"/>
              <w:autoSpaceDN/>
              <w:bidi w:val="0"/>
              <w:adjustRightInd/>
              <w:snapToGrid/>
              <w:spacing w:line="235" w:lineRule="auto"/>
              <w:ind w:left="105" w:leftChars="50" w:right="0" w:firstLine="5"/>
              <w:rPr>
                <w:b w:val="0"/>
                <w:bCs w:val="0"/>
                <w:shd w:val="clear" w:color="auto" w:fill="auto"/>
              </w:rPr>
            </w:pPr>
            <w:r>
              <w:rPr>
                <w:b w:val="0"/>
                <w:bCs w:val="0"/>
                <w:color w:val="FF0000"/>
                <w:spacing w:val="-3"/>
                <w:shd w:val="clear" w:color="auto" w:fill="auto"/>
              </w:rPr>
              <w:t>（3）项目</w:t>
            </w:r>
            <w:r>
              <w:rPr>
                <w:rFonts w:hint="eastAsia"/>
                <w:b w:val="0"/>
                <w:bCs w:val="0"/>
                <w:color w:val="FF0000"/>
                <w:spacing w:val="-3"/>
                <w:shd w:val="clear" w:color="auto" w:fill="auto"/>
                <w:lang w:eastAsia="zh-CN"/>
              </w:rPr>
              <w:t>软件或硬件</w:t>
            </w:r>
            <w:r>
              <w:rPr>
                <w:rFonts w:hint="eastAsia" w:ascii="宋体" w:hAnsi="宋体" w:eastAsia="宋体" w:cs="宋体"/>
                <w:b w:val="0"/>
                <w:bCs w:val="0"/>
                <w:color w:val="FF0000"/>
                <w:spacing w:val="-5"/>
                <w:kern w:val="2"/>
                <w:sz w:val="21"/>
                <w:szCs w:val="21"/>
                <w:shd w:val="clear" w:color="auto" w:fill="auto"/>
                <w:lang w:val="en-US" w:eastAsia="en-US" w:bidi="ar-SA"/>
              </w:rPr>
              <w:t>各阶段任务</w:t>
            </w:r>
            <w:r>
              <w:rPr>
                <w:b w:val="0"/>
                <w:bCs w:val="0"/>
                <w:color w:val="FF0000"/>
                <w:spacing w:val="-3"/>
                <w:shd w:val="clear" w:color="auto" w:fill="auto"/>
              </w:rPr>
              <w:t>试运行结束后，并收到中标方的书面</w:t>
            </w:r>
            <w:r>
              <w:rPr>
                <w:rFonts w:hint="eastAsia"/>
                <w:b w:val="0"/>
                <w:bCs w:val="0"/>
                <w:color w:val="FF0000"/>
                <w:spacing w:val="-3"/>
                <w:shd w:val="clear" w:color="auto" w:fill="auto"/>
                <w:lang w:eastAsia="zh-CN"/>
              </w:rPr>
              <w:t>终</w:t>
            </w:r>
            <w:r>
              <w:rPr>
                <w:b w:val="0"/>
                <w:bCs w:val="0"/>
                <w:color w:val="FF0000"/>
                <w:spacing w:val="-3"/>
                <w:shd w:val="clear" w:color="auto" w:fill="auto"/>
              </w:rPr>
              <w:t>验申请之日</w:t>
            </w:r>
            <w:r>
              <w:rPr>
                <w:b w:val="0"/>
                <w:bCs w:val="0"/>
                <w:color w:val="FF0000"/>
                <w:spacing w:val="-5"/>
                <w:shd w:val="clear" w:color="auto" w:fill="auto"/>
              </w:rPr>
              <w:t>起</w:t>
            </w:r>
            <w:r>
              <w:rPr>
                <w:b w:val="0"/>
                <w:bCs w:val="0"/>
                <w:color w:val="FF0000"/>
                <w:spacing w:val="-35"/>
                <w:shd w:val="clear" w:color="auto" w:fill="auto"/>
              </w:rPr>
              <w:t xml:space="preserve"> </w:t>
            </w:r>
            <w:r>
              <w:rPr>
                <w:b w:val="0"/>
                <w:bCs w:val="0"/>
                <w:color w:val="FF0000"/>
                <w:spacing w:val="-5"/>
                <w:shd w:val="clear" w:color="auto" w:fill="auto"/>
              </w:rPr>
              <w:t>30</w:t>
            </w:r>
            <w:r>
              <w:rPr>
                <w:b w:val="0"/>
                <w:bCs w:val="0"/>
                <w:color w:val="FF0000"/>
                <w:spacing w:val="-44"/>
                <w:shd w:val="clear" w:color="auto" w:fill="auto"/>
              </w:rPr>
              <w:t xml:space="preserve"> </w:t>
            </w:r>
            <w:r>
              <w:rPr>
                <w:b w:val="0"/>
                <w:bCs w:val="0"/>
                <w:color w:val="FF0000"/>
                <w:spacing w:val="-5"/>
                <w:shd w:val="clear" w:color="auto" w:fill="auto"/>
              </w:rPr>
              <w:t>个日历日之内完成</w:t>
            </w:r>
            <w:r>
              <w:rPr>
                <w:b w:val="0"/>
                <w:bCs w:val="0"/>
                <w:color w:val="FF0000"/>
                <w:spacing w:val="-3"/>
                <w:shd w:val="clear" w:color="auto" w:fill="auto"/>
              </w:rPr>
              <w:t>项目</w:t>
            </w:r>
            <w:r>
              <w:rPr>
                <w:rFonts w:hint="eastAsia"/>
                <w:b w:val="0"/>
                <w:bCs w:val="0"/>
                <w:color w:val="FF0000"/>
                <w:spacing w:val="-3"/>
                <w:shd w:val="clear" w:color="auto" w:fill="auto"/>
                <w:lang w:eastAsia="zh-CN"/>
              </w:rPr>
              <w:t>软件或硬件</w:t>
            </w:r>
            <w:r>
              <w:rPr>
                <w:rFonts w:hint="eastAsia" w:ascii="宋体" w:hAnsi="宋体" w:eastAsia="宋体" w:cs="宋体"/>
                <w:b w:val="0"/>
                <w:bCs w:val="0"/>
                <w:color w:val="FF0000"/>
                <w:spacing w:val="-5"/>
                <w:kern w:val="2"/>
                <w:sz w:val="21"/>
                <w:szCs w:val="21"/>
                <w:shd w:val="clear" w:color="auto" w:fill="auto"/>
                <w:lang w:val="en-US" w:eastAsia="en-US" w:bidi="ar-SA"/>
              </w:rPr>
              <w:t>各阶段任务</w:t>
            </w:r>
            <w:r>
              <w:rPr>
                <w:rFonts w:hint="eastAsia"/>
                <w:b w:val="0"/>
                <w:bCs w:val="0"/>
                <w:color w:val="FF0000"/>
                <w:spacing w:val="-5"/>
                <w:shd w:val="clear" w:color="auto" w:fill="auto"/>
                <w:lang w:eastAsia="zh-CN"/>
              </w:rPr>
              <w:t>终验</w:t>
            </w:r>
            <w:r>
              <w:rPr>
                <w:b w:val="0"/>
                <w:bCs w:val="0"/>
                <w:color w:val="FF0000"/>
                <w:spacing w:val="-5"/>
                <w:shd w:val="clear" w:color="auto" w:fill="auto"/>
              </w:rPr>
              <w:t>。</w:t>
            </w:r>
          </w:p>
        </w:tc>
      </w:tr>
      <w:tr w14:paraId="17F965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792" w:type="dxa"/>
            <w:vAlign w:val="center"/>
          </w:tcPr>
          <w:p w14:paraId="196714EB">
            <w:pPr>
              <w:pStyle w:val="491"/>
              <w:keepNext w:val="0"/>
              <w:keepLines w:val="0"/>
              <w:pageBreakBefore w:val="0"/>
              <w:kinsoku/>
              <w:wordWrap/>
              <w:overflowPunct/>
              <w:topLinePunct w:val="0"/>
              <w:autoSpaceDN/>
              <w:bidi w:val="0"/>
              <w:adjustRightInd/>
              <w:snapToGrid/>
              <w:spacing w:line="241" w:lineRule="auto"/>
              <w:ind w:left="105" w:leftChars="50" w:right="0"/>
              <w:jc w:val="left"/>
              <w:rPr>
                <w:b w:val="0"/>
                <w:bCs w:val="0"/>
                <w:shd w:val="clear" w:color="auto" w:fill="auto"/>
              </w:rPr>
            </w:pPr>
            <w:r>
              <w:rPr>
                <w:b w:val="0"/>
                <w:bCs w:val="0"/>
                <w:color w:val="FF0000"/>
                <w:spacing w:val="-3"/>
                <w:shd w:val="clear" w:color="auto" w:fill="auto"/>
              </w:rPr>
              <w:t>9</w:t>
            </w:r>
          </w:p>
        </w:tc>
        <w:tc>
          <w:tcPr>
            <w:tcW w:w="1645" w:type="dxa"/>
            <w:vAlign w:val="center"/>
          </w:tcPr>
          <w:p w14:paraId="5991D269">
            <w:pPr>
              <w:pStyle w:val="491"/>
              <w:keepNext w:val="0"/>
              <w:keepLines w:val="0"/>
              <w:pageBreakBefore w:val="0"/>
              <w:kinsoku/>
              <w:wordWrap/>
              <w:overflowPunct/>
              <w:topLinePunct w:val="0"/>
              <w:autoSpaceDN/>
              <w:bidi w:val="0"/>
              <w:adjustRightInd/>
              <w:snapToGrid/>
              <w:spacing w:line="245" w:lineRule="auto"/>
              <w:ind w:left="105" w:leftChars="50" w:right="0" w:firstLine="18"/>
              <w:jc w:val="center"/>
              <w:rPr>
                <w:rFonts w:ascii="宋体" w:hAnsi="宋体" w:eastAsia="宋体" w:cs="宋体"/>
                <w:b w:val="0"/>
                <w:bCs w:val="0"/>
                <w:color w:val="FF0000"/>
                <w:spacing w:val="-5"/>
                <w:shd w:val="clear" w:color="auto" w:fill="auto"/>
              </w:rPr>
            </w:pPr>
            <w:r>
              <w:rPr>
                <w:rFonts w:ascii="宋体" w:hAnsi="宋体" w:eastAsia="宋体" w:cs="宋体"/>
                <w:b w:val="0"/>
                <w:bCs w:val="0"/>
                <w:color w:val="FF0000"/>
                <w:spacing w:val="-5"/>
                <w:shd w:val="clear" w:color="auto" w:fill="auto"/>
              </w:rPr>
              <w:t>付款方式</w:t>
            </w:r>
          </w:p>
        </w:tc>
        <w:tc>
          <w:tcPr>
            <w:tcW w:w="6288" w:type="dxa"/>
            <w:vAlign w:val="top"/>
          </w:tcPr>
          <w:p w14:paraId="5FB5ABF5">
            <w:pPr>
              <w:pStyle w:val="491"/>
              <w:keepNext w:val="0"/>
              <w:keepLines w:val="0"/>
              <w:pageBreakBefore w:val="0"/>
              <w:kinsoku/>
              <w:wordWrap/>
              <w:overflowPunct/>
              <w:topLinePunct w:val="0"/>
              <w:autoSpaceDN/>
              <w:bidi w:val="0"/>
              <w:adjustRightInd/>
              <w:snapToGrid/>
              <w:spacing w:line="245" w:lineRule="auto"/>
              <w:ind w:left="105" w:leftChars="50" w:right="0" w:firstLine="18"/>
              <w:jc w:val="both"/>
              <w:rPr>
                <w:rFonts w:ascii="宋体" w:hAnsi="宋体" w:eastAsia="宋体" w:cs="宋体"/>
                <w:b w:val="0"/>
                <w:bCs w:val="0"/>
                <w:color w:val="FF0000"/>
                <w:spacing w:val="-5"/>
                <w:shd w:val="clear" w:color="auto" w:fill="auto"/>
                <w:lang w:val="en-US" w:eastAsia="en-US"/>
              </w:rPr>
            </w:pPr>
            <w:r>
              <w:rPr>
                <w:rFonts w:hint="eastAsia" w:ascii="宋体" w:hAnsi="宋体" w:eastAsia="宋体" w:cs="宋体"/>
                <w:b w:val="0"/>
                <w:bCs w:val="0"/>
                <w:color w:val="FF0000"/>
                <w:spacing w:val="-5"/>
                <w:shd w:val="clear" w:color="auto" w:fill="auto"/>
                <w:lang w:val="en-US" w:eastAsia="en-US"/>
              </w:rPr>
              <w:t>【合同首付款】合同签订且中标单位提供等额合法有效的税务发票后10个工作日内，向中标单位支付合同总金额的50%作为合同首付款。</w:t>
            </w:r>
          </w:p>
          <w:p w14:paraId="5428CDDF">
            <w:pPr>
              <w:pStyle w:val="491"/>
              <w:keepNext w:val="0"/>
              <w:keepLines w:val="0"/>
              <w:pageBreakBefore w:val="0"/>
              <w:kinsoku/>
              <w:wordWrap/>
              <w:overflowPunct/>
              <w:topLinePunct w:val="0"/>
              <w:autoSpaceDN/>
              <w:bidi w:val="0"/>
              <w:adjustRightInd/>
              <w:snapToGrid/>
              <w:spacing w:line="245" w:lineRule="auto"/>
              <w:ind w:left="105" w:leftChars="50" w:right="0" w:firstLine="18"/>
              <w:jc w:val="both"/>
              <w:rPr>
                <w:rFonts w:hint="eastAsia" w:ascii="宋体" w:hAnsi="宋体" w:eastAsia="宋体" w:cs="宋体"/>
                <w:b w:val="0"/>
                <w:bCs w:val="0"/>
                <w:color w:val="FF0000"/>
                <w:spacing w:val="-5"/>
                <w:shd w:val="clear" w:color="auto" w:fill="auto"/>
                <w:lang w:val="en-US" w:eastAsia="en-US"/>
              </w:rPr>
            </w:pPr>
            <w:r>
              <w:rPr>
                <w:rFonts w:hint="eastAsia" w:ascii="宋体" w:hAnsi="宋体" w:eastAsia="宋体" w:cs="宋体"/>
                <w:b w:val="0"/>
                <w:bCs w:val="0"/>
                <w:color w:val="FF0000"/>
                <w:spacing w:val="-5"/>
                <w:shd w:val="clear" w:color="auto" w:fill="auto"/>
                <w:lang w:val="en-US" w:eastAsia="en-US"/>
              </w:rPr>
              <w:t>【合同</w:t>
            </w:r>
            <w:r>
              <w:rPr>
                <w:rFonts w:hint="eastAsia" w:cs="宋体"/>
                <w:b w:val="0"/>
                <w:bCs w:val="0"/>
                <w:color w:val="FF0000"/>
                <w:spacing w:val="-5"/>
                <w:shd w:val="clear" w:color="auto" w:fill="auto"/>
                <w:lang w:val="en-US" w:eastAsia="zh-CN"/>
              </w:rPr>
              <w:t>硬件阶段任务初验</w:t>
            </w:r>
            <w:r>
              <w:rPr>
                <w:rFonts w:hint="eastAsia" w:ascii="宋体" w:hAnsi="宋体" w:eastAsia="宋体" w:cs="宋体"/>
                <w:b w:val="0"/>
                <w:bCs w:val="0"/>
                <w:color w:val="FF0000"/>
                <w:spacing w:val="-5"/>
                <w:shd w:val="clear" w:color="auto" w:fill="auto"/>
                <w:lang w:val="en-US" w:eastAsia="en-US"/>
              </w:rPr>
              <w:t>款】中标供应商</w:t>
            </w:r>
            <w:r>
              <w:rPr>
                <w:rFonts w:hint="eastAsia" w:cs="宋体"/>
                <w:b w:val="0"/>
                <w:bCs w:val="0"/>
                <w:color w:val="FF0000"/>
                <w:spacing w:val="-5"/>
                <w:shd w:val="clear" w:color="auto" w:fill="auto"/>
                <w:lang w:val="en-US" w:eastAsia="zh-CN"/>
              </w:rPr>
              <w:t>按照验收要求</w:t>
            </w:r>
            <w:r>
              <w:rPr>
                <w:rFonts w:hint="eastAsia" w:ascii="宋体" w:hAnsi="宋体" w:eastAsia="宋体" w:cs="宋体"/>
                <w:b w:val="0"/>
                <w:bCs w:val="0"/>
                <w:color w:val="FF0000"/>
                <w:spacing w:val="-5"/>
                <w:shd w:val="clear" w:color="auto" w:fill="auto"/>
                <w:lang w:val="en-US" w:eastAsia="en-US"/>
              </w:rPr>
              <w:t>完成</w:t>
            </w:r>
            <w:r>
              <w:rPr>
                <w:rFonts w:hint="eastAsia" w:cs="宋体"/>
                <w:b w:val="0"/>
                <w:bCs w:val="0"/>
                <w:color w:val="FF0000"/>
                <w:spacing w:val="-5"/>
                <w:shd w:val="clear" w:color="auto" w:fill="auto"/>
                <w:lang w:val="en-US" w:eastAsia="zh-CN"/>
              </w:rPr>
              <w:t>硬件对应阶段任务初验后</w:t>
            </w:r>
            <w:r>
              <w:rPr>
                <w:rFonts w:hint="eastAsia" w:ascii="宋体" w:hAnsi="宋体" w:eastAsia="宋体" w:cs="宋体"/>
                <w:b w:val="0"/>
                <w:bCs w:val="0"/>
                <w:color w:val="FF0000"/>
                <w:spacing w:val="-5"/>
                <w:shd w:val="clear" w:color="auto" w:fill="auto"/>
                <w:lang w:val="en-US" w:eastAsia="en-US"/>
              </w:rPr>
              <w:t>，提交完整的经采购单位、监理方签字确认的项目过程资料，采购单位在收到中标供应商开具的发票后10个工作日内，向中标供应商支付</w:t>
            </w:r>
            <w:r>
              <w:rPr>
                <w:rFonts w:hint="eastAsia" w:cs="宋体"/>
                <w:b w:val="0"/>
                <w:bCs w:val="0"/>
                <w:color w:val="FF0000"/>
                <w:spacing w:val="-5"/>
                <w:shd w:val="clear" w:color="auto" w:fill="auto"/>
                <w:lang w:val="en-US" w:eastAsia="zh-CN"/>
              </w:rPr>
              <w:t>依据对应阶段任务完成的硬件工程量实际</w:t>
            </w:r>
            <w:r>
              <w:rPr>
                <w:rFonts w:hint="eastAsia" w:ascii="宋体" w:hAnsi="宋体" w:eastAsia="宋体" w:cs="宋体"/>
                <w:b w:val="0"/>
                <w:bCs w:val="0"/>
                <w:color w:val="FF0000"/>
                <w:spacing w:val="-5"/>
                <w:shd w:val="clear" w:color="auto" w:fill="auto"/>
                <w:lang w:val="en-US" w:eastAsia="en-US"/>
              </w:rPr>
              <w:t>金额的</w:t>
            </w:r>
            <w:r>
              <w:rPr>
                <w:rFonts w:hint="eastAsia" w:cs="宋体"/>
                <w:b w:val="0"/>
                <w:bCs w:val="0"/>
                <w:color w:val="FF0000"/>
                <w:spacing w:val="-5"/>
                <w:shd w:val="clear" w:color="auto" w:fill="auto"/>
                <w:lang w:val="en-US" w:eastAsia="zh-CN"/>
              </w:rPr>
              <w:t>30</w:t>
            </w:r>
            <w:r>
              <w:rPr>
                <w:rFonts w:hint="eastAsia" w:ascii="宋体" w:hAnsi="宋体" w:eastAsia="宋体" w:cs="宋体"/>
                <w:b w:val="0"/>
                <w:bCs w:val="0"/>
                <w:color w:val="FF0000"/>
                <w:spacing w:val="-5"/>
                <w:shd w:val="clear" w:color="auto" w:fill="auto"/>
                <w:lang w:val="en-US" w:eastAsia="en-US"/>
              </w:rPr>
              <w:t>%作为合同</w:t>
            </w:r>
            <w:r>
              <w:rPr>
                <w:rFonts w:hint="eastAsia" w:cs="宋体"/>
                <w:b w:val="0"/>
                <w:bCs w:val="0"/>
                <w:color w:val="FF0000"/>
                <w:spacing w:val="-5"/>
                <w:shd w:val="clear" w:color="auto" w:fill="auto"/>
                <w:lang w:val="en-US" w:eastAsia="zh-CN"/>
              </w:rPr>
              <w:t>硬件阶段任务初验</w:t>
            </w:r>
            <w:r>
              <w:rPr>
                <w:rFonts w:hint="eastAsia" w:ascii="宋体" w:hAnsi="宋体" w:eastAsia="宋体" w:cs="宋体"/>
                <w:b w:val="0"/>
                <w:bCs w:val="0"/>
                <w:color w:val="FF0000"/>
                <w:spacing w:val="-5"/>
                <w:shd w:val="clear" w:color="auto" w:fill="auto"/>
                <w:lang w:val="en-US" w:eastAsia="en-US"/>
              </w:rPr>
              <w:t>款。</w:t>
            </w:r>
          </w:p>
          <w:p w14:paraId="20915DD7">
            <w:pPr>
              <w:keepNext w:val="0"/>
              <w:keepLines w:val="0"/>
              <w:pageBreakBefore w:val="0"/>
              <w:kinsoku/>
              <w:wordWrap/>
              <w:overflowPunct/>
              <w:topLinePunct w:val="0"/>
              <w:autoSpaceDN/>
              <w:bidi w:val="0"/>
              <w:adjustRightInd/>
              <w:snapToGrid/>
              <w:ind w:left="105" w:leftChars="50" w:right="0"/>
              <w:jc w:val="both"/>
              <w:rPr>
                <w:rFonts w:hint="eastAsia" w:ascii="宋体" w:hAnsi="宋体" w:eastAsia="宋体" w:cs="宋体"/>
                <w:b w:val="0"/>
                <w:bCs w:val="0"/>
                <w:color w:val="FF0000"/>
                <w:spacing w:val="-5"/>
                <w:shd w:val="clear" w:color="auto" w:fill="auto"/>
                <w:lang w:val="en-US" w:eastAsia="en-US"/>
              </w:rPr>
            </w:pPr>
            <w:r>
              <w:rPr>
                <w:rFonts w:hint="eastAsia" w:ascii="宋体" w:hAnsi="宋体" w:eastAsia="宋体" w:cs="宋体"/>
                <w:b w:val="0"/>
                <w:bCs w:val="0"/>
                <w:color w:val="FF0000"/>
                <w:spacing w:val="-5"/>
                <w:shd w:val="clear" w:color="auto" w:fill="auto"/>
                <w:lang w:val="en-US" w:eastAsia="en-US"/>
              </w:rPr>
              <w:t>【合同</w:t>
            </w:r>
            <w:r>
              <w:rPr>
                <w:rFonts w:hint="eastAsia" w:cs="宋体"/>
                <w:b w:val="0"/>
                <w:bCs w:val="0"/>
                <w:color w:val="FF0000"/>
                <w:spacing w:val="-5"/>
                <w:shd w:val="clear" w:color="auto" w:fill="auto"/>
                <w:lang w:val="en-US" w:eastAsia="zh-CN"/>
              </w:rPr>
              <w:t>硬件阶段任务终验</w:t>
            </w:r>
            <w:r>
              <w:rPr>
                <w:rFonts w:hint="eastAsia" w:ascii="宋体" w:hAnsi="宋体" w:eastAsia="宋体" w:cs="宋体"/>
                <w:b w:val="0"/>
                <w:bCs w:val="0"/>
                <w:color w:val="FF0000"/>
                <w:spacing w:val="-5"/>
                <w:shd w:val="clear" w:color="auto" w:fill="auto"/>
                <w:lang w:val="en-US" w:eastAsia="en-US"/>
              </w:rPr>
              <w:t>款】中标供应商</w:t>
            </w:r>
            <w:r>
              <w:rPr>
                <w:rFonts w:hint="eastAsia" w:cs="宋体"/>
                <w:b w:val="0"/>
                <w:bCs w:val="0"/>
                <w:color w:val="FF0000"/>
                <w:spacing w:val="-5"/>
                <w:shd w:val="clear" w:color="auto" w:fill="auto"/>
                <w:lang w:val="en-US" w:eastAsia="zh-CN"/>
              </w:rPr>
              <w:t>按照验收要求</w:t>
            </w:r>
            <w:r>
              <w:rPr>
                <w:rFonts w:hint="eastAsia" w:ascii="宋体" w:hAnsi="宋体" w:eastAsia="宋体" w:cs="宋体"/>
                <w:b w:val="0"/>
                <w:bCs w:val="0"/>
                <w:color w:val="FF0000"/>
                <w:spacing w:val="-5"/>
                <w:shd w:val="clear" w:color="auto" w:fill="auto"/>
                <w:lang w:val="en-US" w:eastAsia="en-US"/>
              </w:rPr>
              <w:t>完成</w:t>
            </w:r>
            <w:r>
              <w:rPr>
                <w:rFonts w:hint="eastAsia" w:cs="宋体"/>
                <w:b w:val="0"/>
                <w:bCs w:val="0"/>
                <w:color w:val="FF0000"/>
                <w:spacing w:val="-5"/>
                <w:shd w:val="clear" w:color="auto" w:fill="auto"/>
                <w:lang w:val="en-US" w:eastAsia="zh-CN"/>
              </w:rPr>
              <w:t>硬件对应阶段任务终验后</w:t>
            </w:r>
            <w:r>
              <w:rPr>
                <w:rFonts w:hint="eastAsia" w:ascii="宋体" w:hAnsi="宋体" w:eastAsia="宋体" w:cs="宋体"/>
                <w:b w:val="0"/>
                <w:bCs w:val="0"/>
                <w:color w:val="FF0000"/>
                <w:spacing w:val="-5"/>
                <w:shd w:val="clear" w:color="auto" w:fill="auto"/>
                <w:lang w:val="en-US" w:eastAsia="en-US"/>
              </w:rPr>
              <w:t>，提交完整的经采购单位、监理方签字确认的项目过程资料，采购单位在收到中标供应商开具的发票后10个工作日内，向中标供应商支付</w:t>
            </w:r>
            <w:r>
              <w:rPr>
                <w:rFonts w:hint="eastAsia" w:cs="宋体"/>
                <w:b w:val="0"/>
                <w:bCs w:val="0"/>
                <w:color w:val="FF0000"/>
                <w:spacing w:val="-5"/>
                <w:shd w:val="clear" w:color="auto" w:fill="auto"/>
                <w:lang w:val="en-US" w:eastAsia="zh-CN"/>
              </w:rPr>
              <w:t>依据对应阶段任务完成的硬件工程量实际</w:t>
            </w:r>
            <w:r>
              <w:rPr>
                <w:rFonts w:hint="eastAsia" w:ascii="宋体" w:hAnsi="宋体" w:eastAsia="宋体" w:cs="宋体"/>
                <w:b w:val="0"/>
                <w:bCs w:val="0"/>
                <w:color w:val="FF0000"/>
                <w:spacing w:val="-5"/>
                <w:shd w:val="clear" w:color="auto" w:fill="auto"/>
                <w:lang w:val="en-US" w:eastAsia="en-US"/>
              </w:rPr>
              <w:t>金额的</w:t>
            </w:r>
            <w:r>
              <w:rPr>
                <w:rFonts w:hint="eastAsia" w:cs="宋体"/>
                <w:b w:val="0"/>
                <w:bCs w:val="0"/>
                <w:color w:val="FF0000"/>
                <w:spacing w:val="-5"/>
                <w:shd w:val="clear" w:color="auto" w:fill="auto"/>
                <w:lang w:val="en-US" w:eastAsia="zh-CN"/>
              </w:rPr>
              <w:t>10</w:t>
            </w:r>
            <w:r>
              <w:rPr>
                <w:rFonts w:hint="eastAsia" w:ascii="宋体" w:hAnsi="宋体" w:eastAsia="宋体" w:cs="宋体"/>
                <w:b w:val="0"/>
                <w:bCs w:val="0"/>
                <w:color w:val="FF0000"/>
                <w:spacing w:val="-5"/>
                <w:shd w:val="clear" w:color="auto" w:fill="auto"/>
                <w:lang w:val="en-US" w:eastAsia="en-US"/>
              </w:rPr>
              <w:t>%作为合同</w:t>
            </w:r>
            <w:r>
              <w:rPr>
                <w:rFonts w:hint="eastAsia" w:cs="宋体"/>
                <w:b w:val="0"/>
                <w:bCs w:val="0"/>
                <w:color w:val="FF0000"/>
                <w:spacing w:val="-5"/>
                <w:shd w:val="clear" w:color="auto" w:fill="auto"/>
                <w:lang w:val="en-US" w:eastAsia="zh-CN"/>
              </w:rPr>
              <w:t>硬件阶段任务终验</w:t>
            </w:r>
            <w:r>
              <w:rPr>
                <w:rFonts w:hint="eastAsia" w:ascii="宋体" w:hAnsi="宋体" w:eastAsia="宋体" w:cs="宋体"/>
                <w:b w:val="0"/>
                <w:bCs w:val="0"/>
                <w:color w:val="FF0000"/>
                <w:spacing w:val="-5"/>
                <w:shd w:val="clear" w:color="auto" w:fill="auto"/>
                <w:lang w:val="en-US" w:eastAsia="en-US"/>
              </w:rPr>
              <w:t>款</w:t>
            </w:r>
            <w:r>
              <w:rPr>
                <w:rFonts w:hint="eastAsia" w:cs="宋体"/>
                <w:b w:val="0"/>
                <w:bCs w:val="0"/>
                <w:color w:val="FF0000"/>
                <w:spacing w:val="-5"/>
                <w:shd w:val="clear" w:color="auto" w:fill="auto"/>
                <w:lang w:val="en-US" w:eastAsia="zh-CN"/>
              </w:rPr>
              <w:t>。</w:t>
            </w:r>
          </w:p>
          <w:p w14:paraId="6825ADA1">
            <w:pPr>
              <w:pStyle w:val="491"/>
              <w:keepNext w:val="0"/>
              <w:keepLines w:val="0"/>
              <w:pageBreakBefore w:val="0"/>
              <w:kinsoku/>
              <w:wordWrap/>
              <w:overflowPunct/>
              <w:topLinePunct w:val="0"/>
              <w:autoSpaceDN/>
              <w:bidi w:val="0"/>
              <w:adjustRightInd/>
              <w:snapToGrid/>
              <w:spacing w:line="245" w:lineRule="auto"/>
              <w:ind w:left="105" w:leftChars="50" w:right="0" w:firstLine="18"/>
              <w:jc w:val="both"/>
              <w:rPr>
                <w:rFonts w:hint="eastAsia" w:ascii="宋体" w:hAnsi="宋体" w:eastAsia="宋体" w:cs="宋体"/>
                <w:b w:val="0"/>
                <w:bCs w:val="0"/>
                <w:color w:val="FF0000"/>
                <w:spacing w:val="-5"/>
                <w:shd w:val="clear" w:color="auto" w:fill="auto"/>
                <w:lang w:val="en-US" w:eastAsia="en-US"/>
              </w:rPr>
            </w:pPr>
            <w:r>
              <w:rPr>
                <w:rFonts w:hint="eastAsia" w:ascii="宋体" w:hAnsi="宋体" w:eastAsia="宋体" w:cs="宋体"/>
                <w:b w:val="0"/>
                <w:bCs w:val="0"/>
                <w:color w:val="FF0000"/>
                <w:spacing w:val="-5"/>
                <w:shd w:val="clear" w:color="auto" w:fill="auto"/>
                <w:lang w:val="en-US" w:eastAsia="en-US"/>
              </w:rPr>
              <w:t>【合同</w:t>
            </w:r>
            <w:r>
              <w:rPr>
                <w:rFonts w:hint="eastAsia" w:cs="宋体"/>
                <w:b w:val="0"/>
                <w:bCs w:val="0"/>
                <w:color w:val="FF0000"/>
                <w:spacing w:val="-5"/>
                <w:shd w:val="clear" w:color="auto" w:fill="auto"/>
                <w:lang w:val="en-US" w:eastAsia="zh-CN"/>
              </w:rPr>
              <w:t>软件初验</w:t>
            </w:r>
            <w:r>
              <w:rPr>
                <w:rFonts w:hint="eastAsia" w:ascii="宋体" w:hAnsi="宋体" w:eastAsia="宋体" w:cs="宋体"/>
                <w:b w:val="0"/>
                <w:bCs w:val="0"/>
                <w:color w:val="FF0000"/>
                <w:spacing w:val="-5"/>
                <w:shd w:val="clear" w:color="auto" w:fill="auto"/>
                <w:lang w:val="en-US" w:eastAsia="en-US"/>
              </w:rPr>
              <w:t>款】中标供应商</w:t>
            </w:r>
            <w:r>
              <w:rPr>
                <w:rFonts w:hint="eastAsia" w:cs="宋体"/>
                <w:b w:val="0"/>
                <w:bCs w:val="0"/>
                <w:color w:val="FF0000"/>
                <w:spacing w:val="-5"/>
                <w:shd w:val="clear" w:color="auto" w:fill="auto"/>
                <w:lang w:val="en-US" w:eastAsia="zh-CN"/>
              </w:rPr>
              <w:t>按照验收要求</w:t>
            </w:r>
            <w:r>
              <w:rPr>
                <w:rFonts w:hint="eastAsia" w:ascii="宋体" w:hAnsi="宋体" w:eastAsia="宋体" w:cs="宋体"/>
                <w:b w:val="0"/>
                <w:bCs w:val="0"/>
                <w:color w:val="FF0000"/>
                <w:spacing w:val="-5"/>
                <w:shd w:val="clear" w:color="auto" w:fill="auto"/>
                <w:lang w:val="en-US" w:eastAsia="en-US"/>
              </w:rPr>
              <w:t>完成</w:t>
            </w:r>
            <w:r>
              <w:rPr>
                <w:rFonts w:hint="eastAsia" w:cs="宋体"/>
                <w:b w:val="0"/>
                <w:bCs w:val="0"/>
                <w:color w:val="FF0000"/>
                <w:spacing w:val="-5"/>
                <w:shd w:val="clear" w:color="auto" w:fill="auto"/>
                <w:lang w:val="en-US" w:eastAsia="zh-CN"/>
              </w:rPr>
              <w:t>软件开发初验后</w:t>
            </w:r>
            <w:r>
              <w:rPr>
                <w:rFonts w:hint="eastAsia" w:ascii="宋体" w:hAnsi="宋体" w:eastAsia="宋体" w:cs="宋体"/>
                <w:b w:val="0"/>
                <w:bCs w:val="0"/>
                <w:color w:val="FF0000"/>
                <w:spacing w:val="-5"/>
                <w:shd w:val="clear" w:color="auto" w:fill="auto"/>
                <w:lang w:val="en-US" w:eastAsia="en-US"/>
              </w:rPr>
              <w:t>，提交完整的经采购单位、监理方签字确认的项目过程资料，采购单位在收到中标供应商开具的发票后10个工作日内，向中标供应商支付合同</w:t>
            </w:r>
            <w:r>
              <w:rPr>
                <w:rFonts w:hint="eastAsia" w:cs="宋体"/>
                <w:b w:val="0"/>
                <w:bCs w:val="0"/>
                <w:color w:val="FF0000"/>
                <w:spacing w:val="-5"/>
                <w:shd w:val="clear" w:color="auto" w:fill="auto"/>
                <w:lang w:val="en-US" w:eastAsia="zh-CN"/>
              </w:rPr>
              <w:t>软件开发部分</w:t>
            </w:r>
            <w:r>
              <w:rPr>
                <w:rFonts w:hint="eastAsia" w:ascii="宋体" w:hAnsi="宋体" w:eastAsia="宋体" w:cs="宋体"/>
                <w:b w:val="0"/>
                <w:bCs w:val="0"/>
                <w:color w:val="FF0000"/>
                <w:spacing w:val="-5"/>
                <w:shd w:val="clear" w:color="auto" w:fill="auto"/>
                <w:lang w:val="en-US" w:eastAsia="en-US"/>
              </w:rPr>
              <w:t>总金额的</w:t>
            </w:r>
            <w:r>
              <w:rPr>
                <w:rFonts w:hint="eastAsia" w:cs="宋体"/>
                <w:b w:val="0"/>
                <w:bCs w:val="0"/>
                <w:color w:val="FF0000"/>
                <w:spacing w:val="-5"/>
                <w:shd w:val="clear" w:color="auto" w:fill="auto"/>
                <w:lang w:val="en-US" w:eastAsia="zh-CN"/>
              </w:rPr>
              <w:t>30</w:t>
            </w:r>
            <w:r>
              <w:rPr>
                <w:rFonts w:hint="eastAsia" w:ascii="宋体" w:hAnsi="宋体" w:eastAsia="宋体" w:cs="宋体"/>
                <w:b w:val="0"/>
                <w:bCs w:val="0"/>
                <w:color w:val="FF0000"/>
                <w:spacing w:val="-5"/>
                <w:shd w:val="clear" w:color="auto" w:fill="auto"/>
                <w:lang w:val="en-US" w:eastAsia="en-US"/>
              </w:rPr>
              <w:t>%作为合同</w:t>
            </w:r>
            <w:r>
              <w:rPr>
                <w:rFonts w:hint="eastAsia" w:cs="宋体"/>
                <w:b w:val="0"/>
                <w:bCs w:val="0"/>
                <w:color w:val="FF0000"/>
                <w:spacing w:val="-5"/>
                <w:shd w:val="clear" w:color="auto" w:fill="auto"/>
                <w:lang w:val="en-US" w:eastAsia="zh-CN"/>
              </w:rPr>
              <w:t>软件开发初验</w:t>
            </w:r>
            <w:r>
              <w:rPr>
                <w:rFonts w:hint="eastAsia" w:ascii="宋体" w:hAnsi="宋体" w:eastAsia="宋体" w:cs="宋体"/>
                <w:b w:val="0"/>
                <w:bCs w:val="0"/>
                <w:color w:val="FF0000"/>
                <w:spacing w:val="-5"/>
                <w:shd w:val="clear" w:color="auto" w:fill="auto"/>
                <w:lang w:val="en-US" w:eastAsia="en-US"/>
              </w:rPr>
              <w:t>款。</w:t>
            </w:r>
          </w:p>
          <w:p w14:paraId="43185BF3">
            <w:pPr>
              <w:pStyle w:val="491"/>
              <w:keepNext w:val="0"/>
              <w:keepLines w:val="0"/>
              <w:pageBreakBefore w:val="0"/>
              <w:kinsoku/>
              <w:wordWrap/>
              <w:overflowPunct/>
              <w:topLinePunct w:val="0"/>
              <w:autoSpaceDN/>
              <w:bidi w:val="0"/>
              <w:adjustRightInd/>
              <w:snapToGrid/>
              <w:spacing w:line="245" w:lineRule="auto"/>
              <w:ind w:left="105" w:leftChars="50" w:right="0" w:firstLine="18"/>
              <w:jc w:val="both"/>
              <w:rPr>
                <w:rFonts w:hint="eastAsia" w:cs="宋体"/>
                <w:b w:val="0"/>
                <w:bCs w:val="0"/>
                <w:color w:val="FF0000"/>
                <w:spacing w:val="-5"/>
                <w:shd w:val="clear" w:color="auto" w:fill="auto"/>
                <w:lang w:val="en-US" w:eastAsia="zh-CN"/>
              </w:rPr>
            </w:pPr>
            <w:r>
              <w:rPr>
                <w:rFonts w:hint="eastAsia" w:ascii="宋体" w:hAnsi="宋体" w:eastAsia="宋体" w:cs="宋体"/>
                <w:b w:val="0"/>
                <w:bCs w:val="0"/>
                <w:color w:val="FF0000"/>
                <w:spacing w:val="-5"/>
                <w:shd w:val="clear" w:color="auto" w:fill="auto"/>
                <w:lang w:val="en-US" w:eastAsia="en-US"/>
              </w:rPr>
              <w:t>【合同</w:t>
            </w:r>
            <w:r>
              <w:rPr>
                <w:rFonts w:hint="eastAsia" w:cs="宋体"/>
                <w:b w:val="0"/>
                <w:bCs w:val="0"/>
                <w:color w:val="FF0000"/>
                <w:spacing w:val="-5"/>
                <w:shd w:val="clear" w:color="auto" w:fill="auto"/>
                <w:lang w:val="en-US" w:eastAsia="zh-CN"/>
              </w:rPr>
              <w:t>软件终验</w:t>
            </w:r>
            <w:r>
              <w:rPr>
                <w:rFonts w:hint="eastAsia" w:ascii="宋体" w:hAnsi="宋体" w:eastAsia="宋体" w:cs="宋体"/>
                <w:b w:val="0"/>
                <w:bCs w:val="0"/>
                <w:color w:val="FF0000"/>
                <w:spacing w:val="-5"/>
                <w:shd w:val="clear" w:color="auto" w:fill="auto"/>
                <w:lang w:val="en-US" w:eastAsia="en-US"/>
              </w:rPr>
              <w:t>款】中标供应商</w:t>
            </w:r>
            <w:r>
              <w:rPr>
                <w:rFonts w:hint="eastAsia" w:cs="宋体"/>
                <w:b w:val="0"/>
                <w:bCs w:val="0"/>
                <w:color w:val="FF0000"/>
                <w:spacing w:val="-5"/>
                <w:shd w:val="clear" w:color="auto" w:fill="auto"/>
                <w:lang w:val="en-US" w:eastAsia="zh-CN"/>
              </w:rPr>
              <w:t>按照验收要求</w:t>
            </w:r>
            <w:r>
              <w:rPr>
                <w:rFonts w:hint="eastAsia" w:ascii="宋体" w:hAnsi="宋体" w:eastAsia="宋体" w:cs="宋体"/>
                <w:b w:val="0"/>
                <w:bCs w:val="0"/>
                <w:color w:val="FF0000"/>
                <w:spacing w:val="-5"/>
                <w:shd w:val="clear" w:color="auto" w:fill="auto"/>
                <w:lang w:val="en-US" w:eastAsia="en-US"/>
              </w:rPr>
              <w:t>完成</w:t>
            </w:r>
            <w:r>
              <w:rPr>
                <w:rFonts w:hint="eastAsia" w:cs="宋体"/>
                <w:b w:val="0"/>
                <w:bCs w:val="0"/>
                <w:color w:val="FF0000"/>
                <w:spacing w:val="-5"/>
                <w:shd w:val="clear" w:color="auto" w:fill="auto"/>
                <w:lang w:val="en-US" w:eastAsia="zh-CN"/>
              </w:rPr>
              <w:t>软件开发终验后</w:t>
            </w:r>
            <w:r>
              <w:rPr>
                <w:rFonts w:hint="eastAsia" w:ascii="宋体" w:hAnsi="宋体" w:eastAsia="宋体" w:cs="宋体"/>
                <w:b w:val="0"/>
                <w:bCs w:val="0"/>
                <w:color w:val="FF0000"/>
                <w:spacing w:val="-5"/>
                <w:shd w:val="clear" w:color="auto" w:fill="auto"/>
                <w:lang w:val="en-US" w:eastAsia="en-US"/>
              </w:rPr>
              <w:t>，提交完整的经采购单位、监理方签字确认的项目过程资料，采购单位在收到中标供应商开具的发票后10个工作日内，向中标供应商支付合同</w:t>
            </w:r>
            <w:r>
              <w:rPr>
                <w:rFonts w:hint="eastAsia" w:cs="宋体"/>
                <w:b w:val="0"/>
                <w:bCs w:val="0"/>
                <w:color w:val="FF0000"/>
                <w:spacing w:val="-5"/>
                <w:shd w:val="clear" w:color="auto" w:fill="auto"/>
                <w:lang w:val="en-US" w:eastAsia="zh-CN"/>
              </w:rPr>
              <w:t>软件开发部分</w:t>
            </w:r>
            <w:r>
              <w:rPr>
                <w:rFonts w:hint="eastAsia" w:ascii="宋体" w:hAnsi="宋体" w:eastAsia="宋体" w:cs="宋体"/>
                <w:b w:val="0"/>
                <w:bCs w:val="0"/>
                <w:color w:val="FF0000"/>
                <w:spacing w:val="-5"/>
                <w:shd w:val="clear" w:color="auto" w:fill="auto"/>
                <w:lang w:val="en-US" w:eastAsia="en-US"/>
              </w:rPr>
              <w:t>总金额的</w:t>
            </w:r>
            <w:r>
              <w:rPr>
                <w:rFonts w:hint="eastAsia" w:cs="宋体"/>
                <w:b w:val="0"/>
                <w:bCs w:val="0"/>
                <w:color w:val="FF0000"/>
                <w:spacing w:val="-5"/>
                <w:shd w:val="clear" w:color="auto" w:fill="auto"/>
                <w:lang w:val="en-US" w:eastAsia="zh-CN"/>
              </w:rPr>
              <w:t>10</w:t>
            </w:r>
            <w:r>
              <w:rPr>
                <w:rFonts w:hint="eastAsia" w:ascii="宋体" w:hAnsi="宋体" w:eastAsia="宋体" w:cs="宋体"/>
                <w:b w:val="0"/>
                <w:bCs w:val="0"/>
                <w:color w:val="FF0000"/>
                <w:spacing w:val="-5"/>
                <w:shd w:val="clear" w:color="auto" w:fill="auto"/>
                <w:lang w:val="en-US" w:eastAsia="en-US"/>
              </w:rPr>
              <w:t>%作为合同</w:t>
            </w:r>
            <w:r>
              <w:rPr>
                <w:rFonts w:hint="eastAsia" w:cs="宋体"/>
                <w:b w:val="0"/>
                <w:bCs w:val="0"/>
                <w:color w:val="FF0000"/>
                <w:spacing w:val="-5"/>
                <w:shd w:val="clear" w:color="auto" w:fill="auto"/>
                <w:lang w:val="en-US" w:eastAsia="zh-CN"/>
              </w:rPr>
              <w:t>软件开发终验</w:t>
            </w:r>
            <w:r>
              <w:rPr>
                <w:rFonts w:hint="eastAsia" w:ascii="宋体" w:hAnsi="宋体" w:eastAsia="宋体" w:cs="宋体"/>
                <w:b w:val="0"/>
                <w:bCs w:val="0"/>
                <w:color w:val="FF0000"/>
                <w:spacing w:val="-5"/>
                <w:shd w:val="clear" w:color="auto" w:fill="auto"/>
                <w:lang w:val="en-US" w:eastAsia="en-US"/>
              </w:rPr>
              <w:t>款</w:t>
            </w:r>
            <w:r>
              <w:rPr>
                <w:rFonts w:hint="eastAsia" w:cs="宋体"/>
                <w:b w:val="0"/>
                <w:bCs w:val="0"/>
                <w:color w:val="FF0000"/>
                <w:spacing w:val="-5"/>
                <w:shd w:val="clear" w:color="auto" w:fill="auto"/>
                <w:lang w:val="en-US" w:eastAsia="zh-CN"/>
              </w:rPr>
              <w:t>。</w:t>
            </w:r>
          </w:p>
          <w:p w14:paraId="22A7C9F5">
            <w:pPr>
              <w:pStyle w:val="491"/>
              <w:spacing w:line="245" w:lineRule="auto"/>
              <w:ind w:left="105" w:leftChars="50" w:firstLine="18"/>
            </w:pPr>
            <w:r>
              <w:rPr>
                <w:rFonts w:hint="eastAsia" w:ascii="宋体" w:hAnsi="宋体" w:eastAsia="宋体" w:cs="宋体"/>
                <w:b w:val="0"/>
                <w:bCs w:val="0"/>
                <w:color w:val="FF0000"/>
                <w:spacing w:val="-5"/>
                <w:shd w:val="clear" w:color="auto" w:fill="auto"/>
                <w:lang w:val="en-US" w:eastAsia="en-US"/>
              </w:rPr>
              <w:t>【合同</w:t>
            </w:r>
            <w:r>
              <w:rPr>
                <w:rFonts w:hint="eastAsia" w:cs="宋体"/>
                <w:b w:val="0"/>
                <w:bCs w:val="0"/>
                <w:color w:val="FF0000"/>
                <w:spacing w:val="-5"/>
                <w:shd w:val="clear" w:color="auto" w:fill="auto"/>
                <w:lang w:val="en-US" w:eastAsia="zh-CN"/>
              </w:rPr>
              <w:t>数据服务</w:t>
            </w:r>
            <w:r>
              <w:rPr>
                <w:rFonts w:hint="eastAsia" w:ascii="宋体" w:hAnsi="宋体" w:eastAsia="宋体" w:cs="宋体"/>
                <w:b w:val="0"/>
                <w:bCs w:val="0"/>
                <w:color w:val="FF0000"/>
                <w:spacing w:val="-5"/>
                <w:shd w:val="clear" w:color="auto" w:fill="auto"/>
                <w:lang w:val="en-US" w:eastAsia="en-US"/>
              </w:rPr>
              <w:t>款】中标供应商</w:t>
            </w:r>
            <w:r>
              <w:rPr>
                <w:rFonts w:hint="eastAsia" w:cs="宋体"/>
                <w:b w:val="0"/>
                <w:bCs w:val="0"/>
                <w:color w:val="FF0000"/>
                <w:spacing w:val="-5"/>
                <w:shd w:val="clear" w:color="auto" w:fill="auto"/>
                <w:lang w:val="en-US" w:eastAsia="zh-CN"/>
              </w:rPr>
              <w:t>按照采购人要求完成合同服务清单服务后</w:t>
            </w:r>
            <w:r>
              <w:rPr>
                <w:rFonts w:hint="eastAsia" w:ascii="宋体" w:hAnsi="宋体" w:eastAsia="宋体" w:cs="宋体"/>
                <w:b w:val="0"/>
                <w:bCs w:val="0"/>
                <w:color w:val="FF0000"/>
                <w:spacing w:val="-5"/>
                <w:shd w:val="clear" w:color="auto" w:fill="auto"/>
                <w:lang w:val="en-US" w:eastAsia="en-US"/>
              </w:rPr>
              <w:t>，提交完整的经采购单位、监理方签字确认的</w:t>
            </w:r>
            <w:r>
              <w:rPr>
                <w:rFonts w:hint="eastAsia" w:cs="宋体"/>
                <w:b w:val="0"/>
                <w:bCs w:val="0"/>
                <w:color w:val="FF0000"/>
                <w:spacing w:val="-5"/>
                <w:shd w:val="clear" w:color="auto" w:fill="auto"/>
                <w:lang w:val="en-US" w:eastAsia="zh-CN"/>
              </w:rPr>
              <w:t>证明</w:t>
            </w:r>
            <w:r>
              <w:rPr>
                <w:rFonts w:hint="eastAsia" w:ascii="宋体" w:hAnsi="宋体" w:eastAsia="宋体" w:cs="宋体"/>
                <w:b w:val="0"/>
                <w:bCs w:val="0"/>
                <w:color w:val="FF0000"/>
                <w:spacing w:val="-5"/>
                <w:shd w:val="clear" w:color="auto" w:fill="auto"/>
                <w:lang w:val="en-US" w:eastAsia="en-US"/>
              </w:rPr>
              <w:t>资料，采购单位在收到中标供应商开具的发票后10个工作日内，向中标供应商支付合同</w:t>
            </w:r>
            <w:r>
              <w:rPr>
                <w:rFonts w:hint="eastAsia" w:cs="宋体"/>
                <w:b w:val="0"/>
                <w:bCs w:val="0"/>
                <w:color w:val="FF0000"/>
                <w:spacing w:val="-5"/>
                <w:shd w:val="clear" w:color="auto" w:fill="auto"/>
                <w:lang w:val="en-US" w:eastAsia="zh-CN"/>
              </w:rPr>
              <w:t>服务部分</w:t>
            </w:r>
            <w:r>
              <w:rPr>
                <w:rFonts w:hint="eastAsia" w:ascii="宋体" w:hAnsi="宋体" w:eastAsia="宋体" w:cs="宋体"/>
                <w:b w:val="0"/>
                <w:bCs w:val="0"/>
                <w:color w:val="FF0000"/>
                <w:spacing w:val="-5"/>
                <w:shd w:val="clear" w:color="auto" w:fill="auto"/>
                <w:lang w:val="en-US" w:eastAsia="en-US"/>
              </w:rPr>
              <w:t>总金额的</w:t>
            </w:r>
            <w:r>
              <w:rPr>
                <w:rFonts w:hint="eastAsia" w:cs="宋体"/>
                <w:b w:val="0"/>
                <w:bCs w:val="0"/>
                <w:color w:val="FF0000"/>
                <w:spacing w:val="-5"/>
                <w:shd w:val="clear" w:color="auto" w:fill="auto"/>
                <w:lang w:val="en-US" w:eastAsia="zh-CN"/>
              </w:rPr>
              <w:t>40</w:t>
            </w:r>
            <w:r>
              <w:rPr>
                <w:rFonts w:hint="eastAsia" w:ascii="宋体" w:hAnsi="宋体" w:eastAsia="宋体" w:cs="宋体"/>
                <w:b w:val="0"/>
                <w:bCs w:val="0"/>
                <w:color w:val="FF0000"/>
                <w:spacing w:val="-5"/>
                <w:shd w:val="clear" w:color="auto" w:fill="auto"/>
                <w:lang w:val="en-US" w:eastAsia="en-US"/>
              </w:rPr>
              <w:t>%作为合同</w:t>
            </w:r>
            <w:r>
              <w:rPr>
                <w:rFonts w:hint="eastAsia" w:cs="宋体"/>
                <w:b w:val="0"/>
                <w:bCs w:val="0"/>
                <w:color w:val="FF0000"/>
                <w:spacing w:val="-5"/>
                <w:shd w:val="clear" w:color="auto" w:fill="auto"/>
                <w:lang w:val="en-US" w:eastAsia="zh-CN"/>
              </w:rPr>
              <w:t>服务</w:t>
            </w:r>
            <w:r>
              <w:rPr>
                <w:rFonts w:hint="eastAsia" w:ascii="宋体" w:hAnsi="宋体" w:eastAsia="宋体" w:cs="宋体"/>
                <w:b w:val="0"/>
                <w:bCs w:val="0"/>
                <w:color w:val="FF0000"/>
                <w:spacing w:val="-5"/>
                <w:shd w:val="clear" w:color="auto" w:fill="auto"/>
                <w:lang w:val="en-US" w:eastAsia="en-US"/>
              </w:rPr>
              <w:t>款</w:t>
            </w:r>
            <w:r>
              <w:rPr>
                <w:rFonts w:hint="eastAsia" w:cs="宋体"/>
                <w:b w:val="0"/>
                <w:bCs w:val="0"/>
                <w:color w:val="FF0000"/>
                <w:spacing w:val="-5"/>
                <w:shd w:val="clear" w:color="auto" w:fill="auto"/>
                <w:lang w:val="en-US" w:eastAsia="zh-CN"/>
              </w:rPr>
              <w:t>。</w:t>
            </w:r>
          </w:p>
          <w:p w14:paraId="433161A1">
            <w:pPr>
              <w:pStyle w:val="491"/>
              <w:keepNext w:val="0"/>
              <w:keepLines w:val="0"/>
              <w:pageBreakBefore w:val="0"/>
              <w:kinsoku/>
              <w:wordWrap/>
              <w:overflowPunct/>
              <w:topLinePunct w:val="0"/>
              <w:autoSpaceDN/>
              <w:bidi w:val="0"/>
              <w:adjustRightInd/>
              <w:snapToGrid/>
              <w:spacing w:line="245" w:lineRule="auto"/>
              <w:ind w:left="105" w:leftChars="50" w:right="0" w:firstLine="18"/>
              <w:jc w:val="both"/>
              <w:rPr>
                <w:rFonts w:hint="eastAsia" w:ascii="宋体" w:hAnsi="宋体" w:eastAsia="宋体" w:cs="宋体"/>
                <w:b w:val="0"/>
                <w:bCs w:val="0"/>
                <w:color w:val="FF0000"/>
                <w:spacing w:val="-5"/>
                <w:shd w:val="clear" w:color="auto" w:fill="auto"/>
                <w:lang w:val="en-US" w:eastAsia="en-US"/>
              </w:rPr>
            </w:pPr>
            <w:r>
              <w:rPr>
                <w:rFonts w:hint="eastAsia" w:ascii="宋体" w:hAnsi="宋体" w:eastAsia="宋体" w:cs="宋体"/>
                <w:b w:val="0"/>
                <w:bCs w:val="0"/>
                <w:color w:val="FF0000"/>
                <w:spacing w:val="-5"/>
                <w:shd w:val="clear" w:color="auto" w:fill="auto"/>
                <w:lang w:val="en-US" w:eastAsia="en-US"/>
              </w:rPr>
              <w:t>【合同尾款】本项目终验合格并通过结（决）算后，中标供应商将按照规定以金融机构、担保机构出具的保函等非现金形式提交本合同总金额</w:t>
            </w:r>
            <w:r>
              <w:rPr>
                <w:rFonts w:hint="eastAsia" w:cs="宋体"/>
                <w:b w:val="0"/>
                <w:bCs w:val="0"/>
                <w:color w:val="FF0000"/>
                <w:spacing w:val="-5"/>
                <w:shd w:val="clear" w:color="auto" w:fill="auto"/>
                <w:lang w:val="en-US" w:eastAsia="zh-CN"/>
              </w:rPr>
              <w:t>5</w:t>
            </w:r>
            <w:r>
              <w:rPr>
                <w:rFonts w:hint="eastAsia" w:ascii="宋体" w:hAnsi="宋体" w:eastAsia="宋体" w:cs="宋体"/>
                <w:b w:val="0"/>
                <w:bCs w:val="0"/>
                <w:color w:val="FF0000"/>
                <w:spacing w:val="-5"/>
                <w:shd w:val="clear" w:color="auto" w:fill="auto"/>
                <w:lang w:val="en-US" w:eastAsia="en-US"/>
              </w:rPr>
              <w:t>％的履约保函。采购单位收到中标供应商履约保函后30个工作日内，以第三方造价单位最终审核的结（决）算审定价为支付依据，结合中标供应商履约情况，扣除违约金，核算出合同应付尾款额度，凭中标供应商开具的发票，向中标供应商一次性支付合同尾款。</w:t>
            </w:r>
          </w:p>
          <w:p w14:paraId="142D6825">
            <w:pPr>
              <w:pStyle w:val="491"/>
              <w:keepNext w:val="0"/>
              <w:keepLines w:val="0"/>
              <w:pageBreakBefore w:val="0"/>
              <w:kinsoku/>
              <w:wordWrap/>
              <w:overflowPunct/>
              <w:topLinePunct w:val="0"/>
              <w:autoSpaceDN/>
              <w:bidi w:val="0"/>
              <w:adjustRightInd/>
              <w:snapToGrid/>
              <w:spacing w:line="245" w:lineRule="auto"/>
              <w:ind w:left="105" w:leftChars="50" w:right="0" w:firstLine="18"/>
              <w:jc w:val="both"/>
              <w:rPr>
                <w:rFonts w:hint="default" w:ascii="宋体" w:hAnsi="宋体" w:eastAsia="宋体" w:cs="宋体"/>
                <w:b w:val="0"/>
                <w:bCs w:val="0"/>
                <w:color w:val="FF0000"/>
                <w:spacing w:val="-5"/>
                <w:shd w:val="clear" w:color="auto" w:fill="auto"/>
                <w:lang w:val="en-US" w:eastAsia="zh-CN"/>
              </w:rPr>
            </w:pPr>
            <w:r>
              <w:rPr>
                <w:rFonts w:hint="eastAsia" w:cs="宋体"/>
                <w:b w:val="0"/>
                <w:bCs w:val="0"/>
                <w:color w:val="FF0000"/>
                <w:spacing w:val="-5"/>
                <w:shd w:val="clear" w:color="auto" w:fill="auto"/>
                <w:lang w:val="en-US" w:eastAsia="zh-CN"/>
              </w:rPr>
              <w:t>注：</w:t>
            </w:r>
            <w:r>
              <w:rPr>
                <w:rFonts w:hint="eastAsia" w:ascii="宋体" w:hAnsi="宋体" w:eastAsia="宋体" w:cs="宋体"/>
                <w:b w:val="0"/>
                <w:bCs w:val="0"/>
                <w:color w:val="FF0000"/>
                <w:spacing w:val="-5"/>
                <w:shd w:val="clear" w:color="auto" w:fill="auto"/>
                <w:lang w:val="en-US" w:eastAsia="en-US"/>
              </w:rPr>
              <w:t>在项目实施过程中，根据实际需求，软件开发的功能点和硬件设备的数量可能会有调整，如需要增加或减少设备或功能点的，</w:t>
            </w:r>
            <w:r>
              <w:rPr>
                <w:rFonts w:hint="eastAsia" w:cs="宋体"/>
                <w:b w:val="0"/>
                <w:bCs w:val="0"/>
                <w:color w:val="FF0000"/>
                <w:spacing w:val="-5"/>
                <w:shd w:val="clear" w:color="auto" w:fill="auto"/>
                <w:lang w:val="en-US" w:eastAsia="zh-CN"/>
              </w:rPr>
              <w:t>中标</w:t>
            </w:r>
            <w:r>
              <w:rPr>
                <w:rFonts w:hint="eastAsia" w:ascii="宋体" w:hAnsi="宋体" w:eastAsia="宋体" w:cs="宋体"/>
                <w:b w:val="0"/>
                <w:bCs w:val="0"/>
                <w:color w:val="FF0000"/>
                <w:spacing w:val="-5"/>
                <w:shd w:val="clear" w:color="auto" w:fill="auto"/>
                <w:lang w:val="en-US" w:eastAsia="en-US"/>
              </w:rPr>
              <w:t>方须无条件配合。</w:t>
            </w:r>
            <w:r>
              <w:rPr>
                <w:rFonts w:hint="eastAsia" w:cs="宋体"/>
                <w:b w:val="0"/>
                <w:bCs w:val="0"/>
                <w:color w:val="FF0000"/>
                <w:spacing w:val="-5"/>
                <w:shd w:val="clear" w:color="auto" w:fill="auto"/>
                <w:lang w:val="en-US" w:eastAsia="zh-CN"/>
              </w:rPr>
              <w:t>中标方</w:t>
            </w:r>
            <w:r>
              <w:rPr>
                <w:rFonts w:hint="eastAsia" w:ascii="宋体" w:hAnsi="宋体" w:eastAsia="宋体" w:cs="宋体"/>
                <w:b w:val="0"/>
                <w:bCs w:val="0"/>
                <w:color w:val="FF0000"/>
                <w:spacing w:val="-5"/>
                <w:shd w:val="clear" w:color="auto" w:fill="auto"/>
                <w:lang w:val="en-US" w:eastAsia="en-US"/>
              </w:rPr>
              <w:t>调增调减工作量，对冲后增加金额超出合同总金额5%以内的，结算不做调整。货物到货安装以后，</w:t>
            </w:r>
            <w:r>
              <w:rPr>
                <w:rFonts w:hint="eastAsia" w:cs="宋体"/>
                <w:b w:val="0"/>
                <w:bCs w:val="0"/>
                <w:color w:val="FF0000"/>
                <w:spacing w:val="-5"/>
                <w:shd w:val="clear" w:color="auto" w:fill="auto"/>
                <w:lang w:val="en-US" w:eastAsia="zh-CN"/>
              </w:rPr>
              <w:t>采购</w:t>
            </w:r>
            <w:r>
              <w:rPr>
                <w:rFonts w:hint="eastAsia" w:ascii="宋体" w:hAnsi="宋体" w:eastAsia="宋体" w:cs="宋体"/>
                <w:b w:val="0"/>
                <w:bCs w:val="0"/>
                <w:color w:val="FF0000"/>
                <w:spacing w:val="-5"/>
                <w:shd w:val="clear" w:color="auto" w:fill="auto"/>
                <w:lang w:val="en-US" w:eastAsia="en-US"/>
              </w:rPr>
              <w:t>方可根据实际工作需求调整安装位置，</w:t>
            </w:r>
            <w:r>
              <w:rPr>
                <w:rFonts w:hint="eastAsia" w:cs="宋体"/>
                <w:b w:val="0"/>
                <w:bCs w:val="0"/>
                <w:color w:val="FF0000"/>
                <w:spacing w:val="-5"/>
                <w:shd w:val="clear" w:color="auto" w:fill="auto"/>
                <w:lang w:val="en-US" w:eastAsia="zh-CN"/>
              </w:rPr>
              <w:t>中标</w:t>
            </w:r>
            <w:r>
              <w:rPr>
                <w:rFonts w:hint="eastAsia" w:ascii="宋体" w:hAnsi="宋体" w:eastAsia="宋体" w:cs="宋体"/>
                <w:b w:val="0"/>
                <w:bCs w:val="0"/>
                <w:color w:val="FF0000"/>
                <w:spacing w:val="-5"/>
                <w:shd w:val="clear" w:color="auto" w:fill="auto"/>
                <w:lang w:val="en-US" w:eastAsia="en-US"/>
              </w:rPr>
              <w:t>方须无条件配合，由此所增加的费用由</w:t>
            </w:r>
            <w:r>
              <w:rPr>
                <w:rFonts w:hint="eastAsia" w:cs="宋体"/>
                <w:b w:val="0"/>
                <w:bCs w:val="0"/>
                <w:color w:val="FF0000"/>
                <w:spacing w:val="-5"/>
                <w:shd w:val="clear" w:color="auto" w:fill="auto"/>
                <w:lang w:val="en-US" w:eastAsia="zh-CN"/>
              </w:rPr>
              <w:t>中标</w:t>
            </w:r>
            <w:r>
              <w:rPr>
                <w:rFonts w:hint="eastAsia" w:ascii="宋体" w:hAnsi="宋体" w:eastAsia="宋体" w:cs="宋体"/>
                <w:b w:val="0"/>
                <w:bCs w:val="0"/>
                <w:color w:val="FF0000"/>
                <w:spacing w:val="-5"/>
                <w:shd w:val="clear" w:color="auto" w:fill="auto"/>
                <w:lang w:val="en-US" w:eastAsia="en-US"/>
              </w:rPr>
              <w:t>方承担，合同总金额不作调整。</w:t>
            </w:r>
            <w:r>
              <w:rPr>
                <w:rFonts w:hint="eastAsia" w:cs="宋体"/>
                <w:b w:val="0"/>
                <w:bCs w:val="0"/>
                <w:color w:val="FF0000"/>
                <w:spacing w:val="-5"/>
                <w:shd w:val="clear" w:color="auto" w:fill="auto"/>
                <w:lang w:val="en-US" w:eastAsia="zh-CN"/>
              </w:rPr>
              <w:t>本项目履约保证金在中标人履行完成合同约定权利义务事项在合同期满之日起30日内按原方式退还，不计利息。中标单位向采购单位申请支付合同款项时，向采购单位提供与当期支付款项金额等值的合法有效发票，否则采购单位有权拒绝付款。因财政拨款或中标单位原因导致的迟延支付不视为采购单位违约，中标单位仍应继续履行合同义务。</w:t>
            </w:r>
          </w:p>
        </w:tc>
      </w:tr>
      <w:tr w14:paraId="6F3F30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9" w:hRule="atLeast"/>
        </w:trPr>
        <w:tc>
          <w:tcPr>
            <w:tcW w:w="792" w:type="dxa"/>
            <w:vAlign w:val="top"/>
          </w:tcPr>
          <w:p w14:paraId="435DCC72">
            <w:pPr>
              <w:pStyle w:val="491"/>
              <w:keepNext w:val="0"/>
              <w:keepLines w:val="0"/>
              <w:pageBreakBefore w:val="0"/>
              <w:kinsoku/>
              <w:wordWrap/>
              <w:overflowPunct/>
              <w:topLinePunct w:val="0"/>
              <w:autoSpaceDN/>
              <w:bidi w:val="0"/>
              <w:adjustRightInd/>
              <w:snapToGrid/>
              <w:spacing w:line="241" w:lineRule="auto"/>
              <w:ind w:left="105" w:leftChars="50" w:right="0"/>
              <w:jc w:val="left"/>
              <w:rPr>
                <w:rFonts w:hint="default"/>
                <w:b w:val="0"/>
                <w:bCs w:val="0"/>
                <w:color w:val="FF0000"/>
                <w:spacing w:val="-3"/>
                <w:shd w:val="clear" w:color="auto" w:fill="auto"/>
                <w:lang w:val="en-US" w:eastAsia="zh-CN"/>
              </w:rPr>
            </w:pPr>
          </w:p>
          <w:p w14:paraId="2F56D494">
            <w:pPr>
              <w:pStyle w:val="491"/>
              <w:keepNext w:val="0"/>
              <w:keepLines w:val="0"/>
              <w:pageBreakBefore w:val="0"/>
              <w:kinsoku/>
              <w:wordWrap/>
              <w:overflowPunct/>
              <w:topLinePunct w:val="0"/>
              <w:autoSpaceDN/>
              <w:bidi w:val="0"/>
              <w:adjustRightInd/>
              <w:snapToGrid/>
              <w:spacing w:line="241" w:lineRule="auto"/>
              <w:ind w:left="105" w:leftChars="50" w:right="0"/>
              <w:jc w:val="left"/>
              <w:rPr>
                <w:rFonts w:hint="default"/>
                <w:b w:val="0"/>
                <w:bCs w:val="0"/>
                <w:color w:val="FF0000"/>
                <w:spacing w:val="-3"/>
                <w:shd w:val="clear" w:color="auto" w:fill="auto"/>
                <w:lang w:val="en-US" w:eastAsia="zh-CN"/>
              </w:rPr>
            </w:pPr>
          </w:p>
          <w:p w14:paraId="38B21D31">
            <w:pPr>
              <w:pStyle w:val="491"/>
              <w:keepNext w:val="0"/>
              <w:keepLines w:val="0"/>
              <w:pageBreakBefore w:val="0"/>
              <w:kinsoku/>
              <w:wordWrap/>
              <w:overflowPunct/>
              <w:topLinePunct w:val="0"/>
              <w:autoSpaceDN/>
              <w:bidi w:val="0"/>
              <w:adjustRightInd/>
              <w:snapToGrid/>
              <w:spacing w:line="241" w:lineRule="auto"/>
              <w:ind w:left="105" w:leftChars="50" w:right="0"/>
              <w:jc w:val="left"/>
              <w:rPr>
                <w:rFonts w:hint="default"/>
                <w:b w:val="0"/>
                <w:bCs w:val="0"/>
                <w:color w:val="FF0000"/>
                <w:spacing w:val="-3"/>
                <w:shd w:val="clear" w:color="auto" w:fill="auto"/>
                <w:lang w:val="en-US" w:eastAsia="zh-CN"/>
              </w:rPr>
            </w:pPr>
          </w:p>
          <w:p w14:paraId="74E1B48C">
            <w:pPr>
              <w:pStyle w:val="491"/>
              <w:keepNext w:val="0"/>
              <w:keepLines w:val="0"/>
              <w:pageBreakBefore w:val="0"/>
              <w:kinsoku/>
              <w:wordWrap/>
              <w:overflowPunct/>
              <w:topLinePunct w:val="0"/>
              <w:autoSpaceDN/>
              <w:bidi w:val="0"/>
              <w:adjustRightInd/>
              <w:snapToGrid/>
              <w:spacing w:line="241" w:lineRule="auto"/>
              <w:ind w:left="105" w:leftChars="50" w:right="0"/>
              <w:jc w:val="left"/>
              <w:rPr>
                <w:rFonts w:hint="default"/>
                <w:b w:val="0"/>
                <w:bCs w:val="0"/>
                <w:color w:val="FF0000"/>
                <w:spacing w:val="-3"/>
                <w:shd w:val="clear" w:color="auto" w:fill="auto"/>
                <w:lang w:val="en-US" w:eastAsia="zh-CN"/>
              </w:rPr>
            </w:pPr>
          </w:p>
          <w:p w14:paraId="60D531FC">
            <w:pPr>
              <w:pStyle w:val="491"/>
              <w:keepNext w:val="0"/>
              <w:keepLines w:val="0"/>
              <w:pageBreakBefore w:val="0"/>
              <w:kinsoku/>
              <w:wordWrap/>
              <w:overflowPunct/>
              <w:topLinePunct w:val="0"/>
              <w:autoSpaceDN/>
              <w:bidi w:val="0"/>
              <w:adjustRightInd/>
              <w:snapToGrid/>
              <w:spacing w:line="241" w:lineRule="auto"/>
              <w:ind w:left="105" w:leftChars="50" w:right="0"/>
              <w:jc w:val="left"/>
              <w:rPr>
                <w:rFonts w:hint="default"/>
                <w:b w:val="0"/>
                <w:bCs w:val="0"/>
                <w:color w:val="FF0000"/>
                <w:spacing w:val="-3"/>
                <w:shd w:val="clear" w:color="auto" w:fill="auto"/>
                <w:lang w:val="en-US" w:eastAsia="zh-CN"/>
              </w:rPr>
            </w:pPr>
          </w:p>
          <w:p w14:paraId="5F8FFD47">
            <w:pPr>
              <w:pStyle w:val="491"/>
              <w:keepNext w:val="0"/>
              <w:keepLines w:val="0"/>
              <w:pageBreakBefore w:val="0"/>
              <w:kinsoku/>
              <w:wordWrap/>
              <w:overflowPunct/>
              <w:topLinePunct w:val="0"/>
              <w:autoSpaceDN/>
              <w:bidi w:val="0"/>
              <w:adjustRightInd/>
              <w:snapToGrid/>
              <w:spacing w:line="241" w:lineRule="auto"/>
              <w:ind w:left="105" w:leftChars="50" w:right="0"/>
              <w:jc w:val="left"/>
              <w:rPr>
                <w:rFonts w:hint="default" w:eastAsia="宋体"/>
                <w:b w:val="0"/>
                <w:bCs w:val="0"/>
                <w:color w:val="FF0000"/>
                <w:spacing w:val="-8"/>
                <w:shd w:val="clear" w:color="auto" w:fill="auto"/>
                <w:lang w:val="en-US" w:eastAsia="zh-CN"/>
              </w:rPr>
            </w:pPr>
            <w:r>
              <w:rPr>
                <w:rFonts w:hint="default"/>
                <w:b w:val="0"/>
                <w:bCs w:val="0"/>
                <w:color w:val="FF0000"/>
                <w:spacing w:val="-3"/>
                <w:shd w:val="clear" w:color="auto" w:fill="auto"/>
                <w:lang w:val="en-US" w:eastAsia="zh-CN"/>
              </w:rPr>
              <w:t>10</w:t>
            </w:r>
          </w:p>
        </w:tc>
        <w:tc>
          <w:tcPr>
            <w:tcW w:w="1645" w:type="dxa"/>
            <w:vAlign w:val="top"/>
          </w:tcPr>
          <w:p w14:paraId="44145146">
            <w:pPr>
              <w:pStyle w:val="491"/>
              <w:keepNext w:val="0"/>
              <w:keepLines w:val="0"/>
              <w:pageBreakBefore w:val="0"/>
              <w:kinsoku/>
              <w:wordWrap/>
              <w:overflowPunct/>
              <w:topLinePunct w:val="0"/>
              <w:autoSpaceDN/>
              <w:bidi w:val="0"/>
              <w:adjustRightInd/>
              <w:snapToGrid/>
              <w:spacing w:line="221" w:lineRule="auto"/>
              <w:ind w:left="105" w:leftChars="50" w:right="0"/>
              <w:jc w:val="center"/>
              <w:rPr>
                <w:rFonts w:hint="eastAsia"/>
                <w:b w:val="0"/>
                <w:bCs w:val="0"/>
                <w:color w:val="FF0000"/>
                <w:spacing w:val="-4"/>
                <w:shd w:val="clear" w:color="auto" w:fill="auto"/>
                <w:lang w:eastAsia="zh-CN"/>
              </w:rPr>
            </w:pPr>
          </w:p>
          <w:p w14:paraId="1DF694A4">
            <w:pPr>
              <w:pStyle w:val="491"/>
              <w:keepNext w:val="0"/>
              <w:keepLines w:val="0"/>
              <w:pageBreakBefore w:val="0"/>
              <w:kinsoku/>
              <w:wordWrap/>
              <w:overflowPunct/>
              <w:topLinePunct w:val="0"/>
              <w:autoSpaceDN/>
              <w:bidi w:val="0"/>
              <w:adjustRightInd/>
              <w:snapToGrid/>
              <w:spacing w:line="221" w:lineRule="auto"/>
              <w:ind w:left="105" w:leftChars="50" w:right="0"/>
              <w:jc w:val="center"/>
              <w:rPr>
                <w:rFonts w:hint="eastAsia"/>
                <w:b w:val="0"/>
                <w:bCs w:val="0"/>
                <w:color w:val="FF0000"/>
                <w:spacing w:val="-4"/>
                <w:shd w:val="clear" w:color="auto" w:fill="auto"/>
                <w:lang w:eastAsia="zh-CN"/>
              </w:rPr>
            </w:pPr>
          </w:p>
          <w:p w14:paraId="345A59C5">
            <w:pPr>
              <w:pStyle w:val="491"/>
              <w:keepNext w:val="0"/>
              <w:keepLines w:val="0"/>
              <w:pageBreakBefore w:val="0"/>
              <w:kinsoku/>
              <w:wordWrap/>
              <w:overflowPunct/>
              <w:topLinePunct w:val="0"/>
              <w:autoSpaceDN/>
              <w:bidi w:val="0"/>
              <w:adjustRightInd/>
              <w:snapToGrid/>
              <w:spacing w:line="221" w:lineRule="auto"/>
              <w:ind w:left="105" w:leftChars="50" w:right="0"/>
              <w:jc w:val="center"/>
              <w:rPr>
                <w:rFonts w:hint="eastAsia"/>
                <w:b w:val="0"/>
                <w:bCs w:val="0"/>
                <w:color w:val="FF0000"/>
                <w:spacing w:val="-4"/>
                <w:shd w:val="clear" w:color="auto" w:fill="auto"/>
                <w:lang w:eastAsia="zh-CN"/>
              </w:rPr>
            </w:pPr>
          </w:p>
          <w:p w14:paraId="155153BE">
            <w:pPr>
              <w:pStyle w:val="491"/>
              <w:keepNext w:val="0"/>
              <w:keepLines w:val="0"/>
              <w:pageBreakBefore w:val="0"/>
              <w:kinsoku/>
              <w:wordWrap/>
              <w:overflowPunct/>
              <w:topLinePunct w:val="0"/>
              <w:autoSpaceDN/>
              <w:bidi w:val="0"/>
              <w:adjustRightInd/>
              <w:snapToGrid/>
              <w:spacing w:line="221" w:lineRule="auto"/>
              <w:ind w:left="105" w:leftChars="50" w:right="0"/>
              <w:jc w:val="center"/>
              <w:rPr>
                <w:rFonts w:hint="eastAsia"/>
                <w:b w:val="0"/>
                <w:bCs w:val="0"/>
                <w:color w:val="FF0000"/>
                <w:spacing w:val="-4"/>
                <w:shd w:val="clear" w:color="auto" w:fill="auto"/>
                <w:lang w:eastAsia="zh-CN"/>
              </w:rPr>
            </w:pPr>
          </w:p>
          <w:p w14:paraId="6662605A">
            <w:pPr>
              <w:pStyle w:val="491"/>
              <w:keepNext w:val="0"/>
              <w:keepLines w:val="0"/>
              <w:pageBreakBefore w:val="0"/>
              <w:kinsoku/>
              <w:wordWrap/>
              <w:overflowPunct/>
              <w:topLinePunct w:val="0"/>
              <w:autoSpaceDN/>
              <w:bidi w:val="0"/>
              <w:adjustRightInd/>
              <w:snapToGrid/>
              <w:spacing w:line="221" w:lineRule="auto"/>
              <w:ind w:left="105" w:leftChars="50" w:right="0"/>
              <w:jc w:val="center"/>
              <w:rPr>
                <w:rFonts w:hint="eastAsia"/>
                <w:b w:val="0"/>
                <w:bCs w:val="0"/>
                <w:color w:val="FF0000"/>
                <w:spacing w:val="-4"/>
                <w:shd w:val="clear" w:color="auto" w:fill="auto"/>
                <w:lang w:eastAsia="zh-CN"/>
              </w:rPr>
            </w:pPr>
          </w:p>
          <w:p w14:paraId="1FFED4CA">
            <w:pPr>
              <w:pStyle w:val="491"/>
              <w:keepNext w:val="0"/>
              <w:keepLines w:val="0"/>
              <w:pageBreakBefore w:val="0"/>
              <w:kinsoku/>
              <w:wordWrap/>
              <w:overflowPunct/>
              <w:topLinePunct w:val="0"/>
              <w:autoSpaceDN/>
              <w:bidi w:val="0"/>
              <w:adjustRightInd/>
              <w:snapToGrid/>
              <w:spacing w:line="221" w:lineRule="auto"/>
              <w:ind w:left="105" w:leftChars="50" w:right="0"/>
              <w:jc w:val="center"/>
              <w:rPr>
                <w:rFonts w:hint="eastAsia" w:eastAsia="宋体"/>
                <w:b w:val="0"/>
                <w:bCs w:val="0"/>
                <w:color w:val="FF0000"/>
                <w:spacing w:val="-4"/>
                <w:shd w:val="clear" w:color="auto" w:fill="auto"/>
                <w:lang w:eastAsia="zh-CN"/>
              </w:rPr>
            </w:pPr>
            <w:r>
              <w:rPr>
                <w:rFonts w:hint="eastAsia"/>
                <w:b w:val="0"/>
                <w:bCs w:val="0"/>
                <w:color w:val="FF0000"/>
                <w:spacing w:val="-4"/>
                <w:shd w:val="clear" w:color="auto" w:fill="auto"/>
                <w:lang w:eastAsia="zh-CN"/>
              </w:rPr>
              <w:t>违约条款</w:t>
            </w:r>
          </w:p>
        </w:tc>
        <w:tc>
          <w:tcPr>
            <w:tcW w:w="6288" w:type="dxa"/>
            <w:vAlign w:val="top"/>
          </w:tcPr>
          <w:p w14:paraId="5A54FCDC">
            <w:pPr>
              <w:keepNext w:val="0"/>
              <w:keepLines w:val="0"/>
              <w:pageBreakBefore w:val="0"/>
              <w:kinsoku/>
              <w:wordWrap/>
              <w:overflowPunct/>
              <w:topLinePunct w:val="0"/>
              <w:autoSpaceDN/>
              <w:bidi w:val="0"/>
              <w:adjustRightInd/>
              <w:snapToGrid/>
              <w:ind w:left="105" w:leftChars="50" w:right="0" w:firstLine="0"/>
              <w:jc w:val="both"/>
              <w:rPr>
                <w:rFonts w:hint="eastAsia" w:ascii="宋体" w:hAnsi="宋体" w:eastAsia="宋体" w:cs="宋体"/>
                <w:color w:val="FF0000"/>
                <w:spacing w:val="-5"/>
                <w:sz w:val="21"/>
                <w:szCs w:val="21"/>
                <w:shd w:val="clear" w:color="auto" w:fill="auto"/>
                <w:lang w:val="en-US" w:eastAsia="en-US" w:bidi="ar-SA"/>
              </w:rPr>
            </w:pPr>
            <w:r>
              <w:rPr>
                <w:rFonts w:hint="eastAsia" w:ascii="宋体" w:hAnsi="宋体" w:eastAsia="宋体" w:cs="宋体"/>
                <w:color w:val="FF0000"/>
                <w:spacing w:val="-5"/>
                <w:sz w:val="21"/>
                <w:szCs w:val="21"/>
                <w:shd w:val="clear" w:color="auto" w:fill="auto"/>
                <w:lang w:val="en-US" w:eastAsia="zh-CN" w:bidi="ar-SA"/>
              </w:rPr>
              <w:t>1.</w:t>
            </w:r>
            <w:r>
              <w:rPr>
                <w:rFonts w:hint="eastAsia" w:ascii="宋体" w:hAnsi="宋体" w:eastAsia="宋体" w:cs="宋体"/>
                <w:color w:val="FF0000"/>
                <w:spacing w:val="-5"/>
                <w:sz w:val="21"/>
                <w:szCs w:val="21"/>
                <w:shd w:val="clear" w:color="auto" w:fill="auto"/>
                <w:lang w:val="en-US" w:eastAsia="en-US" w:bidi="ar-SA"/>
              </w:rPr>
              <w:t>因</w:t>
            </w:r>
            <w:r>
              <w:rPr>
                <w:rFonts w:hint="eastAsia" w:ascii="宋体" w:hAnsi="宋体" w:eastAsia="宋体" w:cs="宋体"/>
                <w:color w:val="FF0000"/>
                <w:spacing w:val="-5"/>
                <w:sz w:val="21"/>
                <w:szCs w:val="21"/>
                <w:shd w:val="clear" w:color="auto" w:fill="auto"/>
                <w:lang w:val="en-US" w:eastAsia="zh-CN" w:bidi="ar-SA"/>
              </w:rPr>
              <w:t>中标方</w:t>
            </w:r>
            <w:r>
              <w:rPr>
                <w:rFonts w:hint="eastAsia" w:ascii="宋体" w:hAnsi="宋体" w:eastAsia="宋体" w:cs="宋体"/>
                <w:color w:val="FF0000"/>
                <w:spacing w:val="-5"/>
                <w:sz w:val="21"/>
                <w:szCs w:val="21"/>
                <w:shd w:val="clear" w:color="auto" w:fill="auto"/>
                <w:lang w:val="en-US" w:eastAsia="en-US" w:bidi="ar-SA"/>
              </w:rPr>
              <w:t>原因，</w:t>
            </w:r>
            <w:r>
              <w:rPr>
                <w:rFonts w:hint="eastAsia" w:ascii="宋体" w:hAnsi="宋体" w:eastAsia="宋体" w:cs="宋体"/>
                <w:color w:val="FF0000"/>
                <w:spacing w:val="-5"/>
                <w:sz w:val="21"/>
                <w:szCs w:val="21"/>
                <w:shd w:val="clear" w:color="auto" w:fill="auto"/>
                <w:lang w:val="en-US" w:eastAsia="zh-CN" w:bidi="ar-SA"/>
              </w:rPr>
              <w:t>中标方</w:t>
            </w:r>
            <w:r>
              <w:rPr>
                <w:rFonts w:hint="eastAsia" w:ascii="宋体" w:hAnsi="宋体" w:eastAsia="宋体" w:cs="宋体"/>
                <w:color w:val="FF0000"/>
                <w:spacing w:val="-5"/>
                <w:sz w:val="21"/>
                <w:szCs w:val="21"/>
                <w:shd w:val="clear" w:color="auto" w:fill="auto"/>
                <w:lang w:val="en-US" w:eastAsia="en-US" w:bidi="ar-SA"/>
              </w:rPr>
              <w:t>不能履行全部或部分合同义务的，</w:t>
            </w:r>
            <w:r>
              <w:rPr>
                <w:rFonts w:hint="eastAsia" w:ascii="宋体" w:hAnsi="宋体" w:eastAsia="宋体" w:cs="宋体"/>
                <w:color w:val="FF0000"/>
                <w:spacing w:val="-5"/>
                <w:sz w:val="21"/>
                <w:szCs w:val="21"/>
                <w:shd w:val="clear" w:color="auto" w:fill="auto"/>
                <w:lang w:val="en-US" w:eastAsia="zh-CN" w:bidi="ar-SA"/>
              </w:rPr>
              <w:t>采购人</w:t>
            </w:r>
            <w:r>
              <w:rPr>
                <w:rFonts w:hint="eastAsia" w:ascii="宋体" w:hAnsi="宋体" w:eastAsia="宋体" w:cs="宋体"/>
                <w:color w:val="FF0000"/>
                <w:spacing w:val="-5"/>
                <w:sz w:val="21"/>
                <w:szCs w:val="21"/>
                <w:shd w:val="clear" w:color="auto" w:fill="auto"/>
                <w:lang w:val="en-US" w:eastAsia="en-US" w:bidi="ar-SA"/>
              </w:rPr>
              <w:t>有权要求</w:t>
            </w:r>
            <w:r>
              <w:rPr>
                <w:rFonts w:hint="eastAsia" w:ascii="宋体" w:hAnsi="宋体" w:eastAsia="宋体" w:cs="宋体"/>
                <w:color w:val="FF0000"/>
                <w:spacing w:val="-5"/>
                <w:sz w:val="21"/>
                <w:szCs w:val="21"/>
                <w:shd w:val="clear" w:color="auto" w:fill="auto"/>
                <w:lang w:val="en-US" w:eastAsia="zh-CN" w:bidi="ar-SA"/>
              </w:rPr>
              <w:t>中标方</w:t>
            </w:r>
            <w:r>
              <w:rPr>
                <w:rFonts w:hint="eastAsia" w:ascii="宋体" w:hAnsi="宋体" w:eastAsia="宋体" w:cs="宋体"/>
                <w:color w:val="FF0000"/>
                <w:spacing w:val="-5"/>
                <w:sz w:val="21"/>
                <w:szCs w:val="21"/>
                <w:shd w:val="clear" w:color="auto" w:fill="auto"/>
                <w:lang w:val="en-US" w:eastAsia="en-US" w:bidi="ar-SA"/>
              </w:rPr>
              <w:t>限期整改，如</w:t>
            </w:r>
            <w:r>
              <w:rPr>
                <w:rFonts w:hint="eastAsia" w:ascii="宋体" w:hAnsi="宋体" w:eastAsia="宋体" w:cs="宋体"/>
                <w:color w:val="FF0000"/>
                <w:spacing w:val="-5"/>
                <w:sz w:val="21"/>
                <w:szCs w:val="21"/>
                <w:shd w:val="clear" w:color="auto" w:fill="auto"/>
                <w:lang w:val="en-US" w:eastAsia="zh-CN" w:bidi="ar-SA"/>
              </w:rPr>
              <w:t>中标方</w:t>
            </w:r>
            <w:r>
              <w:rPr>
                <w:rFonts w:hint="eastAsia" w:ascii="宋体" w:hAnsi="宋体" w:eastAsia="宋体" w:cs="宋体"/>
                <w:color w:val="FF0000"/>
                <w:spacing w:val="-5"/>
                <w:sz w:val="21"/>
                <w:szCs w:val="21"/>
                <w:shd w:val="clear" w:color="auto" w:fill="auto"/>
                <w:lang w:val="en-US" w:eastAsia="en-US" w:bidi="ar-SA"/>
              </w:rPr>
              <w:t>限期内未整改或整改后仍无法符合</w:t>
            </w:r>
            <w:r>
              <w:rPr>
                <w:rFonts w:hint="eastAsia" w:ascii="宋体" w:hAnsi="宋体" w:eastAsia="宋体" w:cs="宋体"/>
                <w:color w:val="FF0000"/>
                <w:spacing w:val="-5"/>
                <w:sz w:val="21"/>
                <w:szCs w:val="21"/>
                <w:shd w:val="clear" w:color="auto" w:fill="auto"/>
                <w:lang w:val="en-US" w:eastAsia="zh-CN" w:bidi="ar-SA"/>
              </w:rPr>
              <w:t>采购人</w:t>
            </w:r>
            <w:r>
              <w:rPr>
                <w:rFonts w:hint="eastAsia" w:ascii="宋体" w:hAnsi="宋体" w:eastAsia="宋体" w:cs="宋体"/>
                <w:color w:val="FF0000"/>
                <w:spacing w:val="-5"/>
                <w:sz w:val="21"/>
                <w:szCs w:val="21"/>
                <w:shd w:val="clear" w:color="auto" w:fill="auto"/>
                <w:lang w:val="en-US" w:eastAsia="en-US" w:bidi="ar-SA"/>
              </w:rPr>
              <w:t>或合同要求，且双方无法协商一致的，</w:t>
            </w:r>
            <w:r>
              <w:rPr>
                <w:rFonts w:hint="eastAsia" w:ascii="宋体" w:hAnsi="宋体" w:eastAsia="宋体" w:cs="宋体"/>
                <w:color w:val="FF0000"/>
                <w:spacing w:val="-5"/>
                <w:sz w:val="21"/>
                <w:szCs w:val="21"/>
                <w:shd w:val="clear" w:color="auto" w:fill="auto"/>
                <w:lang w:val="en-US" w:eastAsia="zh-CN" w:bidi="ar-SA"/>
              </w:rPr>
              <w:t>采购人</w:t>
            </w:r>
            <w:r>
              <w:rPr>
                <w:rFonts w:hint="eastAsia" w:ascii="宋体" w:hAnsi="宋体" w:eastAsia="宋体" w:cs="宋体"/>
                <w:color w:val="FF0000"/>
                <w:spacing w:val="-5"/>
                <w:sz w:val="21"/>
                <w:szCs w:val="21"/>
                <w:shd w:val="clear" w:color="auto" w:fill="auto"/>
                <w:lang w:val="en-US" w:eastAsia="en-US" w:bidi="ar-SA"/>
              </w:rPr>
              <w:t>有权解除合同，</w:t>
            </w:r>
            <w:r>
              <w:rPr>
                <w:rFonts w:hint="eastAsia" w:ascii="宋体" w:hAnsi="宋体" w:eastAsia="宋体" w:cs="宋体"/>
                <w:color w:val="FF0000"/>
                <w:spacing w:val="-5"/>
                <w:sz w:val="21"/>
                <w:szCs w:val="21"/>
                <w:shd w:val="clear" w:color="auto" w:fill="auto"/>
                <w:lang w:val="en-US" w:eastAsia="zh-CN" w:bidi="ar-SA"/>
              </w:rPr>
              <w:t>中标方</w:t>
            </w:r>
            <w:r>
              <w:rPr>
                <w:rFonts w:hint="eastAsia" w:ascii="宋体" w:hAnsi="宋体" w:eastAsia="宋体" w:cs="宋体"/>
                <w:color w:val="FF0000"/>
                <w:spacing w:val="-5"/>
                <w:sz w:val="21"/>
                <w:szCs w:val="21"/>
                <w:shd w:val="clear" w:color="auto" w:fill="auto"/>
                <w:lang w:val="en-US" w:eastAsia="en-US" w:bidi="ar-SA"/>
              </w:rPr>
              <w:t>应退还不能履行部分的相关费用，且</w:t>
            </w:r>
            <w:r>
              <w:rPr>
                <w:rFonts w:hint="eastAsia" w:ascii="宋体" w:hAnsi="宋体" w:eastAsia="宋体" w:cs="宋体"/>
                <w:color w:val="FF0000"/>
                <w:spacing w:val="-5"/>
                <w:sz w:val="21"/>
                <w:szCs w:val="21"/>
                <w:shd w:val="clear" w:color="auto" w:fill="auto"/>
                <w:lang w:val="en-US" w:eastAsia="zh-CN" w:bidi="ar-SA"/>
              </w:rPr>
              <w:t>中标方</w:t>
            </w:r>
            <w:r>
              <w:rPr>
                <w:rFonts w:hint="eastAsia" w:ascii="宋体" w:hAnsi="宋体" w:eastAsia="宋体" w:cs="宋体"/>
                <w:color w:val="FF0000"/>
                <w:spacing w:val="-5"/>
                <w:sz w:val="21"/>
                <w:szCs w:val="21"/>
                <w:shd w:val="clear" w:color="auto" w:fill="auto"/>
                <w:lang w:val="en-US" w:eastAsia="en-US" w:bidi="ar-SA"/>
              </w:rPr>
              <w:t>应按合同总金额的20%承担违约金。</w:t>
            </w:r>
          </w:p>
          <w:p w14:paraId="02B45EC8">
            <w:pPr>
              <w:keepNext w:val="0"/>
              <w:keepLines w:val="0"/>
              <w:pageBreakBefore w:val="0"/>
              <w:kinsoku/>
              <w:wordWrap/>
              <w:overflowPunct/>
              <w:topLinePunct w:val="0"/>
              <w:autoSpaceDN/>
              <w:bidi w:val="0"/>
              <w:adjustRightInd/>
              <w:snapToGrid/>
              <w:ind w:left="105" w:leftChars="50" w:right="0" w:firstLine="0"/>
              <w:jc w:val="both"/>
              <w:rPr>
                <w:b w:val="0"/>
                <w:bCs w:val="0"/>
                <w:color w:val="FF0000"/>
                <w:spacing w:val="-5"/>
                <w:shd w:val="clear" w:color="auto" w:fill="auto"/>
              </w:rPr>
            </w:pPr>
            <w:r>
              <w:rPr>
                <w:rFonts w:hint="eastAsia" w:ascii="宋体" w:hAnsi="宋体" w:eastAsia="宋体" w:cs="宋体"/>
                <w:color w:val="FF0000"/>
                <w:spacing w:val="-5"/>
                <w:sz w:val="21"/>
                <w:szCs w:val="21"/>
                <w:shd w:val="clear" w:color="auto" w:fill="auto"/>
                <w:lang w:val="en-US" w:eastAsia="zh-CN" w:bidi="ar-SA"/>
              </w:rPr>
              <w:t>2.</w:t>
            </w:r>
            <w:r>
              <w:rPr>
                <w:rFonts w:hint="eastAsia" w:ascii="宋体" w:hAnsi="宋体" w:eastAsia="宋体" w:cs="宋体"/>
                <w:color w:val="FF0000"/>
                <w:spacing w:val="-5"/>
                <w:sz w:val="21"/>
                <w:szCs w:val="21"/>
                <w:shd w:val="clear" w:color="auto" w:fill="auto"/>
                <w:lang w:eastAsia="en-US"/>
              </w:rPr>
              <w:t>如</w:t>
            </w:r>
            <w:r>
              <w:rPr>
                <w:rFonts w:hint="eastAsia" w:ascii="宋体" w:hAnsi="宋体" w:eastAsia="宋体" w:cs="宋体"/>
                <w:color w:val="FF0000"/>
                <w:spacing w:val="-5"/>
                <w:sz w:val="21"/>
                <w:szCs w:val="21"/>
                <w:shd w:val="clear" w:color="auto" w:fill="auto"/>
                <w:lang w:eastAsia="zh-CN" w:bidi="ar-SA"/>
              </w:rPr>
              <w:t>中标方</w:t>
            </w:r>
            <w:r>
              <w:rPr>
                <w:rFonts w:hint="eastAsia" w:ascii="宋体" w:hAnsi="宋体" w:eastAsia="宋体" w:cs="宋体"/>
                <w:color w:val="FF0000"/>
                <w:spacing w:val="-5"/>
                <w:sz w:val="21"/>
                <w:szCs w:val="21"/>
                <w:shd w:val="clear" w:color="auto" w:fill="auto"/>
                <w:lang w:eastAsia="en-US"/>
              </w:rPr>
              <w:t>提供的设备或软件出现假冒伪劣、以次充好等情形的，</w:t>
            </w:r>
            <w:r>
              <w:rPr>
                <w:rFonts w:hint="eastAsia" w:ascii="宋体" w:hAnsi="宋体" w:eastAsia="宋体" w:cs="宋体"/>
                <w:color w:val="FF0000"/>
                <w:spacing w:val="-5"/>
                <w:sz w:val="21"/>
                <w:szCs w:val="21"/>
                <w:shd w:val="clear" w:color="auto" w:fill="auto"/>
                <w:lang w:eastAsia="zh-CN" w:bidi="ar-SA"/>
              </w:rPr>
              <w:t>采购人</w:t>
            </w:r>
            <w:r>
              <w:rPr>
                <w:rFonts w:hint="eastAsia" w:ascii="宋体" w:hAnsi="宋体" w:eastAsia="宋体" w:cs="宋体"/>
                <w:color w:val="FF0000"/>
                <w:spacing w:val="-5"/>
                <w:sz w:val="21"/>
                <w:szCs w:val="21"/>
                <w:shd w:val="clear" w:color="auto" w:fill="auto"/>
                <w:lang w:eastAsia="en-US"/>
              </w:rPr>
              <w:t>有权解除合同，要求</w:t>
            </w:r>
            <w:r>
              <w:rPr>
                <w:rFonts w:hint="eastAsia" w:ascii="宋体" w:hAnsi="宋体" w:eastAsia="宋体" w:cs="宋体"/>
                <w:color w:val="FF0000"/>
                <w:spacing w:val="-5"/>
                <w:sz w:val="21"/>
                <w:szCs w:val="21"/>
                <w:shd w:val="clear" w:color="auto" w:fill="auto"/>
                <w:lang w:eastAsia="zh-CN" w:bidi="ar-SA"/>
              </w:rPr>
              <w:t>中标方</w:t>
            </w:r>
            <w:r>
              <w:rPr>
                <w:rFonts w:hint="eastAsia" w:ascii="宋体" w:hAnsi="宋体" w:eastAsia="宋体" w:cs="宋体"/>
                <w:color w:val="FF0000"/>
                <w:spacing w:val="-5"/>
                <w:sz w:val="21"/>
                <w:szCs w:val="21"/>
                <w:shd w:val="clear" w:color="auto" w:fill="auto"/>
                <w:lang w:eastAsia="en-US"/>
              </w:rPr>
              <w:t>按合同总金额的</w:t>
            </w:r>
            <w:r>
              <w:rPr>
                <w:rFonts w:hint="eastAsia" w:ascii="宋体" w:hAnsi="宋体" w:eastAsia="宋体" w:cs="宋体"/>
                <w:color w:val="FF0000"/>
                <w:spacing w:val="-5"/>
                <w:sz w:val="21"/>
                <w:szCs w:val="21"/>
                <w:u w:val="none"/>
                <w:shd w:val="clear" w:color="auto" w:fill="auto"/>
                <w:lang w:eastAsia="en-US"/>
              </w:rPr>
              <w:t>20%</w:t>
            </w:r>
            <w:r>
              <w:rPr>
                <w:rFonts w:hint="eastAsia" w:ascii="宋体" w:hAnsi="宋体" w:eastAsia="宋体" w:cs="宋体"/>
                <w:color w:val="FF0000"/>
                <w:spacing w:val="-5"/>
                <w:sz w:val="21"/>
                <w:szCs w:val="21"/>
                <w:shd w:val="clear" w:color="auto" w:fill="auto"/>
                <w:lang w:eastAsia="en-US"/>
              </w:rPr>
              <w:t>支付违约金，并退还甲方支付的全部款项，</w:t>
            </w:r>
            <w:r>
              <w:rPr>
                <w:rFonts w:hint="eastAsia" w:ascii="宋体" w:hAnsi="宋体" w:eastAsia="宋体" w:cs="宋体"/>
                <w:color w:val="FF0000"/>
                <w:spacing w:val="-5"/>
                <w:sz w:val="21"/>
                <w:szCs w:val="21"/>
                <w:shd w:val="clear" w:color="auto" w:fill="auto"/>
                <w:lang w:eastAsia="zh-CN" w:bidi="ar-SA"/>
              </w:rPr>
              <w:t>采购人</w:t>
            </w:r>
            <w:r>
              <w:rPr>
                <w:rFonts w:hint="eastAsia" w:ascii="宋体" w:hAnsi="宋体" w:eastAsia="宋体" w:cs="宋体"/>
                <w:color w:val="FF0000"/>
                <w:spacing w:val="-5"/>
                <w:sz w:val="21"/>
                <w:szCs w:val="21"/>
                <w:shd w:val="clear" w:color="auto" w:fill="auto"/>
                <w:lang w:eastAsia="en-US"/>
              </w:rPr>
              <w:t>尚未支付的不再支付。因前述情形给</w:t>
            </w:r>
            <w:r>
              <w:rPr>
                <w:rFonts w:hint="eastAsia" w:ascii="宋体" w:hAnsi="宋体" w:eastAsia="宋体" w:cs="宋体"/>
                <w:color w:val="FF0000"/>
                <w:spacing w:val="-5"/>
                <w:sz w:val="21"/>
                <w:szCs w:val="21"/>
                <w:shd w:val="clear" w:color="auto" w:fill="auto"/>
                <w:lang w:eastAsia="zh-CN" w:bidi="ar-SA"/>
              </w:rPr>
              <w:t>采购人</w:t>
            </w:r>
            <w:r>
              <w:rPr>
                <w:rFonts w:hint="eastAsia" w:ascii="宋体" w:hAnsi="宋体" w:eastAsia="宋体" w:cs="宋体"/>
                <w:color w:val="FF0000"/>
                <w:spacing w:val="-5"/>
                <w:sz w:val="21"/>
                <w:szCs w:val="21"/>
                <w:shd w:val="clear" w:color="auto" w:fill="auto"/>
                <w:lang w:eastAsia="en-US"/>
              </w:rPr>
              <w:t>、</w:t>
            </w:r>
            <w:r>
              <w:rPr>
                <w:rFonts w:hint="eastAsia" w:ascii="宋体" w:hAnsi="宋体" w:eastAsia="宋体" w:cs="宋体"/>
                <w:color w:val="FF0000"/>
                <w:spacing w:val="-5"/>
                <w:sz w:val="21"/>
                <w:szCs w:val="21"/>
                <w:shd w:val="clear" w:color="auto" w:fill="auto"/>
                <w:lang w:eastAsia="zh-CN" w:bidi="ar-SA"/>
              </w:rPr>
              <w:t>采购</w:t>
            </w:r>
            <w:r>
              <w:rPr>
                <w:rFonts w:hint="eastAsia" w:ascii="宋体" w:hAnsi="宋体" w:cs="宋体"/>
                <w:color w:val="FF0000"/>
                <w:spacing w:val="-5"/>
                <w:sz w:val="21"/>
                <w:szCs w:val="21"/>
                <w:shd w:val="clear" w:color="auto" w:fill="auto"/>
                <w:lang w:eastAsia="zh-CN" w:bidi="ar-SA"/>
              </w:rPr>
              <w:t>方</w:t>
            </w:r>
            <w:r>
              <w:rPr>
                <w:rFonts w:hint="eastAsia" w:ascii="宋体" w:hAnsi="宋体" w:eastAsia="宋体" w:cs="宋体"/>
                <w:color w:val="FF0000"/>
                <w:spacing w:val="-5"/>
                <w:sz w:val="21"/>
                <w:szCs w:val="21"/>
                <w:shd w:val="clear" w:color="auto" w:fill="auto"/>
                <w:lang w:eastAsia="en-US"/>
              </w:rPr>
              <w:t>人员或第三方造成任何人身损害或财产损失的，由</w:t>
            </w:r>
            <w:r>
              <w:rPr>
                <w:rFonts w:hint="eastAsia" w:ascii="宋体" w:hAnsi="宋体" w:eastAsia="宋体" w:cs="宋体"/>
                <w:color w:val="FF0000"/>
                <w:spacing w:val="-5"/>
                <w:sz w:val="21"/>
                <w:szCs w:val="21"/>
                <w:shd w:val="clear" w:color="auto" w:fill="auto"/>
                <w:lang w:eastAsia="zh-CN" w:bidi="ar-SA"/>
              </w:rPr>
              <w:t>中标方</w:t>
            </w:r>
            <w:r>
              <w:rPr>
                <w:rFonts w:hint="eastAsia" w:ascii="宋体" w:hAnsi="宋体" w:eastAsia="宋体" w:cs="宋体"/>
                <w:color w:val="FF0000"/>
                <w:spacing w:val="-5"/>
                <w:sz w:val="21"/>
                <w:szCs w:val="21"/>
                <w:shd w:val="clear" w:color="auto" w:fill="auto"/>
                <w:lang w:eastAsia="en-US"/>
              </w:rPr>
              <w:t>承担全部相关法律责任。</w:t>
            </w:r>
          </w:p>
        </w:tc>
      </w:tr>
      <w:tr w14:paraId="44144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9" w:hRule="atLeast"/>
        </w:trPr>
        <w:tc>
          <w:tcPr>
            <w:tcW w:w="792" w:type="dxa"/>
            <w:vAlign w:val="top"/>
          </w:tcPr>
          <w:p w14:paraId="21FA14E3">
            <w:pPr>
              <w:keepNext w:val="0"/>
              <w:keepLines w:val="0"/>
              <w:pageBreakBefore w:val="0"/>
              <w:kinsoku/>
              <w:wordWrap/>
              <w:overflowPunct/>
              <w:topLinePunct w:val="0"/>
              <w:autoSpaceDN/>
              <w:bidi w:val="0"/>
              <w:adjustRightInd/>
              <w:snapToGrid/>
              <w:spacing w:line="293" w:lineRule="auto"/>
              <w:ind w:left="105" w:leftChars="50" w:right="0"/>
              <w:jc w:val="left"/>
              <w:rPr>
                <w:rFonts w:ascii="Arial"/>
                <w:b w:val="0"/>
                <w:bCs w:val="0"/>
                <w:sz w:val="21"/>
                <w:shd w:val="clear" w:color="auto" w:fill="auto"/>
              </w:rPr>
            </w:pPr>
          </w:p>
          <w:p w14:paraId="48635498">
            <w:pPr>
              <w:pStyle w:val="491"/>
              <w:keepNext w:val="0"/>
              <w:keepLines w:val="0"/>
              <w:pageBreakBefore w:val="0"/>
              <w:kinsoku/>
              <w:wordWrap/>
              <w:overflowPunct/>
              <w:topLinePunct w:val="0"/>
              <w:autoSpaceDN/>
              <w:bidi w:val="0"/>
              <w:adjustRightInd/>
              <w:snapToGrid/>
              <w:spacing w:line="241" w:lineRule="auto"/>
              <w:ind w:left="105" w:leftChars="50" w:right="0"/>
              <w:jc w:val="left"/>
              <w:rPr>
                <w:rFonts w:hint="eastAsia" w:eastAsia="宋体"/>
                <w:b w:val="0"/>
                <w:bCs w:val="0"/>
                <w:shd w:val="clear" w:color="auto" w:fill="auto"/>
                <w:lang w:eastAsia="zh-CN"/>
              </w:rPr>
            </w:pPr>
            <w:r>
              <w:rPr>
                <w:b w:val="0"/>
                <w:bCs w:val="0"/>
                <w:color w:val="FF0000"/>
                <w:spacing w:val="-8"/>
                <w:shd w:val="clear" w:color="auto" w:fill="auto"/>
              </w:rPr>
              <w:t>1</w:t>
            </w:r>
            <w:r>
              <w:rPr>
                <w:rFonts w:hint="eastAsia"/>
                <w:b w:val="0"/>
                <w:bCs w:val="0"/>
                <w:color w:val="FF0000"/>
                <w:spacing w:val="-8"/>
                <w:shd w:val="clear" w:color="auto" w:fill="auto"/>
                <w:lang w:val="en-US" w:eastAsia="zh-CN"/>
              </w:rPr>
              <w:t>1</w:t>
            </w:r>
          </w:p>
        </w:tc>
        <w:tc>
          <w:tcPr>
            <w:tcW w:w="1645" w:type="dxa"/>
            <w:vAlign w:val="top"/>
          </w:tcPr>
          <w:p w14:paraId="3F4AD712">
            <w:pPr>
              <w:keepNext w:val="0"/>
              <w:keepLines w:val="0"/>
              <w:pageBreakBefore w:val="0"/>
              <w:kinsoku/>
              <w:wordWrap/>
              <w:overflowPunct/>
              <w:topLinePunct w:val="0"/>
              <w:autoSpaceDN/>
              <w:bidi w:val="0"/>
              <w:adjustRightInd/>
              <w:snapToGrid/>
              <w:spacing w:line="294" w:lineRule="auto"/>
              <w:ind w:left="105" w:leftChars="50" w:right="0"/>
              <w:rPr>
                <w:rFonts w:ascii="Arial"/>
                <w:b w:val="0"/>
                <w:bCs w:val="0"/>
                <w:sz w:val="21"/>
                <w:shd w:val="clear" w:color="auto" w:fill="auto"/>
              </w:rPr>
            </w:pPr>
          </w:p>
          <w:p w14:paraId="3F930D8C">
            <w:pPr>
              <w:pStyle w:val="491"/>
              <w:keepNext w:val="0"/>
              <w:keepLines w:val="0"/>
              <w:pageBreakBefore w:val="0"/>
              <w:kinsoku/>
              <w:wordWrap/>
              <w:overflowPunct/>
              <w:topLinePunct w:val="0"/>
              <w:autoSpaceDN/>
              <w:bidi w:val="0"/>
              <w:adjustRightInd/>
              <w:snapToGrid/>
              <w:spacing w:line="221" w:lineRule="auto"/>
              <w:ind w:left="105" w:leftChars="50" w:right="0"/>
              <w:jc w:val="center"/>
              <w:rPr>
                <w:b w:val="0"/>
                <w:bCs w:val="0"/>
                <w:shd w:val="clear" w:color="auto" w:fill="auto"/>
              </w:rPr>
            </w:pPr>
            <w:r>
              <w:rPr>
                <w:b w:val="0"/>
                <w:bCs w:val="0"/>
                <w:color w:val="FF0000"/>
                <w:spacing w:val="-4"/>
                <w:shd w:val="clear" w:color="auto" w:fill="auto"/>
              </w:rPr>
              <w:t>其他要求</w:t>
            </w:r>
          </w:p>
        </w:tc>
        <w:tc>
          <w:tcPr>
            <w:tcW w:w="6288" w:type="dxa"/>
            <w:vAlign w:val="top"/>
          </w:tcPr>
          <w:p w14:paraId="0C6C71F2">
            <w:pPr>
              <w:pStyle w:val="491"/>
              <w:keepNext w:val="0"/>
              <w:keepLines w:val="0"/>
              <w:pageBreakBefore w:val="0"/>
              <w:kinsoku/>
              <w:wordWrap/>
              <w:overflowPunct/>
              <w:topLinePunct w:val="0"/>
              <w:autoSpaceDN/>
              <w:bidi w:val="0"/>
              <w:adjustRightInd/>
              <w:snapToGrid/>
              <w:spacing w:line="245" w:lineRule="auto"/>
              <w:ind w:left="105" w:leftChars="50" w:right="0" w:firstLine="18"/>
              <w:jc w:val="both"/>
              <w:rPr>
                <w:rFonts w:hint="eastAsia" w:eastAsia="宋体"/>
                <w:b w:val="0"/>
                <w:bCs w:val="0"/>
                <w:shd w:val="clear" w:color="auto" w:fill="auto"/>
                <w:lang w:eastAsia="zh-CN"/>
              </w:rPr>
            </w:pPr>
            <w:r>
              <w:rPr>
                <w:rFonts w:hint="eastAsia"/>
                <w:b w:val="0"/>
                <w:bCs w:val="0"/>
                <w:color w:val="FF0000"/>
                <w:spacing w:val="-5"/>
                <w:shd w:val="clear" w:color="auto" w:fill="auto"/>
                <w:lang w:val="en-US" w:eastAsia="zh-CN"/>
              </w:rPr>
              <w:t>1.</w:t>
            </w:r>
            <w:r>
              <w:rPr>
                <w:b w:val="0"/>
                <w:bCs w:val="0"/>
                <w:color w:val="FF0000"/>
                <w:spacing w:val="-5"/>
                <w:shd w:val="clear" w:color="auto" w:fill="auto"/>
              </w:rPr>
              <w:t>中标供应商需具有连续性工作开展能力，有效连续性实施有助</w:t>
            </w:r>
            <w:r>
              <w:rPr>
                <w:b w:val="0"/>
                <w:bCs w:val="0"/>
                <w:color w:val="FF0000"/>
                <w:spacing w:val="-6"/>
                <w:shd w:val="clear" w:color="auto" w:fill="auto"/>
              </w:rPr>
              <w:t>于构</w:t>
            </w:r>
            <w:r>
              <w:rPr>
                <w:b w:val="0"/>
                <w:bCs w:val="0"/>
                <w:color w:val="FF0000"/>
                <w:spacing w:val="-4"/>
                <w:shd w:val="clear" w:color="auto" w:fill="auto"/>
              </w:rPr>
              <w:t>建更安全、更具稳定的工作环境，能够保障对项目整体工作把控，</w:t>
            </w:r>
            <w:r>
              <w:rPr>
                <w:b w:val="0"/>
                <w:bCs w:val="0"/>
                <w:color w:val="FF0000"/>
                <w:spacing w:val="-3"/>
                <w:shd w:val="clear" w:color="auto" w:fill="auto"/>
              </w:rPr>
              <w:t>完成实施工作</w:t>
            </w:r>
            <w:r>
              <w:rPr>
                <w:rFonts w:hint="eastAsia"/>
                <w:b w:val="0"/>
                <w:bCs w:val="0"/>
                <w:color w:val="FF0000"/>
                <w:spacing w:val="-3"/>
                <w:shd w:val="clear" w:color="auto" w:fill="auto"/>
                <w:lang w:eastAsia="zh-CN"/>
              </w:rPr>
              <w:t>。</w:t>
            </w:r>
          </w:p>
        </w:tc>
      </w:tr>
    </w:tbl>
    <w:p w14:paraId="7ADAB7AC">
      <w:pPr>
        <w:spacing w:after="120"/>
        <w:rPr>
          <w:rFonts w:ascii="Times New Roman" w:hAnsi="Times New Roman" w:eastAsia="宋体" w:cs="Times New Roman"/>
          <w:szCs w:val="24"/>
        </w:rPr>
      </w:pPr>
    </w:p>
    <w:p w14:paraId="3D093698">
      <w:pPr>
        <w:keepNext/>
        <w:keepLines/>
        <w:adjustRightInd w:val="0"/>
        <w:spacing w:before="156" w:beforeLines="50" w:after="156" w:afterLines="50"/>
        <w:jc w:val="center"/>
        <w:textAlignment w:val="baseline"/>
        <w:outlineLvl w:val="1"/>
        <w:rPr>
          <w:rFonts w:ascii="Times New Roman" w:hAnsi="Times New Roman" w:eastAsia="宋体" w:cs="Times New Roman"/>
          <w:b/>
          <w:bCs/>
          <w:kern w:val="0"/>
          <w:sz w:val="24"/>
          <w:szCs w:val="24"/>
        </w:rPr>
      </w:pPr>
      <w:r>
        <w:rPr>
          <w:rFonts w:hint="eastAsia" w:ascii="Times New Roman" w:hAnsi="Times New Roman" w:eastAsia="宋体" w:cs="Times New Roman"/>
          <w:b/>
          <w:bCs/>
          <w:kern w:val="0"/>
          <w:sz w:val="24"/>
          <w:szCs w:val="24"/>
          <w:lang w:val="en-US" w:eastAsia="zh-CN"/>
        </w:rPr>
        <w:t>九</w:t>
      </w:r>
      <w:r>
        <w:rPr>
          <w:rFonts w:ascii="Times New Roman" w:hAnsi="Times New Roman" w:eastAsia="宋体" w:cs="Times New Roman"/>
          <w:b/>
          <w:bCs/>
          <w:kern w:val="0"/>
          <w:sz w:val="24"/>
          <w:szCs w:val="24"/>
        </w:rPr>
        <w:t>、其他重要条款</w:t>
      </w:r>
    </w:p>
    <w:p w14:paraId="3D066D6D">
      <w:pPr>
        <w:wordWrap w:val="0"/>
        <w:spacing w:line="276" w:lineRule="auto"/>
        <w:ind w:firstLine="420" w:firstLineChars="200"/>
        <w:rPr>
          <w:rFonts w:ascii="宋体" w:hAnsi="宋体" w:eastAsia="宋体" w:cs="宋体"/>
          <w:bCs/>
          <w:szCs w:val="21"/>
        </w:rPr>
      </w:pPr>
      <w:r>
        <w:rPr>
          <w:rFonts w:hint="eastAsia" w:ascii="宋体" w:hAnsi="宋体" w:eastAsia="宋体" w:cs="宋体"/>
          <w:bCs/>
          <w:szCs w:val="21"/>
        </w:rPr>
        <w:t>1</w:t>
      </w:r>
      <w:r>
        <w:rPr>
          <w:rFonts w:hint="eastAsia" w:ascii="宋体" w:hAnsi="宋体" w:eastAsia="宋体" w:cs="宋体"/>
          <w:bCs/>
          <w:szCs w:val="21"/>
          <w:lang w:eastAsia="zh-CN"/>
        </w:rPr>
        <w:t>、</w:t>
      </w:r>
      <w:r>
        <w:rPr>
          <w:rFonts w:hint="eastAsia" w:ascii="宋体" w:hAnsi="宋体" w:eastAsia="宋体" w:cs="宋体"/>
          <w:bCs/>
          <w:szCs w:val="21"/>
        </w:rPr>
        <w:t>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0AAE4351">
      <w:pPr>
        <w:wordWrap w:val="0"/>
        <w:spacing w:line="276" w:lineRule="auto"/>
        <w:ind w:firstLine="420" w:firstLineChars="200"/>
        <w:rPr>
          <w:rFonts w:ascii="宋体" w:hAnsi="宋体" w:eastAsia="宋体" w:cs="宋体"/>
          <w:bCs/>
          <w:szCs w:val="21"/>
        </w:rPr>
      </w:pPr>
      <w:r>
        <w:rPr>
          <w:rFonts w:hint="eastAsia" w:ascii="宋体" w:hAnsi="宋体" w:eastAsia="宋体" w:cs="宋体"/>
          <w:bCs/>
          <w:szCs w:val="21"/>
        </w:rPr>
        <w:t>2</w:t>
      </w:r>
      <w:r>
        <w:rPr>
          <w:rFonts w:hint="eastAsia" w:ascii="宋体" w:hAnsi="宋体" w:eastAsia="宋体" w:cs="宋体"/>
          <w:bCs/>
          <w:szCs w:val="21"/>
          <w:lang w:eastAsia="zh-CN"/>
        </w:rPr>
        <w:t>、</w:t>
      </w:r>
      <w:r>
        <w:rPr>
          <w:rFonts w:hint="eastAsia" w:ascii="宋体" w:hAnsi="宋体" w:eastAsia="宋体" w:cs="宋体"/>
          <w:bCs/>
          <w:szCs w:val="21"/>
        </w:rPr>
        <w:t>投标人应充分了解项目的位置、情况、道路及任何其它足以影响投标报价的情况，任何因忽视或误解项目情况而导致的索赔或服务期限延长申请将不获批准。</w:t>
      </w:r>
    </w:p>
    <w:p w14:paraId="1C10EE7A">
      <w:pPr>
        <w:wordWrap w:val="0"/>
        <w:spacing w:line="276" w:lineRule="auto"/>
        <w:ind w:firstLine="420" w:firstLineChars="200"/>
        <w:rPr>
          <w:rFonts w:ascii="宋体" w:hAnsi="宋体" w:eastAsia="宋体" w:cs="宋体"/>
          <w:bCs/>
          <w:szCs w:val="21"/>
        </w:rPr>
      </w:pPr>
      <w:r>
        <w:rPr>
          <w:rFonts w:hint="eastAsia" w:ascii="宋体" w:hAnsi="宋体" w:eastAsia="宋体" w:cs="宋体"/>
          <w:bCs/>
          <w:szCs w:val="21"/>
        </w:rPr>
        <w:t>3</w:t>
      </w:r>
      <w:r>
        <w:rPr>
          <w:rFonts w:hint="eastAsia" w:ascii="宋体" w:hAnsi="宋体" w:eastAsia="宋体" w:cs="宋体"/>
          <w:bCs/>
          <w:szCs w:val="21"/>
          <w:lang w:eastAsia="zh-CN"/>
        </w:rPr>
        <w:t>、</w:t>
      </w:r>
      <w:r>
        <w:rPr>
          <w:rFonts w:hint="eastAsia" w:ascii="宋体" w:hAnsi="宋体" w:eastAsia="宋体" w:cs="宋体"/>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14:paraId="0F546490">
      <w:pPr>
        <w:wordWrap w:val="0"/>
        <w:spacing w:line="276" w:lineRule="auto"/>
        <w:ind w:firstLine="420" w:firstLineChars="200"/>
        <w:rPr>
          <w:rFonts w:ascii="宋体" w:hAnsi="宋体" w:eastAsia="宋体" w:cs="宋体"/>
          <w:bCs/>
          <w:szCs w:val="21"/>
        </w:rPr>
      </w:pPr>
      <w:r>
        <w:rPr>
          <w:rFonts w:hint="eastAsia" w:ascii="宋体" w:hAnsi="宋体" w:eastAsia="宋体" w:cs="宋体"/>
          <w:bCs/>
          <w:szCs w:val="21"/>
        </w:rPr>
        <w:t>4</w:t>
      </w:r>
      <w:r>
        <w:rPr>
          <w:rFonts w:hint="eastAsia" w:ascii="宋体" w:hAnsi="宋体" w:eastAsia="宋体" w:cs="宋体"/>
          <w:bCs/>
          <w:szCs w:val="21"/>
          <w:lang w:eastAsia="zh-CN"/>
        </w:rPr>
        <w:t>、</w:t>
      </w:r>
      <w:r>
        <w:rPr>
          <w:rFonts w:hint="eastAsia" w:ascii="宋体" w:hAnsi="宋体" w:eastAsia="宋体" w:cs="宋体"/>
          <w:bCs/>
          <w:szCs w:val="21"/>
        </w:rPr>
        <w:t>除政府采购合同继续履行将损害国家利益和社会公共利益外，双方当事人不得擅自变更、中止或者终止合同。</w:t>
      </w:r>
    </w:p>
    <w:p w14:paraId="75D5FC3D">
      <w:pPr>
        <w:ind w:firstLine="420" w:firstLineChars="200"/>
        <w:rPr>
          <w:rFonts w:hint="eastAsia" w:eastAsia="宋体"/>
          <w:bCs/>
          <w:szCs w:val="21"/>
          <w:lang w:val="en-US" w:eastAsia="zh-CN"/>
        </w:rPr>
      </w:pPr>
      <w:r>
        <w:rPr>
          <w:rFonts w:hint="eastAsia"/>
          <w:bCs/>
          <w:szCs w:val="21"/>
          <w:lang w:val="en-US" w:eastAsia="zh-CN"/>
        </w:rPr>
        <w:t>5</w:t>
      </w:r>
      <w:r>
        <w:rPr>
          <w:rFonts w:hint="eastAsia"/>
          <w:bCs/>
          <w:szCs w:val="21"/>
        </w:rPr>
        <w:t>、“信用中国”中“信用服务”栏的“重大税收违法失信主体”“失信被执行人”，“中国政府采购网”中的“政府采购严重违法失信行为记录名单”，“深圳市政府采购监管网”以及财政部门认可的“供应商诚信档案库”为供应商信用信息的查询渠道，相关信息以开标当日的查询结果为准</w:t>
      </w:r>
      <w:r>
        <w:rPr>
          <w:rFonts w:hint="eastAsia"/>
          <w:bCs/>
          <w:szCs w:val="21"/>
          <w:lang w:val="en-US" w:eastAsia="zh-CN"/>
        </w:rPr>
        <w:t>。</w:t>
      </w:r>
    </w:p>
    <w:p w14:paraId="2C517A0C">
      <w:pPr>
        <w:spacing w:after="120" w:line="276" w:lineRule="auto"/>
        <w:rPr>
          <w:rFonts w:ascii="Times New Roman" w:hAnsi="Times New Roman" w:eastAsia="宋体" w:cs="Times New Roman"/>
          <w:szCs w:val="24"/>
        </w:rPr>
      </w:pPr>
    </w:p>
    <w:p w14:paraId="12B46844">
      <w:pPr>
        <w:rPr>
          <w:rFonts w:ascii="Times New Roman" w:hAnsi="Times New Roman" w:eastAsia="宋体" w:cs="Times New Roman"/>
          <w:bCs/>
          <w:color w:val="000000"/>
          <w:szCs w:val="21"/>
        </w:rPr>
      </w:pPr>
    </w:p>
    <w:p w14:paraId="755D7ED9">
      <w:pPr>
        <w:keepNext/>
        <w:keepLines/>
        <w:adjustRightInd w:val="0"/>
        <w:spacing w:before="156" w:beforeLines="50" w:after="156" w:afterLines="50"/>
        <w:jc w:val="center"/>
        <w:textAlignment w:val="baseline"/>
        <w:outlineLvl w:val="1"/>
        <w:rPr>
          <w:rFonts w:ascii="Times New Roman" w:hAnsi="Times New Roman" w:eastAsia="宋体" w:cs="Times New Roman"/>
          <w:b/>
          <w:bCs/>
          <w:kern w:val="0"/>
          <w:sz w:val="24"/>
          <w:szCs w:val="24"/>
        </w:rPr>
      </w:pPr>
      <w:r>
        <w:rPr>
          <w:rFonts w:hint="eastAsia" w:ascii="Times New Roman" w:hAnsi="Times New Roman" w:eastAsia="宋体" w:cs="Times New Roman"/>
          <w:b/>
          <w:bCs/>
          <w:kern w:val="0"/>
          <w:sz w:val="24"/>
          <w:szCs w:val="24"/>
          <w:lang w:eastAsia="zh-CN"/>
        </w:rPr>
        <w:t>十</w:t>
      </w:r>
      <w:r>
        <w:rPr>
          <w:rFonts w:ascii="Times New Roman" w:hAnsi="Times New Roman" w:eastAsia="宋体" w:cs="Times New Roman"/>
          <w:b/>
          <w:bCs/>
          <w:kern w:val="0"/>
          <w:sz w:val="24"/>
          <w:szCs w:val="24"/>
        </w:rPr>
        <w:t>、演示要求</w:t>
      </w:r>
    </w:p>
    <w:p w14:paraId="6D08459B">
      <w:pPr>
        <w:wordWrap w:val="0"/>
        <w:spacing w:line="276" w:lineRule="auto"/>
        <w:ind w:firstLine="422" w:firstLineChars="200"/>
        <w:rPr>
          <w:rFonts w:ascii="宋体" w:hAnsi="宋体" w:eastAsia="宋体" w:cs="宋体"/>
          <w:b/>
          <w:bCs/>
          <w:szCs w:val="21"/>
        </w:rPr>
      </w:pPr>
      <w:r>
        <w:rPr>
          <w:rFonts w:hint="eastAsia" w:ascii="宋体" w:hAnsi="宋体" w:eastAsia="宋体" w:cs="宋体"/>
          <w:b/>
          <w:bCs/>
          <w:szCs w:val="21"/>
        </w:rPr>
        <w:t>（一）总体要求</w:t>
      </w:r>
    </w:p>
    <w:p w14:paraId="5B711FCD">
      <w:pPr>
        <w:wordWrap w:val="0"/>
        <w:spacing w:line="276" w:lineRule="auto"/>
        <w:ind w:firstLine="422" w:firstLineChars="200"/>
        <w:rPr>
          <w:rFonts w:ascii="宋体" w:hAnsi="宋体" w:eastAsia="宋体" w:cs="宋体"/>
          <w:b/>
          <w:bCs/>
          <w:color w:val="FF0000"/>
          <w:szCs w:val="21"/>
        </w:rPr>
      </w:pPr>
      <w:r>
        <w:rPr>
          <w:rFonts w:hint="eastAsia" w:ascii="宋体" w:hAnsi="宋体" w:eastAsia="宋体" w:cs="宋体"/>
          <w:b/>
          <w:bCs/>
          <w:color w:val="FF0000"/>
          <w:szCs w:val="21"/>
        </w:rPr>
        <w:t>项目演示采取光盘（或U盘）录像形式，签到时提交演示光盘（或U盘）。供应商授权委托代理人应在本项目开标当日</w:t>
      </w:r>
      <w:r>
        <w:rPr>
          <w:rFonts w:hint="eastAsia" w:ascii="宋体" w:hAnsi="宋体" w:eastAsia="宋体" w:cs="宋体"/>
          <w:b/>
          <w:bCs/>
          <w:color w:val="FF0000"/>
          <w:szCs w:val="21"/>
          <w:highlight w:val="yellow"/>
        </w:rPr>
        <w:t>9:10-9:</w:t>
      </w:r>
      <w:r>
        <w:rPr>
          <w:rFonts w:hint="eastAsia" w:ascii="宋体" w:hAnsi="宋体" w:eastAsia="宋体" w:cs="宋体"/>
          <w:b/>
          <w:bCs/>
          <w:color w:val="FF0000"/>
          <w:szCs w:val="21"/>
          <w:highlight w:val="yellow"/>
          <w:lang w:val="en-US" w:eastAsia="zh-CN"/>
        </w:rPr>
        <w:t>4</w:t>
      </w:r>
      <w:r>
        <w:rPr>
          <w:rFonts w:hint="eastAsia" w:ascii="宋体" w:hAnsi="宋体" w:eastAsia="宋体" w:cs="宋体"/>
          <w:b/>
          <w:bCs/>
          <w:color w:val="FF0000"/>
          <w:szCs w:val="21"/>
          <w:highlight w:val="yellow"/>
        </w:rPr>
        <w:t>0（投标截止时间为上午时适用）/14:10-14:</w:t>
      </w:r>
      <w:r>
        <w:rPr>
          <w:rFonts w:hint="eastAsia" w:ascii="宋体" w:hAnsi="宋体" w:eastAsia="宋体" w:cs="宋体"/>
          <w:b/>
          <w:bCs/>
          <w:color w:val="FF0000"/>
          <w:szCs w:val="21"/>
          <w:highlight w:val="yellow"/>
          <w:lang w:val="en-US" w:eastAsia="zh-CN"/>
        </w:rPr>
        <w:t>4</w:t>
      </w:r>
      <w:r>
        <w:rPr>
          <w:rFonts w:hint="eastAsia" w:ascii="宋体" w:hAnsi="宋体" w:eastAsia="宋体" w:cs="宋体"/>
          <w:b/>
          <w:bCs/>
          <w:color w:val="FF0000"/>
          <w:szCs w:val="21"/>
          <w:highlight w:val="yellow"/>
        </w:rPr>
        <w:t>0（投标截止时间为下午时适用）</w:t>
      </w:r>
      <w:r>
        <w:rPr>
          <w:rFonts w:hint="eastAsia" w:ascii="宋体" w:hAnsi="宋体" w:eastAsia="宋体" w:cs="宋体"/>
          <w:b/>
          <w:bCs/>
          <w:color w:val="FF0000"/>
          <w:szCs w:val="21"/>
        </w:rPr>
        <w:t>到签到地点（深圳市南山区西丽街道沙河西路3185号智谷产业园A座深圳交易集团总部大楼3楼），提供《光盘（或U盘）递交授权委托书》（加盖公章）（模板详见附件《光盘（或U盘）递交授权委托书》，仅供参考）、授权委托代理人身份证复印件（原件核验）、演示光盘（或U盘）（需密封并加盖公章，并在显著位置标注供应商名称、招标项目名称及编号），按深圳公共资源交易中心（深圳交易集团有限公司南山分公司）工作人员指引进行光盘（或U盘）递交签到。</w:t>
      </w:r>
    </w:p>
    <w:p w14:paraId="0C69C6C3">
      <w:pPr>
        <w:wordWrap w:val="0"/>
        <w:spacing w:line="276" w:lineRule="auto"/>
        <w:ind w:firstLine="422" w:firstLineChars="200"/>
        <w:rPr>
          <w:rFonts w:ascii="宋体" w:hAnsi="宋体" w:eastAsia="宋体" w:cs="宋体"/>
          <w:b/>
          <w:bCs/>
          <w:color w:val="FF0000"/>
          <w:szCs w:val="21"/>
          <w:highlight w:val="yellow"/>
        </w:rPr>
      </w:pPr>
      <w:r>
        <w:rPr>
          <w:rFonts w:hint="eastAsia" w:ascii="宋体" w:hAnsi="宋体" w:eastAsia="宋体" w:cs="宋体"/>
          <w:b/>
          <w:bCs/>
          <w:color w:val="FF0000"/>
          <w:szCs w:val="21"/>
          <w:highlight w:val="yellow"/>
        </w:rPr>
        <w:t>温馨提示：1.上述授权委托证明材料须在签到时递交深圳公共资源交易中心（深圳交易集团有限公司南山分公司）工作人员，切勿与演示光盘（或U盘）一起打包密封。</w:t>
      </w:r>
    </w:p>
    <w:p w14:paraId="7DC2101E">
      <w:pPr>
        <w:wordWrap w:val="0"/>
        <w:spacing w:line="276" w:lineRule="auto"/>
        <w:ind w:firstLine="422" w:firstLineChars="200"/>
        <w:rPr>
          <w:rFonts w:ascii="宋体" w:hAnsi="宋体" w:eastAsia="宋体" w:cs="宋体"/>
          <w:b/>
          <w:bCs/>
          <w:color w:val="FF0000"/>
          <w:szCs w:val="21"/>
        </w:rPr>
      </w:pPr>
      <w:r>
        <w:rPr>
          <w:rFonts w:hint="eastAsia" w:ascii="宋体" w:hAnsi="宋体" w:eastAsia="宋体" w:cs="宋体"/>
          <w:b/>
          <w:bCs/>
          <w:color w:val="FF0000"/>
          <w:szCs w:val="21"/>
          <w:highlight w:val="yellow"/>
        </w:rPr>
        <w:t>2.投标供应商需注意本项目的投标截止时间，如投标截止时间为上午，则演示光盘（或U盘）递交签到时间应为本项目开标当日的9:10-9:</w:t>
      </w:r>
      <w:r>
        <w:rPr>
          <w:rFonts w:hint="eastAsia" w:ascii="宋体" w:hAnsi="宋体" w:eastAsia="宋体" w:cs="宋体"/>
          <w:b/>
          <w:bCs/>
          <w:color w:val="FF0000"/>
          <w:szCs w:val="21"/>
          <w:highlight w:val="yellow"/>
          <w:lang w:val="en-US" w:eastAsia="zh-CN"/>
        </w:rPr>
        <w:t>4</w:t>
      </w:r>
      <w:r>
        <w:rPr>
          <w:rFonts w:hint="eastAsia" w:ascii="宋体" w:hAnsi="宋体" w:eastAsia="宋体" w:cs="宋体"/>
          <w:b/>
          <w:bCs/>
          <w:color w:val="FF0000"/>
          <w:szCs w:val="21"/>
          <w:highlight w:val="yellow"/>
        </w:rPr>
        <w:t>0；如投标截止时间为下午，则演示光盘（或U盘）递交签到时间应为本项目开标当日的14:10-14:</w:t>
      </w:r>
      <w:r>
        <w:rPr>
          <w:rFonts w:hint="eastAsia" w:ascii="宋体" w:hAnsi="宋体" w:eastAsia="宋体" w:cs="宋体"/>
          <w:b/>
          <w:bCs/>
          <w:color w:val="FF0000"/>
          <w:szCs w:val="21"/>
          <w:highlight w:val="yellow"/>
          <w:lang w:val="en-US" w:eastAsia="zh-CN"/>
        </w:rPr>
        <w:t>4</w:t>
      </w:r>
      <w:r>
        <w:rPr>
          <w:rFonts w:hint="eastAsia" w:ascii="宋体" w:hAnsi="宋体" w:eastAsia="宋体" w:cs="宋体"/>
          <w:b/>
          <w:bCs/>
          <w:color w:val="FF0000"/>
          <w:szCs w:val="21"/>
          <w:highlight w:val="yellow"/>
        </w:rPr>
        <w:t>0。</w:t>
      </w:r>
    </w:p>
    <w:p w14:paraId="73EBAD08">
      <w:pPr>
        <w:pStyle w:val="62"/>
      </w:pPr>
    </w:p>
    <w:p w14:paraId="02E7656D">
      <w:pPr>
        <w:wordWrap w:val="0"/>
        <w:spacing w:line="276" w:lineRule="auto"/>
        <w:ind w:firstLine="420" w:firstLineChars="200"/>
        <w:rPr>
          <w:rFonts w:ascii="宋体" w:hAnsi="宋体" w:eastAsia="宋体" w:cs="宋体"/>
          <w:bCs/>
          <w:szCs w:val="21"/>
        </w:rPr>
      </w:pPr>
      <w:r>
        <w:rPr>
          <w:rFonts w:hint="eastAsia" w:ascii="宋体" w:hAnsi="宋体" w:eastAsia="宋体" w:cs="宋体"/>
          <w:bCs/>
          <w:szCs w:val="21"/>
        </w:rPr>
        <w:t>特别注意事项：</w:t>
      </w:r>
    </w:p>
    <w:p w14:paraId="1A9A4D85">
      <w:pPr>
        <w:wordWrap w:val="0"/>
        <w:spacing w:line="276" w:lineRule="auto"/>
        <w:ind w:firstLine="420" w:firstLineChars="200"/>
        <w:rPr>
          <w:rFonts w:ascii="宋体" w:hAnsi="宋体" w:eastAsia="宋体" w:cs="宋体"/>
          <w:bCs/>
          <w:szCs w:val="21"/>
        </w:rPr>
      </w:pPr>
      <w:r>
        <w:rPr>
          <w:rFonts w:hint="eastAsia" w:ascii="宋体" w:hAnsi="宋体" w:eastAsia="宋体" w:cs="宋体"/>
          <w:bCs/>
          <w:szCs w:val="21"/>
        </w:rPr>
        <w:t>（1）上述资料提供不齐全，不予签到；</w:t>
      </w:r>
    </w:p>
    <w:p w14:paraId="342B41A5">
      <w:pPr>
        <w:wordWrap w:val="0"/>
        <w:spacing w:line="276" w:lineRule="auto"/>
        <w:ind w:firstLine="420" w:firstLineChars="200"/>
        <w:rPr>
          <w:rFonts w:ascii="宋体" w:hAnsi="宋体" w:eastAsia="宋体" w:cs="宋体"/>
          <w:bCs/>
          <w:szCs w:val="21"/>
        </w:rPr>
      </w:pPr>
      <w:r>
        <w:rPr>
          <w:rFonts w:hint="eastAsia" w:ascii="宋体" w:hAnsi="宋体" w:eastAsia="宋体" w:cs="宋体"/>
          <w:bCs/>
          <w:szCs w:val="21"/>
        </w:rPr>
        <w:t>（2）签到时间截止后，不再受理签到；</w:t>
      </w:r>
    </w:p>
    <w:p w14:paraId="3324AF84">
      <w:pPr>
        <w:wordWrap w:val="0"/>
        <w:spacing w:line="276" w:lineRule="auto"/>
        <w:ind w:firstLine="420" w:firstLineChars="200"/>
        <w:rPr>
          <w:rFonts w:ascii="宋体" w:hAnsi="宋体" w:eastAsia="宋体" w:cs="宋体"/>
          <w:bCs/>
          <w:szCs w:val="21"/>
        </w:rPr>
      </w:pPr>
      <w:r>
        <w:rPr>
          <w:rFonts w:hint="eastAsia" w:ascii="宋体" w:hAnsi="宋体" w:eastAsia="宋体" w:cs="宋体"/>
          <w:bCs/>
          <w:szCs w:val="21"/>
        </w:rPr>
        <w:t>（3）未进行签到的，演示光盘（或U盘）不予接收。</w:t>
      </w:r>
    </w:p>
    <w:p w14:paraId="486BBC04">
      <w:pPr>
        <w:wordWrap w:val="0"/>
        <w:spacing w:line="276" w:lineRule="auto"/>
        <w:rPr>
          <w:rFonts w:ascii="Times New Roman" w:hAnsi="Times New Roman" w:eastAsia="宋体" w:cs="Times New Roman"/>
          <w:b/>
          <w:bCs/>
          <w:szCs w:val="21"/>
        </w:rPr>
      </w:pPr>
    </w:p>
    <w:p w14:paraId="12C4D1A2">
      <w:pPr>
        <w:wordWrap w:val="0"/>
        <w:spacing w:line="276" w:lineRule="auto"/>
        <w:ind w:firstLine="422" w:firstLineChars="200"/>
        <w:rPr>
          <w:rFonts w:ascii="宋体" w:hAnsi="宋体" w:eastAsia="宋体" w:cs="宋体"/>
          <w:b/>
          <w:bCs/>
          <w:szCs w:val="21"/>
        </w:rPr>
      </w:pPr>
      <w:r>
        <w:rPr>
          <w:rFonts w:hint="eastAsia" w:ascii="宋体" w:hAnsi="宋体" w:eastAsia="宋体" w:cs="宋体"/>
          <w:b/>
          <w:bCs/>
          <w:szCs w:val="21"/>
        </w:rPr>
        <w:t>（二）演示内容及要求表</w:t>
      </w:r>
    </w:p>
    <w:tbl>
      <w:tblPr>
        <w:tblStyle w:val="44"/>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417"/>
        <w:gridCol w:w="1634"/>
        <w:gridCol w:w="5000"/>
      </w:tblGrid>
      <w:tr w14:paraId="1E30D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733" w:type="dxa"/>
            <w:vAlign w:val="center"/>
          </w:tcPr>
          <w:p w14:paraId="0FEF1D07">
            <w:pPr>
              <w:spacing w:line="276" w:lineRule="auto"/>
              <w:jc w:val="center"/>
              <w:rPr>
                <w:rFonts w:ascii="宋体" w:hAnsi="宋体" w:eastAsia="宋体" w:cs="宋体"/>
                <w:b/>
                <w:szCs w:val="21"/>
              </w:rPr>
            </w:pPr>
            <w:r>
              <w:rPr>
                <w:rFonts w:hint="eastAsia" w:ascii="宋体" w:hAnsi="宋体" w:eastAsia="宋体" w:cs="宋体"/>
                <w:b/>
                <w:szCs w:val="21"/>
              </w:rPr>
              <w:t>序号</w:t>
            </w:r>
          </w:p>
        </w:tc>
        <w:tc>
          <w:tcPr>
            <w:tcW w:w="1417" w:type="dxa"/>
            <w:vAlign w:val="center"/>
          </w:tcPr>
          <w:p w14:paraId="7A543C8D">
            <w:pPr>
              <w:spacing w:line="276" w:lineRule="auto"/>
              <w:jc w:val="center"/>
              <w:rPr>
                <w:rFonts w:ascii="宋体" w:hAnsi="宋体" w:eastAsia="宋体" w:cs="宋体"/>
                <w:b/>
                <w:szCs w:val="21"/>
              </w:rPr>
            </w:pPr>
            <w:r>
              <w:rPr>
                <w:rFonts w:hint="eastAsia" w:ascii="宋体" w:hAnsi="宋体" w:eastAsia="宋体" w:cs="宋体"/>
                <w:b/>
                <w:szCs w:val="21"/>
              </w:rPr>
              <w:t>演示项目</w:t>
            </w:r>
          </w:p>
        </w:tc>
        <w:tc>
          <w:tcPr>
            <w:tcW w:w="1634" w:type="dxa"/>
            <w:vAlign w:val="center"/>
          </w:tcPr>
          <w:p w14:paraId="69A65E20">
            <w:pPr>
              <w:spacing w:line="276" w:lineRule="auto"/>
              <w:jc w:val="center"/>
              <w:rPr>
                <w:rFonts w:ascii="宋体" w:hAnsi="宋体" w:eastAsia="宋体" w:cs="宋体"/>
                <w:b/>
                <w:szCs w:val="21"/>
              </w:rPr>
            </w:pPr>
            <w:r>
              <w:rPr>
                <w:rFonts w:hint="eastAsia" w:ascii="宋体" w:hAnsi="宋体" w:eastAsia="宋体" w:cs="宋体"/>
                <w:b/>
                <w:szCs w:val="21"/>
              </w:rPr>
              <w:t>演示形式要求</w:t>
            </w:r>
          </w:p>
        </w:tc>
        <w:tc>
          <w:tcPr>
            <w:tcW w:w="5000" w:type="dxa"/>
            <w:vAlign w:val="center"/>
          </w:tcPr>
          <w:p w14:paraId="5BBE4F39">
            <w:pPr>
              <w:spacing w:line="276" w:lineRule="auto"/>
              <w:jc w:val="center"/>
              <w:rPr>
                <w:rFonts w:ascii="宋体" w:hAnsi="宋体" w:eastAsia="宋体" w:cs="宋体"/>
                <w:b/>
                <w:szCs w:val="21"/>
              </w:rPr>
            </w:pPr>
            <w:r>
              <w:rPr>
                <w:rFonts w:hint="eastAsia" w:ascii="宋体" w:hAnsi="宋体" w:eastAsia="宋体" w:cs="宋体"/>
                <w:b/>
                <w:szCs w:val="21"/>
              </w:rPr>
              <w:t>演示具体内容要求</w:t>
            </w:r>
          </w:p>
        </w:tc>
      </w:tr>
      <w:tr w14:paraId="17A33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1" w:hRule="atLeast"/>
        </w:trPr>
        <w:tc>
          <w:tcPr>
            <w:tcW w:w="733" w:type="dxa"/>
            <w:vAlign w:val="center"/>
          </w:tcPr>
          <w:p w14:paraId="07190008">
            <w:pPr>
              <w:spacing w:line="276" w:lineRule="auto"/>
              <w:jc w:val="center"/>
              <w:rPr>
                <w:rFonts w:ascii="宋体" w:hAnsi="宋体" w:eastAsia="宋体" w:cs="宋体"/>
                <w:szCs w:val="21"/>
              </w:rPr>
            </w:pPr>
            <w:r>
              <w:rPr>
                <w:rFonts w:hint="eastAsia" w:ascii="宋体" w:hAnsi="宋体" w:eastAsia="宋体" w:cs="宋体"/>
                <w:szCs w:val="21"/>
              </w:rPr>
              <w:t>1</w:t>
            </w:r>
          </w:p>
        </w:tc>
        <w:tc>
          <w:tcPr>
            <w:tcW w:w="1417" w:type="dxa"/>
            <w:shd w:val="clear" w:color="auto" w:fill="auto"/>
            <w:vAlign w:val="center"/>
          </w:tcPr>
          <w:p w14:paraId="1F1FF96E">
            <w:pPr>
              <w:spacing w:line="276" w:lineRule="auto"/>
              <w:ind w:firstLine="105" w:firstLineChars="50"/>
              <w:jc w:val="center"/>
              <w:rPr>
                <w:rFonts w:ascii="宋体" w:hAnsi="宋体" w:eastAsia="宋体" w:cs="宋体"/>
                <w:kern w:val="2"/>
                <w:sz w:val="21"/>
                <w:szCs w:val="21"/>
                <w:lang w:val="en-US" w:eastAsia="zh-CN" w:bidi="ar-SA"/>
              </w:rPr>
            </w:pPr>
            <w:r>
              <w:rPr>
                <w:rFonts w:hint="eastAsia" w:ascii="宋体" w:hAnsi="宋体" w:eastAsia="宋体" w:cs="宋体"/>
                <w:szCs w:val="21"/>
              </w:rPr>
              <w:t>可视化展示系统</w:t>
            </w:r>
          </w:p>
        </w:tc>
        <w:tc>
          <w:tcPr>
            <w:tcW w:w="1634" w:type="dxa"/>
            <w:vMerge w:val="restart"/>
            <w:vAlign w:val="center"/>
          </w:tcPr>
          <w:p w14:paraId="5EDE40D2">
            <w:pPr>
              <w:pStyle w:val="19"/>
            </w:pPr>
            <w:r>
              <w:rPr>
                <w:rFonts w:hint="eastAsia" w:ascii="宋体" w:hAnsi="宋体" w:cs="宋体"/>
                <w:b w:val="0"/>
                <w:bCs w:val="0"/>
                <w:color w:val="000000"/>
                <w:kern w:val="0"/>
                <w:szCs w:val="21"/>
              </w:rPr>
              <w:t>光盘（或U盘）录屏形式。演示形式为录屏方式的系统原型或demo演示。</w:t>
            </w:r>
          </w:p>
        </w:tc>
        <w:tc>
          <w:tcPr>
            <w:tcW w:w="5000" w:type="dxa"/>
            <w:shd w:val="clear" w:color="auto" w:fill="auto"/>
            <w:vAlign w:val="center"/>
          </w:tcPr>
          <w:p w14:paraId="2A7624C6">
            <w:pPr>
              <w:spacing w:line="276" w:lineRule="auto"/>
              <w:jc w:val="left"/>
              <w:rPr>
                <w:rFonts w:hint="eastAsia" w:ascii="宋体" w:hAnsi="宋体" w:eastAsia="宋体" w:cs="宋体"/>
                <w:szCs w:val="21"/>
              </w:rPr>
            </w:pPr>
            <w:r>
              <w:rPr>
                <w:rFonts w:hint="eastAsia" w:ascii="宋体" w:hAnsi="宋体" w:eastAsia="宋体" w:cs="宋体"/>
                <w:szCs w:val="21"/>
              </w:rPr>
              <w:t>1、交通成果综合展示：支持对交通建设整体情况进行可视化展示，包括路侧设备数量及路侧设备运行状态（在线/离线）展示、路口数量统计和路口列表展示、路口点位分布及路口标签等</w:t>
            </w:r>
          </w:p>
          <w:p w14:paraId="07EE8C00">
            <w:pPr>
              <w:spacing w:line="276" w:lineRule="auto"/>
              <w:jc w:val="left"/>
              <w:rPr>
                <w:rFonts w:hint="eastAsia" w:ascii="宋体" w:hAnsi="宋体" w:eastAsia="宋体" w:cs="宋体"/>
                <w:szCs w:val="21"/>
              </w:rPr>
            </w:pPr>
            <w:r>
              <w:rPr>
                <w:rFonts w:hint="eastAsia" w:ascii="宋体" w:hAnsi="宋体" w:eastAsia="宋体" w:cs="宋体"/>
                <w:szCs w:val="21"/>
              </w:rPr>
              <w:t>2、道路动态要素孪生：支持演示路口动态目标进行孪生还原，包括行人、非机动车、机动车、路口转向红绿灯、红绿灯倒计等；</w:t>
            </w:r>
          </w:p>
          <w:p w14:paraId="2AD84192">
            <w:pPr>
              <w:spacing w:line="276" w:lineRule="auto"/>
              <w:jc w:val="left"/>
              <w:rPr>
                <w:rFonts w:hint="eastAsia" w:ascii="宋体" w:hAnsi="宋体" w:eastAsia="宋体" w:cs="宋体"/>
                <w:szCs w:val="21"/>
              </w:rPr>
            </w:pPr>
            <w:r>
              <w:rPr>
                <w:rFonts w:hint="eastAsia" w:ascii="宋体" w:hAnsi="宋体" w:eastAsia="宋体" w:cs="宋体"/>
                <w:szCs w:val="21"/>
              </w:rPr>
              <w:t>3、道路静态要素孪生：支持演示路口高精地图、道路设施和路侧建筑物的精细化建模，包括路面车道线，路面纵向横向标线，路面交通标识，道路基础附属设施，道路交通渠化，路侧建筑物等；</w:t>
            </w:r>
          </w:p>
          <w:p w14:paraId="7456D8B9">
            <w:pPr>
              <w:spacing w:line="276" w:lineRule="auto"/>
              <w:jc w:val="left"/>
              <w:rPr>
                <w:rFonts w:hint="eastAsia" w:ascii="宋体" w:hAnsi="宋体" w:eastAsia="宋体" w:cs="宋体"/>
                <w:szCs w:val="21"/>
              </w:rPr>
            </w:pPr>
            <w:r>
              <w:rPr>
                <w:rFonts w:hint="eastAsia" w:ascii="宋体" w:hAnsi="宋体" w:eastAsia="宋体" w:cs="宋体"/>
                <w:szCs w:val="21"/>
              </w:rPr>
              <w:t>4、车辆动态轨迹孪生：支持演示车辆动态行驶还原效果，包括车辆实时位置，车辆模型与地图匹配，车辆动态轨迹与实时监控视频画面同步；</w:t>
            </w:r>
          </w:p>
          <w:p w14:paraId="34C5CD71">
            <w:pPr>
              <w:spacing w:line="276" w:lineRule="auto"/>
              <w:jc w:val="left"/>
              <w:rPr>
                <w:rFonts w:ascii="宋体" w:hAnsi="宋体" w:eastAsia="宋体" w:cs="宋体"/>
                <w:kern w:val="2"/>
                <w:sz w:val="21"/>
                <w:szCs w:val="21"/>
                <w:lang w:val="en-US" w:eastAsia="zh-CN" w:bidi="ar-SA"/>
              </w:rPr>
            </w:pPr>
            <w:r>
              <w:rPr>
                <w:rFonts w:hint="eastAsia" w:ascii="宋体" w:hAnsi="宋体" w:eastAsia="宋体" w:cs="宋体"/>
                <w:szCs w:val="21"/>
              </w:rPr>
              <w:t>5、路侧交通事件孪生：支持感知事件数据点位分布和事件详情查看，包括事件数量统计、事件点位地图分布、事件标签聚合展示、事件详情信息查看如事件类型、事件位置、事件图像等。</w:t>
            </w:r>
          </w:p>
        </w:tc>
      </w:tr>
      <w:tr w14:paraId="6171C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733" w:type="dxa"/>
            <w:vAlign w:val="center"/>
          </w:tcPr>
          <w:p w14:paraId="6958CBC5">
            <w:pPr>
              <w:spacing w:line="276" w:lineRule="auto"/>
              <w:jc w:val="center"/>
              <w:rPr>
                <w:rFonts w:ascii="宋体" w:hAnsi="宋体" w:eastAsia="宋体" w:cs="宋体"/>
                <w:szCs w:val="21"/>
              </w:rPr>
            </w:pPr>
            <w:r>
              <w:rPr>
                <w:rFonts w:hint="eastAsia" w:ascii="宋体" w:hAnsi="宋体" w:eastAsia="宋体" w:cs="宋体"/>
                <w:szCs w:val="21"/>
              </w:rPr>
              <w:t>2</w:t>
            </w:r>
          </w:p>
        </w:tc>
        <w:tc>
          <w:tcPr>
            <w:tcW w:w="1417" w:type="dxa"/>
            <w:shd w:val="clear" w:color="auto" w:fill="auto"/>
            <w:vAlign w:val="center"/>
          </w:tcPr>
          <w:p w14:paraId="4C57509A">
            <w:pPr>
              <w:spacing w:line="276" w:lineRule="auto"/>
              <w:ind w:firstLine="210" w:firstLineChars="100"/>
              <w:jc w:val="center"/>
              <w:rPr>
                <w:rFonts w:hint="eastAsia" w:ascii="宋体" w:hAnsi="宋体" w:eastAsia="宋体" w:cs="宋体"/>
                <w:kern w:val="2"/>
                <w:sz w:val="21"/>
                <w:szCs w:val="21"/>
                <w:lang w:val="en-US" w:eastAsia="zh-CN" w:bidi="ar-SA"/>
              </w:rPr>
            </w:pPr>
            <w:r>
              <w:rPr>
                <w:rFonts w:hint="eastAsia" w:ascii="宋体" w:hAnsi="宋体" w:eastAsia="宋体" w:cs="宋体"/>
                <w:szCs w:val="21"/>
              </w:rPr>
              <w:t>三维孪生引擎</w:t>
            </w:r>
            <w:r>
              <w:rPr>
                <w:rFonts w:hint="eastAsia" w:ascii="宋体" w:hAnsi="宋体" w:eastAsia="宋体" w:cs="宋体"/>
                <w:szCs w:val="21"/>
                <w:lang w:eastAsia="zh-CN"/>
              </w:rPr>
              <w:t>展示</w:t>
            </w:r>
          </w:p>
        </w:tc>
        <w:tc>
          <w:tcPr>
            <w:tcW w:w="1634" w:type="dxa"/>
            <w:vMerge w:val="continue"/>
            <w:vAlign w:val="center"/>
          </w:tcPr>
          <w:p w14:paraId="0701A700">
            <w:pPr>
              <w:spacing w:line="276" w:lineRule="auto"/>
              <w:jc w:val="center"/>
              <w:rPr>
                <w:rFonts w:ascii="宋体" w:hAnsi="宋体" w:eastAsia="宋体" w:cs="宋体"/>
                <w:szCs w:val="21"/>
              </w:rPr>
            </w:pPr>
          </w:p>
        </w:tc>
        <w:tc>
          <w:tcPr>
            <w:tcW w:w="5000" w:type="dxa"/>
            <w:shd w:val="clear" w:color="auto" w:fill="auto"/>
            <w:vAlign w:val="center"/>
          </w:tcPr>
          <w:p w14:paraId="70F35752">
            <w:pPr>
              <w:spacing w:line="276" w:lineRule="auto"/>
              <w:jc w:val="left"/>
              <w:rPr>
                <w:rFonts w:hint="eastAsia" w:ascii="宋体" w:hAnsi="宋体" w:eastAsia="宋体" w:cs="宋体"/>
                <w:szCs w:val="21"/>
              </w:rPr>
            </w:pPr>
            <w:r>
              <w:rPr>
                <w:rFonts w:hint="eastAsia" w:ascii="宋体" w:hAnsi="宋体" w:eastAsia="宋体" w:cs="宋体"/>
                <w:szCs w:val="21"/>
                <w:lang w:eastAsia="zh-CN"/>
              </w:rPr>
              <w:t>基于开源鸿蒙系统环境演示：</w:t>
            </w:r>
            <w:r>
              <w:rPr>
                <w:rFonts w:hint="eastAsia" w:ascii="宋体" w:hAnsi="宋体" w:eastAsia="宋体" w:cs="宋体"/>
                <w:szCs w:val="21"/>
              </w:rPr>
              <w:br w:type="textWrapping"/>
            </w:r>
            <w:r>
              <w:rPr>
                <w:rFonts w:hint="eastAsia" w:ascii="宋体" w:hAnsi="宋体" w:eastAsia="宋体" w:cs="宋体"/>
                <w:szCs w:val="21"/>
              </w:rPr>
              <w:t>1、PBR（基于物理的渲染）材质系统：支持材质参数实时编辑，包括调整粗糙度、金属度、反照率（颜色）等参数后渲染效果即时变化；支持展示不少于三种的不同材质类型如金属、玻璃、石材，材质表现真实、类型可辨识。</w:t>
            </w:r>
          </w:p>
          <w:p w14:paraId="6CB6C18B">
            <w:pPr>
              <w:spacing w:line="276" w:lineRule="auto"/>
              <w:jc w:val="left"/>
              <w:rPr>
                <w:rFonts w:hint="eastAsia" w:ascii="宋体" w:hAnsi="宋体" w:eastAsia="宋体" w:cs="宋体"/>
                <w:szCs w:val="21"/>
              </w:rPr>
            </w:pPr>
            <w:r>
              <w:rPr>
                <w:rFonts w:hint="eastAsia" w:ascii="宋体" w:hAnsi="宋体" w:eastAsia="宋体" w:cs="宋体"/>
                <w:szCs w:val="21"/>
              </w:rPr>
              <w:t>2、动态全局光照：支持光照参数实时编辑，包括调整光源能量（强度）、颜色（色温）、位置后全局光照即时刷新。支持展示动态光源移动时场景间接光照的实时变化，如移动光源后墙壁反光颜色改变、阴影区域亮度变化等。</w:t>
            </w:r>
          </w:p>
          <w:p w14:paraId="0E357B83">
            <w:pPr>
              <w:spacing w:line="276" w:lineRule="auto"/>
              <w:jc w:val="left"/>
              <w:rPr>
                <w:rFonts w:hint="eastAsia" w:ascii="宋体" w:hAnsi="宋体" w:eastAsia="宋体" w:cs="宋体"/>
                <w:szCs w:val="21"/>
              </w:rPr>
            </w:pPr>
            <w:r>
              <w:rPr>
                <w:rFonts w:hint="eastAsia" w:ascii="宋体" w:hAnsi="宋体" w:eastAsia="宋体" w:cs="宋体"/>
                <w:szCs w:val="21"/>
              </w:rPr>
              <w:t>3、粒子特效：支持粒子参数实时编辑，包括调整发射速率（速度缩放）、生命期、颜色等参数后粒子表现即时变化。支持展示至少三种的不同粒子系统效果，如火焰、烟雾、雨雪、爆炸等。</w:t>
            </w:r>
          </w:p>
          <w:p w14:paraId="1C1E640F">
            <w:pPr>
              <w:spacing w:line="276" w:lineRule="auto"/>
              <w:jc w:val="left"/>
              <w:rPr>
                <w:rFonts w:ascii="宋体" w:hAnsi="宋体" w:eastAsia="宋体" w:cs="宋体"/>
                <w:kern w:val="2"/>
                <w:sz w:val="21"/>
                <w:szCs w:val="21"/>
                <w:lang w:val="en-US" w:eastAsia="zh-CN" w:bidi="ar-SA"/>
              </w:rPr>
            </w:pPr>
            <w:r>
              <w:rPr>
                <w:rFonts w:hint="eastAsia" w:ascii="宋体" w:hAnsi="宋体" w:eastAsia="宋体" w:cs="宋体"/>
                <w:szCs w:val="21"/>
              </w:rPr>
              <w:t>4、物理模拟：支持物理参数实时编辑，包括调整刚体质量、摩擦系数（摩擦）、弹性系数（弹力）等参数后物理表现即时变化。支持展示不少于三种的物理模拟功能，如刚体碰撞检测与响应（不同形状物体碰撞的反弹、受力位移)、重力模拟（物体受重力下落、堆叠)、触发器/传感器（物体进入指定区域后触发事件，如传送门、安全区检测)等。</w:t>
            </w:r>
          </w:p>
        </w:tc>
      </w:tr>
      <w:tr w14:paraId="5A8FF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733" w:type="dxa"/>
            <w:vAlign w:val="center"/>
          </w:tcPr>
          <w:p w14:paraId="75126309">
            <w:pPr>
              <w:spacing w:line="276"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3</w:t>
            </w:r>
          </w:p>
        </w:tc>
        <w:tc>
          <w:tcPr>
            <w:tcW w:w="1417" w:type="dxa"/>
            <w:shd w:val="clear" w:color="auto" w:fill="auto"/>
            <w:vAlign w:val="center"/>
          </w:tcPr>
          <w:p w14:paraId="32EE16CD">
            <w:pPr>
              <w:spacing w:line="276" w:lineRule="auto"/>
              <w:ind w:firstLine="210" w:firstLineChars="100"/>
              <w:jc w:val="center"/>
              <w:rPr>
                <w:rFonts w:hint="eastAsia" w:ascii="宋体" w:hAnsi="宋体" w:eastAsia="宋体" w:cs="宋体"/>
                <w:kern w:val="2"/>
                <w:sz w:val="21"/>
                <w:szCs w:val="21"/>
                <w:lang w:val="en-US" w:eastAsia="zh-CN" w:bidi="ar-SA"/>
              </w:rPr>
            </w:pPr>
            <w:r>
              <w:rPr>
                <w:rFonts w:hint="eastAsia" w:ascii="宋体" w:hAnsi="宋体" w:eastAsia="宋体" w:cs="宋体"/>
                <w:szCs w:val="21"/>
              </w:rPr>
              <w:t>互联网地图数据展示</w:t>
            </w:r>
          </w:p>
        </w:tc>
        <w:tc>
          <w:tcPr>
            <w:tcW w:w="1634" w:type="dxa"/>
            <w:vMerge w:val="continue"/>
            <w:vAlign w:val="center"/>
          </w:tcPr>
          <w:p w14:paraId="4A41DC38">
            <w:pPr>
              <w:spacing w:line="276" w:lineRule="auto"/>
              <w:jc w:val="center"/>
              <w:rPr>
                <w:rFonts w:ascii="宋体" w:hAnsi="宋体" w:eastAsia="宋体" w:cs="宋体"/>
                <w:szCs w:val="21"/>
              </w:rPr>
            </w:pPr>
          </w:p>
        </w:tc>
        <w:tc>
          <w:tcPr>
            <w:tcW w:w="5000" w:type="dxa"/>
            <w:shd w:val="clear" w:color="auto" w:fill="auto"/>
            <w:vAlign w:val="center"/>
          </w:tcPr>
          <w:p w14:paraId="3EADE48B">
            <w:pPr>
              <w:spacing w:line="276" w:lineRule="auto"/>
              <w:jc w:val="left"/>
              <w:rPr>
                <w:rFonts w:hint="eastAsia" w:ascii="宋体" w:hAnsi="宋体" w:eastAsia="宋体" w:cs="宋体"/>
                <w:szCs w:val="21"/>
              </w:rPr>
            </w:pPr>
            <w:r>
              <w:rPr>
                <w:rFonts w:hint="eastAsia" w:ascii="宋体" w:hAnsi="宋体" w:eastAsia="宋体" w:cs="宋体"/>
                <w:szCs w:val="21"/>
              </w:rPr>
              <w:t>1、任意职住分析功能：演示任意自定义片区职住规模及通勤OD规模、出行方式结构分析等功能；</w:t>
            </w:r>
          </w:p>
          <w:p w14:paraId="64396BA1">
            <w:pPr>
              <w:spacing w:line="276" w:lineRule="auto"/>
              <w:jc w:val="left"/>
              <w:rPr>
                <w:rFonts w:hint="eastAsia" w:ascii="宋体" w:hAnsi="宋体" w:eastAsia="宋体" w:cs="宋体"/>
                <w:szCs w:val="21"/>
              </w:rPr>
            </w:pPr>
            <w:r>
              <w:rPr>
                <w:rFonts w:hint="eastAsia" w:ascii="宋体" w:hAnsi="宋体" w:eastAsia="宋体" w:cs="宋体"/>
                <w:szCs w:val="21"/>
              </w:rPr>
              <w:t>2、交通运行诊治：演示南山区整体路网交通拥堵宏观指标，交通运行状况时变趋势、不同时段交通拥堵路段分布识别等功能；</w:t>
            </w:r>
          </w:p>
          <w:p w14:paraId="36842AB4">
            <w:pPr>
              <w:spacing w:line="276" w:lineRule="auto"/>
              <w:jc w:val="left"/>
              <w:rPr>
                <w:rFonts w:hint="eastAsia" w:ascii="宋体" w:hAnsi="宋体" w:eastAsia="宋体" w:cs="宋体"/>
                <w:szCs w:val="21"/>
              </w:rPr>
            </w:pPr>
            <w:r>
              <w:rPr>
                <w:rFonts w:hint="eastAsia" w:ascii="宋体" w:hAnsi="宋体" w:eastAsia="宋体" w:cs="宋体"/>
                <w:szCs w:val="21"/>
              </w:rPr>
              <w:t>3、拥堵路段诊治：演示南山区高峰时段拥堵路段分布识别，重点拥堵路段交通时空特征分析等功能；</w:t>
            </w:r>
          </w:p>
          <w:p w14:paraId="7FD94126">
            <w:pPr>
              <w:spacing w:line="276" w:lineRule="auto"/>
              <w:jc w:val="left"/>
              <w:rPr>
                <w:rFonts w:hint="eastAsia" w:ascii="宋体" w:hAnsi="宋体" w:eastAsia="宋体" w:cs="宋体"/>
                <w:szCs w:val="21"/>
              </w:rPr>
            </w:pPr>
            <w:r>
              <w:rPr>
                <w:rFonts w:hint="eastAsia" w:ascii="宋体" w:hAnsi="宋体" w:eastAsia="宋体" w:cs="宋体"/>
                <w:szCs w:val="21"/>
              </w:rPr>
              <w:t>4、重点区域实时人流展示：演示南山区重点区域实时人流规模统计情况、人流洞察情况以及人流聚焦情况；</w:t>
            </w:r>
          </w:p>
          <w:p w14:paraId="1AA0A7EE">
            <w:pPr>
              <w:spacing w:line="276" w:lineRule="auto"/>
              <w:jc w:val="left"/>
              <w:rPr>
                <w:rFonts w:hint="eastAsia" w:ascii="宋体" w:hAnsi="宋体" w:eastAsia="宋体" w:cs="宋体"/>
                <w:kern w:val="2"/>
                <w:sz w:val="21"/>
                <w:szCs w:val="21"/>
                <w:lang w:val="en-US" w:eastAsia="zh-CN" w:bidi="ar-SA"/>
              </w:rPr>
            </w:pPr>
            <w:r>
              <w:rPr>
                <w:rFonts w:hint="eastAsia" w:ascii="宋体" w:hAnsi="宋体" w:eastAsia="宋体" w:cs="宋体"/>
                <w:szCs w:val="21"/>
              </w:rPr>
              <w:t>5、区域实时交通运行状况展示：演示南山区实时路况、实时事件情况等情况。</w:t>
            </w:r>
          </w:p>
        </w:tc>
      </w:tr>
    </w:tbl>
    <w:p w14:paraId="34CCDBE6">
      <w:pPr>
        <w:wordWrap w:val="0"/>
        <w:spacing w:line="276" w:lineRule="auto"/>
        <w:ind w:firstLine="422" w:firstLineChars="200"/>
        <w:rPr>
          <w:rFonts w:hint="eastAsia" w:ascii="Times New Roman" w:hAnsi="Times New Roman" w:eastAsia="宋体" w:cs="Times New Roman"/>
          <w:b/>
          <w:bCs/>
          <w:szCs w:val="21"/>
        </w:rPr>
      </w:pPr>
      <w:r>
        <w:rPr>
          <w:rFonts w:hint="eastAsia" w:ascii="Times New Roman" w:hAnsi="Times New Roman" w:eastAsia="宋体" w:cs="Times New Roman"/>
          <w:b/>
          <w:bCs/>
          <w:szCs w:val="21"/>
        </w:rPr>
        <w:t>重要提示：投标人须确认所递交的光盘或U盘数据完整，内容可播放，如出现光盘或U盘数据损害或无内容的情况，经评委会确认后视为投标人所递交光盘或U盘无效，投标人将无法获得该项评审分值。</w:t>
      </w:r>
    </w:p>
    <w:p w14:paraId="3A8AB444">
      <w:pPr>
        <w:wordWrap w:val="0"/>
        <w:spacing w:line="276" w:lineRule="auto"/>
        <w:ind w:firstLine="422" w:firstLineChars="200"/>
        <w:rPr>
          <w:rFonts w:hint="eastAsia" w:ascii="Times New Roman" w:hAnsi="Times New Roman" w:eastAsia="宋体" w:cs="Times New Roman"/>
          <w:b/>
          <w:bCs/>
          <w:szCs w:val="21"/>
        </w:rPr>
      </w:pPr>
    </w:p>
    <w:p w14:paraId="4038F2E8">
      <w:pPr>
        <w:wordWrap w:val="0"/>
        <w:spacing w:line="276" w:lineRule="auto"/>
        <w:ind w:firstLine="422" w:firstLineChars="200"/>
        <w:rPr>
          <w:rFonts w:ascii="宋体" w:hAnsi="宋体" w:eastAsia="宋体" w:cs="宋体"/>
          <w:b/>
          <w:bCs/>
          <w:szCs w:val="21"/>
        </w:rPr>
      </w:pPr>
      <w:r>
        <w:rPr>
          <w:rFonts w:hint="eastAsia" w:ascii="宋体" w:hAnsi="宋体" w:eastAsia="宋体" w:cs="宋体"/>
          <w:b/>
          <w:bCs/>
          <w:szCs w:val="21"/>
        </w:rPr>
        <w:t>（三）附件：光盘（或U盘）递交授权委托书（仅供参考）</w:t>
      </w:r>
    </w:p>
    <w:p w14:paraId="554CEB31">
      <w:pPr>
        <w:spacing w:after="120" w:line="276" w:lineRule="auto"/>
        <w:rPr>
          <w:rFonts w:ascii="Times New Roman" w:hAnsi="Times New Roman" w:eastAsia="宋体" w:cs="Times New Roman"/>
          <w:szCs w:val="24"/>
        </w:rPr>
      </w:pPr>
    </w:p>
    <w:p w14:paraId="652DB477">
      <w:pPr>
        <w:spacing w:after="156" w:afterLines="50" w:line="276" w:lineRule="auto"/>
        <w:jc w:val="center"/>
        <w:rPr>
          <w:rFonts w:ascii="Times New Roman" w:hAnsi="Times New Roman" w:eastAsia="宋体" w:cs="Times New Roman"/>
          <w:b/>
          <w:sz w:val="28"/>
          <w:szCs w:val="40"/>
        </w:rPr>
      </w:pPr>
      <w:r>
        <w:rPr>
          <w:rFonts w:hint="eastAsia" w:ascii="Times New Roman" w:hAnsi="Times New Roman" w:eastAsia="宋体" w:cs="Times New Roman"/>
          <w:b/>
          <w:sz w:val="28"/>
          <w:szCs w:val="40"/>
        </w:rPr>
        <w:t>光盘（或U盘）递交</w:t>
      </w:r>
      <w:r>
        <w:rPr>
          <w:rFonts w:ascii="Times New Roman" w:hAnsi="Times New Roman" w:eastAsia="宋体" w:cs="Times New Roman"/>
          <w:b/>
          <w:sz w:val="28"/>
          <w:szCs w:val="40"/>
        </w:rPr>
        <w:t>授权委托书</w:t>
      </w:r>
    </w:p>
    <w:p w14:paraId="234C920E">
      <w:pPr>
        <w:spacing w:line="276" w:lineRule="auto"/>
        <w:ind w:firstLine="420" w:firstLineChars="200"/>
        <w:rPr>
          <w:rFonts w:ascii="宋体" w:hAnsi="宋体" w:eastAsia="宋体" w:cs="宋体"/>
          <w:szCs w:val="21"/>
        </w:rPr>
      </w:pPr>
      <w:r>
        <w:rPr>
          <w:rFonts w:hint="eastAsia" w:ascii="宋体" w:hAnsi="宋体" w:eastAsia="宋体" w:cs="宋体"/>
          <w:szCs w:val="21"/>
        </w:rPr>
        <w:t>本授权委托书声明：我</w:t>
      </w:r>
      <w:r>
        <w:rPr>
          <w:rFonts w:hint="eastAsia" w:ascii="宋体" w:hAnsi="宋体" w:eastAsia="宋体" w:cs="宋体"/>
          <w:szCs w:val="21"/>
          <w:u w:val="single"/>
        </w:rPr>
        <w:t xml:space="preserve">           </w:t>
      </w:r>
      <w:r>
        <w:rPr>
          <w:rFonts w:hint="eastAsia" w:ascii="宋体" w:hAnsi="宋体" w:eastAsia="宋体" w:cs="宋体"/>
          <w:szCs w:val="21"/>
        </w:rPr>
        <w:t>（姓名）系</w:t>
      </w:r>
      <w:r>
        <w:rPr>
          <w:rFonts w:hint="eastAsia" w:ascii="宋体" w:hAnsi="宋体" w:eastAsia="宋体" w:cs="宋体"/>
          <w:szCs w:val="21"/>
          <w:u w:val="single"/>
        </w:rPr>
        <w:t xml:space="preserve">             </w:t>
      </w:r>
      <w:r>
        <w:rPr>
          <w:rFonts w:hint="eastAsia" w:ascii="宋体" w:hAnsi="宋体" w:eastAsia="宋体" w:cs="宋体"/>
          <w:szCs w:val="21"/>
        </w:rPr>
        <w:t>（投标人名称）的法定代表人（负责人），现授权委托</w:t>
      </w:r>
      <w:r>
        <w:rPr>
          <w:rFonts w:hint="eastAsia" w:ascii="宋体" w:hAnsi="宋体" w:eastAsia="宋体" w:cs="宋体"/>
          <w:szCs w:val="21"/>
          <w:u w:val="single"/>
        </w:rPr>
        <w:t xml:space="preserve">            </w:t>
      </w:r>
      <w:r>
        <w:rPr>
          <w:rFonts w:hint="eastAsia" w:ascii="宋体" w:hAnsi="宋体" w:eastAsia="宋体" w:cs="宋体"/>
          <w:szCs w:val="21"/>
        </w:rPr>
        <w:t>（姓名）为我单位参与</w:t>
      </w:r>
      <w:r>
        <w:rPr>
          <w:rFonts w:hint="eastAsia" w:ascii="宋体" w:hAnsi="宋体" w:eastAsia="宋体" w:cs="宋体"/>
          <w:szCs w:val="21"/>
          <w:u w:val="single"/>
        </w:rPr>
        <w:t xml:space="preserve">         （此处填写项目名称）</w:t>
      </w:r>
      <w:r>
        <w:rPr>
          <w:rFonts w:hint="eastAsia" w:ascii="宋体" w:hAnsi="宋体" w:eastAsia="宋体" w:cs="宋体"/>
          <w:szCs w:val="21"/>
        </w:rPr>
        <w:t>项目，项目编号：</w:t>
      </w:r>
      <w:r>
        <w:rPr>
          <w:rFonts w:hint="eastAsia" w:ascii="宋体" w:hAnsi="宋体" w:eastAsia="宋体" w:cs="宋体"/>
          <w:szCs w:val="21"/>
          <w:u w:val="single"/>
        </w:rPr>
        <w:t xml:space="preserve">         （此处填写项目编号）</w:t>
      </w:r>
      <w:r>
        <w:rPr>
          <w:rFonts w:hint="eastAsia" w:ascii="宋体" w:hAnsi="宋体" w:eastAsia="宋体" w:cs="宋体"/>
          <w:szCs w:val="21"/>
        </w:rPr>
        <w:t>光盘（或U盘）递交工作的授权委托代理人，代理人全权代表我参与项目光盘（或U盘）递交，光盘（或U盘）演示内容我均承认。</w:t>
      </w:r>
    </w:p>
    <w:p w14:paraId="64D49806">
      <w:pPr>
        <w:spacing w:line="276" w:lineRule="auto"/>
        <w:ind w:firstLine="420" w:firstLineChars="200"/>
        <w:rPr>
          <w:rFonts w:ascii="宋体" w:hAnsi="宋体" w:eastAsia="宋体" w:cs="宋体"/>
          <w:szCs w:val="21"/>
        </w:rPr>
      </w:pPr>
      <w:r>
        <w:rPr>
          <w:rFonts w:hint="eastAsia" w:ascii="宋体" w:hAnsi="宋体" w:eastAsia="宋体" w:cs="宋体"/>
          <w:szCs w:val="21"/>
        </w:rPr>
        <w:t>代理人无转委托权，特此委托。</w:t>
      </w:r>
    </w:p>
    <w:p w14:paraId="5B5E736F">
      <w:pPr>
        <w:spacing w:line="276" w:lineRule="auto"/>
        <w:ind w:left="420" w:leftChars="200" w:firstLine="420"/>
        <w:rPr>
          <w:rFonts w:ascii="宋体" w:hAnsi="宋体" w:eastAsia="宋体" w:cs="宋体"/>
          <w:szCs w:val="21"/>
        </w:rPr>
      </w:pPr>
    </w:p>
    <w:p w14:paraId="59F57EE4">
      <w:pPr>
        <w:spacing w:line="276" w:lineRule="auto"/>
        <w:ind w:left="420" w:leftChars="200"/>
        <w:rPr>
          <w:rFonts w:ascii="宋体" w:hAnsi="宋体" w:eastAsia="宋体" w:cs="宋体"/>
          <w:szCs w:val="21"/>
          <w:u w:val="single"/>
        </w:rPr>
      </w:pPr>
      <w:r>
        <w:rPr>
          <w:rFonts w:hint="eastAsia" w:ascii="宋体" w:hAnsi="宋体" w:eastAsia="宋体" w:cs="宋体"/>
          <w:szCs w:val="21"/>
        </w:rPr>
        <w:t>代理人：</w:t>
      </w:r>
      <w:r>
        <w:rPr>
          <w:rFonts w:hint="eastAsia" w:ascii="宋体" w:hAnsi="宋体" w:eastAsia="宋体" w:cs="宋体"/>
          <w:szCs w:val="21"/>
          <w:u w:val="single"/>
        </w:rPr>
        <w:t xml:space="preserve">             </w:t>
      </w:r>
    </w:p>
    <w:p w14:paraId="46ED5D5C">
      <w:pPr>
        <w:spacing w:line="276" w:lineRule="auto"/>
        <w:ind w:left="420" w:leftChars="200"/>
        <w:rPr>
          <w:rFonts w:ascii="宋体" w:hAnsi="宋体" w:eastAsia="宋体" w:cs="宋体"/>
          <w:szCs w:val="21"/>
        </w:rPr>
      </w:pPr>
      <w:r>
        <w:rPr>
          <w:rFonts w:hint="eastAsia" w:ascii="宋体" w:hAnsi="宋体" w:eastAsia="宋体" w:cs="宋体"/>
          <w:szCs w:val="21"/>
        </w:rPr>
        <w:t>联系电话：</w:t>
      </w:r>
      <w:r>
        <w:rPr>
          <w:rFonts w:hint="eastAsia" w:ascii="宋体" w:hAnsi="宋体" w:eastAsia="宋体" w:cs="宋体"/>
          <w:szCs w:val="21"/>
          <w:u w:val="single"/>
        </w:rPr>
        <w:t xml:space="preserve">            </w:t>
      </w:r>
      <w:r>
        <w:rPr>
          <w:rFonts w:hint="eastAsia" w:ascii="宋体" w:hAnsi="宋体" w:eastAsia="宋体" w:cs="宋体"/>
          <w:szCs w:val="21"/>
        </w:rPr>
        <w:t xml:space="preserve">  手机：</w:t>
      </w:r>
      <w:r>
        <w:rPr>
          <w:rFonts w:hint="eastAsia" w:ascii="宋体" w:hAnsi="宋体" w:eastAsia="宋体" w:cs="宋体"/>
          <w:szCs w:val="21"/>
          <w:u w:val="single"/>
        </w:rPr>
        <w:t xml:space="preserve">                   </w:t>
      </w:r>
    </w:p>
    <w:p w14:paraId="5AADE537">
      <w:pPr>
        <w:spacing w:line="276" w:lineRule="auto"/>
        <w:ind w:left="420" w:leftChars="200"/>
        <w:rPr>
          <w:rFonts w:ascii="宋体" w:hAnsi="宋体" w:eastAsia="宋体" w:cs="宋体"/>
          <w:szCs w:val="21"/>
          <w:u w:val="single"/>
        </w:rPr>
      </w:pPr>
      <w:r>
        <w:rPr>
          <w:rFonts w:hint="eastAsia" w:ascii="宋体" w:hAnsi="宋体" w:eastAsia="宋体" w:cs="宋体"/>
          <w:szCs w:val="21"/>
        </w:rPr>
        <w:t>身份证号码：</w:t>
      </w:r>
      <w:r>
        <w:rPr>
          <w:rFonts w:hint="eastAsia" w:ascii="宋体" w:hAnsi="宋体" w:eastAsia="宋体" w:cs="宋体"/>
          <w:szCs w:val="21"/>
          <w:u w:val="single"/>
        </w:rPr>
        <w:t xml:space="preserve">                        </w:t>
      </w:r>
      <w:r>
        <w:rPr>
          <w:rFonts w:hint="eastAsia" w:ascii="宋体" w:hAnsi="宋体" w:eastAsia="宋体" w:cs="宋体"/>
          <w:szCs w:val="21"/>
        </w:rPr>
        <w:t>职务：</w:t>
      </w:r>
      <w:r>
        <w:rPr>
          <w:rFonts w:hint="eastAsia" w:ascii="宋体" w:hAnsi="宋体" w:eastAsia="宋体" w:cs="宋体"/>
          <w:szCs w:val="21"/>
          <w:u w:val="single"/>
        </w:rPr>
        <w:t xml:space="preserve">       </w:t>
      </w:r>
    </w:p>
    <w:p w14:paraId="24C81A0A">
      <w:pPr>
        <w:spacing w:line="276" w:lineRule="auto"/>
        <w:ind w:left="420" w:leftChars="200"/>
        <w:rPr>
          <w:rFonts w:ascii="宋体" w:hAnsi="宋体" w:eastAsia="宋体" w:cs="宋体"/>
          <w:szCs w:val="21"/>
        </w:rPr>
      </w:pPr>
      <w:r>
        <w:rPr>
          <w:rFonts w:hint="eastAsia" w:ascii="宋体" w:hAnsi="宋体" w:eastAsia="宋体" w:cs="宋体"/>
          <w:szCs w:val="21"/>
        </w:rPr>
        <w:t>授权委托日期：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 xml:space="preserve">月 </w:t>
      </w:r>
      <w:r>
        <w:rPr>
          <w:rFonts w:hint="eastAsia" w:ascii="宋体" w:hAnsi="宋体" w:eastAsia="宋体" w:cs="宋体"/>
          <w:szCs w:val="21"/>
          <w:u w:val="single"/>
        </w:rPr>
        <w:t xml:space="preserve">      </w:t>
      </w:r>
      <w:r>
        <w:rPr>
          <w:rFonts w:hint="eastAsia" w:ascii="宋体" w:hAnsi="宋体" w:eastAsia="宋体" w:cs="宋体"/>
          <w:szCs w:val="21"/>
        </w:rPr>
        <w:t>日</w:t>
      </w:r>
    </w:p>
    <w:p w14:paraId="35162D1F">
      <w:pPr>
        <w:spacing w:line="276" w:lineRule="auto"/>
        <w:rPr>
          <w:rFonts w:ascii="Times New Roman" w:hAnsi="Times New Roman" w:eastAsia="宋体" w:cs="Times New Roman"/>
          <w:szCs w:val="21"/>
        </w:rPr>
      </w:pPr>
    </w:p>
    <w:p w14:paraId="36307EC7">
      <w:pPr>
        <w:spacing w:line="276" w:lineRule="auto"/>
        <w:ind w:firstLine="422" w:firstLineChars="200"/>
        <w:rPr>
          <w:rFonts w:ascii="Times New Roman" w:hAnsi="Times New Roman" w:eastAsia="宋体" w:cs="Times New Roman"/>
          <w:b/>
          <w:color w:val="FF0000"/>
          <w:szCs w:val="21"/>
        </w:rPr>
      </w:pPr>
      <w:r>
        <w:rPr>
          <w:rFonts w:ascii="Times New Roman" w:hAnsi="Times New Roman" w:eastAsia="宋体" w:cs="Times New Roman"/>
          <w:b/>
          <w:color w:val="FF0000"/>
          <w:szCs w:val="21"/>
        </w:rPr>
        <w:t>附：请提供授权委托代理人身份证扫描件（正反两面）</w:t>
      </w:r>
      <w:r>
        <w:rPr>
          <w:rFonts w:hint="eastAsia" w:ascii="Times New Roman" w:hAnsi="Times New Roman" w:eastAsia="宋体" w:cs="Times New Roman"/>
          <w:b/>
          <w:color w:val="FF0000"/>
          <w:szCs w:val="21"/>
        </w:rPr>
        <w:t>；港澳台居民可提供来往通行证扫描件；非中国国籍管辖范围人员，可提供公安部门认可的身份证明材料扫描件</w:t>
      </w:r>
      <w:r>
        <w:rPr>
          <w:rFonts w:ascii="Times New Roman" w:hAnsi="Times New Roman" w:eastAsia="宋体" w:cs="Times New Roman"/>
          <w:b/>
          <w:color w:val="FF0000"/>
          <w:szCs w:val="21"/>
        </w:rPr>
        <w:t>。</w:t>
      </w:r>
    </w:p>
    <w:p w14:paraId="1A9F01C4">
      <w:pPr>
        <w:spacing w:line="276" w:lineRule="auto"/>
        <w:ind w:firstLine="420"/>
        <w:jc w:val="right"/>
        <w:rPr>
          <w:rFonts w:ascii="Times New Roman" w:hAnsi="Times New Roman" w:eastAsia="宋体" w:cs="Times New Roman"/>
          <w:szCs w:val="21"/>
        </w:rPr>
      </w:pPr>
    </w:p>
    <w:p w14:paraId="75FF7694">
      <w:pPr>
        <w:spacing w:line="276" w:lineRule="auto"/>
        <w:ind w:firstLine="420"/>
        <w:jc w:val="right"/>
        <w:rPr>
          <w:rFonts w:ascii="宋体" w:hAnsi="宋体" w:eastAsia="宋体" w:cs="宋体"/>
          <w:szCs w:val="21"/>
        </w:rPr>
      </w:pPr>
      <w:r>
        <w:rPr>
          <w:rFonts w:hint="eastAsia" w:ascii="宋体" w:hAnsi="宋体" w:eastAsia="宋体" w:cs="宋体"/>
          <w:szCs w:val="21"/>
        </w:rPr>
        <w:t>（此处填写投标人名称）公司（加盖投标人公章）</w:t>
      </w:r>
    </w:p>
    <w:p w14:paraId="43281258">
      <w:pPr>
        <w:spacing w:line="276" w:lineRule="auto"/>
        <w:ind w:firstLine="420"/>
        <w:jc w:val="right"/>
        <w:rPr>
          <w:rFonts w:ascii="宋体" w:hAnsi="宋体" w:eastAsia="宋体" w:cs="宋体"/>
          <w:szCs w:val="21"/>
        </w:rPr>
      </w:pPr>
      <w:r>
        <w:rPr>
          <w:rFonts w:hint="eastAsia" w:ascii="宋体" w:hAnsi="宋体" w:eastAsia="宋体" w:cs="宋体"/>
          <w:szCs w:val="21"/>
        </w:rPr>
        <w:t>XX年XX月XX日</w:t>
      </w:r>
    </w:p>
    <w:p w14:paraId="362F4955">
      <w:pPr>
        <w:widowControl/>
        <w:spacing w:line="276" w:lineRule="auto"/>
        <w:jc w:val="left"/>
        <w:rPr>
          <w:rFonts w:ascii="Times New Roman" w:hAnsi="Times New Roman" w:eastAsia="宋体" w:cs="Times New Roman"/>
          <w:szCs w:val="20"/>
        </w:rPr>
      </w:pPr>
      <w:r>
        <w:rPr>
          <w:rFonts w:ascii="Times New Roman" w:hAnsi="Times New Roman" w:eastAsia="宋体" w:cs="Times New Roman"/>
          <w:szCs w:val="20"/>
        </w:rPr>
        <w:br w:type="page"/>
      </w:r>
    </w:p>
    <w:p w14:paraId="30D6BC83">
      <w:pPr>
        <w:keepNext/>
        <w:keepLines/>
        <w:adjustRightInd w:val="0"/>
        <w:spacing w:before="260" w:after="260"/>
        <w:jc w:val="center"/>
        <w:textAlignment w:val="baseline"/>
        <w:outlineLvl w:val="1"/>
        <w:rPr>
          <w:rFonts w:ascii="Times New Roman" w:hAnsi="Times New Roman" w:eastAsia="宋体" w:cs="Times New Roman"/>
          <w:b/>
          <w:bCs/>
          <w:kern w:val="0"/>
          <w:sz w:val="28"/>
          <w:szCs w:val="28"/>
        </w:rPr>
      </w:pPr>
      <w:bookmarkStart w:id="42" w:name="_Hlk86246764"/>
      <w:r>
        <w:rPr>
          <w:rFonts w:ascii="Times New Roman" w:hAnsi="Times New Roman" w:eastAsia="宋体" w:cs="Times New Roman"/>
          <w:b/>
          <w:bCs/>
          <w:kern w:val="0"/>
          <w:sz w:val="28"/>
          <w:szCs w:val="28"/>
        </w:rPr>
        <w:t>第四章 投标文件组成要求及格式</w:t>
      </w:r>
    </w:p>
    <w:p w14:paraId="70BB492D">
      <w:pPr>
        <w:spacing w:line="276" w:lineRule="auto"/>
        <w:rPr>
          <w:rFonts w:ascii="Times New Roman" w:hAnsi="Times New Roman" w:eastAsia="宋体" w:cs="Times New Roman"/>
          <w:b/>
          <w:bCs/>
          <w:sz w:val="24"/>
          <w:szCs w:val="32"/>
        </w:rPr>
      </w:pPr>
      <w:r>
        <w:rPr>
          <w:rFonts w:ascii="Times New Roman" w:hAnsi="Times New Roman" w:eastAsia="宋体" w:cs="Times New Roman"/>
          <w:b/>
          <w:bCs/>
          <w:sz w:val="24"/>
          <w:szCs w:val="32"/>
        </w:rPr>
        <w:t>特别提醒：</w:t>
      </w:r>
    </w:p>
    <w:p w14:paraId="1386F502">
      <w:pPr>
        <w:spacing w:line="276" w:lineRule="auto"/>
        <w:ind w:firstLine="480" w:firstLineChars="200"/>
        <w:rPr>
          <w:rFonts w:ascii="Times New Roman" w:hAnsi="Times New Roman" w:eastAsia="仿宋_GB2312" w:cs="Times New Roman"/>
          <w:sz w:val="24"/>
          <w:szCs w:val="24"/>
        </w:rPr>
      </w:pPr>
      <w:r>
        <w:rPr>
          <w:rFonts w:hint="eastAsia" w:ascii="仿宋_GB2312" w:eastAsia="仿宋_GB2312"/>
          <w:sz w:val="24"/>
        </w:rPr>
        <w:t>中标（成交）供应商的</w:t>
      </w:r>
      <w:r>
        <w:rPr>
          <w:rFonts w:ascii="Times New Roman" w:hAnsi="Times New Roman" w:eastAsia="仿宋_GB2312" w:cs="Times New Roman"/>
          <w:sz w:val="24"/>
          <w:szCs w:val="24"/>
        </w:rPr>
        <w:t>投标文件正文将对外公开，投标文件附件不公开。</w:t>
      </w:r>
      <w:r>
        <w:rPr>
          <w:rFonts w:hint="eastAsia" w:ascii="仿宋_GB2312" w:eastAsia="仿宋_GB2312"/>
          <w:sz w:val="24"/>
        </w:rPr>
        <w:t>未中标（成交）供应商的投标文件一律不公开</w:t>
      </w:r>
      <w:r>
        <w:rPr>
          <w:rFonts w:hint="eastAsia" w:ascii="仿宋_GB2312" w:eastAsia="仿宋_GB2312"/>
          <w:sz w:val="24"/>
          <w:lang w:eastAsia="zh-CN"/>
        </w:rPr>
        <w:t>，</w:t>
      </w:r>
      <w:r>
        <w:rPr>
          <w:rFonts w:ascii="Times New Roman" w:hAnsi="Times New Roman" w:eastAsia="仿宋_GB2312" w:cs="Times New Roman"/>
          <w:sz w:val="24"/>
          <w:szCs w:val="24"/>
        </w:rPr>
        <w:t>投标人在编辑投标文件时，在投标文件目录中属于本节点内容的必须在本节点中填写，填写到其他节点或附件的将可能导致投标无效，一切后果由供应商自行承担。</w:t>
      </w:r>
    </w:p>
    <w:p w14:paraId="3B995131">
      <w:pPr>
        <w:spacing w:line="276" w:lineRule="auto"/>
        <w:ind w:firstLine="480" w:firstLineChars="200"/>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投标文件正文（信息公开部分）必须编制于“正文（公开部分）”部分，投标文件附件（非信息公开部分）必须编制于“附件（不公开部分）”部分，如下图所示。</w:t>
      </w:r>
    </w:p>
    <w:p w14:paraId="0D44B454">
      <w:pPr>
        <w:rPr>
          <w:rFonts w:ascii="Times New Roman" w:hAnsi="Times New Roman" w:eastAsia="仿宋_GB2312" w:cs="Times New Roman"/>
          <w:sz w:val="24"/>
          <w:szCs w:val="24"/>
        </w:rPr>
      </w:pPr>
      <w:r>
        <w:rPr>
          <w:rFonts w:ascii="Times New Roman" w:hAnsi="Times New Roman" w:eastAsia="仿宋_GB2312" w:cs="Times New Roman"/>
          <w:sz w:val="24"/>
          <w:szCs w:val="24"/>
        </w:rPr>
        <w:drawing>
          <wp:inline distT="0" distB="0" distL="0" distR="0">
            <wp:extent cx="5616575" cy="4387215"/>
            <wp:effectExtent l="0" t="0" r="3175" b="0"/>
            <wp:docPr id="1" name="图片 1" descr="C:\Users\沛镛\Documents\WeChat Files\wxid_8662696626812\FileStorage\Temp\639dd65214a2bb2e1af71f25d0139f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沛镛\Documents\WeChat Files\wxid_8662696626812\FileStorage\Temp\639dd65214a2bb2e1af71f25d0139f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616575" cy="4387482"/>
                    </a:xfrm>
                    <a:prstGeom prst="rect">
                      <a:avLst/>
                    </a:prstGeom>
                    <a:noFill/>
                    <a:ln>
                      <a:noFill/>
                    </a:ln>
                  </pic:spPr>
                </pic:pic>
              </a:graphicData>
            </a:graphic>
          </wp:inline>
        </w:drawing>
      </w:r>
    </w:p>
    <w:p w14:paraId="364D5BEA">
      <w:pPr>
        <w:rPr>
          <w:rFonts w:ascii="Times New Roman" w:hAnsi="Times New Roman" w:eastAsia="仿宋_GB2312" w:cs="Times New Roman"/>
          <w:sz w:val="24"/>
          <w:szCs w:val="24"/>
        </w:rPr>
      </w:pPr>
    </w:p>
    <w:p w14:paraId="7711ED13">
      <w:pPr>
        <w:spacing w:line="276" w:lineRule="auto"/>
        <w:ind w:firstLine="480" w:firstLineChars="200"/>
        <w:rPr>
          <w:rFonts w:ascii="Times New Roman" w:hAnsi="Times New Roman" w:eastAsia="仿宋_GB2312" w:cs="Times New Roman"/>
          <w:sz w:val="24"/>
          <w:szCs w:val="24"/>
        </w:rPr>
      </w:pPr>
      <w:bookmarkStart w:id="43" w:name="_Hlk72257167"/>
      <w:r>
        <w:rPr>
          <w:rFonts w:ascii="Times New Roman" w:hAnsi="Times New Roman" w:eastAsia="仿宋_GB2312" w:cs="Times New Roman"/>
          <w:sz w:val="24"/>
          <w:szCs w:val="24"/>
        </w:rPr>
        <w:t>政府集中采购机构公布投标文件正文（信息公开部分）时为计算机截取信息自动公布，</w:t>
      </w:r>
      <w:r>
        <w:rPr>
          <w:rFonts w:hint="eastAsia" w:ascii="仿宋_GB2312" w:eastAsia="仿宋_GB2312"/>
          <w:sz w:val="24"/>
        </w:rPr>
        <w:t>供应商登录深圳政府采购智慧平台后下载附件。</w:t>
      </w:r>
      <w:r>
        <w:rPr>
          <w:rFonts w:ascii="Times New Roman" w:hAnsi="Times New Roman" w:eastAsia="仿宋_GB2312" w:cs="Times New Roman"/>
          <w:b/>
          <w:bCs/>
          <w:sz w:val="24"/>
          <w:szCs w:val="24"/>
        </w:rPr>
        <w:t>如投标人误将涉及个人隐私的信息放入投标文件正文，相关后果由投标人自负；</w:t>
      </w:r>
      <w:r>
        <w:rPr>
          <w:rFonts w:ascii="Times New Roman" w:hAnsi="Times New Roman" w:eastAsia="仿宋_GB2312" w:cs="Times New Roman"/>
          <w:b/>
          <w:color w:val="FF0000"/>
          <w:sz w:val="24"/>
          <w:szCs w:val="24"/>
        </w:rPr>
        <w:t>如投标人将必须放于投标文件正文（信息公开部分）的内容放入投标文件附件（非信息公开部分），将作投标无效处理。</w:t>
      </w:r>
    </w:p>
    <w:bookmarkEnd w:id="42"/>
    <w:bookmarkEnd w:id="43"/>
    <w:p w14:paraId="3B596306">
      <w:pPr>
        <w:widowControl/>
        <w:jc w:val="left"/>
        <w:rPr>
          <w:rFonts w:ascii="Times New Roman" w:hAnsi="Times New Roman" w:eastAsia="仿宋_GB2312" w:cs="Times New Roman"/>
          <w:sz w:val="24"/>
          <w:szCs w:val="24"/>
        </w:rPr>
      </w:pPr>
      <w:r>
        <w:rPr>
          <w:rFonts w:ascii="Times New Roman" w:hAnsi="Times New Roman" w:eastAsia="仿宋_GB2312" w:cs="Times New Roman"/>
          <w:sz w:val="24"/>
          <w:szCs w:val="24"/>
        </w:rPr>
        <w:br w:type="page"/>
      </w:r>
    </w:p>
    <w:p w14:paraId="783C3528">
      <w:pPr>
        <w:rPr>
          <w:rFonts w:ascii="黑体" w:hAnsi="黑体" w:eastAsia="黑体" w:cs="Times New Roman"/>
          <w:sz w:val="28"/>
          <w:szCs w:val="24"/>
        </w:rPr>
      </w:pPr>
      <w:r>
        <w:rPr>
          <w:rFonts w:ascii="黑体" w:hAnsi="黑体" w:eastAsia="黑体" w:cs="Times New Roman"/>
          <w:sz w:val="28"/>
          <w:szCs w:val="24"/>
        </w:rPr>
        <w:t>投标文件组成：</w:t>
      </w:r>
    </w:p>
    <w:p w14:paraId="7F63AED2">
      <w:pPr>
        <w:spacing w:after="120"/>
        <w:rPr>
          <w:rFonts w:ascii="Times New Roman" w:hAnsi="Times New Roman" w:eastAsia="宋体" w:cs="Times New Roman"/>
          <w:szCs w:val="24"/>
        </w:rPr>
      </w:pPr>
    </w:p>
    <w:p w14:paraId="7A27C1B9">
      <w:pPr>
        <w:spacing w:line="276" w:lineRule="auto"/>
        <w:rPr>
          <w:rFonts w:ascii="宋体" w:hAnsi="宋体" w:eastAsia="宋体" w:cs="宋体"/>
          <w:b/>
          <w:bCs/>
          <w:sz w:val="24"/>
          <w:szCs w:val="24"/>
          <w:highlight w:val="none"/>
        </w:rPr>
      </w:pPr>
      <w:bookmarkStart w:id="44" w:name="_Hlk72257253"/>
      <w:r>
        <w:rPr>
          <w:rFonts w:hint="eastAsia" w:ascii="宋体" w:hAnsi="宋体" w:eastAsia="宋体" w:cs="宋体"/>
          <w:b/>
          <w:bCs/>
          <w:sz w:val="24"/>
          <w:szCs w:val="24"/>
          <w:highlight w:val="none"/>
        </w:rPr>
        <w:t>1.投标文件正文</w:t>
      </w:r>
      <w:r>
        <w:rPr>
          <w:rFonts w:hint="eastAsia" w:ascii="宋体" w:hAnsi="宋体" w:eastAsia="宋体" w:cs="宋体"/>
          <w:b/>
          <w:bCs/>
          <w:color w:val="FF0000"/>
          <w:sz w:val="24"/>
          <w:szCs w:val="24"/>
          <w:highlight w:val="none"/>
        </w:rPr>
        <w:t>（信息公开部分）</w:t>
      </w:r>
      <w:r>
        <w:rPr>
          <w:rFonts w:hint="eastAsia" w:ascii="宋体" w:hAnsi="宋体" w:eastAsia="宋体" w:cs="宋体"/>
          <w:b/>
          <w:bCs/>
          <w:sz w:val="24"/>
          <w:szCs w:val="24"/>
          <w:highlight w:val="none"/>
        </w:rPr>
        <w:t>，主要包括以下内容：</w:t>
      </w:r>
    </w:p>
    <w:p w14:paraId="68E0478D">
      <w:pPr>
        <w:spacing w:line="276" w:lineRule="auto"/>
        <w:rPr>
          <w:rFonts w:ascii="宋体" w:hAnsi="宋体" w:eastAsia="宋体" w:cs="宋体"/>
          <w:szCs w:val="21"/>
          <w:highlight w:val="none"/>
        </w:rPr>
      </w:pPr>
      <w:r>
        <w:rPr>
          <w:rFonts w:hint="eastAsia" w:ascii="宋体" w:hAnsi="宋体" w:eastAsia="宋体" w:cs="宋体"/>
          <w:szCs w:val="21"/>
          <w:highlight w:val="none"/>
        </w:rPr>
        <w:t>（1）</w:t>
      </w:r>
      <w:bookmarkStart w:id="45" w:name="_Hlk72070784"/>
      <w:r>
        <w:rPr>
          <w:rFonts w:hint="eastAsia" w:ascii="宋体" w:hAnsi="宋体" w:eastAsia="宋体" w:cs="宋体"/>
          <w:szCs w:val="21"/>
          <w:highlight w:val="none"/>
        </w:rPr>
        <w:t>投标函</w:t>
      </w:r>
      <w:bookmarkEnd w:id="45"/>
    </w:p>
    <w:p w14:paraId="6C2F4BA4">
      <w:pPr>
        <w:spacing w:line="276" w:lineRule="auto"/>
        <w:rPr>
          <w:rFonts w:ascii="宋体" w:hAnsi="宋体" w:eastAsia="宋体" w:cs="宋体"/>
          <w:szCs w:val="21"/>
          <w:highlight w:val="none"/>
        </w:rPr>
      </w:pPr>
      <w:r>
        <w:rPr>
          <w:rFonts w:hint="eastAsia" w:ascii="宋体" w:hAnsi="宋体" w:eastAsia="宋体" w:cs="宋体"/>
          <w:szCs w:val="21"/>
          <w:highlight w:val="none"/>
        </w:rPr>
        <w:t>（2）</w:t>
      </w:r>
      <w:bookmarkStart w:id="46" w:name="_Hlk72062521"/>
      <w:r>
        <w:rPr>
          <w:rFonts w:hint="eastAsia" w:ascii="宋体" w:hAnsi="宋体" w:eastAsia="宋体" w:cs="宋体"/>
          <w:szCs w:val="21"/>
          <w:highlight w:val="none"/>
        </w:rPr>
        <w:t>政府采购投标及履约承诺函</w:t>
      </w:r>
      <w:bookmarkEnd w:id="46"/>
    </w:p>
    <w:p w14:paraId="5EE22458">
      <w:pPr>
        <w:spacing w:line="276" w:lineRule="auto"/>
        <w:rPr>
          <w:rFonts w:ascii="宋体" w:hAnsi="宋体" w:eastAsia="宋体" w:cs="宋体"/>
          <w:szCs w:val="21"/>
          <w:highlight w:val="none"/>
        </w:rPr>
      </w:pPr>
      <w:r>
        <w:rPr>
          <w:rFonts w:hint="eastAsia" w:ascii="宋体" w:hAnsi="宋体" w:eastAsia="宋体" w:cs="宋体"/>
          <w:szCs w:val="21"/>
          <w:highlight w:val="none"/>
        </w:rPr>
        <w:t>（3）投标人情况及资格证明文件</w:t>
      </w:r>
    </w:p>
    <w:p w14:paraId="744CE8AB">
      <w:pPr>
        <w:spacing w:line="276" w:lineRule="auto"/>
        <w:rPr>
          <w:rFonts w:ascii="宋体" w:hAnsi="宋体" w:eastAsia="宋体" w:cs="宋体"/>
          <w:szCs w:val="21"/>
          <w:highlight w:val="none"/>
        </w:rPr>
      </w:pPr>
      <w:bookmarkStart w:id="47" w:name="_Hlk72257201"/>
      <w:r>
        <w:rPr>
          <w:rFonts w:hint="eastAsia" w:ascii="宋体" w:hAnsi="宋体" w:eastAsia="宋体" w:cs="宋体"/>
          <w:szCs w:val="21"/>
          <w:highlight w:val="none"/>
        </w:rPr>
        <w:t>（4）投标人认证情况</w:t>
      </w:r>
    </w:p>
    <w:p w14:paraId="5F9ED2FD">
      <w:pPr>
        <w:spacing w:line="276" w:lineRule="auto"/>
        <w:rPr>
          <w:rFonts w:ascii="宋体" w:hAnsi="宋体" w:eastAsia="宋体" w:cs="宋体"/>
          <w:szCs w:val="21"/>
          <w:highlight w:val="none"/>
        </w:rPr>
      </w:pPr>
      <w:r>
        <w:rPr>
          <w:rFonts w:hint="eastAsia" w:ascii="宋体" w:hAnsi="宋体" w:eastAsia="宋体" w:cs="宋体"/>
          <w:szCs w:val="21"/>
          <w:highlight w:val="none"/>
        </w:rPr>
        <w:t>（5）自主知识产权产品（创新、设计）情况</w:t>
      </w:r>
    </w:p>
    <w:p w14:paraId="20029BB2">
      <w:pPr>
        <w:spacing w:line="276" w:lineRule="auto"/>
        <w:ind w:left="718" w:leftChars="342" w:firstLine="1417" w:firstLineChars="675"/>
        <w:rPr>
          <w:rFonts w:ascii="Times New Roman" w:hAnsi="Times New Roman" w:eastAsia="宋体" w:cs="Times New Roman"/>
          <w:szCs w:val="21"/>
          <w:highlight w:val="none"/>
        </w:rPr>
      </w:pPr>
    </w:p>
    <w:bookmarkEnd w:id="47"/>
    <w:p w14:paraId="59229DBF">
      <w:pPr>
        <w:spacing w:line="276"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2.投标文件附件</w:t>
      </w:r>
      <w:r>
        <w:rPr>
          <w:rFonts w:hint="eastAsia" w:ascii="宋体" w:hAnsi="宋体" w:eastAsia="宋体" w:cs="宋体"/>
          <w:b/>
          <w:bCs/>
          <w:color w:val="FF0000"/>
          <w:sz w:val="24"/>
          <w:szCs w:val="24"/>
          <w:highlight w:val="none"/>
        </w:rPr>
        <w:t>（信息不公开部分）</w:t>
      </w:r>
      <w:r>
        <w:rPr>
          <w:rFonts w:hint="eastAsia" w:ascii="宋体" w:hAnsi="宋体" w:eastAsia="宋体" w:cs="宋体"/>
          <w:b/>
          <w:bCs/>
          <w:sz w:val="24"/>
          <w:szCs w:val="24"/>
          <w:highlight w:val="none"/>
        </w:rPr>
        <w:t>，主要包括以下内容：</w:t>
      </w:r>
    </w:p>
    <w:p w14:paraId="356624D1">
      <w:pPr>
        <w:spacing w:line="276" w:lineRule="auto"/>
        <w:rPr>
          <w:rFonts w:ascii="宋体" w:hAnsi="宋体" w:eastAsia="宋体" w:cs="宋体"/>
          <w:szCs w:val="21"/>
          <w:highlight w:val="none"/>
        </w:rPr>
      </w:pPr>
      <w:r>
        <w:rPr>
          <w:rFonts w:hint="eastAsia" w:ascii="宋体" w:hAnsi="宋体" w:eastAsia="宋体" w:cs="宋体"/>
          <w:szCs w:val="21"/>
          <w:highlight w:val="none"/>
        </w:rPr>
        <w:t>（1）供应商基本情况表</w:t>
      </w:r>
    </w:p>
    <w:p w14:paraId="2EB9B9C1">
      <w:pPr>
        <w:spacing w:line="276" w:lineRule="auto"/>
        <w:rPr>
          <w:rFonts w:ascii="宋体" w:hAnsi="宋体" w:eastAsia="宋体" w:cs="宋体"/>
          <w:szCs w:val="21"/>
          <w:highlight w:val="none"/>
        </w:rPr>
      </w:pPr>
      <w:r>
        <w:rPr>
          <w:rFonts w:hint="eastAsia" w:ascii="宋体" w:hAnsi="宋体" w:eastAsia="宋体" w:cs="宋体"/>
          <w:szCs w:val="21"/>
          <w:highlight w:val="none"/>
        </w:rPr>
        <w:t>（2）法定代表人（负责人）证明书</w:t>
      </w:r>
    </w:p>
    <w:p w14:paraId="22F24A96">
      <w:pPr>
        <w:spacing w:line="276" w:lineRule="auto"/>
        <w:rPr>
          <w:rFonts w:ascii="宋体" w:hAnsi="宋体" w:eastAsia="宋体" w:cs="宋体"/>
          <w:szCs w:val="21"/>
          <w:highlight w:val="none"/>
        </w:rPr>
      </w:pPr>
      <w:r>
        <w:rPr>
          <w:rFonts w:hint="eastAsia" w:ascii="宋体" w:hAnsi="宋体" w:eastAsia="宋体" w:cs="宋体"/>
          <w:szCs w:val="21"/>
          <w:highlight w:val="none"/>
        </w:rPr>
        <w:t>（3）投标文件签署授权委托书</w:t>
      </w:r>
    </w:p>
    <w:p w14:paraId="7FE2E39E">
      <w:pPr>
        <w:spacing w:line="276" w:lineRule="auto"/>
        <w:rPr>
          <w:rFonts w:ascii="宋体" w:hAnsi="宋体" w:eastAsia="宋体" w:cs="宋体"/>
          <w:szCs w:val="21"/>
          <w:highlight w:val="none"/>
        </w:rPr>
      </w:pPr>
      <w:r>
        <w:rPr>
          <w:rFonts w:hint="eastAsia" w:ascii="宋体" w:hAnsi="宋体" w:eastAsia="宋体" w:cs="宋体"/>
          <w:szCs w:val="21"/>
          <w:highlight w:val="none"/>
        </w:rPr>
        <w:t>（4）实质性条款响应情况表</w:t>
      </w:r>
    </w:p>
    <w:p w14:paraId="2870A3FF">
      <w:pPr>
        <w:spacing w:line="276" w:lineRule="auto"/>
        <w:rPr>
          <w:rFonts w:ascii="宋体" w:hAnsi="宋体" w:eastAsia="宋体" w:cs="宋体"/>
          <w:szCs w:val="21"/>
          <w:highlight w:val="none"/>
        </w:rPr>
      </w:pPr>
      <w:r>
        <w:rPr>
          <w:rFonts w:hint="eastAsia" w:ascii="宋体" w:hAnsi="宋体" w:eastAsia="宋体" w:cs="宋体"/>
          <w:szCs w:val="21"/>
          <w:highlight w:val="none"/>
        </w:rPr>
        <w:t>（5）技术要求偏离表</w:t>
      </w:r>
    </w:p>
    <w:p w14:paraId="544357E1">
      <w:pPr>
        <w:spacing w:line="276" w:lineRule="auto"/>
        <w:rPr>
          <w:rFonts w:ascii="宋体" w:hAnsi="宋体" w:eastAsia="宋体" w:cs="宋体"/>
          <w:szCs w:val="21"/>
          <w:highlight w:val="none"/>
        </w:rPr>
      </w:pPr>
      <w:r>
        <w:rPr>
          <w:rFonts w:hint="eastAsia" w:ascii="宋体" w:hAnsi="宋体" w:eastAsia="宋体" w:cs="宋体"/>
          <w:szCs w:val="21"/>
          <w:highlight w:val="none"/>
        </w:rPr>
        <w:t>（6）商务要求偏离表</w:t>
      </w:r>
    </w:p>
    <w:bookmarkEnd w:id="44"/>
    <w:p w14:paraId="5F83D836">
      <w:pPr>
        <w:spacing w:line="276" w:lineRule="auto"/>
        <w:rPr>
          <w:rFonts w:hint="eastAsia" w:ascii="宋体" w:hAnsi="宋体" w:eastAsia="宋体" w:cs="宋体"/>
          <w:szCs w:val="21"/>
          <w:highlight w:val="none"/>
        </w:rPr>
      </w:pPr>
      <w:r>
        <w:rPr>
          <w:rFonts w:hint="eastAsia" w:ascii="宋体" w:hAnsi="宋体" w:eastAsia="宋体" w:cs="宋体"/>
          <w:szCs w:val="21"/>
          <w:highlight w:val="none"/>
        </w:rPr>
        <w:t>（7）项目详细报价</w:t>
      </w:r>
    </w:p>
    <w:p w14:paraId="3F97F9B2">
      <w:pPr>
        <w:pStyle w:val="7"/>
        <w:ind w:firstLine="0"/>
        <w:rPr>
          <w:rFonts w:hint="eastAsia" w:ascii="宋体" w:hAnsi="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8</w:t>
      </w:r>
      <w:r>
        <w:rPr>
          <w:rFonts w:hint="eastAsia" w:ascii="宋体" w:hAnsi="宋体" w:cs="宋体"/>
          <w:szCs w:val="21"/>
          <w:highlight w:val="none"/>
          <w:lang w:eastAsia="zh-CN"/>
        </w:rPr>
        <w:t>）</w:t>
      </w:r>
      <w:r>
        <w:rPr>
          <w:rFonts w:hint="eastAsia" w:ascii="宋体" w:hAnsi="宋体" w:eastAsia="宋体" w:cs="宋体"/>
          <w:color w:val="auto"/>
          <w:szCs w:val="21"/>
          <w:highlight w:val="none"/>
        </w:rPr>
        <w:t>类似项目业绩</w:t>
      </w:r>
    </w:p>
    <w:p w14:paraId="729240A5">
      <w:pPr>
        <w:pStyle w:val="7"/>
        <w:ind w:firstLine="0"/>
        <w:rPr>
          <w:rFonts w:hint="eastAsia" w:ascii="宋体" w:hAnsi="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9</w:t>
      </w:r>
      <w:r>
        <w:rPr>
          <w:rFonts w:hint="eastAsia" w:ascii="宋体" w:hAnsi="宋体" w:cs="宋体"/>
          <w:szCs w:val="21"/>
          <w:highlight w:val="none"/>
          <w:lang w:eastAsia="zh-CN"/>
        </w:rPr>
        <w:t>）</w:t>
      </w:r>
      <w:r>
        <w:rPr>
          <w:rFonts w:hint="eastAsia" w:ascii="宋体" w:hAnsi="宋体" w:eastAsia="宋体" w:cs="宋体"/>
          <w:szCs w:val="21"/>
          <w:highlight w:val="none"/>
        </w:rPr>
        <w:t>项目实施方案</w:t>
      </w:r>
    </w:p>
    <w:p w14:paraId="37BECC17">
      <w:pPr>
        <w:pStyle w:val="7"/>
        <w:ind w:firstLine="0"/>
        <w:rPr>
          <w:rFonts w:hint="eastAsia" w:ascii="宋体" w:hAnsi="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10</w:t>
      </w:r>
      <w:r>
        <w:rPr>
          <w:rFonts w:hint="eastAsia" w:ascii="宋体" w:hAnsi="宋体" w:cs="宋体"/>
          <w:szCs w:val="21"/>
          <w:highlight w:val="none"/>
          <w:lang w:eastAsia="zh-CN"/>
        </w:rPr>
        <w:t>）</w:t>
      </w:r>
      <w:r>
        <w:rPr>
          <w:rFonts w:hint="eastAsia" w:ascii="宋体" w:hAnsi="宋体" w:cs="宋体"/>
          <w:color w:val="000000"/>
          <w:kern w:val="0"/>
          <w:szCs w:val="21"/>
          <w:highlight w:val="none"/>
        </w:rPr>
        <w:t>拟安排的项目负责人情况（仅限一人）</w:t>
      </w:r>
    </w:p>
    <w:p w14:paraId="67F6F097">
      <w:pPr>
        <w:pStyle w:val="7"/>
        <w:ind w:firstLine="0"/>
        <w:rPr>
          <w:rFonts w:hint="eastAsia" w:ascii="宋体" w:hAnsi="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11</w:t>
      </w:r>
      <w:r>
        <w:rPr>
          <w:rFonts w:hint="eastAsia" w:ascii="宋体" w:hAnsi="宋体" w:cs="宋体"/>
          <w:szCs w:val="21"/>
          <w:highlight w:val="none"/>
          <w:lang w:eastAsia="zh-CN"/>
        </w:rPr>
        <w:t>）</w:t>
      </w:r>
      <w:r>
        <w:rPr>
          <w:rFonts w:hint="eastAsia" w:ascii="宋体" w:hAnsi="宋体" w:cs="宋体"/>
          <w:color w:val="000000"/>
          <w:kern w:val="0"/>
          <w:szCs w:val="21"/>
          <w:highlight w:val="none"/>
        </w:rPr>
        <w:t>拟安排的项目团队成员情况（项目负责人除外）</w:t>
      </w:r>
    </w:p>
    <w:p w14:paraId="4D04CE69">
      <w:pPr>
        <w:spacing w:line="276" w:lineRule="auto"/>
        <w:rPr>
          <w:rFonts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12</w:t>
      </w:r>
      <w:r>
        <w:rPr>
          <w:rFonts w:hint="eastAsia" w:ascii="宋体" w:hAnsi="宋体" w:eastAsia="宋体" w:cs="宋体"/>
          <w:szCs w:val="21"/>
          <w:highlight w:val="none"/>
        </w:rPr>
        <w:t>）投标人认为需要加以说明的其他内容（格式自定）</w:t>
      </w:r>
    </w:p>
    <w:p w14:paraId="2D43BE47">
      <w:pPr>
        <w:ind w:firstLine="426" w:firstLineChars="202"/>
        <w:rPr>
          <w:rFonts w:ascii="Times New Roman" w:hAnsi="Times New Roman" w:eastAsia="宋体" w:cs="Times New Roman"/>
          <w:b/>
          <w:szCs w:val="21"/>
        </w:rPr>
      </w:pPr>
      <w:bookmarkStart w:id="48" w:name="_Hlk72257771"/>
    </w:p>
    <w:p w14:paraId="3B6E54EB">
      <w:pPr>
        <w:rPr>
          <w:rFonts w:ascii="Times New Roman" w:hAnsi="Times New Roman" w:eastAsia="宋体" w:cs="Times New Roman"/>
          <w:b/>
          <w:szCs w:val="21"/>
        </w:rPr>
      </w:pPr>
      <w:r>
        <w:rPr>
          <w:rFonts w:ascii="Times New Roman" w:hAnsi="Times New Roman" w:eastAsia="宋体" w:cs="Times New Roman"/>
          <w:b/>
          <w:szCs w:val="21"/>
        </w:rPr>
        <w:t>备注：</w:t>
      </w:r>
    </w:p>
    <w:p w14:paraId="4B5AAF4B">
      <w:pPr>
        <w:ind w:firstLine="422" w:firstLineChars="200"/>
        <w:rPr>
          <w:rFonts w:ascii="宋体" w:hAnsi="宋体" w:eastAsia="宋体" w:cs="宋体"/>
          <w:b/>
          <w:szCs w:val="21"/>
        </w:rPr>
      </w:pPr>
      <w:r>
        <w:rPr>
          <w:rFonts w:hint="eastAsia" w:ascii="宋体" w:hAnsi="宋体" w:eastAsia="宋体" w:cs="宋体"/>
          <w:b/>
          <w:szCs w:val="21"/>
        </w:rPr>
        <w:t>1.本项目为网上电子投标项目，投标文件不需法人或授权委托人另行签字，无需加盖单位公章，招标文件另有规定的除外。</w:t>
      </w:r>
    </w:p>
    <w:p w14:paraId="66FD239C">
      <w:pPr>
        <w:ind w:firstLine="422" w:firstLineChars="200"/>
        <w:rPr>
          <w:rFonts w:ascii="宋体" w:hAnsi="宋体" w:eastAsia="宋体" w:cs="宋体"/>
          <w:b/>
          <w:szCs w:val="21"/>
        </w:rPr>
      </w:pPr>
      <w:bookmarkStart w:id="49" w:name="_Hlk72263559"/>
      <w:r>
        <w:rPr>
          <w:rFonts w:hint="eastAsia" w:ascii="宋体" w:hAnsi="宋体" w:eastAsia="宋体" w:cs="宋体"/>
          <w:b/>
          <w:szCs w:val="21"/>
        </w:rPr>
        <w:t>2.关于填写“开标一览表”的说明：“开标一览表”中除“投标报价”外，其他信息不作评审依据。</w:t>
      </w:r>
      <w:bookmarkEnd w:id="48"/>
      <w:bookmarkEnd w:id="49"/>
    </w:p>
    <w:p w14:paraId="24845C4D">
      <w:pPr>
        <w:rPr>
          <w:rFonts w:ascii="Times New Roman" w:hAnsi="Times New Roman" w:eastAsia="宋体" w:cs="Times New Roman"/>
          <w:color w:val="FF0000"/>
          <w:sz w:val="24"/>
          <w:szCs w:val="24"/>
        </w:rPr>
      </w:pPr>
    </w:p>
    <w:p w14:paraId="47AF3437">
      <w:pPr>
        <w:widowControl/>
        <w:jc w:val="left"/>
        <w:rPr>
          <w:rFonts w:ascii="Times New Roman" w:hAnsi="Times New Roman" w:eastAsia="宋体" w:cs="Times New Roman"/>
          <w:color w:val="FF0000"/>
          <w:sz w:val="24"/>
          <w:szCs w:val="24"/>
        </w:rPr>
      </w:pPr>
      <w:r>
        <w:rPr>
          <w:rFonts w:ascii="Times New Roman" w:hAnsi="Times New Roman" w:eastAsia="宋体" w:cs="Times New Roman"/>
          <w:color w:val="FF0000"/>
          <w:sz w:val="24"/>
          <w:szCs w:val="24"/>
        </w:rPr>
        <w:br w:type="page"/>
      </w:r>
    </w:p>
    <w:p w14:paraId="1675CE8C">
      <w:pPr>
        <w:rPr>
          <w:rFonts w:ascii="Times New Roman" w:hAnsi="Times New Roman" w:eastAsia="宋体" w:cs="Times New Roman"/>
          <w:color w:val="FF0000"/>
          <w:sz w:val="24"/>
          <w:szCs w:val="24"/>
        </w:rPr>
      </w:pPr>
    </w:p>
    <w:p w14:paraId="53548756">
      <w:pPr>
        <w:outlineLvl w:val="1"/>
        <w:rPr>
          <w:rFonts w:ascii="Times New Roman" w:hAnsi="Times New Roman" w:eastAsia="宋体" w:cs="Times New Roman"/>
          <w:b/>
          <w:color w:val="FF0000"/>
          <w:sz w:val="28"/>
          <w:szCs w:val="28"/>
        </w:rPr>
      </w:pPr>
      <w:r>
        <w:rPr>
          <w:rFonts w:ascii="Times New Roman" w:hAnsi="Times New Roman" w:eastAsia="宋体" w:cs="Times New Roman"/>
          <w:b/>
          <w:color w:val="FF0000"/>
          <w:sz w:val="28"/>
          <w:szCs w:val="28"/>
        </w:rPr>
        <w:t>投标文件正文（信息公开部分）</w:t>
      </w:r>
    </w:p>
    <w:p w14:paraId="1CA3AD9A">
      <w:pPr>
        <w:keepNext/>
        <w:keepLines/>
        <w:spacing w:before="260" w:after="260"/>
        <w:jc w:val="center"/>
        <w:outlineLvl w:val="2"/>
        <w:rPr>
          <w:rFonts w:ascii="Times New Roman" w:hAnsi="Times New Roman" w:eastAsia="黑体" w:cs="Times New Roman"/>
          <w:bCs/>
          <w:sz w:val="24"/>
          <w:szCs w:val="32"/>
        </w:rPr>
      </w:pPr>
      <w:r>
        <w:rPr>
          <w:rFonts w:ascii="Times New Roman" w:hAnsi="Times New Roman" w:eastAsia="黑体" w:cs="Times New Roman"/>
          <w:bCs/>
          <w:sz w:val="24"/>
          <w:szCs w:val="32"/>
        </w:rPr>
        <w:t>一、投标函</w:t>
      </w:r>
    </w:p>
    <w:p w14:paraId="59645769">
      <w:pPr>
        <w:spacing w:line="360" w:lineRule="auto"/>
        <w:rPr>
          <w:rFonts w:ascii="Times New Roman" w:hAnsi="Times New Roman" w:eastAsia="宋体" w:cs="Times New Roman"/>
          <w:szCs w:val="21"/>
        </w:rPr>
      </w:pPr>
      <w:bookmarkStart w:id="50" w:name="_Hlk72257506"/>
      <w:r>
        <w:rPr>
          <w:rFonts w:ascii="Times New Roman" w:hAnsi="Times New Roman" w:eastAsia="宋体" w:cs="Times New Roman"/>
          <w:szCs w:val="21"/>
        </w:rPr>
        <w:t>致：</w:t>
      </w:r>
      <w:r>
        <w:rPr>
          <w:rFonts w:ascii="Times New Roman" w:hAnsi="Times New Roman" w:eastAsia="宋体" w:cs="Times New Roman"/>
          <w:color w:val="FF0000"/>
          <w:szCs w:val="21"/>
          <w:u w:val="single"/>
        </w:rPr>
        <w:t>深圳公共资源交易中心</w:t>
      </w:r>
    </w:p>
    <w:p w14:paraId="4468B7D3">
      <w:pPr>
        <w:spacing w:line="360" w:lineRule="auto"/>
        <w:ind w:firstLine="420" w:firstLineChars="200"/>
        <w:rPr>
          <w:rFonts w:ascii="宋体" w:hAnsi="宋体" w:eastAsia="宋体" w:cs="宋体"/>
          <w:szCs w:val="21"/>
        </w:rPr>
      </w:pPr>
      <w:bookmarkStart w:id="51" w:name="_Hlk73818812"/>
      <w:r>
        <w:rPr>
          <w:rFonts w:hint="eastAsia" w:ascii="宋体" w:hAnsi="宋体" w:eastAsia="宋体" w:cs="宋体"/>
          <w:szCs w:val="21"/>
        </w:rPr>
        <w:t>1.根据已收到贵单位的项目编号为</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rPr>
        <w:t>的</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rPr>
        <w:t>项目的招标文件，遵照《深圳经济特区政府采购条例》和《深圳网上政府采购管理暂行办法》等有关规定，我单位经研究上述招标文件的专用条款及通用条款后，</w:t>
      </w:r>
      <w:bookmarkStart w:id="52" w:name="_Hlk72263588"/>
      <w:r>
        <w:rPr>
          <w:rFonts w:hint="eastAsia" w:ascii="宋体" w:hAnsi="宋体" w:eastAsia="宋体" w:cs="宋体"/>
          <w:szCs w:val="21"/>
        </w:rPr>
        <w:t>愿意按照招标文件要求承包上述项目并修补其任何缺陷。</w:t>
      </w:r>
      <w:bookmarkEnd w:id="52"/>
    </w:p>
    <w:p w14:paraId="3C58F59A">
      <w:pPr>
        <w:spacing w:line="360" w:lineRule="auto"/>
        <w:ind w:firstLine="420" w:firstLineChars="200"/>
        <w:rPr>
          <w:rFonts w:ascii="宋体" w:hAnsi="宋体" w:eastAsia="宋体" w:cs="宋体"/>
          <w:szCs w:val="21"/>
        </w:rPr>
      </w:pPr>
      <w:r>
        <w:rPr>
          <w:rFonts w:hint="eastAsia" w:ascii="宋体" w:hAnsi="宋体" w:eastAsia="宋体" w:cs="宋体"/>
          <w:szCs w:val="21"/>
        </w:rPr>
        <w:t>2</w:t>
      </w:r>
      <w:bookmarkStart w:id="53" w:name="_Hlk73819847"/>
      <w:r>
        <w:rPr>
          <w:rFonts w:hint="eastAsia" w:ascii="宋体" w:hAnsi="宋体" w:eastAsia="宋体" w:cs="宋体"/>
          <w:szCs w:val="21"/>
        </w:rPr>
        <w:t>.投标价格见</w:t>
      </w:r>
      <w:r>
        <w:rPr>
          <w:rFonts w:hint="eastAsia" w:ascii="宋体" w:hAnsi="宋体" w:eastAsia="宋体" w:cs="宋体"/>
          <w:szCs w:val="24"/>
        </w:rPr>
        <w:t>投标文件制作软件</w:t>
      </w:r>
      <w:r>
        <w:rPr>
          <w:rFonts w:hint="eastAsia" w:ascii="宋体" w:hAnsi="宋体" w:eastAsia="宋体" w:cs="宋体"/>
          <w:szCs w:val="21"/>
        </w:rPr>
        <w:t>中《开标一览表》中填写的投标报价。</w:t>
      </w:r>
      <w:bookmarkEnd w:id="53"/>
    </w:p>
    <w:p w14:paraId="4E62ACBC">
      <w:pPr>
        <w:spacing w:line="360" w:lineRule="auto"/>
        <w:ind w:firstLine="420" w:firstLineChars="200"/>
        <w:rPr>
          <w:rFonts w:ascii="宋体" w:hAnsi="宋体" w:eastAsia="宋体" w:cs="宋体"/>
          <w:szCs w:val="21"/>
        </w:rPr>
      </w:pPr>
      <w:r>
        <w:rPr>
          <w:rFonts w:hint="eastAsia" w:ascii="宋体" w:hAnsi="宋体" w:eastAsia="宋体" w:cs="宋体"/>
          <w:szCs w:val="21"/>
        </w:rPr>
        <w:t>3.如果我单位中标，我单位将按照招标文件的要求提交履约担保。</w:t>
      </w:r>
    </w:p>
    <w:p w14:paraId="640F0236">
      <w:pPr>
        <w:spacing w:line="360" w:lineRule="auto"/>
        <w:ind w:firstLine="420" w:firstLineChars="200"/>
        <w:rPr>
          <w:rFonts w:ascii="宋体" w:hAnsi="宋体" w:eastAsia="宋体" w:cs="宋体"/>
          <w:szCs w:val="21"/>
        </w:rPr>
      </w:pPr>
      <w:r>
        <w:rPr>
          <w:rFonts w:hint="eastAsia" w:ascii="宋体" w:hAnsi="宋体" w:eastAsia="宋体" w:cs="宋体"/>
          <w:szCs w:val="21"/>
        </w:rPr>
        <w:t>4.我单位同意所递交的投标文件在“对通用条款的补充内容”中明确的投标有效期内有效，在此期间内我单位的投标有可能中标，我方将受此约束。</w:t>
      </w:r>
    </w:p>
    <w:p w14:paraId="1E48AE22">
      <w:pPr>
        <w:spacing w:line="360" w:lineRule="auto"/>
        <w:ind w:firstLine="420" w:firstLineChars="200"/>
        <w:rPr>
          <w:rFonts w:ascii="宋体" w:hAnsi="宋体" w:eastAsia="宋体" w:cs="宋体"/>
          <w:szCs w:val="21"/>
        </w:rPr>
      </w:pPr>
      <w:r>
        <w:rPr>
          <w:rFonts w:hint="eastAsia" w:ascii="宋体" w:hAnsi="宋体" w:eastAsia="宋体" w:cs="宋体"/>
          <w:szCs w:val="21"/>
        </w:rPr>
        <w:t>5.除非另外达成协议并生效，贵单位的中标通知书和本投标文件将构成合同的重要内容。</w:t>
      </w:r>
    </w:p>
    <w:p w14:paraId="7CB244DE">
      <w:pPr>
        <w:spacing w:line="360" w:lineRule="auto"/>
        <w:ind w:firstLine="420" w:firstLineChars="200"/>
        <w:rPr>
          <w:rFonts w:ascii="宋体" w:hAnsi="宋体" w:eastAsia="宋体" w:cs="宋体"/>
          <w:szCs w:val="21"/>
        </w:rPr>
      </w:pPr>
      <w:r>
        <w:rPr>
          <w:rFonts w:hint="eastAsia" w:ascii="宋体" w:hAnsi="宋体" w:eastAsia="宋体" w:cs="宋体"/>
          <w:szCs w:val="21"/>
        </w:rPr>
        <w:t>6.我单位理解贵单位将不受必须接受所收到的最低报价或其它任何投标文件的约束。</w:t>
      </w:r>
      <w:bookmarkEnd w:id="51"/>
    </w:p>
    <w:p w14:paraId="6D634E0D">
      <w:pPr>
        <w:spacing w:line="360" w:lineRule="auto"/>
        <w:ind w:firstLine="420" w:firstLineChars="200"/>
        <w:rPr>
          <w:rFonts w:ascii="宋体" w:hAnsi="宋体" w:eastAsia="宋体" w:cs="宋体"/>
          <w:szCs w:val="21"/>
        </w:rPr>
      </w:pPr>
      <w:r>
        <w:rPr>
          <w:rFonts w:hint="eastAsia" w:ascii="宋体" w:hAnsi="宋体" w:eastAsia="宋体" w:cs="宋体"/>
          <w:szCs w:val="21"/>
        </w:rPr>
        <w:t>7.如我单位提交样品，且未在规定时间内取回样品的，视同放弃取回，同意深圳公共资源交易中心对我单位提交的样品进行清理。</w:t>
      </w:r>
    </w:p>
    <w:p w14:paraId="33833381">
      <w:pPr>
        <w:spacing w:line="360" w:lineRule="auto"/>
        <w:ind w:left="420" w:leftChars="200"/>
        <w:rPr>
          <w:rFonts w:ascii="Times New Roman" w:hAnsi="Times New Roman" w:eastAsia="宋体" w:cs="Times New Roman"/>
          <w:szCs w:val="21"/>
        </w:rPr>
      </w:pPr>
    </w:p>
    <w:p w14:paraId="5627399B">
      <w:pPr>
        <w:spacing w:line="360" w:lineRule="auto"/>
        <w:ind w:left="420" w:leftChars="200"/>
        <w:rPr>
          <w:rFonts w:ascii="Times New Roman" w:hAnsi="Times New Roman" w:eastAsia="宋体" w:cs="Times New Roman"/>
          <w:szCs w:val="21"/>
        </w:rPr>
      </w:pPr>
      <w:r>
        <w:rPr>
          <w:rFonts w:ascii="Times New Roman" w:hAnsi="Times New Roman" w:eastAsia="宋体" w:cs="Times New Roman"/>
          <w:szCs w:val="21"/>
        </w:rPr>
        <w:t>投标人：</w:t>
      </w:r>
      <w:r>
        <w:rPr>
          <w:rFonts w:ascii="Times New Roman" w:hAnsi="Times New Roman" w:eastAsia="宋体" w:cs="Times New Roman"/>
          <w:szCs w:val="21"/>
          <w:u w:val="single"/>
        </w:rPr>
        <w:t xml:space="preserve">                                  </w:t>
      </w:r>
      <w:r>
        <w:rPr>
          <w:rFonts w:ascii="Times New Roman" w:hAnsi="Times New Roman" w:eastAsia="宋体" w:cs="Times New Roman"/>
          <w:szCs w:val="21"/>
        </w:rPr>
        <w:t xml:space="preserve">       单位地址：</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t xml:space="preserve">          </w:t>
      </w:r>
    </w:p>
    <w:p w14:paraId="47B3C00B">
      <w:pPr>
        <w:spacing w:line="360" w:lineRule="auto"/>
        <w:ind w:left="420" w:leftChars="200"/>
        <w:rPr>
          <w:rFonts w:ascii="Times New Roman" w:hAnsi="Times New Roman" w:eastAsia="宋体" w:cs="Times New Roman"/>
          <w:szCs w:val="21"/>
        </w:rPr>
      </w:pPr>
      <w:r>
        <w:rPr>
          <w:rFonts w:ascii="Times New Roman" w:hAnsi="Times New Roman" w:eastAsia="宋体" w:cs="Times New Roman"/>
          <w:szCs w:val="21"/>
        </w:rPr>
        <w:t>法定代表人（负责人）或其代理人：</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        </w:t>
      </w:r>
    </w:p>
    <w:p w14:paraId="60826E81">
      <w:pPr>
        <w:spacing w:line="360" w:lineRule="auto"/>
        <w:ind w:left="420" w:leftChars="200"/>
        <w:rPr>
          <w:rFonts w:ascii="Times New Roman" w:hAnsi="Times New Roman" w:eastAsia="宋体" w:cs="Times New Roman"/>
          <w:szCs w:val="21"/>
        </w:rPr>
      </w:pPr>
      <w:r>
        <w:rPr>
          <w:rFonts w:ascii="Times New Roman" w:hAnsi="Times New Roman" w:eastAsia="宋体" w:cs="Times New Roman"/>
          <w:szCs w:val="21"/>
        </w:rPr>
        <w:t>邮政编码：</w:t>
      </w:r>
      <w:r>
        <w:rPr>
          <w:rFonts w:ascii="Times New Roman" w:hAnsi="Times New Roman" w:eastAsia="宋体" w:cs="Times New Roman"/>
          <w:szCs w:val="21"/>
          <w:u w:val="single"/>
        </w:rPr>
        <w:t xml:space="preserve">                    </w:t>
      </w:r>
      <w:r>
        <w:rPr>
          <w:rFonts w:ascii="Times New Roman" w:hAnsi="Times New Roman" w:eastAsia="宋体" w:cs="Times New Roman"/>
          <w:szCs w:val="21"/>
        </w:rPr>
        <w:t xml:space="preserve">                 电话：</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t xml:space="preserve">        </w:t>
      </w:r>
    </w:p>
    <w:p w14:paraId="5F4BD062">
      <w:pPr>
        <w:spacing w:line="360" w:lineRule="auto"/>
        <w:ind w:left="420" w:leftChars="200"/>
        <w:rPr>
          <w:rFonts w:ascii="Times New Roman" w:hAnsi="Times New Roman" w:eastAsia="宋体" w:cs="Times New Roman"/>
          <w:szCs w:val="21"/>
        </w:rPr>
      </w:pPr>
      <w:r>
        <w:rPr>
          <w:rFonts w:hint="eastAsia" w:ascii="Times New Roman" w:hAnsi="Times New Roman" w:eastAsia="宋体" w:cs="Times New Roman"/>
          <w:szCs w:val="21"/>
        </w:rPr>
        <w:t>传真</w:t>
      </w:r>
      <w:r>
        <w:rPr>
          <w:rFonts w:ascii="Times New Roman" w:hAnsi="Times New Roman" w:eastAsia="宋体" w:cs="Times New Roman"/>
          <w:szCs w:val="21"/>
        </w:rPr>
        <w:t>：</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      </w:t>
      </w:r>
    </w:p>
    <w:p w14:paraId="484D3810">
      <w:pPr>
        <w:spacing w:line="360" w:lineRule="auto"/>
        <w:ind w:left="420" w:leftChars="200"/>
        <w:rPr>
          <w:rFonts w:ascii="Times New Roman" w:hAnsi="Times New Roman" w:eastAsia="宋体" w:cs="Times New Roman"/>
          <w:szCs w:val="21"/>
        </w:rPr>
      </w:pPr>
      <w:r>
        <w:rPr>
          <w:rFonts w:ascii="Times New Roman" w:hAnsi="Times New Roman" w:eastAsia="宋体" w:cs="Times New Roman"/>
          <w:szCs w:val="21"/>
        </w:rPr>
        <w:t>日期：</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   </w:t>
      </w:r>
      <w:r>
        <w:rPr>
          <w:rFonts w:ascii="Times New Roman" w:hAnsi="Times New Roman" w:eastAsia="宋体" w:cs="Times New Roman"/>
          <w:szCs w:val="21"/>
        </w:rPr>
        <w:t>年</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 </w:t>
      </w:r>
      <w:r>
        <w:rPr>
          <w:rFonts w:ascii="Times New Roman" w:hAnsi="Times New Roman" w:eastAsia="宋体" w:cs="Times New Roman"/>
          <w:szCs w:val="21"/>
        </w:rPr>
        <w:t>月</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 </w:t>
      </w:r>
      <w:r>
        <w:rPr>
          <w:rFonts w:ascii="Times New Roman" w:hAnsi="Times New Roman" w:eastAsia="宋体" w:cs="Times New Roman"/>
          <w:szCs w:val="21"/>
        </w:rPr>
        <w:t>日</w:t>
      </w:r>
    </w:p>
    <w:p w14:paraId="7E888D27">
      <w:pPr>
        <w:pStyle w:val="7"/>
      </w:pPr>
    </w:p>
    <w:p w14:paraId="00A99BE7">
      <w:pPr>
        <w:widowControl/>
        <w:jc w:val="left"/>
        <w:rPr>
          <w:rFonts w:ascii="Times New Roman" w:hAnsi="Times New Roman" w:eastAsia="黑体" w:cs="Times New Roman"/>
          <w:szCs w:val="24"/>
        </w:rPr>
      </w:pPr>
      <w:r>
        <w:rPr>
          <w:rFonts w:ascii="Times New Roman" w:hAnsi="Times New Roman" w:eastAsia="黑体" w:cs="Times New Roman"/>
          <w:szCs w:val="24"/>
        </w:rPr>
        <w:br w:type="page"/>
      </w:r>
    </w:p>
    <w:bookmarkEnd w:id="50"/>
    <w:p w14:paraId="391E423C">
      <w:pPr>
        <w:keepNext/>
        <w:keepLines/>
        <w:spacing w:before="260" w:after="260"/>
        <w:jc w:val="center"/>
        <w:outlineLvl w:val="2"/>
        <w:rPr>
          <w:rFonts w:ascii="Times New Roman" w:hAnsi="Times New Roman" w:eastAsia="黑体" w:cs="Times New Roman"/>
          <w:bCs/>
          <w:sz w:val="24"/>
          <w:szCs w:val="32"/>
        </w:rPr>
      </w:pPr>
      <w:r>
        <w:rPr>
          <w:rFonts w:ascii="Times New Roman" w:hAnsi="Times New Roman" w:eastAsia="黑体" w:cs="Times New Roman"/>
          <w:bCs/>
          <w:sz w:val="24"/>
          <w:szCs w:val="32"/>
        </w:rPr>
        <w:t>二、政府采购投标及履约承诺函</w:t>
      </w:r>
    </w:p>
    <w:p w14:paraId="2928B237">
      <w:pPr>
        <w:widowControl/>
        <w:jc w:val="left"/>
        <w:rPr>
          <w:rFonts w:ascii="宋体" w:hAnsi="宋体" w:eastAsia="宋体" w:cs="Times New Roman"/>
          <w:color w:val="FF0000"/>
          <w:kern w:val="0"/>
          <w:sz w:val="24"/>
          <w:szCs w:val="21"/>
        </w:rPr>
      </w:pPr>
      <w:bookmarkStart w:id="54" w:name="_Hlk72257530"/>
      <w:r>
        <w:rPr>
          <w:rFonts w:hint="eastAsia" w:ascii="宋体" w:hAnsi="宋体" w:eastAsia="宋体" w:cs="Times New Roman"/>
          <w:color w:val="FF0000"/>
          <w:kern w:val="0"/>
          <w:sz w:val="24"/>
          <w:szCs w:val="21"/>
        </w:rPr>
        <w:t>致：</w:t>
      </w:r>
      <w:r>
        <w:rPr>
          <w:rFonts w:hint="eastAsia" w:ascii="宋体" w:hAnsi="宋体" w:eastAsia="宋体" w:cs="Times New Roman"/>
          <w:color w:val="FF0000"/>
          <w:kern w:val="0"/>
          <w:sz w:val="24"/>
          <w:szCs w:val="21"/>
          <w:u w:val="single"/>
        </w:rPr>
        <w:t>深圳公共资源交易中心</w:t>
      </w:r>
    </w:p>
    <w:bookmarkEnd w:id="54"/>
    <w:p w14:paraId="4A6236A5">
      <w:pPr>
        <w:widowControl/>
        <w:spacing w:line="360" w:lineRule="auto"/>
        <w:ind w:right="-815" w:firstLine="480" w:firstLineChars="200"/>
        <w:jc w:val="left"/>
        <w:rPr>
          <w:rFonts w:ascii="宋体" w:hAnsi="宋体" w:cs="Times New Roman"/>
          <w:kern w:val="0"/>
          <w:sz w:val="24"/>
          <w:szCs w:val="21"/>
        </w:rPr>
      </w:pPr>
      <w:r>
        <w:rPr>
          <w:rFonts w:hint="eastAsia" w:ascii="宋体" w:hAnsi="宋体" w:cs="Times New Roman"/>
          <w:kern w:val="0"/>
          <w:sz w:val="24"/>
          <w:szCs w:val="21"/>
        </w:rPr>
        <w:t>我单位承诺：</w:t>
      </w:r>
    </w:p>
    <w:p w14:paraId="6B5B8525">
      <w:pPr>
        <w:ind w:firstLine="420" w:firstLineChars="200"/>
        <w:rPr>
          <w:rFonts w:hint="eastAsia" w:ascii="宋体" w:hAnsi="宋体" w:eastAsia="宋体"/>
          <w:b w:val="0"/>
          <w:bCs/>
          <w:szCs w:val="21"/>
          <w:lang w:val="en-US" w:eastAsia="zh-CN"/>
        </w:rPr>
      </w:pPr>
      <w:r>
        <w:rPr>
          <w:rFonts w:hint="eastAsia" w:ascii="宋体" w:hAnsi="宋体"/>
          <w:b w:val="0"/>
          <w:bCs/>
          <w:szCs w:val="21"/>
          <w:lang w:val="en-US" w:eastAsia="zh-CN"/>
        </w:rPr>
        <w:t>1.我单位</w:t>
      </w:r>
      <w:r>
        <w:rPr>
          <w:rFonts w:hint="eastAsia" w:ascii="宋体" w:hAnsi="宋体"/>
          <w:b w:val="0"/>
          <w:bCs/>
          <w:szCs w:val="21"/>
        </w:rPr>
        <w:t>参与本</w:t>
      </w:r>
      <w:r>
        <w:rPr>
          <w:rFonts w:hint="eastAsia" w:ascii="宋体" w:hAnsi="宋体"/>
          <w:b w:val="0"/>
          <w:bCs/>
          <w:szCs w:val="21"/>
          <w:lang w:val="en-US" w:eastAsia="zh-CN"/>
        </w:rPr>
        <w:t>项目符合资格条件关于联合体、进口产品的要求</w:t>
      </w:r>
      <w:r>
        <w:rPr>
          <w:rFonts w:hint="eastAsia"/>
          <w:lang w:eastAsia="zh-CN"/>
        </w:rPr>
        <w:t>。</w:t>
      </w:r>
    </w:p>
    <w:p w14:paraId="01F2169F">
      <w:pPr>
        <w:widowControl/>
        <w:spacing w:line="360" w:lineRule="auto"/>
        <w:ind w:firstLine="480" w:firstLineChars="200"/>
        <w:jc w:val="left"/>
        <w:rPr>
          <w:rFonts w:ascii="宋体" w:hAnsi="宋体" w:cs="Times New Roman"/>
          <w:kern w:val="0"/>
          <w:sz w:val="24"/>
          <w:szCs w:val="21"/>
        </w:rPr>
      </w:pPr>
      <w:r>
        <w:rPr>
          <w:rFonts w:hint="eastAsia" w:ascii="宋体" w:hAnsi="宋体" w:cs="Times New Roman"/>
          <w:kern w:val="0"/>
          <w:sz w:val="24"/>
          <w:szCs w:val="21"/>
          <w:lang w:val="en-US" w:eastAsia="zh-CN"/>
        </w:rPr>
        <w:t>2</w:t>
      </w:r>
      <w:r>
        <w:rPr>
          <w:rFonts w:hint="eastAsia" w:ascii="宋体" w:hAnsi="宋体" w:cs="Times New Roman"/>
          <w:kern w:val="0"/>
          <w:sz w:val="24"/>
          <w:szCs w:val="21"/>
        </w:rPr>
        <w:t>.我单位参与本项目所投标（响应）的货物、工程或服务，不存在侵犯知识产权的情况。</w:t>
      </w:r>
    </w:p>
    <w:p w14:paraId="2472FA1E">
      <w:pPr>
        <w:widowControl/>
        <w:spacing w:line="360" w:lineRule="auto"/>
        <w:ind w:firstLine="480" w:firstLineChars="200"/>
        <w:jc w:val="left"/>
        <w:rPr>
          <w:rFonts w:ascii="宋体" w:hAnsi="宋体" w:cs="Times New Roman"/>
          <w:kern w:val="0"/>
          <w:sz w:val="24"/>
          <w:szCs w:val="21"/>
        </w:rPr>
      </w:pPr>
      <w:r>
        <w:rPr>
          <w:rFonts w:hint="eastAsia" w:ascii="宋体" w:hAnsi="宋体" w:cs="Times New Roman"/>
          <w:kern w:val="0"/>
          <w:sz w:val="24"/>
          <w:szCs w:val="21"/>
          <w:lang w:val="en-US" w:eastAsia="zh-CN"/>
        </w:rPr>
        <w:t>3</w:t>
      </w:r>
      <w:r>
        <w:rPr>
          <w:rFonts w:hint="eastAsia" w:ascii="宋体" w:hAnsi="宋体" w:cs="Times New Roman"/>
          <w:kern w:val="0"/>
          <w:sz w:val="24"/>
          <w:szCs w:val="21"/>
        </w:rPr>
        <w:t>.我单位参与本项目政府采购活动时不存在被有关部门禁止参与政府采购活动且在有效期内的情况。</w:t>
      </w:r>
    </w:p>
    <w:p w14:paraId="2442F2B5">
      <w:pPr>
        <w:widowControl/>
        <w:spacing w:line="360" w:lineRule="auto"/>
        <w:ind w:firstLine="480" w:firstLineChars="200"/>
        <w:jc w:val="left"/>
        <w:rPr>
          <w:rFonts w:ascii="宋体" w:hAnsi="宋体" w:cs="Times New Roman"/>
          <w:kern w:val="0"/>
          <w:sz w:val="24"/>
          <w:szCs w:val="21"/>
        </w:rPr>
      </w:pPr>
      <w:r>
        <w:rPr>
          <w:rFonts w:hint="eastAsia" w:ascii="宋体" w:hAnsi="宋体" w:cs="Times New Roman"/>
          <w:kern w:val="0"/>
          <w:sz w:val="24"/>
          <w:szCs w:val="21"/>
          <w:lang w:val="en-US" w:eastAsia="zh-CN"/>
        </w:rPr>
        <w:t>4</w:t>
      </w:r>
      <w:r>
        <w:rPr>
          <w:rFonts w:hint="eastAsia" w:ascii="宋体" w:hAnsi="宋体" w:cs="Times New Roman"/>
          <w:kern w:val="0"/>
          <w:sz w:val="24"/>
          <w:szCs w:val="21"/>
        </w:rPr>
        <w:t>.我单位具备《中华人民共和国政府采购法》第二十二条第一款规定的六项条件。</w:t>
      </w:r>
    </w:p>
    <w:p w14:paraId="384256FA">
      <w:pPr>
        <w:widowControl/>
        <w:spacing w:line="360" w:lineRule="auto"/>
        <w:ind w:firstLine="480" w:firstLineChars="200"/>
        <w:jc w:val="left"/>
        <w:rPr>
          <w:rFonts w:ascii="宋体" w:hAnsi="宋体" w:cs="Times New Roman"/>
          <w:kern w:val="0"/>
          <w:sz w:val="24"/>
          <w:szCs w:val="21"/>
        </w:rPr>
      </w:pPr>
      <w:r>
        <w:rPr>
          <w:rFonts w:hint="eastAsia" w:ascii="宋体" w:hAnsi="宋体" w:cs="Times New Roman"/>
          <w:kern w:val="0"/>
          <w:sz w:val="24"/>
          <w:szCs w:val="21"/>
          <w:lang w:val="en-US" w:eastAsia="zh-CN"/>
        </w:rPr>
        <w:t>5</w:t>
      </w:r>
      <w:r>
        <w:rPr>
          <w:rFonts w:hint="eastAsia" w:ascii="宋体" w:hAnsi="宋体" w:cs="Times New Roman"/>
          <w:kern w:val="0"/>
          <w:sz w:val="24"/>
          <w:szCs w:val="21"/>
        </w:rPr>
        <w:t>.我单位未被列入失信被执行人、重大税收违法案件当事人名单、政府采购严重违法失信行为记录名单。</w:t>
      </w:r>
    </w:p>
    <w:p w14:paraId="765E9709">
      <w:pPr>
        <w:widowControl/>
        <w:spacing w:line="360" w:lineRule="auto"/>
        <w:ind w:firstLine="480" w:firstLineChars="200"/>
        <w:jc w:val="left"/>
        <w:rPr>
          <w:rFonts w:ascii="宋体" w:hAnsi="宋体" w:cs="Times New Roman"/>
          <w:kern w:val="0"/>
          <w:sz w:val="24"/>
          <w:szCs w:val="21"/>
        </w:rPr>
      </w:pPr>
      <w:r>
        <w:rPr>
          <w:rFonts w:hint="eastAsia" w:ascii="宋体" w:hAnsi="宋体" w:cs="Times New Roman"/>
          <w:kern w:val="0"/>
          <w:sz w:val="24"/>
          <w:szCs w:val="21"/>
          <w:lang w:val="en-US" w:eastAsia="zh-CN"/>
        </w:rPr>
        <w:t>6</w:t>
      </w:r>
      <w:r>
        <w:rPr>
          <w:rFonts w:hint="eastAsia" w:ascii="宋体" w:hAnsi="宋体" w:cs="Times New Roman"/>
          <w:kern w:val="0"/>
          <w:sz w:val="24"/>
          <w:szCs w:val="21"/>
        </w:rPr>
        <w:t>.我单位不存在《深圳市财政局政府采购供应商信用信息管理办法》（深财规〔2023〕3号）列明的严重违法失信行为。</w:t>
      </w:r>
    </w:p>
    <w:p w14:paraId="5B97A950">
      <w:pPr>
        <w:widowControl/>
        <w:spacing w:line="360" w:lineRule="auto"/>
        <w:ind w:firstLine="480" w:firstLineChars="200"/>
        <w:jc w:val="left"/>
        <w:rPr>
          <w:rFonts w:ascii="宋体" w:hAnsi="宋体" w:cs="Times New Roman"/>
          <w:kern w:val="0"/>
          <w:sz w:val="24"/>
          <w:szCs w:val="21"/>
        </w:rPr>
      </w:pPr>
      <w:r>
        <w:rPr>
          <w:rFonts w:hint="eastAsia" w:ascii="宋体" w:hAnsi="宋体" w:cs="Times New Roman"/>
          <w:kern w:val="0"/>
          <w:sz w:val="24"/>
          <w:szCs w:val="21"/>
          <w:lang w:val="en-US" w:eastAsia="zh-CN"/>
        </w:rPr>
        <w:t>7</w:t>
      </w:r>
      <w:r>
        <w:rPr>
          <w:rFonts w:hint="eastAsia" w:ascii="宋体" w:hAnsi="宋体" w:cs="Times New Roman"/>
          <w:kern w:val="0"/>
          <w:sz w:val="24"/>
          <w:szCs w:val="21"/>
        </w:rPr>
        <w:t>.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57178C73">
      <w:pPr>
        <w:widowControl/>
        <w:spacing w:line="360" w:lineRule="auto"/>
        <w:ind w:firstLine="480" w:firstLineChars="200"/>
        <w:jc w:val="left"/>
        <w:rPr>
          <w:rFonts w:ascii="宋体" w:hAnsi="宋体" w:cs="Times New Roman"/>
          <w:kern w:val="0"/>
          <w:sz w:val="24"/>
          <w:szCs w:val="21"/>
        </w:rPr>
      </w:pPr>
      <w:r>
        <w:rPr>
          <w:rFonts w:hint="eastAsia" w:ascii="宋体" w:hAnsi="宋体" w:cs="Times New Roman"/>
          <w:kern w:val="0"/>
          <w:sz w:val="24"/>
          <w:szCs w:val="21"/>
          <w:lang w:val="en-US" w:eastAsia="zh-CN"/>
        </w:rPr>
        <w:t>8</w:t>
      </w:r>
      <w:r>
        <w:rPr>
          <w:rFonts w:hint="eastAsia" w:ascii="宋体" w:hAnsi="宋体" w:cs="Times New Roman"/>
          <w:kern w:val="0"/>
          <w:sz w:val="24"/>
          <w:szCs w:val="21"/>
        </w:rPr>
        <w:t>.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696142F7">
      <w:pPr>
        <w:widowControl/>
        <w:spacing w:line="360" w:lineRule="auto"/>
        <w:ind w:firstLine="480" w:firstLineChars="200"/>
        <w:jc w:val="left"/>
        <w:rPr>
          <w:rFonts w:ascii="宋体" w:hAnsi="宋体" w:cs="Times New Roman"/>
          <w:kern w:val="0"/>
          <w:sz w:val="24"/>
          <w:szCs w:val="21"/>
        </w:rPr>
      </w:pPr>
      <w:r>
        <w:rPr>
          <w:rFonts w:hint="eastAsia" w:ascii="宋体" w:hAnsi="宋体" w:cs="Times New Roman"/>
          <w:kern w:val="0"/>
          <w:sz w:val="24"/>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029831E2">
      <w:pPr>
        <w:widowControl/>
        <w:spacing w:line="360" w:lineRule="auto"/>
        <w:ind w:firstLine="480" w:firstLineChars="200"/>
        <w:jc w:val="left"/>
        <w:rPr>
          <w:rFonts w:ascii="宋体" w:hAnsi="宋体" w:cs="Times New Roman"/>
          <w:kern w:val="0"/>
          <w:sz w:val="24"/>
          <w:szCs w:val="21"/>
        </w:rPr>
      </w:pPr>
      <w:r>
        <w:rPr>
          <w:rFonts w:hint="eastAsia" w:ascii="宋体" w:hAnsi="宋体" w:cs="Times New Roman"/>
          <w:kern w:val="0"/>
          <w:sz w:val="24"/>
          <w:szCs w:val="21"/>
          <w:lang w:val="en-US" w:eastAsia="zh-CN"/>
        </w:rPr>
        <w:t>9</w:t>
      </w:r>
      <w:r>
        <w:rPr>
          <w:rFonts w:hint="eastAsia" w:ascii="宋体" w:hAnsi="宋体" w:cs="Times New Roman"/>
          <w:kern w:val="0"/>
          <w:sz w:val="24"/>
          <w:szCs w:val="21"/>
        </w:rPr>
        <w:t>.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20654D88">
      <w:pPr>
        <w:widowControl/>
        <w:spacing w:line="360" w:lineRule="auto"/>
        <w:ind w:firstLine="480" w:firstLineChars="200"/>
        <w:jc w:val="left"/>
        <w:rPr>
          <w:rFonts w:ascii="宋体" w:hAnsi="宋体" w:cs="Times New Roman"/>
          <w:kern w:val="0"/>
          <w:sz w:val="24"/>
          <w:szCs w:val="21"/>
        </w:rPr>
      </w:pPr>
      <w:r>
        <w:rPr>
          <w:rFonts w:hint="eastAsia" w:ascii="宋体" w:hAnsi="宋体" w:cs="Times New Roman"/>
          <w:kern w:val="0"/>
          <w:sz w:val="24"/>
          <w:szCs w:val="21"/>
          <w:lang w:val="en-US" w:eastAsia="zh-CN"/>
        </w:rPr>
        <w:t>10</w:t>
      </w:r>
      <w:r>
        <w:rPr>
          <w:rFonts w:hint="eastAsia" w:ascii="宋体" w:hAnsi="宋体" w:cs="Times New Roman"/>
          <w:kern w:val="0"/>
          <w:sz w:val="24"/>
          <w:szCs w:val="21"/>
        </w:rPr>
        <w:t>.我单位承诺中标后项目不转包，未经采购人同意不进行分包。</w:t>
      </w:r>
    </w:p>
    <w:p w14:paraId="707AC21C">
      <w:pPr>
        <w:widowControl/>
        <w:spacing w:line="360" w:lineRule="auto"/>
        <w:ind w:firstLine="480" w:firstLineChars="200"/>
        <w:jc w:val="left"/>
        <w:rPr>
          <w:rFonts w:ascii="宋体" w:hAnsi="宋体" w:cs="Times New Roman"/>
          <w:kern w:val="0"/>
          <w:sz w:val="24"/>
          <w:szCs w:val="21"/>
        </w:rPr>
      </w:pPr>
      <w:r>
        <w:rPr>
          <w:rFonts w:hint="eastAsia" w:ascii="宋体" w:hAnsi="宋体" w:cs="Times New Roman"/>
          <w:kern w:val="0"/>
          <w:sz w:val="24"/>
          <w:szCs w:val="21"/>
          <w:lang w:val="en-US" w:eastAsia="zh-CN"/>
        </w:rPr>
        <w:t>11</w:t>
      </w:r>
      <w:r>
        <w:rPr>
          <w:rFonts w:hint="eastAsia" w:ascii="宋体" w:hAnsi="宋体" w:cs="Times New Roman"/>
          <w:kern w:val="0"/>
          <w:sz w:val="24"/>
          <w:szCs w:val="21"/>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455D6160">
      <w:pPr>
        <w:widowControl/>
        <w:spacing w:line="360" w:lineRule="auto"/>
        <w:ind w:firstLine="480" w:firstLineChars="200"/>
        <w:jc w:val="left"/>
        <w:rPr>
          <w:rFonts w:ascii="宋体" w:hAnsi="宋体" w:cs="Times New Roman"/>
          <w:kern w:val="0"/>
          <w:sz w:val="24"/>
          <w:szCs w:val="21"/>
        </w:rPr>
      </w:pPr>
      <w:r>
        <w:rPr>
          <w:rFonts w:hint="eastAsia" w:ascii="宋体" w:hAnsi="宋体" w:cs="Times New Roman"/>
          <w:kern w:val="0"/>
          <w:sz w:val="24"/>
          <w:szCs w:val="21"/>
          <w:lang w:val="en-US" w:eastAsia="zh-CN"/>
        </w:rPr>
        <w:t>12</w:t>
      </w:r>
      <w:r>
        <w:rPr>
          <w:rFonts w:hint="eastAsia" w:ascii="宋体" w:hAnsi="宋体" w:cs="Times New Roman"/>
          <w:kern w:val="0"/>
          <w:sz w:val="24"/>
          <w:szCs w:val="21"/>
        </w:rPr>
        <w:t>.我单位保证，若所投货物涉及《关于印发节能产品政府采购品目清单的通知》(财库〔2019〕19号)列明的政府采购强制产品，则所投该产品符合节能产品的认证要求。若所投产品包括数据中心相关设备的，应满足《财政部 生态环境部 工业和信息化部关于印发&lt;绿色数据中心政府采购需求标准（试行）&gt;的通知》（财库〔2023〕7号）要求。若所投产品涉及国家强制性标准的，所投产品应符合国家强制性标准相关要求。</w:t>
      </w:r>
    </w:p>
    <w:p w14:paraId="29101FDE">
      <w:pPr>
        <w:widowControl/>
        <w:spacing w:line="360" w:lineRule="auto"/>
        <w:ind w:firstLine="480" w:firstLineChars="200"/>
        <w:jc w:val="left"/>
        <w:rPr>
          <w:rFonts w:ascii="宋体" w:hAnsi="宋体" w:cs="Times New Roman"/>
          <w:kern w:val="0"/>
          <w:sz w:val="24"/>
          <w:szCs w:val="21"/>
        </w:rPr>
      </w:pPr>
      <w:r>
        <w:rPr>
          <w:rFonts w:hint="eastAsia" w:ascii="宋体" w:hAnsi="宋体" w:cs="Times New Roman"/>
          <w:kern w:val="0"/>
          <w:sz w:val="24"/>
          <w:szCs w:val="21"/>
          <w:lang w:val="en-US" w:eastAsia="zh-CN"/>
        </w:rPr>
        <w:t>13</w:t>
      </w:r>
      <w:r>
        <w:rPr>
          <w:rFonts w:hint="eastAsia" w:ascii="宋体" w:hAnsi="宋体" w:cs="Times New Roman"/>
          <w:kern w:val="0"/>
          <w:sz w:val="24"/>
          <w:szCs w:val="21"/>
        </w:rPr>
        <w:t>.我单位已知悉并同意中标（成交）结果信息公示（公开）的内容。</w:t>
      </w:r>
    </w:p>
    <w:p w14:paraId="5A625554">
      <w:pPr>
        <w:widowControl/>
        <w:spacing w:line="360" w:lineRule="auto"/>
        <w:ind w:firstLine="480" w:firstLineChars="200"/>
        <w:jc w:val="left"/>
        <w:rPr>
          <w:rFonts w:ascii="宋体" w:hAnsi="宋体" w:cs="Times New Roman"/>
          <w:kern w:val="0"/>
          <w:sz w:val="24"/>
          <w:szCs w:val="21"/>
        </w:rPr>
      </w:pPr>
      <w:r>
        <w:rPr>
          <w:rFonts w:hint="eastAsia" w:ascii="宋体" w:hAnsi="宋体" w:cs="Times New Roman"/>
          <w:kern w:val="0"/>
          <w:sz w:val="24"/>
          <w:szCs w:val="21"/>
          <w:lang w:val="en-US" w:eastAsia="zh-CN"/>
        </w:rPr>
        <w:t>14</w:t>
      </w:r>
      <w:r>
        <w:rPr>
          <w:rFonts w:hint="eastAsia" w:ascii="宋体" w:hAnsi="宋体" w:cs="Times New Roman"/>
          <w:kern w:val="0"/>
          <w:sz w:val="24"/>
          <w:szCs w:val="21"/>
        </w:rPr>
        <w:t>.我单位保证，符合《中华人民共和国政府采购法实施条例》第十八条规定，与其他投标供应商不存在单位负责人为同一人或者存在直接控股、管理关系；不存在为本次采购项目提供整体设计、规范编制或者项目管理、监理、检测等服务的情形。若存在“不同供应商的董事、股东或其他高级管理人员为同一人的”情形的，我单位保证不存在串通投标、恶意串通或者视为串通投标的情形。</w:t>
      </w:r>
    </w:p>
    <w:p w14:paraId="16BA773B">
      <w:pPr>
        <w:widowControl/>
        <w:spacing w:line="360" w:lineRule="auto"/>
        <w:ind w:firstLine="480" w:firstLineChars="200"/>
        <w:jc w:val="left"/>
        <w:rPr>
          <w:rFonts w:ascii="宋体" w:hAnsi="宋体" w:cs="Times New Roman"/>
          <w:kern w:val="0"/>
          <w:sz w:val="24"/>
          <w:szCs w:val="21"/>
        </w:rPr>
      </w:pPr>
      <w:r>
        <w:rPr>
          <w:rFonts w:hint="eastAsia" w:ascii="宋体" w:hAnsi="宋体" w:cs="Times New Roman"/>
          <w:kern w:val="0"/>
          <w:sz w:val="24"/>
          <w:szCs w:val="21"/>
          <w:lang w:val="en-US" w:eastAsia="zh-CN"/>
        </w:rPr>
        <w:t>15</w:t>
      </w:r>
      <w:r>
        <w:rPr>
          <w:rFonts w:hint="eastAsia" w:ascii="宋体" w:hAnsi="宋体" w:cs="Times New Roman"/>
          <w:kern w:val="0"/>
          <w:sz w:val="24"/>
          <w:szCs w:val="21"/>
        </w:rPr>
        <w:t>.我单位清楚，如存在违反投标承诺行为情节严重的，将根据《深圳市财政局关于印发&lt;深圳市财政局政府采购供应商信用信息管理办法&gt;的通知》，依法被列入失信信息。</w:t>
      </w:r>
    </w:p>
    <w:p w14:paraId="2E42F62F">
      <w:pPr>
        <w:widowControl/>
        <w:spacing w:line="360" w:lineRule="auto"/>
        <w:ind w:firstLine="480" w:firstLineChars="200"/>
        <w:jc w:val="left"/>
        <w:rPr>
          <w:rFonts w:ascii="宋体" w:hAnsi="宋体" w:cs="Times New Roman"/>
          <w:kern w:val="0"/>
          <w:sz w:val="24"/>
          <w:szCs w:val="21"/>
        </w:rPr>
      </w:pPr>
      <w:r>
        <w:rPr>
          <w:rFonts w:hint="eastAsia" w:ascii="宋体" w:hAnsi="宋体" w:cs="Times New Roman"/>
          <w:kern w:val="0"/>
          <w:sz w:val="24"/>
          <w:szCs w:val="21"/>
        </w:rPr>
        <w:t>以上承诺，如有违反，愿依照国家相关法律法规处理，并承担由此给采购人带来的损失。</w:t>
      </w:r>
    </w:p>
    <w:p w14:paraId="55EC2753">
      <w:pPr>
        <w:widowControl/>
        <w:spacing w:before="78" w:beforeLines="25" w:after="78" w:afterLines="25" w:line="360" w:lineRule="auto"/>
        <w:ind w:firstLine="6240" w:firstLineChars="2600"/>
        <w:jc w:val="left"/>
        <w:rPr>
          <w:rFonts w:ascii="宋体" w:hAnsi="宋体" w:cs="Times New Roman"/>
          <w:kern w:val="0"/>
          <w:sz w:val="24"/>
          <w:szCs w:val="21"/>
        </w:rPr>
      </w:pPr>
      <w:r>
        <w:rPr>
          <w:rFonts w:hint="eastAsia" w:ascii="宋体" w:hAnsi="宋体" w:cs="Times New Roman"/>
          <w:kern w:val="0"/>
          <w:sz w:val="24"/>
          <w:szCs w:val="21"/>
        </w:rPr>
        <w:t xml:space="preserve">                                    </w:t>
      </w:r>
    </w:p>
    <w:p w14:paraId="50FAC51D">
      <w:pPr>
        <w:widowControl/>
        <w:spacing w:before="78" w:beforeLines="25" w:after="78" w:afterLines="25" w:line="360" w:lineRule="auto"/>
        <w:ind w:firstLine="5520" w:firstLineChars="2300"/>
        <w:jc w:val="left"/>
        <w:rPr>
          <w:rFonts w:ascii="Times New Roman" w:hAnsi="Times New Roman" w:cs="Times New Roman"/>
          <w:color w:val="FF0000"/>
          <w:kern w:val="0"/>
          <w:sz w:val="24"/>
          <w:szCs w:val="24"/>
        </w:rPr>
      </w:pPr>
      <w:r>
        <w:rPr>
          <w:rFonts w:hint="eastAsia" w:ascii="Times New Roman" w:hAnsi="Times New Roman" w:cs="Times New Roman"/>
          <w:color w:val="FF0000"/>
          <w:kern w:val="0"/>
          <w:sz w:val="24"/>
          <w:szCs w:val="21"/>
        </w:rPr>
        <w:t>投标人：</w:t>
      </w:r>
      <w:r>
        <w:rPr>
          <w:rFonts w:hint="eastAsia" w:ascii="Times New Roman" w:hAnsi="Times New Roman" w:cs="Times New Roman"/>
          <w:color w:val="FF0000"/>
          <w:kern w:val="0"/>
          <w:sz w:val="24"/>
          <w:szCs w:val="21"/>
          <w:u w:val="single"/>
        </w:rPr>
        <w:t xml:space="preserve">              </w:t>
      </w:r>
    </w:p>
    <w:p w14:paraId="0E16D3C4">
      <w:pPr>
        <w:widowControl/>
        <w:jc w:val="left"/>
        <w:rPr>
          <w:rFonts w:ascii="宋体" w:hAnsi="宋体" w:cs="Times New Roman"/>
          <w:color w:val="FF0000"/>
          <w:kern w:val="0"/>
          <w:sz w:val="24"/>
          <w:szCs w:val="21"/>
        </w:rPr>
      </w:pPr>
      <w:r>
        <w:rPr>
          <w:rFonts w:hint="eastAsia" w:ascii="宋体" w:hAnsi="宋体" w:cs="Times New Roman"/>
          <w:color w:val="FF0000"/>
          <w:kern w:val="0"/>
          <w:sz w:val="24"/>
          <w:szCs w:val="21"/>
        </w:rPr>
        <w:t xml:space="preserve">                                          日期：</w:t>
      </w:r>
      <w:r>
        <w:rPr>
          <w:rFonts w:hint="eastAsia" w:ascii="宋体" w:hAnsi="宋体" w:cs="Times New Roman"/>
          <w:color w:val="FF0000"/>
          <w:kern w:val="0"/>
          <w:sz w:val="24"/>
          <w:szCs w:val="21"/>
          <w:u w:val="single"/>
        </w:rPr>
        <w:t xml:space="preserve">    </w:t>
      </w:r>
      <w:r>
        <w:rPr>
          <w:rFonts w:hint="eastAsia" w:ascii="宋体" w:hAnsi="宋体" w:cs="Times New Roman"/>
          <w:color w:val="FF0000"/>
          <w:kern w:val="0"/>
          <w:sz w:val="24"/>
          <w:szCs w:val="21"/>
        </w:rPr>
        <w:t>年</w:t>
      </w:r>
      <w:r>
        <w:rPr>
          <w:rFonts w:hint="eastAsia" w:ascii="宋体" w:hAnsi="宋体" w:cs="Times New Roman"/>
          <w:color w:val="FF0000"/>
          <w:kern w:val="0"/>
          <w:sz w:val="24"/>
          <w:szCs w:val="21"/>
          <w:u w:val="single"/>
        </w:rPr>
        <w:t xml:space="preserve">   </w:t>
      </w:r>
      <w:r>
        <w:rPr>
          <w:rFonts w:hint="eastAsia" w:ascii="宋体" w:hAnsi="宋体" w:cs="Times New Roman"/>
          <w:color w:val="FF0000"/>
          <w:kern w:val="0"/>
          <w:sz w:val="24"/>
          <w:szCs w:val="21"/>
        </w:rPr>
        <w:t>月</w:t>
      </w:r>
      <w:r>
        <w:rPr>
          <w:rFonts w:hint="eastAsia" w:ascii="宋体" w:hAnsi="宋体" w:cs="Times New Roman"/>
          <w:color w:val="FF0000"/>
          <w:kern w:val="0"/>
          <w:sz w:val="24"/>
          <w:szCs w:val="21"/>
          <w:u w:val="single"/>
        </w:rPr>
        <w:t xml:space="preserve">   </w:t>
      </w:r>
      <w:r>
        <w:rPr>
          <w:rFonts w:hint="eastAsia" w:ascii="宋体" w:hAnsi="宋体" w:cs="Times New Roman"/>
          <w:color w:val="FF0000"/>
          <w:kern w:val="0"/>
          <w:sz w:val="24"/>
          <w:szCs w:val="21"/>
        </w:rPr>
        <w:t>日</w:t>
      </w:r>
    </w:p>
    <w:p w14:paraId="4552AD61">
      <w:pPr>
        <w:widowControl/>
        <w:jc w:val="left"/>
        <w:rPr>
          <w:rFonts w:ascii="宋体" w:hAnsi="宋体" w:cs="Times New Roman"/>
          <w:color w:val="FF0000"/>
          <w:kern w:val="0"/>
          <w:sz w:val="24"/>
          <w:szCs w:val="21"/>
        </w:rPr>
      </w:pPr>
    </w:p>
    <w:p w14:paraId="236340DF"/>
    <w:p w14:paraId="08B2C510">
      <w:pPr>
        <w:widowControl/>
        <w:jc w:val="left"/>
        <w:rPr>
          <w:rFonts w:ascii="Times New Roman" w:hAnsi="Times New Roman" w:eastAsia="宋体" w:cs="Times New Roman"/>
          <w:b/>
          <w:bCs/>
          <w:sz w:val="24"/>
          <w:szCs w:val="24"/>
        </w:rPr>
      </w:pPr>
    </w:p>
    <w:p w14:paraId="2018666C">
      <w:pPr>
        <w:keepNext/>
        <w:keepLines/>
        <w:spacing w:before="260" w:after="260"/>
        <w:jc w:val="center"/>
        <w:outlineLvl w:val="2"/>
        <w:rPr>
          <w:rFonts w:ascii="Times New Roman" w:hAnsi="Times New Roman" w:eastAsia="黑体" w:cs="Times New Roman"/>
          <w:bCs/>
          <w:sz w:val="24"/>
          <w:szCs w:val="24"/>
        </w:rPr>
      </w:pPr>
      <w:r>
        <w:rPr>
          <w:rFonts w:ascii="Times New Roman" w:hAnsi="Times New Roman" w:eastAsia="黑体" w:cs="Times New Roman"/>
          <w:bCs/>
          <w:sz w:val="24"/>
          <w:szCs w:val="24"/>
        </w:rPr>
        <w:t>三、投标人情况及资格证明文件</w:t>
      </w:r>
    </w:p>
    <w:p w14:paraId="4ABA3F29">
      <w:pPr>
        <w:tabs>
          <w:tab w:val="left" w:pos="720"/>
        </w:tabs>
        <w:jc w:val="center"/>
        <w:rPr>
          <w:rFonts w:ascii="Times New Roman" w:hAnsi="Times New Roman" w:eastAsia="宋体" w:cs="Times New Roman"/>
          <w:b/>
          <w:sz w:val="24"/>
          <w:szCs w:val="24"/>
        </w:rPr>
      </w:pPr>
      <w:bookmarkStart w:id="55" w:name="_Hlk72257590"/>
      <w:r>
        <w:rPr>
          <w:rFonts w:ascii="Times New Roman" w:hAnsi="Times New Roman" w:eastAsia="宋体" w:cs="Times New Roman"/>
          <w:b/>
          <w:sz w:val="24"/>
          <w:szCs w:val="24"/>
        </w:rPr>
        <w:t>（一）投标人资格证明文件</w:t>
      </w:r>
    </w:p>
    <w:p w14:paraId="3583458F">
      <w:pPr>
        <w:spacing w:before="156" w:beforeLines="50"/>
        <w:ind w:firstLine="422" w:firstLineChars="200"/>
        <w:rPr>
          <w:rFonts w:ascii="宋体" w:hAnsi="宋体" w:eastAsia="宋体" w:cs="宋体"/>
          <w:b/>
          <w:bCs/>
          <w:color w:val="FF0000"/>
          <w:szCs w:val="21"/>
        </w:rPr>
      </w:pPr>
      <w:r>
        <w:rPr>
          <w:rFonts w:hint="eastAsia" w:ascii="宋体" w:hAnsi="宋体" w:eastAsia="宋体" w:cs="宋体"/>
          <w:b/>
          <w:bCs/>
          <w:color w:val="FF0000"/>
          <w:szCs w:val="21"/>
        </w:rPr>
        <w:t>（特别提示：投标人须按本招标文件第一册第一章招标公告“申请人的资格要求”（即投标人资格要求）提供相关的资格证明资料，未提供或提供不完整、不符合要求的，将作投标无效处理，其中要求提供《政府采购投标及履约承诺函》《供应商基本情况表》且已在规定章节中提供的，此处不重复提供。）</w:t>
      </w:r>
    </w:p>
    <w:p w14:paraId="2AC4AB88">
      <w:pPr>
        <w:rPr>
          <w:rFonts w:ascii="宋体" w:hAnsi="宋体" w:eastAsia="宋体" w:cs="宋体"/>
          <w:b/>
          <w:szCs w:val="21"/>
        </w:rPr>
      </w:pPr>
    </w:p>
    <w:p w14:paraId="684ADB8A">
      <w:pPr>
        <w:tabs>
          <w:tab w:val="left" w:pos="720"/>
        </w:tabs>
        <w:jc w:val="center"/>
        <w:rPr>
          <w:rFonts w:ascii="Times New Roman" w:hAnsi="Times New Roman" w:eastAsia="宋体" w:cs="Times New Roman"/>
          <w:b/>
          <w:sz w:val="24"/>
          <w:szCs w:val="24"/>
        </w:rPr>
      </w:pPr>
      <w:r>
        <w:rPr>
          <w:rFonts w:ascii="Times New Roman" w:hAnsi="Times New Roman" w:eastAsia="宋体" w:cs="Times New Roman"/>
          <w:b/>
          <w:sz w:val="24"/>
          <w:szCs w:val="24"/>
        </w:rPr>
        <w:t>（二）</w:t>
      </w:r>
      <w:bookmarkStart w:id="56" w:name="_Hlk72257908"/>
      <w:r>
        <w:rPr>
          <w:rFonts w:ascii="Times New Roman" w:hAnsi="Times New Roman" w:eastAsia="宋体" w:cs="Times New Roman"/>
          <w:b/>
          <w:sz w:val="24"/>
          <w:szCs w:val="24"/>
        </w:rPr>
        <w:t>中小企业声明函、残疾人福利性单位声明函及监狱企业声明函</w:t>
      </w:r>
    </w:p>
    <w:p w14:paraId="6DD928FD">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填写指引：</w:t>
      </w:r>
    </w:p>
    <w:p w14:paraId="032D01C7">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1、该部分内容由投标人根据自身实际情况填写，不符合要求的投标人可以不填写或直接删除相应的声明函。投标人提供的声明函不属实的，属于提供虚假资料谋取中标，依照《中华人民共和国政府采购法》等国家有关规定追究相应责任。</w:t>
      </w:r>
    </w:p>
    <w:p w14:paraId="16ABC0AF">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2、该部分内容填写需要参考的相关文件：</w:t>
      </w:r>
    </w:p>
    <w:p w14:paraId="4F6DC2C5">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(1)财政部《政府采购促进中小企业发展管理办法》（财库〔2020〕46号）；</w:t>
      </w:r>
    </w:p>
    <w:p w14:paraId="587D797F">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(2)《工业和信息化部、国家统计局、国家发展和改革委员会、财政部关于印发中小企业划型标准规定的通知》（工信部联企业〔2011〕300号）；</w:t>
      </w:r>
    </w:p>
    <w:p w14:paraId="4E6E3A3D">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(3)《统计上大中小微型企业划分办法(2017)》（国统字〔2017〕213号）；</w:t>
      </w:r>
    </w:p>
    <w:p w14:paraId="094AC93B">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(4)《关于促进残疾人就业政府采购政策的通知》（财库〔2017〕141号）；</w:t>
      </w:r>
    </w:p>
    <w:p w14:paraId="561E27C9">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(5)《关于政府采购支持监狱企业发展有关问题的通知》（财库〔2014〕68号）</w:t>
      </w:r>
    </w:p>
    <w:p w14:paraId="18A5C5CF">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3、请依照提供的格式和内容填写声明函，不要随意变更格式；声明函不需要盖章或签字。</w:t>
      </w:r>
    </w:p>
    <w:p w14:paraId="1C11D233">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4、声明函具体填写要求：</w:t>
      </w:r>
    </w:p>
    <w:p w14:paraId="115AADB3">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（1）声明是中小企业须填写《中小企业声明函》的以下内容：</w:t>
      </w:r>
    </w:p>
    <w:p w14:paraId="5C01AC63">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第一处，在“单位名称”下划线处如实填写采购人名称（深圳公共资源交易中心不是本项目的采购人，而是组织实施机构）；</w:t>
      </w:r>
    </w:p>
    <w:p w14:paraId="4BD023B9">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 xml:space="preserve">第二处，在“项目名称”下划线处如实填写采购文件中确定的项目名称。对于分包方式面向中小企业采购的项目，应标明中小企业的具体分包内容；对于以联合体方式面向中小企业采购的项目，应标明联合体中中小企业所承担的具体内容； </w:t>
      </w:r>
    </w:p>
    <w:p w14:paraId="5CFF1360">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第三处，在“标的名称”下划线处填写所采购货物（标的）的具体名称（以招标文件第一册第三章用户需求书“货物</w:t>
      </w:r>
      <w:r>
        <w:rPr>
          <w:rFonts w:hint="eastAsia" w:ascii="宋体" w:hAnsi="宋体" w:eastAsia="宋体" w:cs="宋体"/>
          <w:color w:val="0000FF"/>
          <w:szCs w:val="24"/>
          <w:lang w:val="en-US" w:eastAsia="zh-CN"/>
        </w:rPr>
        <w:t>需求</w:t>
      </w:r>
      <w:r>
        <w:rPr>
          <w:rFonts w:hint="eastAsia" w:ascii="宋体" w:hAnsi="宋体" w:eastAsia="宋体" w:cs="宋体"/>
          <w:color w:val="0000FF"/>
          <w:szCs w:val="24"/>
        </w:rPr>
        <w:t xml:space="preserve">明细”的“货物名称”一栏为准）；如果涉及多项货物（标的）为同一企业制造，“标的名称”下划线处可以如实填写多项货物；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 </w:t>
      </w:r>
    </w:p>
    <w:p w14:paraId="6388555C">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第四处，在“采购文件中明确的所属行业”下划线处填写采购标的对应的中小企业划分标准所属行业（所属行业以招标文件第一册第三章用户需求书“货物清单明细”的“标的所属行业”一栏为准），并应确保与采购标的涉及的货物制造商本身的所属行业保持一致。对于分包方式面向中小企业采购的项目，“采购文件中明确的所属行业”应按照采购文件中注明的分包给中小企业的采购标的所属行业填写，并应确保与该分包部分采购标的涉及的货物制造商本身的所属行业保持一致；对于以联合体方式面向中小企业采购的项目，“采购文件中明确的所属行业”应按照采购文件中注明的联合体中中小企业承担的采购标的所属行业填写，并应确保与该分包部分采购标的涉及的货物制造商本身的所属行业保持一致；</w:t>
      </w:r>
    </w:p>
    <w:p w14:paraId="77BA54A6">
      <w:pPr>
        <w:spacing w:line="276" w:lineRule="auto"/>
        <w:ind w:firstLine="420" w:firstLineChars="200"/>
        <w:rPr>
          <w:rFonts w:hint="eastAsia" w:ascii="宋体" w:hAnsi="宋体" w:eastAsia="宋体" w:cs="宋体"/>
          <w:color w:val="0000FF"/>
          <w:szCs w:val="24"/>
        </w:rPr>
      </w:pPr>
      <w:r>
        <w:rPr>
          <w:rFonts w:hint="eastAsia" w:ascii="宋体" w:hAnsi="宋体" w:eastAsia="宋体" w:cs="宋体"/>
          <w:color w:val="0000FF"/>
          <w:szCs w:val="24"/>
        </w:rPr>
        <w:t>第五处，在“企业名称”下划线处如实填写货物制造商名称。对于分包方式面向中小企业采购的项目，“企业名称”应填写分包部分采购标的对应的货物制造商；对于以联合体方式面向中小企业采购的项目，“企业名称”应填写联合体中中小企业承担采购标的对应的货物制造商；</w:t>
      </w:r>
    </w:p>
    <w:p w14:paraId="7D6BCDE8">
      <w:pPr>
        <w:spacing w:line="276" w:lineRule="auto"/>
        <w:ind w:firstLine="420" w:firstLineChars="200"/>
        <w:rPr>
          <w:rFonts w:hint="eastAsia" w:ascii="宋体" w:hAnsi="宋体" w:eastAsia="宋体" w:cs="宋体"/>
          <w:color w:val="0000FF"/>
          <w:szCs w:val="24"/>
        </w:rPr>
      </w:pPr>
      <w:r>
        <w:rPr>
          <w:rFonts w:hint="eastAsia" w:ascii="宋体" w:hAnsi="宋体" w:eastAsia="宋体" w:cs="宋体"/>
          <w:color w:val="0000FF"/>
          <w:szCs w:val="24"/>
          <w:highlight w:val="yellow"/>
        </w:rPr>
        <w:t>根据《政府采购促进中小企业发展管理办法》（财库〔2020〕46 号）第四条规定，在货物采购项目中，由中小企业生产且使用该中小企业商号或者注册商标的中小企业制造商方可享受扶持政策。如货物属于委托代工生产情形的（即货物使用的商号或者注册商标的所属企业与实际生产企业不一致的），不享受中小企业扶持政策，不宜出具中小企业声明；</w:t>
      </w:r>
    </w:p>
    <w:p w14:paraId="65E43543">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第六、七、八处，在“从业人员”、“营业收入”、“资产总额”下划线处如实填写从业人员、营业收入、资产总额。从业人员、资产总额指标以上年度末数据为依据，营业收入指标以上年度累计数据为依据。无上年度数据的新成立企业可不填报。</w:t>
      </w:r>
    </w:p>
    <w:p w14:paraId="75B163F6">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第九处，在“中型企业、小型企业、微型企业”下划线处应依据企业上年度从业人员、营业收入、资产总额等指标，按照《中小企业划型标准规定》（工信部联企业〔2011〕300号）、《金融业企业划型标准规定》（银发〔2015〕309号），判断《中小企业声明函》载明的货物制造商是否属于采购文件所属行业的中型企业/小型企业/微型企业。</w:t>
      </w:r>
    </w:p>
    <w:p w14:paraId="39F65F7D">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 xml:space="preserve">（2）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 </w:t>
      </w:r>
    </w:p>
    <w:p w14:paraId="3985B57E">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（3）事业单位、社会组织等非企业主体不享受中小企业扶持政策，但事业单位、社会组织等非企业主体提供全部由中小企业制造的货物参加货物采购项目的除外。</w:t>
      </w:r>
    </w:p>
    <w:p w14:paraId="4170CB0B">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（4）声明是残疾人福利性单位须填写《残疾人福利性单位声明函》的相关内容，具体参照以上《中小企业声明函》填写要求执行。</w:t>
      </w:r>
    </w:p>
    <w:p w14:paraId="53D20251">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（5）声明是监狱企业须填写《监狱企业声明函》的三项内容（填写位置的字体已加粗），具体参照以上《中小企业声明函》填写要求执行。</w:t>
      </w:r>
    </w:p>
    <w:p w14:paraId="31671DC4">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5、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r>
        <w:rPr>
          <w:rFonts w:hint="eastAsia" w:ascii="宋体" w:hAnsi="宋体" w:eastAsia="宋体" w:cs="宋体"/>
          <w:bCs/>
          <w:color w:val="0000FF"/>
          <w:szCs w:val="21"/>
          <w:highlight w:val="yellow"/>
        </w:rPr>
        <w:t>供应商应严格按照“填写指引”的要求进行填写，否则可能被判定无效。</w:t>
      </w:r>
    </w:p>
    <w:p w14:paraId="39EEC1AE">
      <w:pPr>
        <w:spacing w:line="276" w:lineRule="auto"/>
        <w:ind w:firstLine="420" w:firstLineChars="200"/>
        <w:rPr>
          <w:rFonts w:ascii="宋体" w:hAnsi="宋体" w:eastAsia="宋体" w:cs="宋体"/>
          <w:color w:val="0000FF"/>
          <w:szCs w:val="24"/>
        </w:rPr>
      </w:pPr>
      <w:r>
        <w:rPr>
          <w:rFonts w:hint="eastAsia" w:ascii="宋体" w:hAnsi="宋体" w:eastAsia="宋体" w:cs="宋体"/>
          <w:color w:val="0000FF"/>
          <w:szCs w:val="24"/>
        </w:rPr>
        <w:t>6、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22252F37">
      <w:pPr>
        <w:spacing w:line="276" w:lineRule="auto"/>
        <w:ind w:firstLine="420" w:firstLineChars="200"/>
        <w:rPr>
          <w:rFonts w:ascii="宋体" w:hAnsi="宋体" w:eastAsia="宋体" w:cs="宋体"/>
          <w:color w:val="0000FF"/>
          <w:szCs w:val="24"/>
        </w:rPr>
      </w:pPr>
    </w:p>
    <w:p w14:paraId="7B518EEC">
      <w:pPr>
        <w:spacing w:line="276" w:lineRule="auto"/>
        <w:ind w:firstLine="420" w:firstLineChars="200"/>
        <w:rPr>
          <w:rFonts w:ascii="宋体" w:hAnsi="宋体" w:eastAsia="宋体" w:cs="宋体"/>
          <w:color w:val="0000FF"/>
          <w:szCs w:val="24"/>
        </w:rPr>
      </w:pPr>
    </w:p>
    <w:p w14:paraId="1101F348">
      <w:pPr>
        <w:adjustRightInd w:val="0"/>
        <w:snapToGrid w:val="0"/>
        <w:spacing w:line="310" w:lineRule="exact"/>
        <w:jc w:val="center"/>
        <w:rPr>
          <w:rFonts w:ascii="宋体" w:hAnsi="宋体" w:eastAsia="宋体" w:cs="宋体"/>
          <w:b/>
          <w:sz w:val="24"/>
          <w:szCs w:val="24"/>
        </w:rPr>
      </w:pPr>
      <w:r>
        <w:rPr>
          <w:rFonts w:hint="eastAsia" w:ascii="宋体" w:hAnsi="宋体" w:eastAsia="宋体" w:cs="宋体"/>
          <w:b/>
          <w:sz w:val="24"/>
          <w:szCs w:val="24"/>
        </w:rPr>
        <w:t>1.中小企业声明函（货物）</w:t>
      </w:r>
    </w:p>
    <w:p w14:paraId="327C3C2F">
      <w:pPr>
        <w:adjustRightInd w:val="0"/>
        <w:snapToGrid w:val="0"/>
        <w:spacing w:line="310" w:lineRule="exact"/>
        <w:ind w:firstLine="480" w:firstLineChars="200"/>
        <w:rPr>
          <w:rFonts w:ascii="宋体" w:hAnsi="宋体" w:eastAsia="宋体" w:cs="宋体"/>
          <w:sz w:val="24"/>
          <w:szCs w:val="24"/>
        </w:rPr>
      </w:pPr>
      <w:r>
        <w:rPr>
          <w:rFonts w:hint="eastAsia" w:ascii="宋体" w:hAnsi="宋体" w:eastAsia="宋体" w:cs="宋体"/>
          <w:sz w:val="24"/>
          <w:szCs w:val="24"/>
        </w:rPr>
        <w:t>本投标人郑重声明，根据《政府采购促进中小企业发展管理办法》（财库﹝2020﹞46 号）的规定，本投标人参加</w:t>
      </w:r>
      <w:r>
        <w:rPr>
          <w:rFonts w:hint="eastAsia" w:ascii="宋体" w:hAnsi="宋体" w:eastAsia="宋体" w:cs="宋体"/>
          <w:b/>
          <w:sz w:val="24"/>
          <w:szCs w:val="24"/>
          <w:u w:val="single"/>
        </w:rPr>
        <w:t>（单位名称）</w:t>
      </w:r>
      <w:r>
        <w:rPr>
          <w:rFonts w:hint="eastAsia" w:ascii="宋体" w:hAnsi="宋体" w:eastAsia="宋体" w:cs="宋体"/>
          <w:sz w:val="24"/>
          <w:szCs w:val="24"/>
        </w:rPr>
        <w:t>的</w:t>
      </w:r>
      <w:r>
        <w:rPr>
          <w:rFonts w:hint="eastAsia" w:ascii="宋体" w:hAnsi="宋体" w:eastAsia="宋体" w:cs="宋体"/>
          <w:b/>
          <w:sz w:val="24"/>
          <w:szCs w:val="24"/>
          <w:u w:val="single"/>
        </w:rPr>
        <w:t>（项目名称）</w:t>
      </w:r>
      <w:r>
        <w:rPr>
          <w:rFonts w:hint="eastAsia" w:ascii="宋体" w:hAnsi="宋体" w:eastAsia="宋体" w:cs="宋体"/>
          <w:sz w:val="24"/>
          <w:szCs w:val="24"/>
        </w:rPr>
        <w:t>采购活动，提供的货物全部由符合政策要求的中小企业制造。相关企业的具体情况如下：</w:t>
      </w:r>
    </w:p>
    <w:p w14:paraId="41454D96">
      <w:pPr>
        <w:adjustRightInd w:val="0"/>
        <w:snapToGrid w:val="0"/>
        <w:spacing w:line="310" w:lineRule="exact"/>
        <w:ind w:firstLine="480" w:firstLineChars="200"/>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b/>
          <w:sz w:val="24"/>
          <w:szCs w:val="24"/>
          <w:u w:val="single"/>
        </w:rPr>
        <w:t>（标的名称）</w:t>
      </w:r>
      <w:r>
        <w:rPr>
          <w:rFonts w:hint="eastAsia" w:ascii="宋体" w:hAnsi="宋体" w:eastAsia="宋体" w:cs="宋体"/>
          <w:sz w:val="24"/>
          <w:szCs w:val="24"/>
        </w:rPr>
        <w:t>，属于</w:t>
      </w:r>
      <w:r>
        <w:rPr>
          <w:rFonts w:hint="eastAsia" w:ascii="宋体" w:hAnsi="宋体" w:eastAsia="宋体" w:cs="宋体"/>
          <w:b/>
          <w:sz w:val="24"/>
          <w:szCs w:val="24"/>
          <w:u w:val="single"/>
        </w:rPr>
        <w:t>（采购文件中明确的所属行业）</w:t>
      </w:r>
      <w:r>
        <w:rPr>
          <w:rFonts w:hint="eastAsia" w:ascii="宋体" w:hAnsi="宋体" w:eastAsia="宋体" w:cs="宋体"/>
          <w:sz w:val="24"/>
          <w:szCs w:val="24"/>
        </w:rPr>
        <w:t>行业；制造商为</w:t>
      </w:r>
      <w:r>
        <w:rPr>
          <w:rFonts w:hint="eastAsia" w:ascii="宋体" w:hAnsi="宋体" w:eastAsia="宋体" w:cs="宋体"/>
          <w:b/>
          <w:sz w:val="24"/>
          <w:szCs w:val="24"/>
          <w:u w:val="single"/>
        </w:rPr>
        <w:t>（企业名称，要求制造商本身所属行业应当与采购文件要求的行业相一致）</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b/>
          <w:sz w:val="24"/>
          <w:szCs w:val="24"/>
          <w:u w:val="single"/>
        </w:rPr>
        <w:t>（中型企业、小型企业、微型企业）</w:t>
      </w:r>
      <w:r>
        <w:rPr>
          <w:rFonts w:hint="eastAsia" w:ascii="宋体" w:hAnsi="宋体" w:eastAsia="宋体" w:cs="宋体"/>
          <w:sz w:val="24"/>
          <w:szCs w:val="24"/>
        </w:rPr>
        <w:t>；</w:t>
      </w:r>
    </w:p>
    <w:p w14:paraId="0C45637A">
      <w:pPr>
        <w:adjustRightInd w:val="0"/>
        <w:snapToGrid w:val="0"/>
        <w:spacing w:line="310" w:lineRule="exact"/>
        <w:ind w:firstLine="480" w:firstLineChars="200"/>
        <w:rPr>
          <w:rFonts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b/>
          <w:sz w:val="24"/>
          <w:szCs w:val="24"/>
          <w:u w:val="single"/>
        </w:rPr>
        <w:t>（标的名称）</w:t>
      </w:r>
      <w:r>
        <w:rPr>
          <w:rFonts w:hint="eastAsia" w:ascii="宋体" w:hAnsi="宋体" w:eastAsia="宋体" w:cs="宋体"/>
          <w:sz w:val="24"/>
          <w:szCs w:val="24"/>
        </w:rPr>
        <w:t>，属于</w:t>
      </w:r>
      <w:r>
        <w:rPr>
          <w:rFonts w:hint="eastAsia" w:ascii="宋体" w:hAnsi="宋体" w:eastAsia="宋体" w:cs="宋体"/>
          <w:b/>
          <w:sz w:val="24"/>
          <w:szCs w:val="24"/>
          <w:u w:val="single"/>
        </w:rPr>
        <w:t>（采购文件中明确的所属行业）</w:t>
      </w:r>
      <w:r>
        <w:rPr>
          <w:rFonts w:hint="eastAsia" w:ascii="宋体" w:hAnsi="宋体" w:eastAsia="宋体" w:cs="宋体"/>
          <w:sz w:val="24"/>
          <w:szCs w:val="24"/>
        </w:rPr>
        <w:t>行业；制造商为</w:t>
      </w:r>
      <w:r>
        <w:rPr>
          <w:rFonts w:hint="eastAsia" w:ascii="宋体" w:hAnsi="宋体" w:eastAsia="宋体" w:cs="宋体"/>
          <w:b/>
          <w:sz w:val="24"/>
          <w:szCs w:val="24"/>
          <w:u w:val="single"/>
        </w:rPr>
        <w:t>（企业名称，要求制造商本身所属行业应当与采购文件要求的行业相一致）</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b/>
          <w:sz w:val="24"/>
          <w:szCs w:val="24"/>
          <w:u w:val="single"/>
        </w:rPr>
        <w:t>（中型企业、小型企业、微型企业）</w:t>
      </w:r>
      <w:r>
        <w:rPr>
          <w:rFonts w:hint="eastAsia" w:ascii="宋体" w:hAnsi="宋体" w:eastAsia="宋体" w:cs="宋体"/>
          <w:sz w:val="24"/>
          <w:szCs w:val="24"/>
        </w:rPr>
        <w:t>；</w:t>
      </w:r>
    </w:p>
    <w:p w14:paraId="65BD9998">
      <w:pPr>
        <w:adjustRightInd w:val="0"/>
        <w:snapToGrid w:val="0"/>
        <w:spacing w:line="310" w:lineRule="exact"/>
        <w:ind w:firstLine="480" w:firstLineChars="200"/>
        <w:rPr>
          <w:rFonts w:ascii="宋体" w:hAnsi="宋体" w:eastAsia="宋体" w:cs="宋体"/>
          <w:sz w:val="24"/>
          <w:szCs w:val="24"/>
        </w:rPr>
      </w:pPr>
      <w:r>
        <w:rPr>
          <w:rFonts w:hint="eastAsia" w:ascii="宋体" w:hAnsi="宋体" w:eastAsia="宋体" w:cs="宋体"/>
          <w:sz w:val="24"/>
          <w:szCs w:val="24"/>
        </w:rPr>
        <w:t xml:space="preserve">…… </w:t>
      </w:r>
    </w:p>
    <w:p w14:paraId="2B72EE23">
      <w:pPr>
        <w:adjustRightInd w:val="0"/>
        <w:snapToGrid w:val="0"/>
        <w:spacing w:line="310" w:lineRule="exact"/>
        <w:ind w:firstLine="480" w:firstLineChars="200"/>
        <w:rPr>
          <w:rFonts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23D61709">
      <w:pPr>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本投标人对上述声明内容的真实性负责。如有虚假，将依法承担相应责任。</w:t>
      </w:r>
    </w:p>
    <w:p w14:paraId="33998454">
      <w:pPr>
        <w:adjustRightInd w:val="0"/>
        <w:snapToGrid w:val="0"/>
        <w:spacing w:line="310" w:lineRule="exact"/>
        <w:ind w:firstLine="480" w:firstLineChars="200"/>
        <w:rPr>
          <w:rFonts w:ascii="宋体" w:hAnsi="宋体" w:eastAsia="宋体" w:cs="宋体"/>
          <w:sz w:val="24"/>
          <w:szCs w:val="24"/>
        </w:rPr>
      </w:pPr>
      <w:bookmarkStart w:id="57" w:name="_Hlk73562203"/>
      <w:r>
        <w:rPr>
          <w:rFonts w:hint="eastAsia" w:ascii="宋体" w:hAnsi="宋体" w:eastAsia="宋体" w:cs="宋体"/>
          <w:sz w:val="24"/>
          <w:szCs w:val="24"/>
        </w:rPr>
        <w:t>本投标人已知悉《政府采购促进中小企业发展管理办法》（财库〔2020〕 46 号）、《中小企业划型标准规定》（工信部联企〔2011〕 300 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57"/>
    </w:p>
    <w:p w14:paraId="7919507B">
      <w:pPr>
        <w:adjustRightInd w:val="0"/>
        <w:snapToGrid w:val="0"/>
        <w:spacing w:line="310" w:lineRule="exact"/>
        <w:ind w:firstLine="6510" w:firstLineChars="3100"/>
        <w:rPr>
          <w:rFonts w:ascii="宋体" w:hAnsi="宋体" w:eastAsia="宋体" w:cs="宋体"/>
          <w:szCs w:val="24"/>
        </w:rPr>
      </w:pPr>
    </w:p>
    <w:p w14:paraId="6C581F68">
      <w:pPr>
        <w:adjustRightInd w:val="0"/>
        <w:snapToGrid w:val="0"/>
        <w:spacing w:line="310" w:lineRule="exact"/>
        <w:jc w:val="center"/>
        <w:rPr>
          <w:rFonts w:ascii="宋体" w:hAnsi="宋体" w:eastAsia="宋体" w:cs="宋体"/>
          <w:b/>
          <w:sz w:val="24"/>
          <w:szCs w:val="24"/>
        </w:rPr>
      </w:pPr>
      <w:r>
        <w:rPr>
          <w:rFonts w:hint="eastAsia" w:ascii="宋体" w:hAnsi="宋体" w:eastAsia="宋体" w:cs="宋体"/>
          <w:b/>
          <w:sz w:val="24"/>
          <w:szCs w:val="24"/>
        </w:rPr>
        <w:t>2.残疾人福利性单位声明函（货物类）</w:t>
      </w:r>
    </w:p>
    <w:p w14:paraId="17C25828">
      <w:pPr>
        <w:spacing w:line="360" w:lineRule="auto"/>
        <w:ind w:firstLine="480" w:firstLineChars="200"/>
        <w:rPr>
          <w:rFonts w:ascii="宋体" w:hAnsi="宋体" w:eastAsia="宋体" w:cs="宋体"/>
          <w:sz w:val="24"/>
          <w:szCs w:val="24"/>
        </w:rPr>
      </w:pPr>
      <w:bookmarkStart w:id="58" w:name="_Hlk73562331"/>
      <w:bookmarkStart w:id="59" w:name="_Hlk73562245"/>
      <w:r>
        <w:rPr>
          <w:rFonts w:hint="eastAsia" w:ascii="宋体" w:hAnsi="宋体" w:eastAsia="宋体" w:cs="宋体"/>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
          <w:bCs/>
          <w:i/>
          <w:iCs/>
          <w:sz w:val="24"/>
          <w:szCs w:val="24"/>
          <w:u w:val="single"/>
        </w:rPr>
        <w:t xml:space="preserve">    （</w:t>
      </w:r>
      <w:r>
        <w:rPr>
          <w:rFonts w:hint="eastAsia" w:ascii="宋体" w:hAnsi="宋体" w:eastAsia="宋体" w:cs="宋体"/>
          <w:b/>
          <w:bCs/>
          <w:i/>
          <w:iCs/>
          <w:sz w:val="24"/>
          <w:szCs w:val="24"/>
          <w:u w:val="single"/>
          <w:lang w:val="en-US" w:eastAsia="zh-CN"/>
        </w:rPr>
        <w:t>采购人</w:t>
      </w:r>
      <w:r>
        <w:rPr>
          <w:rFonts w:hint="eastAsia" w:ascii="宋体" w:hAnsi="宋体" w:eastAsia="宋体" w:cs="宋体"/>
          <w:b/>
          <w:bCs/>
          <w:i/>
          <w:iCs/>
          <w:sz w:val="24"/>
          <w:szCs w:val="24"/>
          <w:u w:val="single"/>
        </w:rPr>
        <w:t xml:space="preserve">名称）    </w:t>
      </w:r>
      <w:r>
        <w:rPr>
          <w:rFonts w:hint="eastAsia" w:ascii="宋体" w:hAnsi="宋体" w:eastAsia="宋体" w:cs="宋体"/>
          <w:sz w:val="24"/>
          <w:szCs w:val="24"/>
        </w:rPr>
        <w:t>单位的</w:t>
      </w:r>
      <w:r>
        <w:rPr>
          <w:rFonts w:hint="eastAsia" w:ascii="宋体" w:hAnsi="宋体" w:eastAsia="宋体" w:cs="宋体"/>
          <w:b/>
          <w:bCs/>
          <w:i/>
          <w:iCs/>
          <w:sz w:val="24"/>
          <w:szCs w:val="24"/>
          <w:u w:val="single"/>
        </w:rPr>
        <w:t xml:space="preserve">    （项目名称）    </w:t>
      </w:r>
      <w:r>
        <w:rPr>
          <w:rFonts w:hint="eastAsia" w:ascii="宋体" w:hAnsi="宋体" w:eastAsia="宋体" w:cs="宋体"/>
          <w:sz w:val="24"/>
          <w:szCs w:val="24"/>
        </w:rPr>
        <w:t>项目采购活动提供本单位制造的货物（由本单位承担工程/提供服务），或者提供其他残疾人福利性单位制造的货物（不包括使用非残疾人福利性单位注册商标的货物）。</w:t>
      </w:r>
    </w:p>
    <w:p w14:paraId="1B212DD4">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本单位对上述声明的真实性负责。如有虚假，将依法承担相应责任。</w:t>
      </w:r>
    </w:p>
    <w:p w14:paraId="20DFEC04">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本投标人已知悉《财政部民政部中国残疾人联合会关于促进残疾人就业政府采购政策的通知》（财库〔2017〕141号）的规定，承诺提供的声明函内容是真实的，如提供声明函内容不实，则依法追究相关法律责任。</w:t>
      </w:r>
      <w:bookmarkEnd w:id="58"/>
    </w:p>
    <w:bookmarkEnd w:id="59"/>
    <w:p w14:paraId="4FB10014">
      <w:pPr>
        <w:adjustRightInd w:val="0"/>
        <w:snapToGrid w:val="0"/>
        <w:spacing w:line="310" w:lineRule="exact"/>
        <w:ind w:firstLine="420" w:firstLineChars="200"/>
        <w:rPr>
          <w:rFonts w:ascii="宋体" w:hAnsi="宋体" w:eastAsia="宋体" w:cs="宋体"/>
          <w:szCs w:val="21"/>
        </w:rPr>
      </w:pPr>
    </w:p>
    <w:p w14:paraId="2EB29800">
      <w:pPr>
        <w:adjustRightInd w:val="0"/>
        <w:snapToGrid w:val="0"/>
        <w:spacing w:line="310" w:lineRule="exact"/>
        <w:ind w:firstLine="6510" w:firstLineChars="3100"/>
        <w:rPr>
          <w:rFonts w:ascii="宋体" w:hAnsi="宋体" w:eastAsia="宋体" w:cs="宋体"/>
          <w:szCs w:val="21"/>
        </w:rPr>
      </w:pPr>
    </w:p>
    <w:p w14:paraId="46CEC043">
      <w:pPr>
        <w:adjustRightInd w:val="0"/>
        <w:snapToGrid w:val="0"/>
        <w:spacing w:line="310" w:lineRule="exact"/>
        <w:jc w:val="center"/>
        <w:rPr>
          <w:rFonts w:ascii="宋体" w:hAnsi="宋体" w:eastAsia="宋体" w:cs="宋体"/>
          <w:b/>
          <w:sz w:val="24"/>
          <w:szCs w:val="24"/>
        </w:rPr>
      </w:pPr>
    </w:p>
    <w:p w14:paraId="62DAFCB6">
      <w:pPr>
        <w:adjustRightInd w:val="0"/>
        <w:snapToGrid w:val="0"/>
        <w:spacing w:line="310" w:lineRule="exact"/>
        <w:jc w:val="center"/>
        <w:rPr>
          <w:rFonts w:ascii="宋体" w:hAnsi="宋体" w:eastAsia="宋体" w:cs="宋体"/>
          <w:b/>
          <w:sz w:val="24"/>
          <w:szCs w:val="24"/>
        </w:rPr>
      </w:pPr>
      <w:r>
        <w:rPr>
          <w:rFonts w:hint="eastAsia" w:ascii="宋体" w:hAnsi="宋体" w:eastAsia="宋体" w:cs="宋体"/>
          <w:b/>
          <w:sz w:val="24"/>
          <w:szCs w:val="24"/>
        </w:rPr>
        <w:t>3.监狱企业声明函【货物类，提供监狱企业货物的供应商如需享受优惠政策，还须另行提供省级以上监狱管理局、戒毒管理局（含新疆生产建设兵团）出具的监狱企业证明文件】</w:t>
      </w:r>
    </w:p>
    <w:p w14:paraId="274A96AB">
      <w:pPr>
        <w:adjustRightInd w:val="0"/>
        <w:snapToGrid w:val="0"/>
        <w:spacing w:line="310" w:lineRule="exact"/>
        <w:ind w:firstLine="480" w:firstLineChars="200"/>
        <w:rPr>
          <w:rFonts w:ascii="宋体" w:hAnsi="宋体" w:eastAsia="宋体" w:cs="宋体"/>
          <w:sz w:val="24"/>
          <w:szCs w:val="24"/>
        </w:rPr>
      </w:pPr>
      <w:r>
        <w:rPr>
          <w:rFonts w:hint="eastAsia" w:ascii="宋体" w:hAnsi="宋体" w:eastAsia="宋体" w:cs="宋体"/>
          <w:sz w:val="24"/>
          <w:szCs w:val="24"/>
        </w:rPr>
        <w:t>本投标人郑重声明，根据《财政部司法部关于政府采购支持监狱企业发展有关问题的通知》（财库〔2014〕68号）的规定，本投标人参加</w:t>
      </w:r>
      <w:r>
        <w:rPr>
          <w:rFonts w:hint="eastAsia" w:ascii="宋体" w:hAnsi="宋体" w:eastAsia="宋体" w:cs="宋体"/>
          <w:b/>
          <w:bCs/>
          <w:sz w:val="24"/>
          <w:szCs w:val="24"/>
          <w:u w:val="single"/>
        </w:rPr>
        <w:t>（</w:t>
      </w:r>
      <w:r>
        <w:rPr>
          <w:rFonts w:hint="eastAsia" w:ascii="宋体" w:hAnsi="宋体" w:eastAsia="宋体" w:cs="宋体"/>
          <w:b/>
          <w:bCs/>
          <w:sz w:val="24"/>
          <w:szCs w:val="24"/>
          <w:u w:val="single"/>
          <w:lang w:val="en-US" w:eastAsia="zh-CN"/>
        </w:rPr>
        <w:t>采购人</w:t>
      </w:r>
      <w:r>
        <w:rPr>
          <w:rFonts w:hint="eastAsia" w:ascii="宋体" w:hAnsi="宋体" w:eastAsia="宋体" w:cs="宋体"/>
          <w:b/>
          <w:bCs/>
          <w:sz w:val="24"/>
          <w:szCs w:val="24"/>
          <w:u w:val="single"/>
        </w:rPr>
        <w:t>名称）</w:t>
      </w:r>
      <w:r>
        <w:rPr>
          <w:rFonts w:hint="eastAsia" w:ascii="宋体" w:hAnsi="宋体" w:eastAsia="宋体" w:cs="宋体"/>
          <w:sz w:val="24"/>
          <w:szCs w:val="24"/>
        </w:rPr>
        <w:t>的</w:t>
      </w:r>
      <w:r>
        <w:rPr>
          <w:rFonts w:hint="eastAsia" w:ascii="宋体" w:hAnsi="宋体" w:eastAsia="宋体" w:cs="宋体"/>
          <w:b/>
          <w:bCs/>
          <w:sz w:val="24"/>
          <w:szCs w:val="24"/>
          <w:u w:val="single"/>
        </w:rPr>
        <w:t>（项目名称）</w:t>
      </w:r>
      <w:r>
        <w:rPr>
          <w:rFonts w:hint="eastAsia" w:ascii="宋体" w:hAnsi="宋体" w:eastAsia="宋体" w:cs="宋体"/>
          <w:sz w:val="24"/>
          <w:szCs w:val="24"/>
        </w:rPr>
        <w:t>采购活动，提供的货物全部由符合政策要求的监狱企业制造。相关监狱企业的具体情况如下：</w:t>
      </w:r>
    </w:p>
    <w:p w14:paraId="5DDAC1C4">
      <w:pPr>
        <w:adjustRightInd w:val="0"/>
        <w:snapToGrid w:val="0"/>
        <w:spacing w:line="310" w:lineRule="exact"/>
        <w:ind w:firstLine="480" w:firstLineChars="200"/>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b/>
          <w:bCs/>
          <w:sz w:val="24"/>
          <w:szCs w:val="24"/>
          <w:u w:val="single"/>
        </w:rPr>
        <w:t>（标的名称）</w:t>
      </w:r>
      <w:r>
        <w:rPr>
          <w:rFonts w:hint="eastAsia" w:ascii="宋体" w:hAnsi="宋体" w:eastAsia="宋体" w:cs="宋体"/>
          <w:sz w:val="24"/>
          <w:szCs w:val="24"/>
        </w:rPr>
        <w:t>，制造商为</w:t>
      </w:r>
      <w:r>
        <w:rPr>
          <w:rFonts w:hint="eastAsia" w:ascii="宋体" w:hAnsi="宋体" w:eastAsia="宋体" w:cs="宋体"/>
          <w:b/>
          <w:bCs/>
          <w:sz w:val="24"/>
          <w:szCs w:val="24"/>
          <w:u w:val="single"/>
        </w:rPr>
        <w:t>（企业名称）</w:t>
      </w:r>
      <w:r>
        <w:rPr>
          <w:rFonts w:hint="eastAsia" w:ascii="宋体" w:hAnsi="宋体" w:eastAsia="宋体" w:cs="宋体"/>
          <w:sz w:val="24"/>
          <w:szCs w:val="24"/>
        </w:rPr>
        <w:t>，属于</w:t>
      </w:r>
      <w:r>
        <w:rPr>
          <w:rFonts w:hint="eastAsia" w:ascii="宋体" w:hAnsi="宋体" w:eastAsia="宋体" w:cs="宋体"/>
          <w:b/>
          <w:bCs/>
          <w:sz w:val="24"/>
          <w:szCs w:val="24"/>
          <w:u w:val="single"/>
        </w:rPr>
        <w:t>监狱企业</w:t>
      </w:r>
      <w:r>
        <w:rPr>
          <w:rFonts w:hint="eastAsia" w:ascii="宋体" w:hAnsi="宋体" w:eastAsia="宋体" w:cs="宋体"/>
          <w:sz w:val="24"/>
          <w:szCs w:val="24"/>
        </w:rPr>
        <w:t>；</w:t>
      </w:r>
    </w:p>
    <w:p w14:paraId="6034D61C">
      <w:pPr>
        <w:adjustRightInd w:val="0"/>
        <w:snapToGrid w:val="0"/>
        <w:spacing w:line="310" w:lineRule="exact"/>
        <w:ind w:firstLine="480" w:firstLineChars="200"/>
        <w:rPr>
          <w:rFonts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b/>
          <w:bCs/>
          <w:sz w:val="24"/>
          <w:szCs w:val="24"/>
          <w:u w:val="single"/>
        </w:rPr>
        <w:t>（标的名称）</w:t>
      </w:r>
      <w:r>
        <w:rPr>
          <w:rFonts w:hint="eastAsia" w:ascii="宋体" w:hAnsi="宋体" w:eastAsia="宋体" w:cs="宋体"/>
          <w:sz w:val="24"/>
          <w:szCs w:val="24"/>
        </w:rPr>
        <w:t>，制造商为</w:t>
      </w:r>
      <w:r>
        <w:rPr>
          <w:rFonts w:hint="eastAsia" w:ascii="宋体" w:hAnsi="宋体" w:eastAsia="宋体" w:cs="宋体"/>
          <w:b/>
          <w:bCs/>
          <w:sz w:val="24"/>
          <w:szCs w:val="24"/>
          <w:u w:val="single"/>
        </w:rPr>
        <w:t>（企业名称）</w:t>
      </w:r>
      <w:r>
        <w:rPr>
          <w:rFonts w:hint="eastAsia" w:ascii="宋体" w:hAnsi="宋体" w:eastAsia="宋体" w:cs="宋体"/>
          <w:sz w:val="24"/>
          <w:szCs w:val="24"/>
        </w:rPr>
        <w:t>，属于</w:t>
      </w:r>
      <w:r>
        <w:rPr>
          <w:rFonts w:hint="eastAsia" w:ascii="宋体" w:hAnsi="宋体" w:eastAsia="宋体" w:cs="宋体"/>
          <w:b/>
          <w:bCs/>
          <w:sz w:val="24"/>
          <w:szCs w:val="24"/>
          <w:u w:val="single"/>
        </w:rPr>
        <w:t>监狱企业</w:t>
      </w:r>
      <w:r>
        <w:rPr>
          <w:rFonts w:hint="eastAsia" w:ascii="宋体" w:hAnsi="宋体" w:eastAsia="宋体" w:cs="宋体"/>
          <w:sz w:val="24"/>
          <w:szCs w:val="24"/>
        </w:rPr>
        <w:t>。</w:t>
      </w:r>
    </w:p>
    <w:p w14:paraId="348B40BD">
      <w:pPr>
        <w:adjustRightInd w:val="0"/>
        <w:snapToGrid w:val="0"/>
        <w:spacing w:line="310" w:lineRule="exact"/>
        <w:ind w:firstLine="480" w:firstLineChars="200"/>
        <w:rPr>
          <w:rFonts w:ascii="宋体" w:hAnsi="宋体" w:eastAsia="宋体" w:cs="宋体"/>
          <w:sz w:val="24"/>
          <w:szCs w:val="24"/>
        </w:rPr>
      </w:pPr>
      <w:r>
        <w:rPr>
          <w:rFonts w:hint="eastAsia" w:ascii="宋体" w:hAnsi="宋体" w:eastAsia="宋体" w:cs="宋体"/>
          <w:sz w:val="24"/>
          <w:szCs w:val="24"/>
        </w:rPr>
        <w:t xml:space="preserve">…… </w:t>
      </w:r>
    </w:p>
    <w:p w14:paraId="1E1C02CD">
      <w:pPr>
        <w:adjustRightInd w:val="0"/>
        <w:snapToGrid w:val="0"/>
        <w:spacing w:line="310" w:lineRule="exact"/>
        <w:ind w:firstLine="480" w:firstLineChars="200"/>
        <w:rPr>
          <w:rFonts w:ascii="宋体" w:hAnsi="宋体" w:eastAsia="宋体" w:cs="宋体"/>
          <w:sz w:val="24"/>
          <w:szCs w:val="24"/>
        </w:rPr>
      </w:pPr>
      <w:r>
        <w:rPr>
          <w:rFonts w:hint="eastAsia" w:ascii="宋体" w:hAnsi="宋体" w:eastAsia="宋体" w:cs="宋体"/>
          <w:sz w:val="24"/>
          <w:szCs w:val="24"/>
        </w:rPr>
        <w:t>本投标人对上述声明内容的真实性负责。如有虚假，将依法承担相应责任。</w:t>
      </w:r>
    </w:p>
    <w:p w14:paraId="5B65FA19">
      <w:pPr>
        <w:adjustRightInd w:val="0"/>
        <w:snapToGrid w:val="0"/>
        <w:spacing w:line="310" w:lineRule="exact"/>
        <w:ind w:firstLine="480" w:firstLineChars="200"/>
        <w:rPr>
          <w:rFonts w:ascii="宋体" w:hAnsi="宋体" w:eastAsia="宋体" w:cs="宋体"/>
          <w:sz w:val="24"/>
          <w:szCs w:val="24"/>
        </w:rPr>
      </w:pPr>
      <w:r>
        <w:rPr>
          <w:rFonts w:hint="eastAsia" w:ascii="宋体" w:hAnsi="宋体" w:eastAsia="宋体" w:cs="宋体"/>
          <w:sz w:val="24"/>
          <w:szCs w:val="24"/>
        </w:rPr>
        <w:t>附：省级以上监狱管理局、戒毒管理局（含新疆生产建设兵团）出具的监狱企业证明文件。</w:t>
      </w:r>
    </w:p>
    <w:p w14:paraId="227AC4E4">
      <w:pPr>
        <w:ind w:firstLine="420" w:firstLineChars="200"/>
        <w:rPr>
          <w:rFonts w:ascii="Times New Roman" w:hAnsi="Times New Roman" w:eastAsia="宋体" w:cs="Times New Roman"/>
          <w:szCs w:val="24"/>
        </w:rPr>
      </w:pPr>
    </w:p>
    <w:p w14:paraId="1C43C8B5">
      <w:pPr>
        <w:adjustRightInd w:val="0"/>
        <w:snapToGrid w:val="0"/>
        <w:spacing w:line="310" w:lineRule="exact"/>
        <w:ind w:firstLine="420" w:firstLineChars="200"/>
        <w:rPr>
          <w:rFonts w:ascii="宋体" w:hAnsi="宋体" w:eastAsia="宋体" w:cs="宋体"/>
          <w:szCs w:val="21"/>
        </w:rPr>
      </w:pPr>
    </w:p>
    <w:p w14:paraId="3AAF3DAC">
      <w:pPr>
        <w:ind w:firstLine="480" w:firstLineChars="200"/>
      </w:pPr>
      <w:r>
        <w:rPr>
          <w:rFonts w:hint="eastAsia" w:ascii="黑体" w:hAnsi="宋体" w:eastAsia="黑体"/>
          <w:bCs/>
          <w:kern w:val="0"/>
          <w:sz w:val="24"/>
          <w:szCs w:val="32"/>
        </w:rPr>
        <w:t>（</w:t>
      </w:r>
      <w:r>
        <w:rPr>
          <w:rFonts w:hint="eastAsia" w:ascii="黑体" w:hAnsi="宋体" w:eastAsia="黑体"/>
          <w:bCs/>
          <w:kern w:val="0"/>
          <w:sz w:val="24"/>
          <w:szCs w:val="32"/>
          <w:lang w:val="en-US" w:eastAsia="zh-CN"/>
        </w:rPr>
        <w:t>三</w:t>
      </w:r>
      <w:r>
        <w:rPr>
          <w:rFonts w:hint="eastAsia" w:ascii="黑体" w:hAnsi="宋体" w:eastAsia="黑体"/>
          <w:bCs/>
          <w:kern w:val="0"/>
          <w:sz w:val="24"/>
          <w:szCs w:val="32"/>
        </w:rPr>
        <w:t>）</w:t>
      </w:r>
      <w:r>
        <w:rPr>
          <w:rFonts w:hint="eastAsia" w:ascii="黑体" w:hAnsi="宋体" w:eastAsia="黑体"/>
          <w:bCs/>
          <w:kern w:val="0"/>
          <w:sz w:val="24"/>
          <w:szCs w:val="32"/>
          <w:lang w:val="en-US" w:eastAsia="zh-CN"/>
        </w:rPr>
        <w:t>本国产品声明函</w:t>
      </w:r>
    </w:p>
    <w:p w14:paraId="58C446E1">
      <w:pPr>
        <w:pStyle w:val="62"/>
      </w:pPr>
    </w:p>
    <w:p w14:paraId="670CFE1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rPr>
      </w:pPr>
      <w:r>
        <w:rPr>
          <w:rFonts w:hint="eastAsia" w:ascii="宋体" w:hAnsi="宋体"/>
          <w:color w:val="FF0000"/>
          <w:sz w:val="21"/>
          <w:szCs w:val="21"/>
        </w:rPr>
        <w:t>填写指引：</w:t>
      </w:r>
    </w:p>
    <w:p w14:paraId="57DFCCD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1、该部分内容由</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根据自身实际情况填写，不符合要求的</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可以不填写或直接删除相应的声明函。</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提供的声明函不属实的，属于提供虚假资料谋取中标，依照《中华人民共和国政府采购法》等国家有关规定追究相应责任。</w:t>
      </w:r>
    </w:p>
    <w:p w14:paraId="3CA15A0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2、该部分内容填写需要参考的相关文件：</w:t>
      </w:r>
    </w:p>
    <w:p w14:paraId="2314333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国办发〔2025〕34号</w:t>
      </w:r>
      <w:r>
        <w:rPr>
          <w:rFonts w:hint="eastAsia" w:ascii="宋体" w:hAnsi="宋体"/>
          <w:color w:val="000000" w:themeColor="text1"/>
          <w:sz w:val="21"/>
          <w:szCs w:val="21"/>
          <w:lang w:eastAsia="zh-CN"/>
          <w14:textFill>
            <w14:solidFill>
              <w14:schemeClr w14:val="tx1"/>
            </w14:solidFill>
          </w14:textFill>
        </w:rPr>
        <w:t>）</w:t>
      </w:r>
    </w:p>
    <w:p w14:paraId="05B2FDC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val="en-US" w:eastAsia="zh-CN"/>
          <w14:textFill>
            <w14:solidFill>
              <w14:schemeClr w14:val="tx1"/>
            </w14:solidFill>
          </w14:textFill>
        </w:rPr>
        <w:t>2</w:t>
      </w: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关于贯彻落实</w:t>
      </w:r>
      <w:r>
        <w:rPr>
          <w:rFonts w:hint="eastAsia" w:ascii="宋体" w:hAnsi="宋体"/>
          <w:color w:val="000000" w:themeColor="text1"/>
          <w:sz w:val="21"/>
          <w:szCs w:val="21"/>
          <w:lang w:val="en-US" w:eastAsia="zh-CN"/>
          <w14:textFill>
            <w14:solidFill>
              <w14:schemeClr w14:val="tx1"/>
            </w14:solidFill>
          </w14:textFill>
        </w:rPr>
        <w:t>&lt;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val="en-US" w:eastAsia="zh-CN"/>
          <w14:textFill>
            <w14:solidFill>
              <w14:schemeClr w14:val="tx1"/>
            </w14:solidFill>
          </w14:textFill>
        </w:rPr>
        <w:t>&gt;</w:t>
      </w:r>
      <w:r>
        <w:rPr>
          <w:rFonts w:hint="eastAsia" w:ascii="宋体" w:hAnsi="宋体"/>
          <w:color w:val="000000" w:themeColor="text1"/>
          <w:sz w:val="21"/>
          <w:szCs w:val="21"/>
          <w14:textFill>
            <w14:solidFill>
              <w14:schemeClr w14:val="tx1"/>
            </w14:solidFill>
          </w14:textFill>
        </w:rPr>
        <w:t>的意见</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财库〔2025〕30号</w:t>
      </w:r>
      <w:r>
        <w:rPr>
          <w:rFonts w:hint="eastAsia" w:ascii="宋体" w:hAnsi="宋体"/>
          <w:color w:val="000000" w:themeColor="text1"/>
          <w:sz w:val="21"/>
          <w:szCs w:val="21"/>
          <w:lang w:eastAsia="zh-CN"/>
          <w14:textFill>
            <w14:solidFill>
              <w14:schemeClr w14:val="tx1"/>
            </w14:solidFill>
          </w14:textFill>
        </w:rPr>
        <w:t>）</w:t>
      </w:r>
    </w:p>
    <w:p w14:paraId="19EF800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3、请依照提供的格式和内容填写声明函，不要随意变更格式；声明函</w:t>
      </w:r>
      <w:r>
        <w:rPr>
          <w:rFonts w:hint="eastAsia" w:ascii="宋体" w:hAnsi="宋体"/>
          <w:color w:val="000000" w:themeColor="text1"/>
          <w:sz w:val="21"/>
          <w:szCs w:val="21"/>
          <w:lang w:val="en-US" w:eastAsia="zh-CN"/>
          <w14:textFill>
            <w14:solidFill>
              <w14:schemeClr w14:val="tx1"/>
            </w14:solidFill>
          </w14:textFill>
        </w:rPr>
        <w:t>可以不</w:t>
      </w:r>
      <w:r>
        <w:rPr>
          <w:rFonts w:hint="eastAsia" w:ascii="宋体" w:hAnsi="宋体"/>
          <w:color w:val="000000" w:themeColor="text1"/>
          <w:sz w:val="21"/>
          <w:szCs w:val="21"/>
          <w14:textFill>
            <w14:solidFill>
              <w14:schemeClr w14:val="tx1"/>
            </w14:solidFill>
          </w14:textFill>
        </w:rPr>
        <w:t>盖章或签字。</w:t>
      </w:r>
    </w:p>
    <w:p w14:paraId="6E25966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rPr>
      </w:pPr>
      <w:r>
        <w:rPr>
          <w:rFonts w:hint="eastAsia" w:ascii="宋体" w:hAnsi="宋体"/>
          <w:color w:val="FF0000"/>
          <w:sz w:val="21"/>
          <w:szCs w:val="21"/>
        </w:rPr>
        <w:t>4、声明函具体填写要求：</w:t>
      </w:r>
    </w:p>
    <w:p w14:paraId="7BEAE28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（1）产品如有型号，请在“产品名称”栏一并填写。</w:t>
      </w:r>
    </w:p>
    <w:p w14:paraId="6494E49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p>
    <w:p w14:paraId="7C6315F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（2）生产厂名与厂址应与生产厂营业执照载明的相关信息保持一致。</w:t>
      </w:r>
    </w:p>
    <w:p w14:paraId="4B7722D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p>
    <w:p w14:paraId="33DD5E7C">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（3）该产品的中国境内生产的组件成本占比相关要求实施前，“规定比例”栏可不填，下同。</w:t>
      </w:r>
    </w:p>
    <w:p w14:paraId="7F88376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p>
    <w:p w14:paraId="219A4D91">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（4）该产品的关键组件要求实施前，“关键组件”栏可不填，下同。</w:t>
      </w:r>
    </w:p>
    <w:p w14:paraId="1CF8A9D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p>
    <w:p w14:paraId="24A3236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（5）该产品的关键工序要求实施前，“关键工序”栏可不填，下同。</w:t>
      </w:r>
    </w:p>
    <w:p w14:paraId="0705DF4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p>
    <w:p w14:paraId="5150BBD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color w:val="FF0000"/>
        </w:rPr>
      </w:pPr>
      <w:r>
        <w:rPr>
          <w:rFonts w:hint="eastAsia" w:ascii="宋体" w:hAnsi="宋体"/>
          <w:color w:val="FF0000"/>
          <w:sz w:val="21"/>
          <w:szCs w:val="21"/>
          <w:lang w:val="en-US" w:eastAsia="zh-CN"/>
        </w:rPr>
        <w:t>（6）应如实在“具体比例”栏填写提供所有符合本国产品标准的产品成本之和占提供的全部产品成本之和的比例。根据《国务院办公厅关于在政府采购中实施本国产品标准及相关政策的通知》（国办发〔2025〕34号）的</w:t>
      </w:r>
      <w:r>
        <w:rPr>
          <w:rFonts w:hint="eastAsia"/>
          <w:color w:val="FF0000"/>
          <w:lang w:val="en-US" w:eastAsia="zh-CN"/>
        </w:rPr>
        <w:t>规定，当采购项目或者采购包中含有多种产品，供应商为该采购项目或者采购包提供的符合本国产品标准的产品成本之和占该供应商提供的全部产品成本之和的比例达到</w:t>
      </w:r>
      <w:r>
        <w:rPr>
          <w:rFonts w:hint="eastAsia"/>
          <w:b/>
          <w:bCs/>
          <w:color w:val="FF0000"/>
          <w:lang w:val="en-US" w:eastAsia="zh-CN"/>
        </w:rPr>
        <w:t>80%以上</w:t>
      </w:r>
      <w:r>
        <w:rPr>
          <w:rFonts w:hint="eastAsia"/>
          <w:color w:val="FF0000"/>
          <w:lang w:val="en-US" w:eastAsia="zh-CN"/>
        </w:rPr>
        <w:t>时，依法对该供应商提供的全部产品给予20%价格评审优惠。</w:t>
      </w:r>
    </w:p>
    <w:p w14:paraId="4629D7D6">
      <w:pPr>
        <w:pStyle w:val="62"/>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fill="FFFFFF"/>
          <w:lang w:val="en-US" w:eastAsia="zh-CN"/>
          <w14:textFill>
            <w14:solidFill>
              <w14:schemeClr w14:val="tx1"/>
            </w14:solidFill>
          </w14:textFill>
        </w:rPr>
        <w:t>5、</w:t>
      </w:r>
      <w:r>
        <w:rPr>
          <w:rFonts w:hint="eastAsia"/>
          <w:color w:val="000000" w:themeColor="text1"/>
          <w:lang w:val="en-US" w:eastAsia="zh-CN"/>
          <w14:textFill>
            <w14:solidFill>
              <w14:schemeClr w14:val="tx1"/>
            </w14:solidFill>
          </w14:textFill>
        </w:rPr>
        <w:t>争议处理：</w:t>
      </w:r>
    </w:p>
    <w:p w14:paraId="4BF7EC1B">
      <w:pPr>
        <w:pStyle w:val="62"/>
        <w:ind w:firstLine="420" w:firstLineChars="200"/>
        <w:rPr>
          <w:rFonts w:hint="eastAsia" w:eastAsia="宋体" w:cs="Times New Roman"/>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1）政府采购投诉处理、监督检查中，对产品或组件是否在中国境内生产存在争议的，按照以下原则处理：①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②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66B8DCE2">
      <w:pPr>
        <w:pStyle w:val="62"/>
        <w:ind w:firstLine="420" w:firstLineChars="200"/>
        <w:rPr>
          <w:rFonts w:hint="eastAsia" w:eastAsia="宋体" w:cs="Times New Roman"/>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2）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76922147">
      <w:pPr>
        <w:pStyle w:val="62"/>
        <w:ind w:firstLine="420" w:firstLineChars="200"/>
        <w:rPr>
          <w:rFonts w:hint="eastAsia"/>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（3）政府采购投诉处理、监督检查中，对特定产品的关键组件是否在中国境内生产存在争议的，按照《国</w:t>
      </w:r>
      <w:r>
        <w:rPr>
          <w:rFonts w:hint="eastAsia"/>
          <w:color w:val="000000" w:themeColor="text1"/>
          <w:lang w:val="en-US" w:eastAsia="zh-CN"/>
          <w14:textFill>
            <w14:solidFill>
              <w14:schemeClr w14:val="tx1"/>
            </w14:solidFill>
          </w14:textFill>
        </w:rPr>
        <w:t>务院办公厅关于在政府采购中实施本国产品标准及相关政策的通知》第五条第（一）项规定的原则处理；对特定产品的关键工序是否在中国境内完成存在争议的，相关供应商及制造商应当提供关键工序在中国境内完成的记录等材料予以证明。</w:t>
      </w:r>
    </w:p>
    <w:p w14:paraId="67339DA6">
      <w:pPr>
        <w:pStyle w:val="62"/>
        <w:ind w:firstLine="420" w:firstLineChars="2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4FC5C10E">
      <w:pPr>
        <w:pStyle w:val="62"/>
        <w:ind w:firstLine="420" w:firstLineChars="200"/>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fill="FFFFFF"/>
          <w:lang w:val="en-US" w:eastAsia="zh-CN"/>
          <w14:textFill>
            <w14:solidFill>
              <w14:schemeClr w14:val="tx1"/>
            </w14:solidFill>
          </w14:textFill>
        </w:rPr>
        <w:t>6</w:t>
      </w:r>
      <w:r>
        <w:rPr>
          <w:rFonts w:hint="eastAsia"/>
          <w:color w:val="000000" w:themeColor="text1"/>
          <w:lang w:val="en-US" w:eastAsia="zh-CN"/>
          <w14:textFill>
            <w14:solidFill>
              <w14:schemeClr w14:val="tx1"/>
            </w14:solidFill>
          </w14:textFill>
        </w:rPr>
        <w:t>、评审委员会在评审中发现《关于符合本国产品标准的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不享受价格扣除，但不作投标无效处理。</w:t>
      </w:r>
    </w:p>
    <w:p w14:paraId="544BEF9A">
      <w:pPr>
        <w:pStyle w:val="62"/>
      </w:pPr>
    </w:p>
    <w:p w14:paraId="43A2156D">
      <w:pPr>
        <w:pStyle w:val="62"/>
      </w:pPr>
    </w:p>
    <w:p w14:paraId="7DF7E0A0">
      <w:pPr>
        <w:pStyle w:val="62"/>
        <w:jc w:val="center"/>
        <w:rPr>
          <w:rFonts w:hint="eastAsia" w:ascii="Times New Roman" w:hAnsi="Times New Roman" w:eastAsia="宋体"/>
          <w:b/>
          <w:sz w:val="24"/>
          <w:szCs w:val="24"/>
          <w:lang w:val="en-US" w:eastAsia="zh-CN"/>
        </w:rPr>
      </w:pPr>
      <w:r>
        <w:rPr>
          <w:rFonts w:hint="eastAsia" w:ascii="Times New Roman" w:hAnsi="Times New Roman" w:eastAsia="宋体" w:cs="Times New Roman"/>
          <w:b/>
          <w:i w:val="0"/>
          <w:iCs w:val="0"/>
          <w:caps w:val="0"/>
          <w:spacing w:val="0"/>
          <w:sz w:val="24"/>
          <w:szCs w:val="24"/>
          <w:shd w:val="clear"/>
        </w:rPr>
        <w:t>关于符合本国产品标准的声明函</w:t>
      </w:r>
    </w:p>
    <w:p w14:paraId="51DAD708">
      <w:pPr>
        <w:pStyle w:val="62"/>
      </w:pPr>
    </w:p>
    <w:p w14:paraId="5FE95D2F">
      <w:pPr>
        <w:pStyle w:val="39"/>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shd w:val="clear" w:fill="FFFFFF"/>
        </w:rPr>
      </w:pPr>
      <w:r>
        <w:rPr>
          <w:rFonts w:hint="eastAsia" w:ascii="宋体" w:hAnsi="宋体" w:eastAsia="宋体" w:cs="宋体"/>
          <w:i w:val="0"/>
          <w:iCs w:val="0"/>
          <w:caps w:val="0"/>
          <w:color w:val="000000"/>
          <w:spacing w:val="0"/>
          <w:sz w:val="21"/>
          <w:szCs w:val="21"/>
          <w:shd w:val="clear" w:fill="FFFFFF"/>
        </w:rPr>
        <w:t>本公司（单位）郑重声明，根据《国务院办公厅关于在政府采购中实施本国产品标准及相关政策的通知》（国办发〔</w:t>
      </w:r>
      <w:r>
        <w:rPr>
          <w:rFonts w:ascii="Calibri" w:hAnsi="Calibri" w:eastAsia="宋体" w:cs="Calibri"/>
          <w:i w:val="0"/>
          <w:iCs w:val="0"/>
          <w:caps w:val="0"/>
          <w:color w:val="000000"/>
          <w:spacing w:val="0"/>
          <w:sz w:val="21"/>
          <w:szCs w:val="21"/>
          <w:shd w:val="clear" w:fill="FFFFFF"/>
        </w:rPr>
        <w:t>2025</w:t>
      </w:r>
      <w:r>
        <w:rPr>
          <w:rFonts w:hint="eastAsia" w:ascii="宋体" w:hAnsi="宋体" w:eastAsia="宋体" w:cs="宋体"/>
          <w:i w:val="0"/>
          <w:iCs w:val="0"/>
          <w:caps w:val="0"/>
          <w:color w:val="000000"/>
          <w:spacing w:val="0"/>
          <w:sz w:val="21"/>
          <w:szCs w:val="21"/>
          <w:shd w:val="clear" w:fill="FFFFFF"/>
        </w:rPr>
        <w:t>〕</w:t>
      </w:r>
      <w:r>
        <w:rPr>
          <w:rFonts w:hint="default" w:ascii="Calibri" w:hAnsi="Calibri" w:eastAsia="宋体" w:cs="Calibri"/>
          <w:i w:val="0"/>
          <w:iCs w:val="0"/>
          <w:caps w:val="0"/>
          <w:color w:val="000000"/>
          <w:spacing w:val="0"/>
          <w:sz w:val="21"/>
          <w:szCs w:val="21"/>
          <w:shd w:val="clear" w:fill="FFFFFF"/>
        </w:rPr>
        <w:t>34</w:t>
      </w:r>
      <w:r>
        <w:rPr>
          <w:rFonts w:hint="eastAsia" w:ascii="宋体" w:hAnsi="宋体" w:eastAsia="宋体" w:cs="宋体"/>
          <w:i w:val="0"/>
          <w:iCs w:val="0"/>
          <w:caps w:val="0"/>
          <w:color w:val="000000"/>
          <w:spacing w:val="0"/>
          <w:sz w:val="21"/>
          <w:szCs w:val="21"/>
          <w:shd w:val="clear" w:fill="FFFFFF"/>
        </w:rPr>
        <w:t>号）的规定，本公司（单位）提供的以下产品属于本国产品。具体情况如下：</w:t>
      </w:r>
    </w:p>
    <w:p w14:paraId="51FAEA86">
      <w:pPr>
        <w:pStyle w:val="39"/>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default" w:ascii="Calibri" w:hAnsi="Calibri" w:eastAsia="宋体" w:cs="Calibri"/>
          <w:i w:val="0"/>
          <w:iCs w:val="0"/>
          <w:caps w:val="0"/>
          <w:color w:val="000000"/>
          <w:spacing w:val="0"/>
          <w:sz w:val="21"/>
          <w:szCs w:val="21"/>
          <w:shd w:val="clear" w:fill="FFFFFF"/>
        </w:rPr>
        <w:t>1.</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default" w:ascii="Calibri" w:hAnsi="Calibri" w:eastAsia="宋体" w:cs="Calibri"/>
          <w:i w:val="0"/>
          <w:iCs w:val="0"/>
          <w:caps w:val="0"/>
          <w:color w:val="FF0000"/>
          <w:spacing w:val="0"/>
          <w:sz w:val="21"/>
          <w:szCs w:val="21"/>
          <w:shd w:val="clear" w:fill="FFFFFF"/>
        </w:rPr>
        <w:t>1</w:t>
      </w:r>
      <w:r>
        <w:rPr>
          <w:rFonts w:hint="eastAsia" w:ascii="宋体" w:hAnsi="宋体" w:eastAsia="宋体" w:cs="宋体"/>
          <w:i w:val="0"/>
          <w:iCs w:val="0"/>
          <w:caps w:val="0"/>
          <w:color w:val="000000"/>
          <w:spacing w:val="0"/>
          <w:sz w:val="21"/>
          <w:szCs w:val="21"/>
          <w:shd w:val="clear" w:fill="FFFFFF"/>
        </w:rPr>
        <w:t>，生产厂为</w:t>
      </w:r>
      <w:r>
        <w:rPr>
          <w:rFonts w:hint="eastAsia" w:ascii="宋体" w:hAnsi="宋体" w:eastAsia="宋体" w:cs="Times New Roman"/>
          <w:b/>
          <w:bCs/>
          <w:i/>
          <w:iCs/>
          <w:kern w:val="2"/>
          <w:sz w:val="21"/>
          <w:szCs w:val="21"/>
          <w:u w:val="single"/>
          <w:lang w:val="en-US" w:eastAsia="zh-CN" w:bidi="ar-SA"/>
        </w:rPr>
        <w:t>（厂名）</w:t>
      </w:r>
      <w:r>
        <w:rPr>
          <w:rFonts w:hint="default" w:ascii="Calibri" w:hAnsi="Calibri" w:eastAsia="宋体" w:cs="Calibri"/>
          <w:i w:val="0"/>
          <w:iCs w:val="0"/>
          <w:caps w:val="0"/>
          <w:color w:val="FF0000"/>
          <w:spacing w:val="0"/>
          <w:sz w:val="21"/>
          <w:szCs w:val="21"/>
          <w:shd w:val="clear" w:fill="FFFFFF"/>
        </w:rPr>
        <w:t>2</w:t>
      </w:r>
      <w:r>
        <w:rPr>
          <w:rFonts w:hint="eastAsia" w:ascii="宋体" w:hAnsi="宋体" w:eastAsia="宋体" w:cs="宋体"/>
          <w:i w:val="0"/>
          <w:iCs w:val="0"/>
          <w:caps w:val="0"/>
          <w:color w:val="000000"/>
          <w:spacing w:val="0"/>
          <w:sz w:val="21"/>
          <w:szCs w:val="21"/>
          <w:shd w:val="clear" w:fill="FFFFFF"/>
        </w:rPr>
        <w:t>，厂址为</w:t>
      </w:r>
      <w:r>
        <w:rPr>
          <w:rFonts w:hint="eastAsia" w:ascii="宋体" w:hAnsi="宋体" w:eastAsia="宋体" w:cs="Times New Roman"/>
          <w:b/>
          <w:bCs/>
          <w:i/>
          <w:iCs/>
          <w:kern w:val="2"/>
          <w:sz w:val="21"/>
          <w:szCs w:val="21"/>
          <w:u w:val="single"/>
          <w:lang w:val="en-US" w:eastAsia="zh-CN" w:bidi="ar-SA"/>
        </w:rPr>
        <w:t>（生产厂址）</w:t>
      </w:r>
      <w:r>
        <w:rPr>
          <w:rFonts w:hint="eastAsia" w:ascii="Calibri" w:hAnsi="Calibri" w:eastAsia="宋体" w:cs="Calibri"/>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的中国境内生产的组件成本占比≥</w:t>
      </w:r>
      <w:r>
        <w:rPr>
          <w:rFonts w:hint="eastAsia" w:ascii="宋体" w:hAnsi="宋体" w:eastAsia="宋体" w:cs="Times New Roman"/>
          <w:b/>
          <w:bCs/>
          <w:i/>
          <w:iCs/>
          <w:kern w:val="2"/>
          <w:sz w:val="21"/>
          <w:szCs w:val="21"/>
          <w:u w:val="single"/>
          <w:lang w:val="en-US" w:eastAsia="zh-CN" w:bidi="ar-SA"/>
        </w:rPr>
        <w:t>（规定比例）</w:t>
      </w:r>
      <w:r>
        <w:rPr>
          <w:rFonts w:hint="default" w:ascii="Calibri" w:hAnsi="Calibri" w:eastAsia="宋体" w:cs="Calibri"/>
          <w:i w:val="0"/>
          <w:iCs w:val="0"/>
          <w:caps w:val="0"/>
          <w:color w:val="FF0000"/>
          <w:spacing w:val="0"/>
          <w:sz w:val="21"/>
          <w:szCs w:val="21"/>
          <w:shd w:val="clear" w:fill="FFFFFF"/>
        </w:rPr>
        <w:t>3</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（关键组件）</w:t>
      </w:r>
      <w:r>
        <w:rPr>
          <w:rFonts w:hint="default" w:ascii="Calibri" w:hAnsi="Calibri" w:eastAsia="宋体" w:cs="Calibri"/>
          <w:i w:val="0"/>
          <w:iCs w:val="0"/>
          <w:caps w:val="0"/>
          <w:color w:val="FF0000"/>
          <w:spacing w:val="0"/>
          <w:sz w:val="21"/>
          <w:szCs w:val="21"/>
          <w:shd w:val="clear" w:fill="FFFFFF"/>
        </w:rPr>
        <w:t>4</w:t>
      </w:r>
      <w:r>
        <w:rPr>
          <w:rFonts w:hint="eastAsia" w:ascii="宋体" w:hAnsi="宋体" w:eastAsia="宋体" w:cs="宋体"/>
          <w:i w:val="0"/>
          <w:iCs w:val="0"/>
          <w:caps w:val="0"/>
          <w:color w:val="000000"/>
          <w:spacing w:val="0"/>
          <w:sz w:val="21"/>
          <w:szCs w:val="21"/>
          <w:shd w:val="clear" w:fill="FFFFFF"/>
        </w:rPr>
        <w:t>在中国境内生产。</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（关键工序）</w:t>
      </w:r>
      <w:r>
        <w:rPr>
          <w:rFonts w:hint="default" w:ascii="Calibri" w:hAnsi="Calibri" w:eastAsia="宋体" w:cs="Calibri"/>
          <w:i w:val="0"/>
          <w:iCs w:val="0"/>
          <w:caps w:val="0"/>
          <w:color w:val="FF0000"/>
          <w:spacing w:val="0"/>
          <w:sz w:val="21"/>
          <w:szCs w:val="21"/>
          <w:shd w:val="clear" w:fill="FFFFFF"/>
        </w:rPr>
        <w:t>5</w:t>
      </w:r>
      <w:r>
        <w:rPr>
          <w:rFonts w:hint="eastAsia" w:ascii="宋体" w:hAnsi="宋体" w:eastAsia="宋体" w:cs="宋体"/>
          <w:i w:val="0"/>
          <w:iCs w:val="0"/>
          <w:caps w:val="0"/>
          <w:color w:val="000000"/>
          <w:spacing w:val="0"/>
          <w:sz w:val="21"/>
          <w:szCs w:val="21"/>
          <w:shd w:val="clear" w:fill="FFFFFF"/>
        </w:rPr>
        <w:t>在中国境内完成。</w:t>
      </w:r>
    </w:p>
    <w:p w14:paraId="1BC24499">
      <w:pPr>
        <w:pStyle w:val="39"/>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eastAsia" w:ascii="Calibri" w:hAnsi="Calibri" w:cs="Calibri"/>
          <w:i w:val="0"/>
          <w:iCs w:val="0"/>
          <w:caps w:val="0"/>
          <w:color w:val="000000"/>
          <w:spacing w:val="0"/>
          <w:sz w:val="21"/>
          <w:szCs w:val="21"/>
          <w:shd w:val="clear" w:fill="FFFFFF"/>
          <w:lang w:val="en-US" w:eastAsia="zh-CN"/>
        </w:rPr>
        <w:t>2</w:t>
      </w:r>
      <w:r>
        <w:rPr>
          <w:rFonts w:hint="default" w:ascii="Calibri" w:hAnsi="Calibri" w:eastAsia="宋体" w:cs="Calibri"/>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，生产厂为</w:t>
      </w:r>
      <w:r>
        <w:rPr>
          <w:rFonts w:hint="eastAsia" w:ascii="宋体" w:hAnsi="宋体" w:eastAsia="宋体" w:cs="Times New Roman"/>
          <w:b/>
          <w:bCs/>
          <w:i/>
          <w:iCs/>
          <w:kern w:val="2"/>
          <w:sz w:val="21"/>
          <w:szCs w:val="21"/>
          <w:u w:val="single"/>
          <w:lang w:val="en-US" w:eastAsia="zh-CN" w:bidi="ar-SA"/>
        </w:rPr>
        <w:t>（厂名）</w:t>
      </w:r>
      <w:r>
        <w:rPr>
          <w:rFonts w:hint="eastAsia" w:ascii="宋体" w:hAnsi="宋体" w:eastAsia="宋体" w:cs="宋体"/>
          <w:i w:val="0"/>
          <w:iCs w:val="0"/>
          <w:caps w:val="0"/>
          <w:color w:val="000000"/>
          <w:spacing w:val="0"/>
          <w:sz w:val="21"/>
          <w:szCs w:val="21"/>
          <w:shd w:val="clear" w:fill="FFFFFF"/>
        </w:rPr>
        <w:t>，厂址为</w:t>
      </w:r>
      <w:r>
        <w:rPr>
          <w:rFonts w:hint="eastAsia" w:ascii="宋体" w:hAnsi="宋体" w:eastAsia="宋体" w:cs="Times New Roman"/>
          <w:b/>
          <w:bCs/>
          <w:i/>
          <w:iCs/>
          <w:kern w:val="2"/>
          <w:sz w:val="21"/>
          <w:szCs w:val="21"/>
          <w:u w:val="single"/>
          <w:lang w:val="en-US" w:eastAsia="zh-CN" w:bidi="ar-SA"/>
        </w:rPr>
        <w:t>（生产厂址）</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的中国境内生产的组件成本占比≥</w:t>
      </w:r>
      <w:r>
        <w:rPr>
          <w:rFonts w:hint="eastAsia" w:ascii="宋体" w:hAnsi="宋体" w:eastAsia="宋体" w:cs="Times New Roman"/>
          <w:b/>
          <w:bCs/>
          <w:i/>
          <w:iCs/>
          <w:kern w:val="2"/>
          <w:sz w:val="21"/>
          <w:szCs w:val="21"/>
          <w:u w:val="single"/>
          <w:lang w:val="en-US" w:eastAsia="zh-CN" w:bidi="ar-SA"/>
        </w:rPr>
        <w:t>（规定比例）</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（关键组件）</w:t>
      </w:r>
      <w:r>
        <w:rPr>
          <w:rFonts w:hint="eastAsia" w:ascii="宋体" w:hAnsi="宋体" w:eastAsia="宋体" w:cs="宋体"/>
          <w:i w:val="0"/>
          <w:iCs w:val="0"/>
          <w:caps w:val="0"/>
          <w:color w:val="000000"/>
          <w:spacing w:val="0"/>
          <w:sz w:val="21"/>
          <w:szCs w:val="21"/>
          <w:shd w:val="clear" w:fill="FFFFFF"/>
        </w:rPr>
        <w:t>在中国境内生产。</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（关键工序）</w:t>
      </w:r>
      <w:r>
        <w:rPr>
          <w:rFonts w:hint="eastAsia" w:ascii="宋体" w:hAnsi="宋体" w:eastAsia="宋体" w:cs="宋体"/>
          <w:i w:val="0"/>
          <w:iCs w:val="0"/>
          <w:caps w:val="0"/>
          <w:color w:val="000000"/>
          <w:spacing w:val="0"/>
          <w:sz w:val="21"/>
          <w:szCs w:val="21"/>
          <w:shd w:val="clear" w:fill="FFFFFF"/>
        </w:rPr>
        <w:t>在中国境内完成。</w:t>
      </w:r>
    </w:p>
    <w:p w14:paraId="40799BD9">
      <w:pPr>
        <w:pStyle w:val="39"/>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shd w:val="clear" w:fill="FFFFFF"/>
        </w:rPr>
      </w:pPr>
      <w:r>
        <w:rPr>
          <w:rFonts w:hint="eastAsia" w:ascii="宋体" w:hAnsi="宋体" w:eastAsia="宋体" w:cs="宋体"/>
          <w:i w:val="0"/>
          <w:iCs w:val="0"/>
          <w:caps w:val="0"/>
          <w:color w:val="000000"/>
          <w:spacing w:val="0"/>
          <w:sz w:val="21"/>
          <w:szCs w:val="21"/>
          <w:shd w:val="clear" w:fill="FFFFFF"/>
        </w:rPr>
        <w:t>……</w:t>
      </w:r>
    </w:p>
    <w:p w14:paraId="1DC32E89">
      <w:pPr>
        <w:pStyle w:val="39"/>
        <w:keepNext w:val="0"/>
        <w:keepLines w:val="0"/>
        <w:widowControl/>
        <w:suppressLineNumbers w:val="0"/>
        <w:shd w:val="clear" w:fill="FFFFFF"/>
        <w:ind w:left="0" w:firstLine="422" w:firstLineChars="200"/>
        <w:jc w:val="left"/>
        <w:rPr>
          <w:rFonts w:hint="eastAsia" w:ascii="宋体" w:hAnsi="宋体" w:eastAsia="宋体" w:cs="宋体"/>
          <w:i w:val="0"/>
          <w:iCs w:val="0"/>
          <w:caps w:val="0"/>
          <w:color w:val="000000" w:themeColor="text1"/>
          <w:spacing w:val="0"/>
          <w:sz w:val="21"/>
          <w:szCs w:val="21"/>
          <w:shd w:val="clear" w:fill="FFFFFF"/>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本公司（单位）提供</w:t>
      </w:r>
      <w:r>
        <w:rPr>
          <w:rFonts w:hint="eastAsia" w:ascii="宋体" w:hAnsi="宋体" w:cs="宋体"/>
          <w:b/>
          <w:bCs/>
          <w:i w:val="0"/>
          <w:iCs w:val="0"/>
          <w:caps w:val="0"/>
          <w:color w:val="000000" w:themeColor="text1"/>
          <w:spacing w:val="0"/>
          <w:sz w:val="21"/>
          <w:szCs w:val="21"/>
          <w:shd w:val="clear" w:fill="FFFFFF"/>
          <w:lang w:val="en-US" w:eastAsia="zh-CN"/>
          <w14:textFill>
            <w14:solidFill>
              <w14:schemeClr w14:val="tx1"/>
            </w14:solidFill>
          </w14:textFill>
        </w:rPr>
        <w:t>上述</w:t>
      </w:r>
      <w:r>
        <w:rPr>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符合本国产品标准的产品成本之和占本公司（单位）提供的全部产品成本之和的比例达到</w:t>
      </w:r>
      <w:r>
        <w:rPr>
          <w:rFonts w:hint="eastAsia" w:ascii="宋体" w:hAnsi="宋体" w:eastAsia="宋体" w:cs="Times New Roman"/>
          <w:b/>
          <w:bCs/>
          <w:i/>
          <w:iCs/>
          <w:color w:val="000000" w:themeColor="text1"/>
          <w:kern w:val="2"/>
          <w:sz w:val="21"/>
          <w:szCs w:val="21"/>
          <w:u w:val="single"/>
          <w:lang w:val="en-US" w:eastAsia="zh-CN" w:bidi="ar-SA"/>
          <w14:textFill>
            <w14:solidFill>
              <w14:schemeClr w14:val="tx1"/>
            </w14:solidFill>
          </w14:textFill>
        </w:rPr>
        <w:t>（具体比例）</w:t>
      </w:r>
      <w:r>
        <w:rPr>
          <w:rFonts w:hint="eastAsia" w:ascii="宋体" w:hAnsi="宋体" w:cs="宋体"/>
          <w:b/>
          <w:bCs/>
          <w:i w:val="0"/>
          <w:iCs w:val="0"/>
          <w:caps w:val="0"/>
          <w:strike w:val="0"/>
          <w:dstrike w:val="0"/>
          <w:color w:val="FF0000"/>
          <w:spacing w:val="0"/>
          <w:sz w:val="21"/>
          <w:szCs w:val="21"/>
          <w:u w:val="none"/>
          <w:shd w:val="clear" w:fill="FFFFFF"/>
          <w:lang w:val="en-US" w:eastAsia="zh-CN"/>
        </w:rPr>
        <w:t>6</w:t>
      </w:r>
      <w:r>
        <w:rPr>
          <w:rFonts w:hint="eastAsia" w:ascii="宋体" w:hAnsi="宋体" w:cs="宋体"/>
          <w:b/>
          <w:bCs/>
          <w:i w:val="0"/>
          <w:iCs w:val="0"/>
          <w:caps w:val="0"/>
          <w:color w:val="000000" w:themeColor="text1"/>
          <w:spacing w:val="0"/>
          <w:sz w:val="21"/>
          <w:szCs w:val="21"/>
          <w:shd w:val="clear" w:fill="FFFFFF"/>
          <w:lang w:eastAsia="zh-CN"/>
          <w14:textFill>
            <w14:solidFill>
              <w14:schemeClr w14:val="tx1"/>
            </w14:solidFill>
          </w14:textFill>
        </w:rPr>
        <w:t>。</w:t>
      </w:r>
    </w:p>
    <w:p w14:paraId="1080E648">
      <w:pPr>
        <w:pStyle w:val="39"/>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本公司（单位）对上述声明内容的真实性负责。如有虚假，愿承担相应法律责任。</w:t>
      </w:r>
    </w:p>
    <w:p w14:paraId="52EA14D5">
      <w:pPr>
        <w:pStyle w:val="39"/>
        <w:keepNext w:val="0"/>
        <w:keepLines w:val="0"/>
        <w:pageBreakBefore w:val="0"/>
        <w:widowControl/>
        <w:suppressLineNumbers w:val="0"/>
        <w:shd w:val="clear"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公司（单位）名称：</w:t>
      </w:r>
    </w:p>
    <w:p w14:paraId="6A6A79BD">
      <w:pPr>
        <w:pStyle w:val="39"/>
        <w:keepNext w:val="0"/>
        <w:keepLines w:val="0"/>
        <w:pageBreakBefore w:val="0"/>
        <w:widowControl/>
        <w:suppressLineNumbers w:val="0"/>
        <w:shd w:val="clear" w:fill="FFFFFF"/>
        <w:kinsoku/>
        <w:wordWrap/>
        <w:overflowPunct/>
        <w:topLinePunct w:val="0"/>
        <w:autoSpaceDE/>
        <w:autoSpaceDN/>
        <w:bidi w:val="0"/>
        <w:adjustRightInd/>
        <w:snapToGrid/>
        <w:ind w:left="0" w:right="840" w:rightChars="400" w:firstLine="0"/>
        <w:jc w:val="right"/>
        <w:textAlignment w:val="auto"/>
        <w:rPr>
          <w:rFonts w:ascii="Times New Roman" w:hAnsi="Times New Roman" w:eastAsia="宋体" w:cs="Times New Roman"/>
          <w:b/>
          <w:color w:val="FF0000"/>
          <w:sz w:val="24"/>
          <w:szCs w:val="24"/>
        </w:rPr>
      </w:pPr>
      <w:r>
        <w:rPr>
          <w:rFonts w:hint="eastAsia" w:ascii="宋体" w:hAnsi="宋体" w:eastAsia="宋体" w:cs="宋体"/>
          <w:i w:val="0"/>
          <w:iCs w:val="0"/>
          <w:caps w:val="0"/>
          <w:color w:val="000000"/>
          <w:spacing w:val="0"/>
          <w:sz w:val="21"/>
          <w:szCs w:val="21"/>
          <w:shd w:val="clear" w:fill="FFFFFF"/>
        </w:rPr>
        <w:t>日期：</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年</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月</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日</w:t>
      </w:r>
      <w:bookmarkEnd w:id="55"/>
      <w:bookmarkEnd w:id="56"/>
      <w:bookmarkStart w:id="60" w:name="_Hlk72259976"/>
    </w:p>
    <w:p w14:paraId="4277AC8C">
      <w:pPr>
        <w:ind w:firstLine="0" w:firstLineChars="0"/>
        <w:rPr>
          <w:rFonts w:ascii="Times New Roman" w:hAnsi="Times New Roman" w:eastAsia="宋体" w:cs="Times New Roman"/>
          <w:b/>
          <w:color w:val="FF0000"/>
          <w:sz w:val="24"/>
          <w:szCs w:val="24"/>
        </w:rPr>
      </w:pPr>
    </w:p>
    <w:p w14:paraId="73586788">
      <w:pPr>
        <w:keepNext/>
        <w:keepLines/>
        <w:spacing w:before="260" w:after="260" w:line="276" w:lineRule="auto"/>
        <w:jc w:val="center"/>
        <w:outlineLvl w:val="2"/>
        <w:rPr>
          <w:rFonts w:ascii="黑体" w:hAnsi="宋体" w:eastAsia="黑体" w:cs="Times New Roman"/>
          <w:bCs/>
          <w:kern w:val="0"/>
          <w:sz w:val="24"/>
          <w:szCs w:val="24"/>
        </w:rPr>
      </w:pPr>
      <w:bookmarkStart w:id="61" w:name="_Toc59916729"/>
      <w:r>
        <w:rPr>
          <w:rFonts w:hint="eastAsia" w:ascii="黑体" w:hAnsi="宋体" w:eastAsia="黑体" w:cs="Times New Roman"/>
          <w:bCs/>
          <w:kern w:val="0"/>
          <w:sz w:val="24"/>
          <w:szCs w:val="24"/>
        </w:rPr>
        <w:t>四、</w:t>
      </w:r>
      <w:bookmarkEnd w:id="61"/>
      <w:r>
        <w:rPr>
          <w:rFonts w:hint="eastAsia" w:ascii="黑体" w:hAnsi="宋体" w:eastAsia="黑体" w:cs="Times New Roman"/>
          <w:bCs/>
          <w:kern w:val="0"/>
          <w:sz w:val="24"/>
          <w:szCs w:val="24"/>
          <w:lang w:val="en-US" w:eastAsia="zh-CN"/>
        </w:rPr>
        <w:t>投标人</w:t>
      </w:r>
      <w:r>
        <w:rPr>
          <w:rFonts w:hint="eastAsia" w:ascii="黑体" w:hAnsi="宋体" w:eastAsia="黑体" w:cs="Times New Roman"/>
          <w:bCs/>
          <w:kern w:val="0"/>
          <w:sz w:val="24"/>
          <w:szCs w:val="24"/>
        </w:rPr>
        <w:t>认证情况</w:t>
      </w:r>
    </w:p>
    <w:tbl>
      <w:tblPr>
        <w:tblStyle w:val="44"/>
        <w:tblW w:w="8529" w:type="dxa"/>
        <w:jc w:val="center"/>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1067"/>
        <w:gridCol w:w="2002"/>
        <w:gridCol w:w="1745"/>
        <w:gridCol w:w="1861"/>
        <w:gridCol w:w="1854"/>
      </w:tblGrid>
      <w:tr w14:paraId="01FD7FFA">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469" w:hRule="atLeast"/>
          <w:jc w:val="center"/>
        </w:trPr>
        <w:tc>
          <w:tcPr>
            <w:tcW w:w="1067" w:type="dxa"/>
            <w:vAlign w:val="center"/>
          </w:tcPr>
          <w:p w14:paraId="20E06A8B">
            <w:pPr>
              <w:spacing w:line="276" w:lineRule="auto"/>
              <w:jc w:val="center"/>
              <w:rPr>
                <w:rFonts w:ascii="宋体" w:hAnsi="Times New Roman" w:eastAsia="宋体" w:cs="Times New Roman"/>
                <w:szCs w:val="21"/>
              </w:rPr>
            </w:pPr>
            <w:r>
              <w:rPr>
                <w:rFonts w:hint="eastAsia" w:ascii="宋体" w:hAnsi="宋体" w:eastAsia="宋体" w:cs="Times New Roman"/>
                <w:szCs w:val="21"/>
              </w:rPr>
              <w:t>序号</w:t>
            </w:r>
          </w:p>
        </w:tc>
        <w:tc>
          <w:tcPr>
            <w:tcW w:w="2002" w:type="dxa"/>
            <w:vAlign w:val="center"/>
          </w:tcPr>
          <w:p w14:paraId="71831CEE">
            <w:pPr>
              <w:spacing w:line="276" w:lineRule="auto"/>
              <w:jc w:val="center"/>
              <w:rPr>
                <w:rFonts w:ascii="宋体" w:hAnsi="Times New Roman" w:eastAsia="宋体" w:cs="Times New Roman"/>
                <w:szCs w:val="21"/>
              </w:rPr>
            </w:pPr>
            <w:r>
              <w:rPr>
                <w:rFonts w:hint="eastAsia" w:ascii="宋体" w:hAnsi="宋体" w:eastAsia="宋体" w:cs="Times New Roman"/>
                <w:szCs w:val="21"/>
              </w:rPr>
              <w:t>证书名称</w:t>
            </w:r>
          </w:p>
        </w:tc>
        <w:tc>
          <w:tcPr>
            <w:tcW w:w="1745" w:type="dxa"/>
            <w:vAlign w:val="center"/>
          </w:tcPr>
          <w:p w14:paraId="6CD000C8">
            <w:pPr>
              <w:spacing w:line="276" w:lineRule="auto"/>
              <w:jc w:val="center"/>
              <w:rPr>
                <w:rFonts w:ascii="宋体" w:hAnsi="Times New Roman" w:eastAsia="宋体" w:cs="Times New Roman"/>
                <w:szCs w:val="21"/>
              </w:rPr>
            </w:pPr>
            <w:r>
              <w:rPr>
                <w:rFonts w:hint="eastAsia" w:ascii="宋体" w:hAnsi="宋体" w:eastAsia="宋体" w:cs="Times New Roman"/>
                <w:szCs w:val="21"/>
              </w:rPr>
              <w:t>证书有效期</w:t>
            </w:r>
          </w:p>
        </w:tc>
        <w:tc>
          <w:tcPr>
            <w:tcW w:w="1861" w:type="dxa"/>
            <w:vAlign w:val="center"/>
          </w:tcPr>
          <w:p w14:paraId="28DF8E2B">
            <w:pPr>
              <w:spacing w:line="276" w:lineRule="auto"/>
              <w:jc w:val="center"/>
              <w:rPr>
                <w:rFonts w:ascii="宋体" w:hAnsi="Times New Roman" w:eastAsia="宋体" w:cs="Times New Roman"/>
                <w:szCs w:val="21"/>
              </w:rPr>
            </w:pPr>
            <w:r>
              <w:rPr>
                <w:rFonts w:hint="eastAsia" w:ascii="宋体" w:hAnsi="宋体" w:eastAsia="宋体" w:cs="Times New Roman"/>
                <w:szCs w:val="21"/>
              </w:rPr>
              <w:t>证书颁发机构</w:t>
            </w:r>
          </w:p>
        </w:tc>
        <w:tc>
          <w:tcPr>
            <w:tcW w:w="1854" w:type="dxa"/>
            <w:vAlign w:val="center"/>
          </w:tcPr>
          <w:p w14:paraId="57C05225">
            <w:pPr>
              <w:spacing w:line="276" w:lineRule="auto"/>
              <w:jc w:val="center"/>
              <w:rPr>
                <w:rFonts w:ascii="Times New Roman" w:hAnsi="Times New Roman" w:eastAsia="宋体" w:cs="Times New Roman"/>
                <w:szCs w:val="24"/>
              </w:rPr>
            </w:pPr>
            <w:r>
              <w:rPr>
                <w:rFonts w:hint="eastAsia" w:ascii="Times New Roman" w:hAnsi="Times New Roman" w:eastAsia="宋体" w:cs="Times New Roman"/>
                <w:szCs w:val="24"/>
              </w:rPr>
              <w:t>备注说明</w:t>
            </w:r>
          </w:p>
        </w:tc>
      </w:tr>
      <w:tr w14:paraId="774C9F7D">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cantSplit/>
          <w:trHeight w:val="300" w:hRule="atLeast"/>
          <w:jc w:val="center"/>
        </w:trPr>
        <w:tc>
          <w:tcPr>
            <w:tcW w:w="1067" w:type="dxa"/>
            <w:vAlign w:val="center"/>
          </w:tcPr>
          <w:p w14:paraId="6840A6EF">
            <w:pPr>
              <w:spacing w:line="276" w:lineRule="auto"/>
              <w:jc w:val="center"/>
              <w:rPr>
                <w:rFonts w:ascii="宋体" w:hAnsi="Times New Roman" w:eastAsia="宋体" w:cs="Times New Roman"/>
                <w:szCs w:val="21"/>
              </w:rPr>
            </w:pPr>
          </w:p>
        </w:tc>
        <w:tc>
          <w:tcPr>
            <w:tcW w:w="2002" w:type="dxa"/>
            <w:vAlign w:val="center"/>
          </w:tcPr>
          <w:p w14:paraId="164469AC">
            <w:pPr>
              <w:spacing w:line="276" w:lineRule="auto"/>
              <w:jc w:val="center"/>
              <w:rPr>
                <w:rFonts w:ascii="宋体" w:hAnsi="Times New Roman" w:eastAsia="宋体" w:cs="Times New Roman"/>
                <w:szCs w:val="21"/>
              </w:rPr>
            </w:pPr>
          </w:p>
        </w:tc>
        <w:tc>
          <w:tcPr>
            <w:tcW w:w="1745" w:type="dxa"/>
            <w:vAlign w:val="center"/>
          </w:tcPr>
          <w:p w14:paraId="6D430A7A">
            <w:pPr>
              <w:spacing w:line="276" w:lineRule="auto"/>
              <w:jc w:val="center"/>
              <w:rPr>
                <w:rFonts w:ascii="宋体" w:hAnsi="Times New Roman" w:eastAsia="宋体" w:cs="Times New Roman"/>
                <w:szCs w:val="21"/>
              </w:rPr>
            </w:pPr>
          </w:p>
        </w:tc>
        <w:tc>
          <w:tcPr>
            <w:tcW w:w="1861" w:type="dxa"/>
            <w:vAlign w:val="center"/>
          </w:tcPr>
          <w:p w14:paraId="298788FD">
            <w:pPr>
              <w:spacing w:line="276" w:lineRule="auto"/>
              <w:jc w:val="center"/>
              <w:rPr>
                <w:rFonts w:ascii="宋体" w:hAnsi="Times New Roman" w:eastAsia="宋体" w:cs="Times New Roman"/>
                <w:szCs w:val="21"/>
              </w:rPr>
            </w:pPr>
          </w:p>
        </w:tc>
        <w:tc>
          <w:tcPr>
            <w:tcW w:w="1854" w:type="dxa"/>
            <w:vAlign w:val="center"/>
          </w:tcPr>
          <w:p w14:paraId="2AEAF01F">
            <w:pPr>
              <w:spacing w:line="276" w:lineRule="auto"/>
              <w:jc w:val="center"/>
              <w:rPr>
                <w:rFonts w:ascii="宋体" w:hAnsi="Times New Roman" w:eastAsia="宋体" w:cs="Times New Roman"/>
                <w:szCs w:val="21"/>
              </w:rPr>
            </w:pPr>
          </w:p>
        </w:tc>
      </w:tr>
      <w:tr w14:paraId="2911B9C6">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cantSplit/>
          <w:trHeight w:val="300" w:hRule="atLeast"/>
          <w:jc w:val="center"/>
        </w:trPr>
        <w:tc>
          <w:tcPr>
            <w:tcW w:w="1067" w:type="dxa"/>
            <w:vAlign w:val="center"/>
          </w:tcPr>
          <w:p w14:paraId="3D153FA0">
            <w:pPr>
              <w:spacing w:line="276" w:lineRule="auto"/>
              <w:jc w:val="center"/>
              <w:rPr>
                <w:rFonts w:ascii="宋体" w:hAnsi="Times New Roman" w:eastAsia="宋体" w:cs="Times New Roman"/>
                <w:szCs w:val="21"/>
              </w:rPr>
            </w:pPr>
          </w:p>
        </w:tc>
        <w:tc>
          <w:tcPr>
            <w:tcW w:w="2002" w:type="dxa"/>
            <w:vAlign w:val="center"/>
          </w:tcPr>
          <w:p w14:paraId="04D7B881">
            <w:pPr>
              <w:spacing w:line="276" w:lineRule="auto"/>
              <w:jc w:val="center"/>
              <w:rPr>
                <w:rFonts w:ascii="宋体" w:hAnsi="Times New Roman" w:eastAsia="宋体" w:cs="Times New Roman"/>
                <w:szCs w:val="21"/>
              </w:rPr>
            </w:pPr>
          </w:p>
        </w:tc>
        <w:tc>
          <w:tcPr>
            <w:tcW w:w="1745" w:type="dxa"/>
            <w:vAlign w:val="center"/>
          </w:tcPr>
          <w:p w14:paraId="5E648FD3">
            <w:pPr>
              <w:spacing w:line="276" w:lineRule="auto"/>
              <w:jc w:val="center"/>
              <w:rPr>
                <w:rFonts w:ascii="宋体" w:hAnsi="Times New Roman" w:eastAsia="宋体" w:cs="Times New Roman"/>
                <w:szCs w:val="21"/>
              </w:rPr>
            </w:pPr>
          </w:p>
        </w:tc>
        <w:tc>
          <w:tcPr>
            <w:tcW w:w="1861" w:type="dxa"/>
            <w:vAlign w:val="center"/>
          </w:tcPr>
          <w:p w14:paraId="6E2A0ADE">
            <w:pPr>
              <w:spacing w:line="276" w:lineRule="auto"/>
              <w:jc w:val="center"/>
              <w:rPr>
                <w:rFonts w:ascii="宋体" w:hAnsi="Times New Roman" w:eastAsia="宋体" w:cs="Times New Roman"/>
                <w:szCs w:val="21"/>
              </w:rPr>
            </w:pPr>
          </w:p>
        </w:tc>
        <w:tc>
          <w:tcPr>
            <w:tcW w:w="1854" w:type="dxa"/>
            <w:vAlign w:val="center"/>
          </w:tcPr>
          <w:p w14:paraId="6368AD66">
            <w:pPr>
              <w:spacing w:line="276" w:lineRule="auto"/>
              <w:jc w:val="center"/>
              <w:rPr>
                <w:rFonts w:ascii="宋体" w:hAnsi="Times New Roman" w:eastAsia="宋体" w:cs="Times New Roman"/>
                <w:szCs w:val="21"/>
              </w:rPr>
            </w:pPr>
          </w:p>
        </w:tc>
      </w:tr>
      <w:tr w14:paraId="0CEFB0FD">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cantSplit/>
          <w:trHeight w:val="300" w:hRule="atLeast"/>
          <w:jc w:val="center"/>
        </w:trPr>
        <w:tc>
          <w:tcPr>
            <w:tcW w:w="1067" w:type="dxa"/>
            <w:vAlign w:val="center"/>
          </w:tcPr>
          <w:p w14:paraId="0DC821FE">
            <w:pPr>
              <w:spacing w:line="276" w:lineRule="auto"/>
              <w:jc w:val="center"/>
              <w:rPr>
                <w:rFonts w:ascii="宋体" w:hAnsi="Times New Roman" w:eastAsia="宋体" w:cs="Times New Roman"/>
                <w:szCs w:val="21"/>
              </w:rPr>
            </w:pPr>
          </w:p>
        </w:tc>
        <w:tc>
          <w:tcPr>
            <w:tcW w:w="2002" w:type="dxa"/>
            <w:vAlign w:val="center"/>
          </w:tcPr>
          <w:p w14:paraId="43635E9E">
            <w:pPr>
              <w:spacing w:line="276" w:lineRule="auto"/>
              <w:jc w:val="center"/>
              <w:rPr>
                <w:rFonts w:ascii="宋体" w:hAnsi="Times New Roman" w:eastAsia="宋体" w:cs="Times New Roman"/>
                <w:szCs w:val="21"/>
              </w:rPr>
            </w:pPr>
          </w:p>
        </w:tc>
        <w:tc>
          <w:tcPr>
            <w:tcW w:w="1745" w:type="dxa"/>
            <w:vAlign w:val="center"/>
          </w:tcPr>
          <w:p w14:paraId="53654D00">
            <w:pPr>
              <w:spacing w:line="276" w:lineRule="auto"/>
              <w:jc w:val="center"/>
              <w:rPr>
                <w:rFonts w:ascii="宋体" w:hAnsi="Times New Roman" w:eastAsia="宋体" w:cs="Times New Roman"/>
                <w:szCs w:val="21"/>
              </w:rPr>
            </w:pPr>
          </w:p>
        </w:tc>
        <w:tc>
          <w:tcPr>
            <w:tcW w:w="1861" w:type="dxa"/>
            <w:vAlign w:val="center"/>
          </w:tcPr>
          <w:p w14:paraId="2F638BD1">
            <w:pPr>
              <w:spacing w:line="276" w:lineRule="auto"/>
              <w:jc w:val="center"/>
              <w:rPr>
                <w:rFonts w:ascii="宋体" w:hAnsi="Times New Roman" w:eastAsia="宋体" w:cs="Times New Roman"/>
                <w:szCs w:val="21"/>
              </w:rPr>
            </w:pPr>
          </w:p>
        </w:tc>
        <w:tc>
          <w:tcPr>
            <w:tcW w:w="1854" w:type="dxa"/>
            <w:vAlign w:val="center"/>
          </w:tcPr>
          <w:p w14:paraId="62643D49">
            <w:pPr>
              <w:spacing w:line="276" w:lineRule="auto"/>
              <w:jc w:val="center"/>
              <w:rPr>
                <w:rFonts w:ascii="宋体" w:hAnsi="Times New Roman" w:eastAsia="宋体" w:cs="Times New Roman"/>
                <w:szCs w:val="21"/>
              </w:rPr>
            </w:pPr>
          </w:p>
        </w:tc>
      </w:tr>
    </w:tbl>
    <w:p w14:paraId="2783DE99">
      <w:pPr>
        <w:spacing w:after="120" w:line="276" w:lineRule="auto"/>
        <w:rPr>
          <w:rFonts w:ascii="Times New Roman" w:hAnsi="Times New Roman" w:eastAsia="宋体" w:cs="Times New Roman"/>
          <w:b/>
          <w:bCs/>
          <w:szCs w:val="21"/>
        </w:rPr>
      </w:pPr>
      <w:r>
        <w:rPr>
          <w:rFonts w:hint="eastAsia" w:ascii="Times New Roman" w:hAnsi="Times New Roman" w:eastAsia="宋体" w:cs="Times New Roman"/>
          <w:szCs w:val="21"/>
        </w:rPr>
        <w:t>（特别提示：以上表格仅供参考。投标人须按本招标文件评标信息中“</w:t>
      </w:r>
      <w:r>
        <w:rPr>
          <w:rFonts w:hint="eastAsia" w:ascii="Times New Roman" w:hAnsi="Times New Roman" w:eastAsia="宋体" w:cs="Times New Roman"/>
          <w:szCs w:val="21"/>
          <w:lang w:val="en-US" w:eastAsia="zh-CN"/>
        </w:rPr>
        <w:t>投标人</w:t>
      </w:r>
      <w:r>
        <w:rPr>
          <w:rFonts w:hint="eastAsia" w:ascii="Times New Roman" w:hAnsi="Times New Roman" w:eastAsia="宋体" w:cs="Times New Roman"/>
          <w:szCs w:val="21"/>
        </w:rPr>
        <w:t>认证情况”这一评分因素要求，提供证明资料）</w:t>
      </w:r>
    </w:p>
    <w:p w14:paraId="3427A00D">
      <w:pPr>
        <w:keepNext/>
        <w:keepLines/>
        <w:spacing w:before="260" w:after="260" w:line="276" w:lineRule="auto"/>
        <w:jc w:val="center"/>
        <w:outlineLvl w:val="2"/>
        <w:rPr>
          <w:rFonts w:ascii="黑体" w:hAnsi="宋体" w:eastAsia="黑体" w:cs="Times New Roman"/>
          <w:bCs/>
          <w:kern w:val="0"/>
          <w:sz w:val="24"/>
          <w:szCs w:val="24"/>
        </w:rPr>
      </w:pPr>
      <w:r>
        <w:rPr>
          <w:rFonts w:hint="eastAsia" w:ascii="黑体" w:hAnsi="宋体" w:eastAsia="黑体" w:cs="Times New Roman"/>
          <w:bCs/>
          <w:kern w:val="0"/>
          <w:sz w:val="24"/>
          <w:szCs w:val="24"/>
          <w:lang w:val="en-US" w:eastAsia="zh-CN"/>
        </w:rPr>
        <w:t>五</w:t>
      </w:r>
      <w:r>
        <w:rPr>
          <w:rFonts w:hint="eastAsia" w:ascii="黑体" w:hAnsi="宋体" w:eastAsia="黑体" w:cs="Times New Roman"/>
          <w:bCs/>
          <w:kern w:val="0"/>
          <w:sz w:val="24"/>
          <w:szCs w:val="24"/>
        </w:rPr>
        <w:t>、自主知识产权产品（创新、设计）情况</w:t>
      </w:r>
    </w:p>
    <w:tbl>
      <w:tblPr>
        <w:tblStyle w:val="44"/>
        <w:tblW w:w="8798" w:type="dxa"/>
        <w:jc w:val="center"/>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674"/>
        <w:gridCol w:w="1980"/>
        <w:gridCol w:w="1770"/>
        <w:gridCol w:w="2385"/>
        <w:gridCol w:w="1989"/>
      </w:tblGrid>
      <w:tr w14:paraId="626C129B">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469" w:hRule="atLeast"/>
          <w:jc w:val="center"/>
        </w:trPr>
        <w:tc>
          <w:tcPr>
            <w:tcW w:w="674" w:type="dxa"/>
            <w:vAlign w:val="center"/>
          </w:tcPr>
          <w:p w14:paraId="26945976">
            <w:pPr>
              <w:spacing w:line="276" w:lineRule="auto"/>
              <w:jc w:val="center"/>
              <w:rPr>
                <w:rFonts w:ascii="宋体" w:hAnsi="Times New Roman" w:eastAsia="宋体" w:cs="Times New Roman"/>
                <w:szCs w:val="21"/>
              </w:rPr>
            </w:pPr>
            <w:r>
              <w:rPr>
                <w:rFonts w:hint="eastAsia" w:ascii="宋体" w:hAnsi="宋体" w:eastAsia="宋体" w:cs="Times New Roman"/>
                <w:szCs w:val="21"/>
              </w:rPr>
              <w:t>序号</w:t>
            </w:r>
          </w:p>
        </w:tc>
        <w:tc>
          <w:tcPr>
            <w:tcW w:w="1980" w:type="dxa"/>
            <w:vAlign w:val="center"/>
          </w:tcPr>
          <w:p w14:paraId="04C5A268">
            <w:pPr>
              <w:spacing w:line="276" w:lineRule="auto"/>
              <w:jc w:val="center"/>
              <w:rPr>
                <w:rFonts w:ascii="宋体" w:hAnsi="Times New Roman" w:eastAsia="宋体" w:cs="Times New Roman"/>
                <w:szCs w:val="21"/>
              </w:rPr>
            </w:pPr>
            <w:r>
              <w:rPr>
                <w:rFonts w:hint="eastAsia" w:ascii="宋体" w:hAnsi="宋体" w:eastAsia="宋体" w:cs="Times New Roman"/>
                <w:szCs w:val="21"/>
              </w:rPr>
              <w:t>证书名称</w:t>
            </w:r>
          </w:p>
        </w:tc>
        <w:tc>
          <w:tcPr>
            <w:tcW w:w="1770" w:type="dxa"/>
            <w:vAlign w:val="center"/>
          </w:tcPr>
          <w:p w14:paraId="564EEE7E">
            <w:pPr>
              <w:spacing w:line="276" w:lineRule="auto"/>
              <w:jc w:val="center"/>
              <w:rPr>
                <w:rFonts w:ascii="宋体" w:hAnsi="Times New Roman" w:eastAsia="宋体" w:cs="Times New Roman"/>
                <w:szCs w:val="21"/>
              </w:rPr>
            </w:pPr>
            <w:r>
              <w:rPr>
                <w:rFonts w:hint="eastAsia" w:ascii="宋体" w:hAnsi="宋体" w:eastAsia="宋体" w:cs="Times New Roman"/>
                <w:szCs w:val="21"/>
              </w:rPr>
              <w:t>证书有效期</w:t>
            </w:r>
          </w:p>
        </w:tc>
        <w:tc>
          <w:tcPr>
            <w:tcW w:w="2385" w:type="dxa"/>
            <w:vAlign w:val="center"/>
          </w:tcPr>
          <w:p w14:paraId="2499E7EF">
            <w:pPr>
              <w:spacing w:line="276" w:lineRule="auto"/>
              <w:jc w:val="center"/>
              <w:rPr>
                <w:rFonts w:ascii="宋体" w:hAnsi="Times New Roman" w:eastAsia="宋体" w:cs="Times New Roman"/>
                <w:szCs w:val="21"/>
              </w:rPr>
            </w:pPr>
            <w:r>
              <w:rPr>
                <w:rFonts w:hint="eastAsia" w:ascii="宋体" w:hAnsi="宋体" w:eastAsia="宋体" w:cs="Times New Roman"/>
                <w:szCs w:val="21"/>
              </w:rPr>
              <w:t>证书颁发机构</w:t>
            </w:r>
          </w:p>
        </w:tc>
        <w:tc>
          <w:tcPr>
            <w:tcW w:w="1989" w:type="dxa"/>
            <w:vAlign w:val="center"/>
          </w:tcPr>
          <w:p w14:paraId="32D8839F">
            <w:pPr>
              <w:spacing w:line="276" w:lineRule="auto"/>
              <w:jc w:val="center"/>
              <w:rPr>
                <w:rFonts w:ascii="宋体" w:hAnsi="宋体" w:eastAsia="宋体" w:cs="Times New Roman"/>
                <w:szCs w:val="21"/>
              </w:rPr>
            </w:pPr>
            <w:r>
              <w:rPr>
                <w:rFonts w:hint="eastAsia" w:ascii="宋体" w:hAnsi="宋体" w:eastAsia="宋体" w:cs="Times New Roman"/>
                <w:szCs w:val="21"/>
              </w:rPr>
              <w:t>备注说明</w:t>
            </w:r>
          </w:p>
        </w:tc>
      </w:tr>
      <w:tr w14:paraId="10693DB4">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cantSplit/>
          <w:trHeight w:val="300" w:hRule="atLeast"/>
          <w:jc w:val="center"/>
        </w:trPr>
        <w:tc>
          <w:tcPr>
            <w:tcW w:w="674" w:type="dxa"/>
            <w:vAlign w:val="center"/>
          </w:tcPr>
          <w:p w14:paraId="20A20F46">
            <w:pPr>
              <w:spacing w:line="276" w:lineRule="auto"/>
              <w:jc w:val="center"/>
              <w:rPr>
                <w:rFonts w:ascii="宋体" w:hAnsi="Times New Roman" w:eastAsia="宋体" w:cs="Times New Roman"/>
                <w:szCs w:val="21"/>
              </w:rPr>
            </w:pPr>
          </w:p>
        </w:tc>
        <w:tc>
          <w:tcPr>
            <w:tcW w:w="1980" w:type="dxa"/>
            <w:vAlign w:val="center"/>
          </w:tcPr>
          <w:p w14:paraId="5D3F1A5B">
            <w:pPr>
              <w:spacing w:line="276" w:lineRule="auto"/>
              <w:jc w:val="center"/>
              <w:rPr>
                <w:rFonts w:ascii="宋体" w:hAnsi="Times New Roman" w:eastAsia="宋体" w:cs="Times New Roman"/>
                <w:szCs w:val="21"/>
              </w:rPr>
            </w:pPr>
          </w:p>
        </w:tc>
        <w:tc>
          <w:tcPr>
            <w:tcW w:w="1770" w:type="dxa"/>
            <w:vAlign w:val="center"/>
          </w:tcPr>
          <w:p w14:paraId="7879EDD0">
            <w:pPr>
              <w:spacing w:line="276" w:lineRule="auto"/>
              <w:jc w:val="center"/>
              <w:rPr>
                <w:rFonts w:ascii="宋体" w:hAnsi="Times New Roman" w:eastAsia="宋体" w:cs="Times New Roman"/>
                <w:szCs w:val="21"/>
              </w:rPr>
            </w:pPr>
          </w:p>
        </w:tc>
        <w:tc>
          <w:tcPr>
            <w:tcW w:w="2385" w:type="dxa"/>
            <w:vAlign w:val="center"/>
          </w:tcPr>
          <w:p w14:paraId="4C1417BD">
            <w:pPr>
              <w:spacing w:line="276" w:lineRule="auto"/>
              <w:jc w:val="center"/>
              <w:rPr>
                <w:rFonts w:ascii="宋体" w:hAnsi="Times New Roman" w:eastAsia="宋体" w:cs="Times New Roman"/>
                <w:szCs w:val="21"/>
              </w:rPr>
            </w:pPr>
          </w:p>
        </w:tc>
        <w:tc>
          <w:tcPr>
            <w:tcW w:w="1989" w:type="dxa"/>
            <w:vAlign w:val="center"/>
          </w:tcPr>
          <w:p w14:paraId="2D8C4B1C">
            <w:pPr>
              <w:spacing w:line="276" w:lineRule="auto"/>
              <w:jc w:val="center"/>
              <w:rPr>
                <w:rFonts w:ascii="宋体" w:hAnsi="Times New Roman" w:eastAsia="宋体" w:cs="Times New Roman"/>
                <w:szCs w:val="21"/>
              </w:rPr>
            </w:pPr>
          </w:p>
        </w:tc>
      </w:tr>
      <w:tr w14:paraId="269F3F84">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cantSplit/>
          <w:trHeight w:val="300" w:hRule="atLeast"/>
          <w:jc w:val="center"/>
        </w:trPr>
        <w:tc>
          <w:tcPr>
            <w:tcW w:w="674" w:type="dxa"/>
            <w:vAlign w:val="center"/>
          </w:tcPr>
          <w:p w14:paraId="4E06669B">
            <w:pPr>
              <w:spacing w:line="276" w:lineRule="auto"/>
              <w:jc w:val="center"/>
              <w:rPr>
                <w:rFonts w:ascii="宋体" w:hAnsi="Times New Roman" w:eastAsia="宋体" w:cs="Times New Roman"/>
                <w:szCs w:val="21"/>
              </w:rPr>
            </w:pPr>
          </w:p>
        </w:tc>
        <w:tc>
          <w:tcPr>
            <w:tcW w:w="1980" w:type="dxa"/>
            <w:vAlign w:val="center"/>
          </w:tcPr>
          <w:p w14:paraId="7AC1204D">
            <w:pPr>
              <w:spacing w:line="276" w:lineRule="auto"/>
              <w:jc w:val="center"/>
              <w:rPr>
                <w:rFonts w:ascii="宋体" w:hAnsi="Times New Roman" w:eastAsia="宋体" w:cs="Times New Roman"/>
                <w:szCs w:val="21"/>
              </w:rPr>
            </w:pPr>
          </w:p>
        </w:tc>
        <w:tc>
          <w:tcPr>
            <w:tcW w:w="1770" w:type="dxa"/>
            <w:vAlign w:val="center"/>
          </w:tcPr>
          <w:p w14:paraId="07F42C5E">
            <w:pPr>
              <w:spacing w:line="276" w:lineRule="auto"/>
              <w:jc w:val="center"/>
              <w:rPr>
                <w:rFonts w:ascii="宋体" w:hAnsi="Times New Roman" w:eastAsia="宋体" w:cs="Times New Roman"/>
                <w:szCs w:val="21"/>
              </w:rPr>
            </w:pPr>
          </w:p>
        </w:tc>
        <w:tc>
          <w:tcPr>
            <w:tcW w:w="2385" w:type="dxa"/>
            <w:vAlign w:val="center"/>
          </w:tcPr>
          <w:p w14:paraId="6794B3D1">
            <w:pPr>
              <w:spacing w:line="276" w:lineRule="auto"/>
              <w:jc w:val="center"/>
              <w:rPr>
                <w:rFonts w:ascii="宋体" w:hAnsi="Times New Roman" w:eastAsia="宋体" w:cs="Times New Roman"/>
                <w:szCs w:val="21"/>
              </w:rPr>
            </w:pPr>
          </w:p>
        </w:tc>
        <w:tc>
          <w:tcPr>
            <w:tcW w:w="1989" w:type="dxa"/>
            <w:vAlign w:val="center"/>
          </w:tcPr>
          <w:p w14:paraId="131ED7E8">
            <w:pPr>
              <w:spacing w:line="276" w:lineRule="auto"/>
              <w:jc w:val="center"/>
              <w:rPr>
                <w:rFonts w:ascii="宋体" w:hAnsi="Times New Roman" w:eastAsia="宋体" w:cs="Times New Roman"/>
                <w:szCs w:val="21"/>
              </w:rPr>
            </w:pPr>
          </w:p>
        </w:tc>
      </w:tr>
      <w:tr w14:paraId="35E538CB">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cantSplit/>
          <w:trHeight w:val="300" w:hRule="atLeast"/>
          <w:jc w:val="center"/>
        </w:trPr>
        <w:tc>
          <w:tcPr>
            <w:tcW w:w="674" w:type="dxa"/>
            <w:vAlign w:val="center"/>
          </w:tcPr>
          <w:p w14:paraId="5314B25D">
            <w:pPr>
              <w:spacing w:line="276" w:lineRule="auto"/>
              <w:jc w:val="center"/>
              <w:rPr>
                <w:rFonts w:ascii="宋体" w:hAnsi="Times New Roman" w:eastAsia="宋体" w:cs="Times New Roman"/>
                <w:szCs w:val="21"/>
              </w:rPr>
            </w:pPr>
          </w:p>
        </w:tc>
        <w:tc>
          <w:tcPr>
            <w:tcW w:w="1980" w:type="dxa"/>
            <w:vAlign w:val="center"/>
          </w:tcPr>
          <w:p w14:paraId="4D0DC5A0">
            <w:pPr>
              <w:spacing w:line="276" w:lineRule="auto"/>
              <w:jc w:val="center"/>
              <w:rPr>
                <w:rFonts w:ascii="宋体" w:hAnsi="Times New Roman" w:eastAsia="宋体" w:cs="Times New Roman"/>
                <w:szCs w:val="21"/>
              </w:rPr>
            </w:pPr>
          </w:p>
        </w:tc>
        <w:tc>
          <w:tcPr>
            <w:tcW w:w="1770" w:type="dxa"/>
            <w:vAlign w:val="center"/>
          </w:tcPr>
          <w:p w14:paraId="541E32A9">
            <w:pPr>
              <w:spacing w:line="276" w:lineRule="auto"/>
              <w:jc w:val="center"/>
              <w:rPr>
                <w:rFonts w:ascii="宋体" w:hAnsi="Times New Roman" w:eastAsia="宋体" w:cs="Times New Roman"/>
                <w:szCs w:val="21"/>
              </w:rPr>
            </w:pPr>
          </w:p>
        </w:tc>
        <w:tc>
          <w:tcPr>
            <w:tcW w:w="2385" w:type="dxa"/>
            <w:vAlign w:val="center"/>
          </w:tcPr>
          <w:p w14:paraId="4918DF2E">
            <w:pPr>
              <w:spacing w:line="276" w:lineRule="auto"/>
              <w:jc w:val="center"/>
              <w:rPr>
                <w:rFonts w:ascii="宋体" w:hAnsi="Times New Roman" w:eastAsia="宋体" w:cs="Times New Roman"/>
                <w:szCs w:val="21"/>
              </w:rPr>
            </w:pPr>
          </w:p>
        </w:tc>
        <w:tc>
          <w:tcPr>
            <w:tcW w:w="1989" w:type="dxa"/>
            <w:vAlign w:val="center"/>
          </w:tcPr>
          <w:p w14:paraId="561D3009">
            <w:pPr>
              <w:spacing w:line="276" w:lineRule="auto"/>
              <w:jc w:val="center"/>
              <w:rPr>
                <w:rFonts w:ascii="宋体" w:hAnsi="Times New Roman" w:eastAsia="宋体" w:cs="Times New Roman"/>
                <w:szCs w:val="21"/>
              </w:rPr>
            </w:pPr>
          </w:p>
        </w:tc>
      </w:tr>
    </w:tbl>
    <w:p w14:paraId="40ADFFDF">
      <w:pPr>
        <w:spacing w:after="120" w:line="276" w:lineRule="auto"/>
        <w:rPr>
          <w:rFonts w:ascii="Times New Roman" w:hAnsi="Times New Roman" w:eastAsia="宋体" w:cs="Times New Roman"/>
          <w:b/>
          <w:bCs/>
          <w:szCs w:val="21"/>
        </w:rPr>
      </w:pPr>
      <w:r>
        <w:rPr>
          <w:rFonts w:hint="eastAsia" w:ascii="Times New Roman" w:hAnsi="Times New Roman" w:eastAsia="宋体" w:cs="Times New Roman"/>
          <w:szCs w:val="21"/>
        </w:rPr>
        <w:t>（特别提示：以上表格仅供参考。投标人须按本招标文件评标信息中“自主知识产权产品（创新、设计）情况”这一评分因素要求，提供证明资料）</w:t>
      </w:r>
    </w:p>
    <w:p w14:paraId="53C89A2A">
      <w:pPr>
        <w:ind w:firstLine="0" w:firstLineChars="0"/>
        <w:rPr>
          <w:rFonts w:ascii="Times New Roman" w:hAnsi="Times New Roman" w:eastAsia="宋体" w:cs="Times New Roman"/>
          <w:b/>
          <w:color w:val="FF0000"/>
          <w:sz w:val="24"/>
          <w:szCs w:val="24"/>
        </w:rPr>
      </w:pPr>
    </w:p>
    <w:p w14:paraId="6333B5AF">
      <w:pPr>
        <w:ind w:firstLine="0" w:firstLineChars="0"/>
        <w:rPr>
          <w:rFonts w:ascii="Times New Roman" w:hAnsi="Times New Roman" w:eastAsia="宋体" w:cs="Times New Roman"/>
          <w:b/>
          <w:color w:val="FF0000"/>
          <w:sz w:val="24"/>
          <w:szCs w:val="24"/>
        </w:rPr>
      </w:pPr>
    </w:p>
    <w:p w14:paraId="05F972A7">
      <w:pPr>
        <w:ind w:firstLine="0" w:firstLineChars="0"/>
        <w:rPr>
          <w:rFonts w:ascii="Times New Roman" w:hAnsi="Times New Roman" w:eastAsia="宋体" w:cs="Times New Roman"/>
          <w:b/>
          <w:color w:val="FF0000"/>
          <w:sz w:val="24"/>
          <w:szCs w:val="24"/>
        </w:rPr>
      </w:pPr>
    </w:p>
    <w:p w14:paraId="7B17710F">
      <w:pPr>
        <w:ind w:firstLine="723" w:firstLineChars="300"/>
        <w:rPr>
          <w:rFonts w:ascii="Times New Roman" w:hAnsi="Times New Roman" w:eastAsia="宋体" w:cs="Times New Roman"/>
          <w:b/>
          <w:color w:val="FF0000"/>
          <w:sz w:val="24"/>
          <w:szCs w:val="24"/>
        </w:rPr>
      </w:pPr>
      <w:r>
        <w:rPr>
          <w:rFonts w:ascii="Times New Roman" w:hAnsi="Times New Roman" w:eastAsia="宋体" w:cs="Times New Roman"/>
          <w:b/>
          <w:color w:val="FF0000"/>
          <w:sz w:val="24"/>
          <w:szCs w:val="24"/>
        </w:rPr>
        <w:t>（信息公开部分的内容到此为止！以下为信息不公开部分。）</w:t>
      </w:r>
    </w:p>
    <w:bookmarkEnd w:id="60"/>
    <w:p w14:paraId="0ECF496A">
      <w:pPr>
        <w:rPr>
          <w:rFonts w:ascii="Times New Roman" w:hAnsi="Times New Roman" w:eastAsia="宋体" w:cs="Times New Roman"/>
          <w:szCs w:val="24"/>
        </w:rPr>
      </w:pPr>
      <w:r>
        <w:rPr>
          <w:rFonts w:ascii="Times New Roman" w:hAnsi="Times New Roman" w:eastAsia="宋体" w:cs="Times New Roman"/>
          <w:szCs w:val="24"/>
        </w:rPr>
        <w:br w:type="page"/>
      </w:r>
    </w:p>
    <w:p w14:paraId="04FF1C49">
      <w:pPr>
        <w:outlineLvl w:val="1"/>
        <w:rPr>
          <w:rFonts w:ascii="Times New Roman" w:hAnsi="Times New Roman" w:eastAsia="宋体" w:cs="Times New Roman"/>
          <w:b/>
          <w:color w:val="FF0000"/>
          <w:sz w:val="28"/>
          <w:szCs w:val="28"/>
        </w:rPr>
      </w:pPr>
      <w:bookmarkStart w:id="62" w:name="_Hlk72260530"/>
      <w:r>
        <w:rPr>
          <w:rFonts w:ascii="Times New Roman" w:hAnsi="Times New Roman" w:eastAsia="宋体" w:cs="Times New Roman"/>
          <w:b/>
          <w:color w:val="FF0000"/>
          <w:sz w:val="28"/>
          <w:szCs w:val="28"/>
        </w:rPr>
        <w:t>投标文件附件（信息不公开部分）</w:t>
      </w:r>
    </w:p>
    <w:p w14:paraId="34658955">
      <w:pPr>
        <w:keepNext/>
        <w:keepLines/>
        <w:spacing w:before="260" w:after="260"/>
        <w:jc w:val="center"/>
        <w:outlineLvl w:val="2"/>
        <w:rPr>
          <w:rFonts w:ascii="Times New Roman" w:hAnsi="Times New Roman" w:eastAsia="黑体" w:cs="Times New Roman"/>
          <w:bCs/>
          <w:sz w:val="24"/>
          <w:szCs w:val="32"/>
        </w:rPr>
      </w:pPr>
      <w:r>
        <w:rPr>
          <w:rFonts w:hint="eastAsia" w:ascii="Times New Roman" w:hAnsi="Times New Roman" w:eastAsia="黑体" w:cs="Times New Roman"/>
          <w:bCs/>
          <w:sz w:val="24"/>
          <w:szCs w:val="32"/>
        </w:rPr>
        <w:t>一、供应商基本情况表</w:t>
      </w:r>
    </w:p>
    <w:tbl>
      <w:tblPr>
        <w:tblStyle w:val="45"/>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644"/>
        <w:gridCol w:w="1528"/>
        <w:gridCol w:w="903"/>
        <w:gridCol w:w="751"/>
        <w:gridCol w:w="1145"/>
        <w:gridCol w:w="1428"/>
        <w:gridCol w:w="1420"/>
      </w:tblGrid>
      <w:tr w14:paraId="3F58B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4" w:type="dxa"/>
            <w:gridSpan w:val="2"/>
            <w:vAlign w:val="center"/>
          </w:tcPr>
          <w:p w14:paraId="61993178">
            <w:pPr>
              <w:rPr>
                <w:rFonts w:ascii="宋体" w:hAnsi="宋体" w:eastAsia="宋体" w:cs="宋体"/>
                <w:szCs w:val="21"/>
              </w:rPr>
            </w:pPr>
            <w:r>
              <w:rPr>
                <w:rFonts w:hint="eastAsia" w:ascii="宋体" w:hAnsi="宋体" w:eastAsia="宋体" w:cs="宋体"/>
                <w:szCs w:val="21"/>
              </w:rPr>
              <w:t>投标（响应）供应商</w:t>
            </w:r>
          </w:p>
        </w:tc>
        <w:tc>
          <w:tcPr>
            <w:tcW w:w="2431" w:type="dxa"/>
            <w:gridSpan w:val="2"/>
            <w:vAlign w:val="center"/>
          </w:tcPr>
          <w:p w14:paraId="69081B37">
            <w:pPr>
              <w:jc w:val="center"/>
              <w:rPr>
                <w:rFonts w:ascii="宋体" w:hAnsi="宋体" w:eastAsia="宋体" w:cs="宋体"/>
                <w:szCs w:val="21"/>
              </w:rPr>
            </w:pPr>
          </w:p>
        </w:tc>
        <w:tc>
          <w:tcPr>
            <w:tcW w:w="1896" w:type="dxa"/>
            <w:gridSpan w:val="2"/>
            <w:vAlign w:val="center"/>
          </w:tcPr>
          <w:p w14:paraId="72B37B34">
            <w:pPr>
              <w:jc w:val="center"/>
              <w:rPr>
                <w:rFonts w:ascii="宋体" w:hAnsi="宋体" w:eastAsia="宋体" w:cs="宋体"/>
                <w:szCs w:val="21"/>
              </w:rPr>
            </w:pPr>
            <w:r>
              <w:rPr>
                <w:rFonts w:hint="eastAsia" w:ascii="宋体" w:hAnsi="宋体" w:eastAsia="宋体" w:cs="宋体"/>
                <w:szCs w:val="21"/>
              </w:rPr>
              <w:t>项目名称及编号</w:t>
            </w:r>
          </w:p>
        </w:tc>
        <w:tc>
          <w:tcPr>
            <w:tcW w:w="2848" w:type="dxa"/>
            <w:gridSpan w:val="2"/>
            <w:vAlign w:val="center"/>
          </w:tcPr>
          <w:p w14:paraId="5B7C0EB7">
            <w:pPr>
              <w:jc w:val="center"/>
              <w:rPr>
                <w:rFonts w:ascii="宋体" w:hAnsi="宋体" w:eastAsia="宋体" w:cs="宋体"/>
                <w:szCs w:val="21"/>
              </w:rPr>
            </w:pPr>
          </w:p>
        </w:tc>
      </w:tr>
      <w:tr w14:paraId="00077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9" w:type="dxa"/>
            <w:gridSpan w:val="8"/>
            <w:vAlign w:val="center"/>
          </w:tcPr>
          <w:p w14:paraId="4CBDDDE6">
            <w:pPr>
              <w:jc w:val="center"/>
              <w:rPr>
                <w:rFonts w:ascii="宋体" w:hAnsi="宋体" w:eastAsia="宋体" w:cs="宋体"/>
                <w:szCs w:val="21"/>
              </w:rPr>
            </w:pPr>
            <w:r>
              <w:rPr>
                <w:rFonts w:hint="eastAsia" w:ascii="宋体" w:hAnsi="宋体" w:eastAsia="宋体" w:cs="宋体"/>
                <w:b/>
                <w:bCs/>
                <w:szCs w:val="21"/>
              </w:rPr>
              <w:t>投标（响应）供应商相关人员情况</w:t>
            </w:r>
          </w:p>
        </w:tc>
      </w:tr>
      <w:tr w14:paraId="183A4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tcBorders>
              <w:bottom w:val="single" w:color="auto" w:sz="4" w:space="0"/>
            </w:tcBorders>
            <w:vAlign w:val="center"/>
          </w:tcPr>
          <w:p w14:paraId="5B95607E">
            <w:pPr>
              <w:snapToGrid w:val="0"/>
              <w:jc w:val="center"/>
              <w:rPr>
                <w:rFonts w:ascii="宋体" w:hAnsi="宋体" w:eastAsia="宋体" w:cs="宋体"/>
                <w:szCs w:val="21"/>
              </w:rPr>
            </w:pPr>
            <w:r>
              <w:rPr>
                <w:rFonts w:hint="eastAsia" w:ascii="宋体" w:hAnsi="宋体" w:eastAsia="宋体" w:cs="宋体"/>
                <w:szCs w:val="21"/>
              </w:rPr>
              <w:t>序号</w:t>
            </w:r>
          </w:p>
        </w:tc>
        <w:tc>
          <w:tcPr>
            <w:tcW w:w="2172" w:type="dxa"/>
            <w:gridSpan w:val="2"/>
            <w:tcBorders>
              <w:bottom w:val="single" w:color="auto" w:sz="4" w:space="0"/>
            </w:tcBorders>
            <w:vAlign w:val="center"/>
          </w:tcPr>
          <w:p w14:paraId="01BF841A">
            <w:pPr>
              <w:jc w:val="center"/>
              <w:rPr>
                <w:rFonts w:ascii="宋体" w:hAnsi="宋体" w:eastAsia="宋体" w:cs="宋体"/>
                <w:szCs w:val="21"/>
              </w:rPr>
            </w:pPr>
            <w:r>
              <w:rPr>
                <w:rFonts w:hint="eastAsia" w:ascii="宋体" w:hAnsi="宋体" w:eastAsia="宋体" w:cs="宋体"/>
                <w:szCs w:val="21"/>
              </w:rPr>
              <w:t>职务</w:t>
            </w:r>
          </w:p>
        </w:tc>
        <w:tc>
          <w:tcPr>
            <w:tcW w:w="903" w:type="dxa"/>
            <w:tcBorders>
              <w:bottom w:val="single" w:color="auto" w:sz="4" w:space="0"/>
            </w:tcBorders>
            <w:vAlign w:val="center"/>
          </w:tcPr>
          <w:p w14:paraId="19FE6BD9">
            <w:pPr>
              <w:jc w:val="center"/>
              <w:rPr>
                <w:rFonts w:ascii="宋体" w:hAnsi="宋体" w:eastAsia="宋体" w:cs="宋体"/>
                <w:szCs w:val="21"/>
              </w:rPr>
            </w:pPr>
            <w:r>
              <w:rPr>
                <w:rFonts w:hint="eastAsia" w:ascii="宋体" w:hAnsi="宋体" w:eastAsia="宋体" w:cs="宋体"/>
                <w:szCs w:val="21"/>
              </w:rPr>
              <w:t>姓名</w:t>
            </w:r>
          </w:p>
        </w:tc>
        <w:tc>
          <w:tcPr>
            <w:tcW w:w="1896" w:type="dxa"/>
            <w:gridSpan w:val="2"/>
            <w:tcBorders>
              <w:bottom w:val="single" w:color="auto" w:sz="4" w:space="0"/>
            </w:tcBorders>
            <w:vAlign w:val="center"/>
          </w:tcPr>
          <w:p w14:paraId="5F92E726">
            <w:pPr>
              <w:jc w:val="center"/>
              <w:rPr>
                <w:rFonts w:ascii="宋体" w:hAnsi="宋体" w:eastAsia="宋体" w:cs="宋体"/>
                <w:szCs w:val="21"/>
              </w:rPr>
            </w:pPr>
            <w:r>
              <w:rPr>
                <w:rFonts w:hint="eastAsia" w:ascii="宋体" w:hAnsi="宋体" w:eastAsia="宋体" w:cs="宋体"/>
                <w:szCs w:val="21"/>
              </w:rPr>
              <w:t>身份证号码</w:t>
            </w:r>
          </w:p>
        </w:tc>
        <w:tc>
          <w:tcPr>
            <w:tcW w:w="1428" w:type="dxa"/>
            <w:tcBorders>
              <w:bottom w:val="single" w:color="auto" w:sz="4" w:space="0"/>
            </w:tcBorders>
            <w:vAlign w:val="center"/>
          </w:tcPr>
          <w:p w14:paraId="532B1C08">
            <w:pPr>
              <w:snapToGrid w:val="0"/>
              <w:jc w:val="center"/>
              <w:rPr>
                <w:rFonts w:ascii="宋体" w:hAnsi="宋体" w:eastAsia="宋体" w:cs="宋体"/>
                <w:szCs w:val="21"/>
              </w:rPr>
            </w:pPr>
            <w:r>
              <w:rPr>
                <w:rFonts w:hint="eastAsia" w:ascii="宋体" w:hAnsi="宋体" w:eastAsia="宋体" w:cs="宋体"/>
                <w:szCs w:val="21"/>
              </w:rPr>
              <w:t>劳动合同</w:t>
            </w:r>
          </w:p>
          <w:p w14:paraId="68E1B12F">
            <w:pPr>
              <w:snapToGrid w:val="0"/>
              <w:jc w:val="center"/>
              <w:rPr>
                <w:rFonts w:ascii="宋体" w:hAnsi="宋体" w:eastAsia="宋体" w:cs="宋体"/>
                <w:szCs w:val="21"/>
              </w:rPr>
            </w:pPr>
            <w:r>
              <w:rPr>
                <w:rFonts w:hint="eastAsia" w:ascii="宋体" w:hAnsi="宋体" w:eastAsia="宋体" w:cs="宋体"/>
                <w:szCs w:val="21"/>
              </w:rPr>
              <w:t>关系单位</w:t>
            </w:r>
          </w:p>
        </w:tc>
        <w:tc>
          <w:tcPr>
            <w:tcW w:w="1420" w:type="dxa"/>
            <w:tcBorders>
              <w:bottom w:val="single" w:color="auto" w:sz="4" w:space="0"/>
            </w:tcBorders>
            <w:vAlign w:val="center"/>
          </w:tcPr>
          <w:p w14:paraId="6AB60D85">
            <w:pPr>
              <w:snapToGrid w:val="0"/>
              <w:jc w:val="center"/>
              <w:rPr>
                <w:rFonts w:ascii="宋体" w:hAnsi="宋体" w:eastAsia="宋体" w:cs="宋体"/>
                <w:szCs w:val="21"/>
              </w:rPr>
            </w:pPr>
            <w:r>
              <w:rPr>
                <w:rFonts w:hint="eastAsia" w:ascii="宋体" w:hAnsi="宋体" w:eastAsia="宋体" w:cs="宋体"/>
                <w:szCs w:val="21"/>
              </w:rPr>
              <w:t>缴纳社会</w:t>
            </w:r>
          </w:p>
          <w:p w14:paraId="53C04A33">
            <w:pPr>
              <w:snapToGrid w:val="0"/>
              <w:jc w:val="center"/>
              <w:rPr>
                <w:rFonts w:ascii="宋体" w:hAnsi="宋体" w:eastAsia="宋体" w:cs="宋体"/>
                <w:szCs w:val="21"/>
              </w:rPr>
            </w:pPr>
            <w:r>
              <w:rPr>
                <w:rFonts w:hint="eastAsia" w:ascii="宋体" w:hAnsi="宋体" w:eastAsia="宋体" w:cs="宋体"/>
                <w:szCs w:val="21"/>
              </w:rPr>
              <w:t>保险单位</w:t>
            </w:r>
          </w:p>
        </w:tc>
      </w:tr>
      <w:tr w14:paraId="40700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tcBorders>
              <w:top w:val="single" w:color="auto" w:sz="4" w:space="0"/>
              <w:left w:val="single" w:color="auto" w:sz="4" w:space="0"/>
              <w:bottom w:val="single" w:color="auto" w:sz="4" w:space="0"/>
              <w:right w:val="single" w:color="auto" w:sz="4" w:space="0"/>
            </w:tcBorders>
            <w:vAlign w:val="center"/>
          </w:tcPr>
          <w:p w14:paraId="495580B8">
            <w:pPr>
              <w:jc w:val="center"/>
              <w:rPr>
                <w:rFonts w:ascii="宋体" w:hAnsi="宋体" w:eastAsia="宋体" w:cs="宋体"/>
                <w:szCs w:val="21"/>
              </w:rPr>
            </w:pPr>
            <w:r>
              <w:rPr>
                <w:rFonts w:hint="eastAsia" w:ascii="宋体" w:hAnsi="宋体" w:eastAsia="宋体" w:cs="宋体"/>
                <w:szCs w:val="21"/>
              </w:rPr>
              <w:t>1</w:t>
            </w:r>
          </w:p>
        </w:tc>
        <w:tc>
          <w:tcPr>
            <w:tcW w:w="2172" w:type="dxa"/>
            <w:gridSpan w:val="2"/>
            <w:tcBorders>
              <w:top w:val="single" w:color="auto" w:sz="4" w:space="0"/>
              <w:left w:val="single" w:color="auto" w:sz="4" w:space="0"/>
              <w:bottom w:val="single" w:color="auto" w:sz="4" w:space="0"/>
              <w:right w:val="single" w:color="auto" w:sz="4" w:space="0"/>
            </w:tcBorders>
            <w:vAlign w:val="center"/>
          </w:tcPr>
          <w:p w14:paraId="33D15C08">
            <w:pPr>
              <w:spacing w:line="460" w:lineRule="exact"/>
              <w:jc w:val="center"/>
              <w:rPr>
                <w:rFonts w:ascii="宋体" w:hAnsi="宋体" w:eastAsia="宋体" w:cs="宋体"/>
                <w:szCs w:val="21"/>
              </w:rPr>
            </w:pPr>
            <w:r>
              <w:rPr>
                <w:rFonts w:hint="eastAsia" w:ascii="宋体" w:hAnsi="宋体" w:eastAsia="宋体" w:cs="宋体"/>
                <w:szCs w:val="21"/>
              </w:rPr>
              <w:t>法定代表人/单位负责人/主要经营负责人</w:t>
            </w:r>
          </w:p>
        </w:tc>
        <w:tc>
          <w:tcPr>
            <w:tcW w:w="903" w:type="dxa"/>
            <w:tcBorders>
              <w:top w:val="single" w:color="auto" w:sz="4" w:space="0"/>
              <w:left w:val="single" w:color="auto" w:sz="4" w:space="0"/>
              <w:bottom w:val="single" w:color="auto" w:sz="4" w:space="0"/>
              <w:right w:val="single" w:color="auto" w:sz="4" w:space="0"/>
            </w:tcBorders>
            <w:vAlign w:val="center"/>
          </w:tcPr>
          <w:p w14:paraId="52383837">
            <w:pPr>
              <w:jc w:val="center"/>
              <w:rPr>
                <w:rFonts w:ascii="宋体" w:hAnsi="宋体" w:eastAsia="宋体" w:cs="宋体"/>
                <w:szCs w:val="21"/>
              </w:rPr>
            </w:pPr>
          </w:p>
        </w:tc>
        <w:tc>
          <w:tcPr>
            <w:tcW w:w="1896" w:type="dxa"/>
            <w:gridSpan w:val="2"/>
            <w:tcBorders>
              <w:top w:val="single" w:color="auto" w:sz="4" w:space="0"/>
              <w:left w:val="single" w:color="auto" w:sz="4" w:space="0"/>
              <w:bottom w:val="single" w:color="auto" w:sz="4" w:space="0"/>
              <w:right w:val="single" w:color="auto" w:sz="4" w:space="0"/>
            </w:tcBorders>
            <w:vAlign w:val="center"/>
          </w:tcPr>
          <w:p w14:paraId="2E93E628">
            <w:pPr>
              <w:jc w:val="center"/>
              <w:rPr>
                <w:rFonts w:ascii="宋体" w:hAnsi="宋体" w:eastAsia="宋体" w:cs="宋体"/>
                <w:szCs w:val="21"/>
              </w:rPr>
            </w:pPr>
          </w:p>
        </w:tc>
        <w:tc>
          <w:tcPr>
            <w:tcW w:w="1428" w:type="dxa"/>
            <w:tcBorders>
              <w:top w:val="single" w:color="auto" w:sz="4" w:space="0"/>
              <w:left w:val="single" w:color="auto" w:sz="4" w:space="0"/>
              <w:bottom w:val="single" w:color="auto" w:sz="4" w:space="0"/>
              <w:right w:val="single" w:color="auto" w:sz="4" w:space="0"/>
            </w:tcBorders>
            <w:vAlign w:val="center"/>
          </w:tcPr>
          <w:p w14:paraId="232F0BC6">
            <w:pPr>
              <w:jc w:val="center"/>
              <w:rPr>
                <w:rFonts w:ascii="宋体" w:hAnsi="宋体" w:eastAsia="宋体" w:cs="宋体"/>
                <w:szCs w:val="21"/>
              </w:rPr>
            </w:pPr>
          </w:p>
        </w:tc>
        <w:tc>
          <w:tcPr>
            <w:tcW w:w="1420" w:type="dxa"/>
            <w:tcBorders>
              <w:top w:val="single" w:color="auto" w:sz="4" w:space="0"/>
              <w:left w:val="single" w:color="auto" w:sz="4" w:space="0"/>
              <w:bottom w:val="single" w:color="auto" w:sz="4" w:space="0"/>
              <w:right w:val="single" w:color="auto" w:sz="4" w:space="0"/>
            </w:tcBorders>
            <w:vAlign w:val="center"/>
          </w:tcPr>
          <w:p w14:paraId="21E56D77">
            <w:pPr>
              <w:jc w:val="center"/>
              <w:rPr>
                <w:rFonts w:ascii="宋体" w:hAnsi="宋体" w:eastAsia="宋体" w:cs="宋体"/>
                <w:szCs w:val="21"/>
              </w:rPr>
            </w:pPr>
          </w:p>
        </w:tc>
      </w:tr>
      <w:tr w14:paraId="3C271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tcBorders>
              <w:top w:val="single" w:color="auto" w:sz="4" w:space="0"/>
              <w:left w:val="single" w:color="auto" w:sz="4" w:space="0"/>
              <w:bottom w:val="single" w:color="auto" w:sz="4" w:space="0"/>
              <w:right w:val="single" w:color="auto" w:sz="4" w:space="0"/>
            </w:tcBorders>
            <w:vAlign w:val="center"/>
          </w:tcPr>
          <w:p w14:paraId="4A02ABFF">
            <w:pPr>
              <w:jc w:val="center"/>
              <w:rPr>
                <w:rFonts w:ascii="宋体" w:hAnsi="宋体" w:eastAsia="宋体" w:cs="宋体"/>
                <w:szCs w:val="21"/>
              </w:rPr>
            </w:pPr>
            <w:r>
              <w:rPr>
                <w:rFonts w:hint="eastAsia" w:ascii="宋体" w:hAnsi="宋体" w:eastAsia="宋体" w:cs="宋体"/>
                <w:szCs w:val="21"/>
              </w:rPr>
              <w:t>2</w:t>
            </w:r>
          </w:p>
        </w:tc>
        <w:tc>
          <w:tcPr>
            <w:tcW w:w="2172" w:type="dxa"/>
            <w:gridSpan w:val="2"/>
            <w:tcBorders>
              <w:top w:val="single" w:color="auto" w:sz="4" w:space="0"/>
              <w:left w:val="single" w:color="auto" w:sz="4" w:space="0"/>
              <w:bottom w:val="single" w:color="auto" w:sz="4" w:space="0"/>
              <w:right w:val="single" w:color="auto" w:sz="4" w:space="0"/>
            </w:tcBorders>
            <w:vAlign w:val="center"/>
          </w:tcPr>
          <w:p w14:paraId="3FA5DFE2">
            <w:pPr>
              <w:jc w:val="center"/>
              <w:rPr>
                <w:rFonts w:ascii="宋体" w:hAnsi="宋体" w:eastAsia="宋体" w:cs="宋体"/>
                <w:szCs w:val="21"/>
              </w:rPr>
            </w:pPr>
            <w:r>
              <w:rPr>
                <w:rFonts w:hint="eastAsia" w:ascii="宋体" w:hAnsi="宋体" w:eastAsia="宋体" w:cs="宋体"/>
                <w:szCs w:val="21"/>
              </w:rPr>
              <w:t>项目投标授权代表人</w:t>
            </w:r>
          </w:p>
        </w:tc>
        <w:tc>
          <w:tcPr>
            <w:tcW w:w="903" w:type="dxa"/>
            <w:tcBorders>
              <w:top w:val="single" w:color="auto" w:sz="4" w:space="0"/>
              <w:left w:val="single" w:color="auto" w:sz="4" w:space="0"/>
              <w:bottom w:val="single" w:color="auto" w:sz="4" w:space="0"/>
              <w:right w:val="single" w:color="auto" w:sz="4" w:space="0"/>
            </w:tcBorders>
            <w:vAlign w:val="center"/>
          </w:tcPr>
          <w:p w14:paraId="63A5CEDA">
            <w:pPr>
              <w:jc w:val="center"/>
              <w:rPr>
                <w:rFonts w:ascii="宋体" w:hAnsi="宋体" w:eastAsia="宋体" w:cs="宋体"/>
                <w:szCs w:val="21"/>
              </w:rPr>
            </w:pPr>
          </w:p>
        </w:tc>
        <w:tc>
          <w:tcPr>
            <w:tcW w:w="1896" w:type="dxa"/>
            <w:gridSpan w:val="2"/>
            <w:tcBorders>
              <w:top w:val="single" w:color="auto" w:sz="4" w:space="0"/>
              <w:left w:val="single" w:color="auto" w:sz="4" w:space="0"/>
              <w:bottom w:val="single" w:color="auto" w:sz="4" w:space="0"/>
              <w:right w:val="single" w:color="auto" w:sz="4" w:space="0"/>
            </w:tcBorders>
            <w:vAlign w:val="center"/>
          </w:tcPr>
          <w:p w14:paraId="5D8EF336">
            <w:pPr>
              <w:jc w:val="center"/>
              <w:rPr>
                <w:rFonts w:ascii="宋体" w:hAnsi="宋体" w:eastAsia="宋体" w:cs="宋体"/>
                <w:szCs w:val="21"/>
              </w:rPr>
            </w:pPr>
          </w:p>
        </w:tc>
        <w:tc>
          <w:tcPr>
            <w:tcW w:w="1428" w:type="dxa"/>
            <w:tcBorders>
              <w:top w:val="single" w:color="auto" w:sz="4" w:space="0"/>
              <w:left w:val="single" w:color="auto" w:sz="4" w:space="0"/>
              <w:bottom w:val="single" w:color="auto" w:sz="4" w:space="0"/>
              <w:right w:val="single" w:color="auto" w:sz="4" w:space="0"/>
            </w:tcBorders>
            <w:vAlign w:val="center"/>
          </w:tcPr>
          <w:p w14:paraId="7391290B">
            <w:pPr>
              <w:jc w:val="center"/>
              <w:rPr>
                <w:rFonts w:ascii="宋体" w:hAnsi="宋体" w:eastAsia="宋体" w:cs="宋体"/>
                <w:szCs w:val="21"/>
              </w:rPr>
            </w:pPr>
          </w:p>
        </w:tc>
        <w:tc>
          <w:tcPr>
            <w:tcW w:w="1420" w:type="dxa"/>
            <w:tcBorders>
              <w:top w:val="single" w:color="auto" w:sz="4" w:space="0"/>
              <w:left w:val="single" w:color="auto" w:sz="4" w:space="0"/>
              <w:bottom w:val="single" w:color="auto" w:sz="4" w:space="0"/>
              <w:right w:val="single" w:color="auto" w:sz="4" w:space="0"/>
            </w:tcBorders>
            <w:vAlign w:val="center"/>
          </w:tcPr>
          <w:p w14:paraId="7E362570">
            <w:pPr>
              <w:jc w:val="center"/>
              <w:rPr>
                <w:rFonts w:ascii="宋体" w:hAnsi="宋体" w:eastAsia="宋体" w:cs="宋体"/>
                <w:szCs w:val="21"/>
              </w:rPr>
            </w:pPr>
          </w:p>
        </w:tc>
      </w:tr>
      <w:tr w14:paraId="47537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tcBorders>
              <w:top w:val="single" w:color="auto" w:sz="4" w:space="0"/>
            </w:tcBorders>
            <w:vAlign w:val="center"/>
          </w:tcPr>
          <w:p w14:paraId="5D93C545">
            <w:pPr>
              <w:jc w:val="center"/>
              <w:rPr>
                <w:rFonts w:ascii="宋体" w:hAnsi="宋体" w:eastAsia="宋体" w:cs="宋体"/>
                <w:szCs w:val="21"/>
              </w:rPr>
            </w:pPr>
            <w:r>
              <w:rPr>
                <w:rFonts w:hint="eastAsia" w:ascii="宋体" w:hAnsi="宋体" w:eastAsia="宋体" w:cs="宋体"/>
                <w:szCs w:val="21"/>
                <w:lang w:bidi="ar"/>
              </w:rPr>
              <w:t>3</w:t>
            </w:r>
          </w:p>
        </w:tc>
        <w:tc>
          <w:tcPr>
            <w:tcW w:w="2172" w:type="dxa"/>
            <w:gridSpan w:val="2"/>
            <w:tcBorders>
              <w:top w:val="single" w:color="auto" w:sz="4" w:space="0"/>
            </w:tcBorders>
            <w:vAlign w:val="center"/>
          </w:tcPr>
          <w:p w14:paraId="7D70E9AB">
            <w:pPr>
              <w:jc w:val="center"/>
              <w:rPr>
                <w:rFonts w:ascii="宋体" w:hAnsi="宋体" w:eastAsia="宋体" w:cs="宋体"/>
                <w:szCs w:val="21"/>
              </w:rPr>
            </w:pPr>
            <w:r>
              <w:rPr>
                <w:rFonts w:hint="eastAsia" w:ascii="宋体" w:hAnsi="宋体" w:eastAsia="宋体" w:cs="宋体"/>
                <w:szCs w:val="21"/>
              </w:rPr>
              <w:t>项目负责人</w:t>
            </w:r>
          </w:p>
        </w:tc>
        <w:tc>
          <w:tcPr>
            <w:tcW w:w="903" w:type="dxa"/>
            <w:tcBorders>
              <w:top w:val="single" w:color="auto" w:sz="4" w:space="0"/>
            </w:tcBorders>
            <w:vAlign w:val="center"/>
          </w:tcPr>
          <w:p w14:paraId="5F2746E6">
            <w:pPr>
              <w:jc w:val="center"/>
              <w:rPr>
                <w:rFonts w:ascii="宋体" w:hAnsi="宋体" w:eastAsia="宋体" w:cs="宋体"/>
                <w:szCs w:val="21"/>
              </w:rPr>
            </w:pPr>
          </w:p>
        </w:tc>
        <w:tc>
          <w:tcPr>
            <w:tcW w:w="1896" w:type="dxa"/>
            <w:gridSpan w:val="2"/>
            <w:tcBorders>
              <w:top w:val="single" w:color="auto" w:sz="4" w:space="0"/>
            </w:tcBorders>
            <w:vAlign w:val="center"/>
          </w:tcPr>
          <w:p w14:paraId="2B198FC1">
            <w:pPr>
              <w:jc w:val="center"/>
              <w:rPr>
                <w:rFonts w:ascii="宋体" w:hAnsi="宋体" w:eastAsia="宋体" w:cs="宋体"/>
                <w:szCs w:val="21"/>
              </w:rPr>
            </w:pPr>
          </w:p>
        </w:tc>
        <w:tc>
          <w:tcPr>
            <w:tcW w:w="1428" w:type="dxa"/>
            <w:tcBorders>
              <w:top w:val="single" w:color="auto" w:sz="4" w:space="0"/>
            </w:tcBorders>
            <w:vAlign w:val="center"/>
          </w:tcPr>
          <w:p w14:paraId="28931C8D">
            <w:pPr>
              <w:jc w:val="center"/>
              <w:rPr>
                <w:rFonts w:ascii="宋体" w:hAnsi="宋体" w:eastAsia="宋体" w:cs="宋体"/>
                <w:szCs w:val="21"/>
              </w:rPr>
            </w:pPr>
          </w:p>
        </w:tc>
        <w:tc>
          <w:tcPr>
            <w:tcW w:w="1420" w:type="dxa"/>
            <w:tcBorders>
              <w:top w:val="single" w:color="auto" w:sz="4" w:space="0"/>
            </w:tcBorders>
            <w:vAlign w:val="center"/>
          </w:tcPr>
          <w:p w14:paraId="268DBC47">
            <w:pPr>
              <w:jc w:val="center"/>
              <w:rPr>
                <w:rFonts w:ascii="宋体" w:hAnsi="宋体" w:eastAsia="宋体" w:cs="宋体"/>
                <w:szCs w:val="21"/>
              </w:rPr>
            </w:pPr>
          </w:p>
        </w:tc>
      </w:tr>
      <w:tr w14:paraId="3A226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vAlign w:val="center"/>
          </w:tcPr>
          <w:p w14:paraId="1A039D36">
            <w:pPr>
              <w:jc w:val="center"/>
              <w:rPr>
                <w:rFonts w:ascii="宋体" w:hAnsi="宋体" w:eastAsia="宋体" w:cs="宋体"/>
                <w:szCs w:val="21"/>
              </w:rPr>
            </w:pPr>
            <w:r>
              <w:rPr>
                <w:rFonts w:hint="eastAsia" w:ascii="宋体" w:hAnsi="宋体" w:eastAsia="宋体" w:cs="宋体"/>
                <w:szCs w:val="21"/>
                <w:lang w:bidi="ar"/>
              </w:rPr>
              <w:t>4</w:t>
            </w:r>
          </w:p>
        </w:tc>
        <w:tc>
          <w:tcPr>
            <w:tcW w:w="2172" w:type="dxa"/>
            <w:gridSpan w:val="2"/>
            <w:vAlign w:val="center"/>
          </w:tcPr>
          <w:p w14:paraId="2273A2DA">
            <w:pPr>
              <w:jc w:val="center"/>
              <w:rPr>
                <w:rFonts w:ascii="宋体" w:hAnsi="宋体" w:eastAsia="宋体" w:cs="宋体"/>
                <w:szCs w:val="21"/>
              </w:rPr>
            </w:pPr>
            <w:r>
              <w:rPr>
                <w:rFonts w:hint="eastAsia" w:ascii="宋体" w:hAnsi="宋体" w:eastAsia="宋体" w:cs="宋体"/>
                <w:szCs w:val="21"/>
              </w:rPr>
              <w:t>主要技术人员</w:t>
            </w:r>
          </w:p>
        </w:tc>
        <w:tc>
          <w:tcPr>
            <w:tcW w:w="903" w:type="dxa"/>
            <w:vAlign w:val="center"/>
          </w:tcPr>
          <w:p w14:paraId="60DE5778">
            <w:pPr>
              <w:jc w:val="center"/>
              <w:rPr>
                <w:rFonts w:ascii="宋体" w:hAnsi="宋体" w:eastAsia="宋体" w:cs="宋体"/>
                <w:szCs w:val="21"/>
              </w:rPr>
            </w:pPr>
          </w:p>
        </w:tc>
        <w:tc>
          <w:tcPr>
            <w:tcW w:w="1896" w:type="dxa"/>
            <w:gridSpan w:val="2"/>
            <w:vAlign w:val="center"/>
          </w:tcPr>
          <w:p w14:paraId="0167F2E2">
            <w:pPr>
              <w:jc w:val="center"/>
              <w:rPr>
                <w:rFonts w:ascii="宋体" w:hAnsi="宋体" w:eastAsia="宋体" w:cs="宋体"/>
                <w:szCs w:val="21"/>
              </w:rPr>
            </w:pPr>
          </w:p>
        </w:tc>
        <w:tc>
          <w:tcPr>
            <w:tcW w:w="1428" w:type="dxa"/>
            <w:vAlign w:val="center"/>
          </w:tcPr>
          <w:p w14:paraId="7C2893CE">
            <w:pPr>
              <w:jc w:val="center"/>
              <w:rPr>
                <w:rFonts w:ascii="宋体" w:hAnsi="宋体" w:eastAsia="宋体" w:cs="宋体"/>
                <w:szCs w:val="21"/>
              </w:rPr>
            </w:pPr>
          </w:p>
        </w:tc>
        <w:tc>
          <w:tcPr>
            <w:tcW w:w="1420" w:type="dxa"/>
            <w:vAlign w:val="center"/>
          </w:tcPr>
          <w:p w14:paraId="3A9A215D">
            <w:pPr>
              <w:jc w:val="center"/>
              <w:rPr>
                <w:rFonts w:ascii="宋体" w:hAnsi="宋体" w:eastAsia="宋体" w:cs="宋体"/>
                <w:szCs w:val="21"/>
              </w:rPr>
            </w:pPr>
          </w:p>
        </w:tc>
      </w:tr>
      <w:tr w14:paraId="56EF5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vAlign w:val="center"/>
          </w:tcPr>
          <w:p w14:paraId="306F78AD">
            <w:pPr>
              <w:jc w:val="center"/>
              <w:rPr>
                <w:rFonts w:ascii="宋体" w:hAnsi="宋体" w:eastAsia="宋体" w:cs="宋体"/>
                <w:szCs w:val="21"/>
              </w:rPr>
            </w:pPr>
            <w:r>
              <w:rPr>
                <w:rFonts w:hint="eastAsia" w:ascii="宋体" w:hAnsi="宋体" w:eastAsia="宋体" w:cs="宋体"/>
                <w:szCs w:val="21"/>
                <w:lang w:bidi="ar"/>
              </w:rPr>
              <w:t>5</w:t>
            </w:r>
          </w:p>
        </w:tc>
        <w:tc>
          <w:tcPr>
            <w:tcW w:w="2172" w:type="dxa"/>
            <w:gridSpan w:val="2"/>
            <w:vAlign w:val="center"/>
          </w:tcPr>
          <w:p w14:paraId="47947118">
            <w:pPr>
              <w:snapToGrid w:val="0"/>
              <w:jc w:val="center"/>
              <w:rPr>
                <w:rFonts w:ascii="宋体" w:hAnsi="宋体" w:eastAsia="宋体" w:cs="宋体"/>
                <w:szCs w:val="21"/>
              </w:rPr>
            </w:pPr>
            <w:r>
              <w:rPr>
                <w:rFonts w:hint="eastAsia" w:ascii="宋体" w:hAnsi="宋体" w:eastAsia="宋体" w:cs="宋体"/>
                <w:szCs w:val="21"/>
              </w:rPr>
              <w:t>投标文件编制人员</w:t>
            </w:r>
          </w:p>
        </w:tc>
        <w:tc>
          <w:tcPr>
            <w:tcW w:w="903" w:type="dxa"/>
            <w:vAlign w:val="center"/>
          </w:tcPr>
          <w:p w14:paraId="2A1BFA95">
            <w:pPr>
              <w:jc w:val="center"/>
              <w:rPr>
                <w:rFonts w:ascii="宋体" w:hAnsi="宋体" w:eastAsia="宋体" w:cs="宋体"/>
                <w:szCs w:val="21"/>
              </w:rPr>
            </w:pPr>
          </w:p>
        </w:tc>
        <w:tc>
          <w:tcPr>
            <w:tcW w:w="1896" w:type="dxa"/>
            <w:gridSpan w:val="2"/>
            <w:vAlign w:val="center"/>
          </w:tcPr>
          <w:p w14:paraId="2622C905">
            <w:pPr>
              <w:jc w:val="center"/>
              <w:rPr>
                <w:rFonts w:ascii="宋体" w:hAnsi="宋体" w:eastAsia="宋体" w:cs="宋体"/>
                <w:szCs w:val="21"/>
              </w:rPr>
            </w:pPr>
          </w:p>
        </w:tc>
        <w:tc>
          <w:tcPr>
            <w:tcW w:w="1428" w:type="dxa"/>
            <w:vAlign w:val="center"/>
          </w:tcPr>
          <w:p w14:paraId="2C5A1B73">
            <w:pPr>
              <w:jc w:val="center"/>
              <w:rPr>
                <w:rFonts w:ascii="宋体" w:hAnsi="宋体" w:eastAsia="宋体" w:cs="宋体"/>
                <w:szCs w:val="21"/>
              </w:rPr>
            </w:pPr>
          </w:p>
        </w:tc>
        <w:tc>
          <w:tcPr>
            <w:tcW w:w="1420" w:type="dxa"/>
            <w:vAlign w:val="center"/>
          </w:tcPr>
          <w:p w14:paraId="1F7E9A4B">
            <w:pPr>
              <w:jc w:val="center"/>
              <w:rPr>
                <w:rFonts w:ascii="宋体" w:hAnsi="宋体" w:eastAsia="宋体" w:cs="宋体"/>
                <w:szCs w:val="21"/>
              </w:rPr>
            </w:pPr>
          </w:p>
        </w:tc>
      </w:tr>
      <w:tr w14:paraId="24471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9" w:type="dxa"/>
            <w:gridSpan w:val="8"/>
            <w:vAlign w:val="center"/>
          </w:tcPr>
          <w:p w14:paraId="1C9BF188">
            <w:pPr>
              <w:rPr>
                <w:rFonts w:ascii="宋体" w:hAnsi="宋体" w:eastAsia="宋体" w:cs="宋体"/>
                <w:szCs w:val="21"/>
              </w:rPr>
            </w:pPr>
            <w:r>
              <w:rPr>
                <w:rFonts w:hint="eastAsia" w:ascii="宋体" w:hAnsi="宋体" w:eastAsia="宋体" w:cs="宋体"/>
                <w:b/>
                <w:bCs/>
                <w:szCs w:val="21"/>
              </w:rPr>
              <w:t>说明：同一职务有多人担任（如主要技术人员），应分行填写。</w:t>
            </w:r>
          </w:p>
        </w:tc>
      </w:tr>
      <w:tr w14:paraId="0594D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519" w:type="dxa"/>
            <w:gridSpan w:val="8"/>
            <w:vAlign w:val="center"/>
          </w:tcPr>
          <w:p w14:paraId="55318507">
            <w:pPr>
              <w:jc w:val="center"/>
              <w:rPr>
                <w:rFonts w:ascii="宋体" w:hAnsi="宋体" w:eastAsia="宋体" w:cs="宋体"/>
                <w:b/>
                <w:bCs/>
                <w:szCs w:val="21"/>
              </w:rPr>
            </w:pPr>
            <w:r>
              <w:rPr>
                <w:rFonts w:hint="eastAsia" w:ascii="宋体" w:hAnsi="宋体" w:eastAsia="宋体" w:cs="宋体"/>
                <w:b/>
                <w:bCs/>
                <w:szCs w:val="21"/>
              </w:rPr>
              <w:t>投标（响应）供应商关联关系情况</w:t>
            </w:r>
          </w:p>
        </w:tc>
      </w:tr>
      <w:tr w14:paraId="4EBAE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tcBorders>
              <w:bottom w:val="single" w:color="auto" w:sz="4" w:space="0"/>
            </w:tcBorders>
            <w:vAlign w:val="center"/>
          </w:tcPr>
          <w:p w14:paraId="45E7718D">
            <w:pPr>
              <w:jc w:val="center"/>
              <w:rPr>
                <w:rFonts w:ascii="宋体" w:hAnsi="宋体" w:eastAsia="宋体" w:cs="宋体"/>
                <w:szCs w:val="21"/>
                <w:lang w:bidi="ar"/>
              </w:rPr>
            </w:pPr>
            <w:r>
              <w:rPr>
                <w:rFonts w:hint="eastAsia" w:ascii="宋体" w:hAnsi="宋体" w:eastAsia="宋体" w:cs="宋体"/>
                <w:szCs w:val="21"/>
                <w:lang w:bidi="ar"/>
              </w:rPr>
              <w:t>序号</w:t>
            </w:r>
          </w:p>
        </w:tc>
        <w:tc>
          <w:tcPr>
            <w:tcW w:w="2172" w:type="dxa"/>
            <w:gridSpan w:val="2"/>
            <w:tcBorders>
              <w:bottom w:val="single" w:color="auto" w:sz="4" w:space="0"/>
            </w:tcBorders>
            <w:vAlign w:val="center"/>
          </w:tcPr>
          <w:p w14:paraId="20D48776">
            <w:pPr>
              <w:jc w:val="center"/>
              <w:rPr>
                <w:rFonts w:ascii="宋体" w:hAnsi="宋体" w:eastAsia="宋体" w:cs="宋体"/>
                <w:szCs w:val="21"/>
              </w:rPr>
            </w:pPr>
            <w:r>
              <w:rPr>
                <w:rFonts w:hint="eastAsia" w:ascii="宋体" w:hAnsi="宋体" w:eastAsia="宋体" w:cs="宋体"/>
                <w:szCs w:val="21"/>
              </w:rPr>
              <w:t>关联关系类型</w:t>
            </w:r>
          </w:p>
        </w:tc>
        <w:tc>
          <w:tcPr>
            <w:tcW w:w="1654" w:type="dxa"/>
            <w:gridSpan w:val="2"/>
            <w:tcBorders>
              <w:bottom w:val="single" w:color="auto" w:sz="4" w:space="0"/>
            </w:tcBorders>
            <w:vAlign w:val="center"/>
          </w:tcPr>
          <w:p w14:paraId="53414EB3">
            <w:pPr>
              <w:jc w:val="center"/>
              <w:rPr>
                <w:rFonts w:ascii="宋体" w:hAnsi="宋体" w:eastAsia="宋体" w:cs="宋体"/>
                <w:szCs w:val="21"/>
              </w:rPr>
            </w:pPr>
            <w:r>
              <w:rPr>
                <w:rFonts w:hint="eastAsia" w:ascii="宋体" w:hAnsi="宋体" w:eastAsia="宋体" w:cs="宋体"/>
                <w:szCs w:val="21"/>
              </w:rPr>
              <w:t>关联主体名称</w:t>
            </w:r>
          </w:p>
        </w:tc>
        <w:tc>
          <w:tcPr>
            <w:tcW w:w="3993" w:type="dxa"/>
            <w:gridSpan w:val="3"/>
            <w:tcBorders>
              <w:bottom w:val="single" w:color="auto" w:sz="4" w:space="0"/>
            </w:tcBorders>
            <w:vAlign w:val="center"/>
          </w:tcPr>
          <w:p w14:paraId="7FD5020C">
            <w:pPr>
              <w:jc w:val="center"/>
              <w:rPr>
                <w:rFonts w:ascii="宋体" w:hAnsi="宋体" w:eastAsia="宋体" w:cs="宋体"/>
                <w:szCs w:val="21"/>
              </w:rPr>
            </w:pPr>
            <w:r>
              <w:rPr>
                <w:rFonts w:hint="eastAsia" w:ascii="宋体" w:hAnsi="宋体" w:eastAsia="宋体" w:cs="宋体"/>
                <w:szCs w:val="21"/>
              </w:rPr>
              <w:t>备注</w:t>
            </w:r>
          </w:p>
        </w:tc>
      </w:tr>
      <w:tr w14:paraId="3B975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tcBorders>
              <w:top w:val="single" w:color="auto" w:sz="4" w:space="0"/>
              <w:left w:val="single" w:color="auto" w:sz="4" w:space="0"/>
              <w:bottom w:val="single" w:color="auto" w:sz="4" w:space="0"/>
              <w:right w:val="single" w:color="auto" w:sz="4" w:space="0"/>
            </w:tcBorders>
            <w:vAlign w:val="center"/>
          </w:tcPr>
          <w:p w14:paraId="407356A7">
            <w:pPr>
              <w:jc w:val="center"/>
              <w:rPr>
                <w:rFonts w:ascii="宋体" w:hAnsi="宋体" w:eastAsia="宋体" w:cs="宋体"/>
                <w:szCs w:val="21"/>
                <w:lang w:bidi="ar"/>
              </w:rPr>
            </w:pPr>
            <w:r>
              <w:rPr>
                <w:rFonts w:hint="eastAsia" w:ascii="宋体" w:hAnsi="宋体" w:eastAsia="宋体" w:cs="宋体"/>
                <w:szCs w:val="21"/>
                <w:lang w:bidi="ar"/>
              </w:rPr>
              <w:t>1</w:t>
            </w:r>
          </w:p>
        </w:tc>
        <w:tc>
          <w:tcPr>
            <w:tcW w:w="2172" w:type="dxa"/>
            <w:gridSpan w:val="2"/>
            <w:tcBorders>
              <w:top w:val="single" w:color="auto" w:sz="4" w:space="0"/>
              <w:left w:val="single" w:color="auto" w:sz="4" w:space="0"/>
              <w:bottom w:val="single" w:color="auto" w:sz="4" w:space="0"/>
              <w:right w:val="single" w:color="auto" w:sz="4" w:space="0"/>
            </w:tcBorders>
            <w:vAlign w:val="center"/>
          </w:tcPr>
          <w:p w14:paraId="235079C8">
            <w:pPr>
              <w:jc w:val="center"/>
              <w:rPr>
                <w:rFonts w:ascii="宋体" w:hAnsi="宋体" w:eastAsia="宋体" w:cs="宋体"/>
                <w:szCs w:val="21"/>
              </w:rPr>
            </w:pPr>
            <w:r>
              <w:rPr>
                <w:rFonts w:hint="eastAsia" w:ascii="宋体" w:hAnsi="宋体" w:eastAsia="宋体" w:cs="宋体"/>
                <w:szCs w:val="21"/>
              </w:rPr>
              <w:t>控股股东</w:t>
            </w:r>
          </w:p>
        </w:tc>
        <w:tc>
          <w:tcPr>
            <w:tcW w:w="1654" w:type="dxa"/>
            <w:gridSpan w:val="2"/>
            <w:tcBorders>
              <w:top w:val="single" w:color="auto" w:sz="4" w:space="0"/>
              <w:left w:val="single" w:color="auto" w:sz="4" w:space="0"/>
              <w:bottom w:val="single" w:color="auto" w:sz="4" w:space="0"/>
              <w:right w:val="single" w:color="auto" w:sz="4" w:space="0"/>
            </w:tcBorders>
            <w:vAlign w:val="center"/>
          </w:tcPr>
          <w:p w14:paraId="1E32EF06">
            <w:pPr>
              <w:jc w:val="center"/>
              <w:rPr>
                <w:rFonts w:ascii="宋体" w:hAnsi="宋体" w:eastAsia="宋体" w:cs="宋体"/>
                <w:szCs w:val="21"/>
              </w:rPr>
            </w:pPr>
          </w:p>
        </w:tc>
        <w:tc>
          <w:tcPr>
            <w:tcW w:w="3993" w:type="dxa"/>
            <w:gridSpan w:val="3"/>
            <w:tcBorders>
              <w:top w:val="single" w:color="auto" w:sz="4" w:space="0"/>
              <w:left w:val="single" w:color="auto" w:sz="4" w:space="0"/>
              <w:bottom w:val="single" w:color="auto" w:sz="4" w:space="0"/>
              <w:right w:val="single" w:color="auto" w:sz="4" w:space="0"/>
            </w:tcBorders>
            <w:vAlign w:val="center"/>
          </w:tcPr>
          <w:p w14:paraId="2987B11E">
            <w:pPr>
              <w:snapToGrid w:val="0"/>
              <w:rPr>
                <w:rFonts w:ascii="宋体" w:hAnsi="宋体" w:eastAsia="宋体" w:cs="宋体"/>
                <w:szCs w:val="21"/>
              </w:rPr>
            </w:pPr>
            <w:r>
              <w:rPr>
                <w:rFonts w:hint="eastAsia" w:ascii="宋体" w:hAnsi="宋体" w:eastAsia="宋体" w:cs="宋体"/>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2B094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700" w:type="dxa"/>
            <w:tcBorders>
              <w:top w:val="single" w:color="auto" w:sz="4" w:space="0"/>
              <w:left w:val="single" w:color="auto" w:sz="4" w:space="0"/>
              <w:bottom w:val="single" w:color="auto" w:sz="4" w:space="0"/>
              <w:right w:val="single" w:color="auto" w:sz="4" w:space="0"/>
            </w:tcBorders>
            <w:vAlign w:val="center"/>
          </w:tcPr>
          <w:p w14:paraId="1BDA5B1B">
            <w:pPr>
              <w:jc w:val="center"/>
              <w:rPr>
                <w:rFonts w:ascii="宋体" w:hAnsi="宋体" w:eastAsia="宋体" w:cs="宋体"/>
                <w:szCs w:val="21"/>
                <w:lang w:bidi="ar"/>
              </w:rPr>
            </w:pPr>
            <w:r>
              <w:rPr>
                <w:rFonts w:hint="eastAsia" w:ascii="宋体" w:hAnsi="宋体" w:eastAsia="宋体" w:cs="宋体"/>
                <w:szCs w:val="21"/>
                <w:lang w:bidi="ar"/>
              </w:rPr>
              <w:t>2</w:t>
            </w:r>
          </w:p>
        </w:tc>
        <w:tc>
          <w:tcPr>
            <w:tcW w:w="2172" w:type="dxa"/>
            <w:gridSpan w:val="2"/>
            <w:tcBorders>
              <w:top w:val="single" w:color="auto" w:sz="4" w:space="0"/>
              <w:left w:val="single" w:color="auto" w:sz="4" w:space="0"/>
              <w:bottom w:val="single" w:color="auto" w:sz="4" w:space="0"/>
              <w:right w:val="single" w:color="auto" w:sz="4" w:space="0"/>
            </w:tcBorders>
            <w:vAlign w:val="center"/>
          </w:tcPr>
          <w:p w14:paraId="6FB87AE3">
            <w:pPr>
              <w:jc w:val="center"/>
              <w:rPr>
                <w:rFonts w:ascii="宋体" w:hAnsi="宋体" w:eastAsia="宋体" w:cs="宋体"/>
                <w:szCs w:val="21"/>
              </w:rPr>
            </w:pPr>
            <w:r>
              <w:rPr>
                <w:rFonts w:hint="eastAsia" w:ascii="宋体" w:hAnsi="宋体" w:eastAsia="宋体" w:cs="宋体"/>
                <w:szCs w:val="21"/>
              </w:rPr>
              <w:t>管理关系</w:t>
            </w:r>
          </w:p>
        </w:tc>
        <w:tc>
          <w:tcPr>
            <w:tcW w:w="1654" w:type="dxa"/>
            <w:gridSpan w:val="2"/>
            <w:tcBorders>
              <w:top w:val="single" w:color="auto" w:sz="4" w:space="0"/>
              <w:left w:val="single" w:color="auto" w:sz="4" w:space="0"/>
              <w:bottom w:val="single" w:color="auto" w:sz="4" w:space="0"/>
              <w:right w:val="single" w:color="auto" w:sz="4" w:space="0"/>
            </w:tcBorders>
            <w:vAlign w:val="center"/>
          </w:tcPr>
          <w:p w14:paraId="74D7A4FF">
            <w:pPr>
              <w:jc w:val="center"/>
              <w:rPr>
                <w:rFonts w:ascii="宋体" w:hAnsi="宋体" w:eastAsia="宋体" w:cs="宋体"/>
                <w:szCs w:val="21"/>
              </w:rPr>
            </w:pPr>
          </w:p>
        </w:tc>
        <w:tc>
          <w:tcPr>
            <w:tcW w:w="3993" w:type="dxa"/>
            <w:gridSpan w:val="3"/>
            <w:tcBorders>
              <w:top w:val="single" w:color="auto" w:sz="4" w:space="0"/>
              <w:left w:val="single" w:color="auto" w:sz="4" w:space="0"/>
              <w:bottom w:val="single" w:color="auto" w:sz="4" w:space="0"/>
              <w:right w:val="single" w:color="auto" w:sz="4" w:space="0"/>
            </w:tcBorders>
            <w:vAlign w:val="center"/>
          </w:tcPr>
          <w:p w14:paraId="18084688">
            <w:pPr>
              <w:snapToGrid w:val="0"/>
              <w:rPr>
                <w:rFonts w:ascii="宋体" w:hAnsi="宋体" w:eastAsia="宋体" w:cs="宋体"/>
                <w:szCs w:val="21"/>
              </w:rPr>
            </w:pPr>
            <w:r>
              <w:rPr>
                <w:rFonts w:hint="eastAsia" w:ascii="宋体" w:hAnsi="宋体" w:eastAsia="宋体" w:cs="宋体"/>
                <w:szCs w:val="21"/>
              </w:rPr>
              <w:t>指对投标（响应）供应商不具有出资持股关系，但对其存在管理关系的主体。</w:t>
            </w:r>
          </w:p>
        </w:tc>
      </w:tr>
      <w:tr w14:paraId="73432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519" w:type="dxa"/>
            <w:gridSpan w:val="8"/>
            <w:tcBorders>
              <w:top w:val="single" w:color="auto" w:sz="4" w:space="0"/>
              <w:left w:val="single" w:color="auto" w:sz="4" w:space="0"/>
              <w:bottom w:val="single" w:color="auto" w:sz="4" w:space="0"/>
              <w:right w:val="single" w:color="auto" w:sz="4" w:space="0"/>
            </w:tcBorders>
            <w:vAlign w:val="center"/>
          </w:tcPr>
          <w:p w14:paraId="7C059897">
            <w:pPr>
              <w:snapToGrid w:val="0"/>
              <w:rPr>
                <w:rFonts w:ascii="宋体" w:hAnsi="宋体" w:eastAsia="宋体" w:cs="宋体"/>
                <w:szCs w:val="21"/>
              </w:rPr>
            </w:pPr>
            <w:r>
              <w:rPr>
                <w:rFonts w:hint="eastAsia" w:ascii="宋体" w:hAnsi="宋体" w:eastAsia="宋体" w:cs="宋体"/>
                <w:b/>
                <w:bCs/>
                <w:szCs w:val="21"/>
              </w:rPr>
              <w:t>说明：同一关联关系类型有多个主体的，应分行填写。</w:t>
            </w:r>
          </w:p>
        </w:tc>
      </w:tr>
    </w:tbl>
    <w:p w14:paraId="5AE54BF8"/>
    <w:p w14:paraId="4CCEC166">
      <w:pPr>
        <w:keepNext/>
        <w:keepLines/>
        <w:spacing w:before="260" w:after="260"/>
        <w:jc w:val="center"/>
        <w:outlineLvl w:val="2"/>
        <w:rPr>
          <w:rFonts w:ascii="Times New Roman" w:hAnsi="Times New Roman" w:eastAsia="黑体" w:cs="Times New Roman"/>
          <w:bCs/>
          <w:sz w:val="24"/>
          <w:szCs w:val="32"/>
        </w:rPr>
      </w:pPr>
      <w:r>
        <w:rPr>
          <w:rFonts w:hint="eastAsia" w:ascii="Times New Roman" w:hAnsi="Times New Roman" w:eastAsia="黑体" w:cs="Times New Roman"/>
          <w:bCs/>
          <w:sz w:val="24"/>
          <w:szCs w:val="32"/>
        </w:rPr>
        <w:t>二</w:t>
      </w:r>
      <w:r>
        <w:rPr>
          <w:rFonts w:ascii="Times New Roman" w:hAnsi="Times New Roman" w:eastAsia="黑体" w:cs="Times New Roman"/>
          <w:bCs/>
          <w:sz w:val="24"/>
          <w:szCs w:val="32"/>
        </w:rPr>
        <w:t>、</w:t>
      </w:r>
      <w:bookmarkStart w:id="63" w:name="_Hlk72092499"/>
      <w:r>
        <w:rPr>
          <w:rFonts w:ascii="Times New Roman" w:hAnsi="Times New Roman" w:eastAsia="黑体" w:cs="Times New Roman"/>
          <w:bCs/>
          <w:sz w:val="24"/>
          <w:szCs w:val="32"/>
        </w:rPr>
        <w:t>法定代表人（负责人）证明书</w:t>
      </w:r>
      <w:bookmarkEnd w:id="63"/>
    </w:p>
    <w:p w14:paraId="68E61044">
      <w:pPr>
        <w:spacing w:line="360" w:lineRule="auto"/>
        <w:rPr>
          <w:rFonts w:ascii="Times New Roman" w:hAnsi="Times New Roman" w:eastAsia="宋体" w:cs="Times New Roman"/>
          <w:sz w:val="24"/>
          <w:szCs w:val="24"/>
        </w:rPr>
      </w:pPr>
    </w:p>
    <w:p w14:paraId="00D4A8BA">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  </w:t>
      </w:r>
      <w:r>
        <w:rPr>
          <w:rFonts w:ascii="Times New Roman" w:hAnsi="Times New Roman" w:eastAsia="宋体" w:cs="Times New Roman"/>
          <w:szCs w:val="21"/>
        </w:rPr>
        <w:t>同志，现任我单位</w:t>
      </w:r>
      <w:r>
        <w:rPr>
          <w:rFonts w:ascii="Times New Roman" w:hAnsi="Times New Roman" w:eastAsia="宋体" w:cs="Times New Roman"/>
          <w:szCs w:val="21"/>
          <w:u w:val="single"/>
        </w:rPr>
        <w:t xml:space="preserve">         </w:t>
      </w:r>
      <w:r>
        <w:rPr>
          <w:rFonts w:ascii="Times New Roman" w:hAnsi="Times New Roman" w:eastAsia="宋体" w:cs="Times New Roman"/>
          <w:szCs w:val="21"/>
        </w:rPr>
        <w:t>职务，为法定代表人（负责人），</w:t>
      </w:r>
      <w:r>
        <w:rPr>
          <w:rFonts w:hint="eastAsia" w:ascii="Times New Roman" w:hAnsi="Times New Roman" w:eastAsia="宋体" w:cs="Times New Roman"/>
          <w:szCs w:val="21"/>
        </w:rPr>
        <w:t>身份证号：</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，联系电话：</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w:t>
      </w:r>
      <w:r>
        <w:rPr>
          <w:rFonts w:ascii="Times New Roman" w:hAnsi="Times New Roman" w:eastAsia="宋体" w:cs="Times New Roman"/>
          <w:szCs w:val="21"/>
        </w:rPr>
        <w:t>特此证明。</w:t>
      </w:r>
    </w:p>
    <w:p w14:paraId="18D6DF50">
      <w:pPr>
        <w:spacing w:line="360" w:lineRule="auto"/>
        <w:rPr>
          <w:rFonts w:ascii="Times New Roman" w:hAnsi="Times New Roman" w:eastAsia="宋体" w:cs="Times New Roman"/>
          <w:szCs w:val="21"/>
        </w:rPr>
      </w:pPr>
    </w:p>
    <w:p w14:paraId="0FF7CF48">
      <w:pPr>
        <w:spacing w:line="360" w:lineRule="auto"/>
        <w:rPr>
          <w:rFonts w:ascii="Times New Roman" w:hAnsi="Times New Roman" w:eastAsia="宋体" w:cs="Times New Roman"/>
          <w:szCs w:val="21"/>
        </w:rPr>
      </w:pPr>
    </w:p>
    <w:p w14:paraId="69DE4820">
      <w:pPr>
        <w:spacing w:line="360" w:lineRule="auto"/>
        <w:rPr>
          <w:rFonts w:ascii="宋体" w:hAnsi="宋体" w:eastAsia="宋体" w:cs="宋体"/>
          <w:szCs w:val="21"/>
        </w:rPr>
      </w:pPr>
      <w:r>
        <w:rPr>
          <w:rFonts w:hint="eastAsia" w:ascii="宋体" w:hAnsi="宋体" w:eastAsia="宋体" w:cs="宋体"/>
          <w:szCs w:val="21"/>
        </w:rPr>
        <w:t>说明：1.法定代表人为投标人（企业事业单位、国家机关、社会团体）的主要行政负责人。</w:t>
      </w:r>
    </w:p>
    <w:p w14:paraId="20A0FFBD">
      <w:pPr>
        <w:spacing w:line="360" w:lineRule="auto"/>
        <w:ind w:firstLine="632" w:firstLineChars="300"/>
        <w:rPr>
          <w:rFonts w:ascii="宋体" w:hAnsi="宋体" w:eastAsia="宋体" w:cs="宋体"/>
          <w:b/>
          <w:color w:val="FF0000"/>
          <w:szCs w:val="21"/>
        </w:rPr>
      </w:pPr>
      <w:r>
        <w:rPr>
          <w:rFonts w:hint="eastAsia" w:ascii="宋体" w:hAnsi="宋体" w:eastAsia="宋体" w:cs="宋体"/>
          <w:b/>
          <w:color w:val="FF0000"/>
          <w:szCs w:val="21"/>
        </w:rPr>
        <w:t>2.本证明书要求投标供应商同时提供法定代表人（负责人）的身份证扫描件（正反两面）作为附件方为有效；港澳台居民可提供来往通行证扫描件；非中国国籍管辖范围人员，可提供公安部门认可的身份证明材料扫描件。</w:t>
      </w:r>
    </w:p>
    <w:p w14:paraId="2A99454D">
      <w:pPr>
        <w:spacing w:line="360" w:lineRule="auto"/>
        <w:ind w:firstLine="630" w:firstLineChars="300"/>
        <w:rPr>
          <w:rFonts w:ascii="宋体" w:hAnsi="宋体" w:eastAsia="宋体" w:cs="宋体"/>
          <w:szCs w:val="21"/>
        </w:rPr>
      </w:pPr>
      <w:r>
        <w:rPr>
          <w:rFonts w:hint="eastAsia" w:ascii="宋体" w:hAnsi="宋体" w:eastAsia="宋体" w:cs="宋体"/>
          <w:szCs w:val="21"/>
        </w:rPr>
        <w:t>3.本项目投标授权代表为法定代表人（负责人）的，无需提供《投标文件签署授权委托书》。</w:t>
      </w:r>
    </w:p>
    <w:p w14:paraId="382329C7">
      <w:pPr>
        <w:spacing w:line="360" w:lineRule="auto"/>
        <w:ind w:firstLine="630" w:firstLineChars="300"/>
        <w:rPr>
          <w:rFonts w:ascii="宋体" w:hAnsi="宋体" w:eastAsia="宋体" w:cs="宋体"/>
          <w:szCs w:val="21"/>
        </w:rPr>
      </w:pPr>
      <w:r>
        <w:rPr>
          <w:rFonts w:hint="eastAsia" w:ascii="宋体" w:hAnsi="宋体" w:eastAsia="宋体" w:cs="宋体"/>
          <w:szCs w:val="21"/>
        </w:rPr>
        <w:t>4.内容必须填写真实、清楚，涂改无效，不得转让、买卖。</w:t>
      </w:r>
    </w:p>
    <w:p w14:paraId="48AA2BE9">
      <w:pPr>
        <w:spacing w:line="360" w:lineRule="auto"/>
      </w:pPr>
    </w:p>
    <w:tbl>
      <w:tblPr>
        <w:tblStyle w:val="45"/>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28216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542F6A98">
            <w:pPr>
              <w:jc w:val="center"/>
              <w:rPr>
                <w:rFonts w:ascii="Times New Roman" w:hAnsi="Times New Roman" w:eastAsia="宋体" w:cs="Times New Roman"/>
                <w:szCs w:val="24"/>
              </w:rPr>
            </w:pPr>
            <w:r>
              <w:rPr>
                <w:rFonts w:hint="eastAsia" w:ascii="Times New Roman" w:hAnsi="Times New Roman" w:eastAsia="宋体" w:cs="Times New Roman"/>
                <w:szCs w:val="24"/>
              </w:rPr>
              <w:t>证件扫描件正面</w:t>
            </w:r>
          </w:p>
          <w:p w14:paraId="650770BF">
            <w:pPr>
              <w:spacing w:line="360" w:lineRule="auto"/>
              <w:jc w:val="center"/>
              <w:rPr>
                <w:rFonts w:ascii="Times New Roman" w:hAnsi="Times New Roman" w:eastAsia="宋体" w:cs="Times New Roman"/>
                <w:b/>
                <w:bCs/>
                <w:sz w:val="24"/>
                <w:szCs w:val="24"/>
              </w:rPr>
            </w:pPr>
          </w:p>
          <w:p w14:paraId="66E337A2">
            <w:pPr>
              <w:spacing w:line="360" w:lineRule="auto"/>
              <w:jc w:val="center"/>
              <w:rPr>
                <w:rFonts w:ascii="Times New Roman" w:hAnsi="Times New Roman" w:eastAsia="宋体" w:cs="Times New Roman"/>
                <w:sz w:val="24"/>
                <w:szCs w:val="24"/>
              </w:rPr>
            </w:pPr>
          </w:p>
          <w:p w14:paraId="5C2279E1">
            <w:pPr>
              <w:spacing w:line="360" w:lineRule="auto"/>
              <w:jc w:val="center"/>
              <w:rPr>
                <w:rFonts w:ascii="Times New Roman" w:hAnsi="Times New Roman" w:eastAsia="宋体" w:cs="Times New Roman"/>
                <w:sz w:val="24"/>
                <w:szCs w:val="24"/>
              </w:rPr>
            </w:pPr>
          </w:p>
          <w:p w14:paraId="0A9D2410">
            <w:pPr>
              <w:spacing w:line="360" w:lineRule="auto"/>
              <w:jc w:val="center"/>
              <w:rPr>
                <w:rFonts w:ascii="Times New Roman" w:hAnsi="Times New Roman" w:eastAsia="宋体" w:cs="Times New Roman"/>
                <w:sz w:val="24"/>
                <w:szCs w:val="24"/>
              </w:rPr>
            </w:pPr>
          </w:p>
          <w:p w14:paraId="54034C19">
            <w:pPr>
              <w:spacing w:line="360" w:lineRule="auto"/>
              <w:jc w:val="center"/>
              <w:rPr>
                <w:rFonts w:ascii="Times New Roman" w:hAnsi="Times New Roman" w:eastAsia="宋体" w:cs="Times New Roman"/>
                <w:sz w:val="24"/>
                <w:szCs w:val="24"/>
              </w:rPr>
            </w:pPr>
          </w:p>
          <w:p w14:paraId="2F8D16B7">
            <w:pPr>
              <w:spacing w:line="360" w:lineRule="auto"/>
              <w:jc w:val="center"/>
              <w:rPr>
                <w:rFonts w:ascii="Times New Roman" w:hAnsi="Times New Roman" w:eastAsia="宋体" w:cs="Times New Roman"/>
                <w:sz w:val="24"/>
                <w:szCs w:val="24"/>
              </w:rPr>
            </w:pPr>
          </w:p>
          <w:p w14:paraId="0052781C">
            <w:pPr>
              <w:spacing w:line="360" w:lineRule="auto"/>
              <w:jc w:val="center"/>
              <w:rPr>
                <w:rFonts w:ascii="Times New Roman" w:hAnsi="Times New Roman" w:eastAsia="宋体" w:cs="Times New Roman"/>
                <w:sz w:val="24"/>
                <w:szCs w:val="24"/>
              </w:rPr>
            </w:pPr>
          </w:p>
        </w:tc>
        <w:tc>
          <w:tcPr>
            <w:tcW w:w="4265" w:type="dxa"/>
          </w:tcPr>
          <w:p w14:paraId="293416C4">
            <w:pPr>
              <w:jc w:val="center"/>
              <w:rPr>
                <w:rFonts w:ascii="Times New Roman" w:hAnsi="Times New Roman" w:eastAsia="宋体" w:cs="Times New Roman"/>
                <w:szCs w:val="24"/>
              </w:rPr>
            </w:pPr>
            <w:r>
              <w:rPr>
                <w:rFonts w:hint="eastAsia" w:ascii="Times New Roman" w:hAnsi="Times New Roman" w:eastAsia="宋体" w:cs="Times New Roman"/>
                <w:szCs w:val="24"/>
              </w:rPr>
              <w:t>证件扫描件反面</w:t>
            </w:r>
          </w:p>
          <w:p w14:paraId="293C1FA6">
            <w:pPr>
              <w:spacing w:line="360" w:lineRule="auto"/>
              <w:jc w:val="center"/>
              <w:rPr>
                <w:rFonts w:ascii="Times New Roman" w:hAnsi="Times New Roman" w:eastAsia="宋体" w:cs="Times New Roman"/>
                <w:b/>
                <w:bCs/>
                <w:sz w:val="24"/>
                <w:szCs w:val="24"/>
              </w:rPr>
            </w:pPr>
          </w:p>
          <w:p w14:paraId="7DA91C10">
            <w:pPr>
              <w:spacing w:line="360" w:lineRule="auto"/>
              <w:jc w:val="center"/>
              <w:rPr>
                <w:rFonts w:ascii="Times New Roman" w:hAnsi="Times New Roman" w:eastAsia="宋体" w:cs="Times New Roman"/>
                <w:sz w:val="24"/>
                <w:szCs w:val="24"/>
              </w:rPr>
            </w:pPr>
          </w:p>
        </w:tc>
      </w:tr>
    </w:tbl>
    <w:p w14:paraId="7EFAF1B5">
      <w:pPr>
        <w:spacing w:line="360" w:lineRule="auto"/>
        <w:ind w:firstLine="422" w:firstLineChars="200"/>
        <w:rPr>
          <w:rFonts w:ascii="Times New Roman" w:hAnsi="Times New Roman" w:eastAsia="宋体" w:cs="Times New Roman"/>
          <w:b/>
          <w:bCs/>
          <w:szCs w:val="21"/>
        </w:rPr>
      </w:pPr>
      <w:r>
        <w:rPr>
          <w:rFonts w:hint="eastAsia" w:ascii="Times New Roman" w:hAnsi="Times New Roman" w:eastAsia="宋体" w:cs="Times New Roman"/>
          <w:b/>
          <w:bCs/>
          <w:szCs w:val="21"/>
        </w:rPr>
        <w:t>温馨提示：为避免出现《深圳经济特区政府采购条例实施细则》第七十五条第二项所列情形，请投标供应商核实贵单位法定代表人、本项目投标授权代表人、项目负责人（如有）、主要技术人员（如有）等是否在贵单位缴纳社会保险。</w:t>
      </w:r>
    </w:p>
    <w:p w14:paraId="27A6EBBE">
      <w:pPr>
        <w:spacing w:line="360" w:lineRule="auto"/>
        <w:rPr>
          <w:rFonts w:ascii="Times New Roman" w:hAnsi="Times New Roman" w:eastAsia="宋体" w:cs="Times New Roman"/>
          <w:b/>
          <w:bCs/>
          <w:sz w:val="24"/>
          <w:szCs w:val="24"/>
        </w:rPr>
      </w:pPr>
    </w:p>
    <w:p w14:paraId="2CBE4B87">
      <w:pPr>
        <w:keepNext/>
        <w:keepLines/>
        <w:spacing w:before="260" w:after="260"/>
        <w:jc w:val="center"/>
        <w:outlineLvl w:val="2"/>
        <w:rPr>
          <w:rFonts w:ascii="Times New Roman" w:hAnsi="Times New Roman" w:eastAsia="黑体" w:cs="Times New Roman"/>
          <w:bCs/>
          <w:sz w:val="24"/>
          <w:szCs w:val="32"/>
        </w:rPr>
      </w:pPr>
      <w:r>
        <w:rPr>
          <w:rFonts w:hint="eastAsia" w:ascii="Times New Roman" w:hAnsi="Times New Roman" w:eastAsia="黑体" w:cs="Times New Roman"/>
          <w:bCs/>
          <w:sz w:val="24"/>
          <w:szCs w:val="32"/>
        </w:rPr>
        <w:t>三</w:t>
      </w:r>
      <w:r>
        <w:rPr>
          <w:rFonts w:ascii="Times New Roman" w:hAnsi="Times New Roman" w:eastAsia="黑体" w:cs="Times New Roman"/>
          <w:bCs/>
          <w:sz w:val="24"/>
          <w:szCs w:val="32"/>
        </w:rPr>
        <w:t>、投标文件签署授权委托书</w:t>
      </w:r>
    </w:p>
    <w:p w14:paraId="37E2DDB0">
      <w:pPr>
        <w:spacing w:line="360" w:lineRule="auto"/>
        <w:ind w:firstLine="420" w:firstLineChars="200"/>
        <w:rPr>
          <w:rFonts w:ascii="宋体" w:hAnsi="宋体" w:eastAsia="宋体" w:cs="宋体"/>
          <w:szCs w:val="21"/>
        </w:rPr>
      </w:pPr>
      <w:r>
        <w:rPr>
          <w:rFonts w:hint="eastAsia" w:ascii="宋体" w:hAnsi="宋体" w:eastAsia="宋体" w:cs="宋体"/>
          <w:szCs w:val="21"/>
        </w:rPr>
        <w:t>本授权委托书声明：我</w:t>
      </w:r>
      <w:r>
        <w:rPr>
          <w:rFonts w:hint="eastAsia" w:ascii="宋体" w:hAnsi="宋体" w:eastAsia="宋体" w:cs="宋体"/>
          <w:szCs w:val="21"/>
          <w:u w:val="single"/>
        </w:rPr>
        <w:t xml:space="preserve">           </w:t>
      </w:r>
      <w:r>
        <w:rPr>
          <w:rFonts w:hint="eastAsia" w:ascii="宋体" w:hAnsi="宋体" w:eastAsia="宋体" w:cs="宋体"/>
          <w:szCs w:val="21"/>
        </w:rPr>
        <w:t>（姓名）系</w:t>
      </w:r>
      <w:r>
        <w:rPr>
          <w:rFonts w:hint="eastAsia" w:ascii="宋体" w:hAnsi="宋体" w:eastAsia="宋体" w:cs="宋体"/>
          <w:szCs w:val="21"/>
          <w:u w:val="single"/>
        </w:rPr>
        <w:t xml:space="preserve">             </w:t>
      </w:r>
      <w:r>
        <w:rPr>
          <w:rFonts w:hint="eastAsia" w:ascii="宋体" w:hAnsi="宋体" w:eastAsia="宋体" w:cs="宋体"/>
          <w:szCs w:val="21"/>
        </w:rPr>
        <w:t>（投标人名称）的法定代表人（负责人），现授权委托</w:t>
      </w:r>
      <w:r>
        <w:rPr>
          <w:rFonts w:hint="eastAsia" w:ascii="宋体" w:hAnsi="宋体" w:eastAsia="宋体" w:cs="宋体"/>
          <w:szCs w:val="21"/>
          <w:u w:val="single"/>
        </w:rPr>
        <w:t xml:space="preserve">            </w:t>
      </w:r>
      <w:r>
        <w:rPr>
          <w:rFonts w:hint="eastAsia" w:ascii="宋体" w:hAnsi="宋体" w:eastAsia="宋体" w:cs="宋体"/>
          <w:szCs w:val="21"/>
        </w:rPr>
        <w:t>（姓名）为我单位签署本项目已递交的投标文件的法定代表人（负责人）的授权委托代理人，代理人全权代表我所签署的本项目已递交的投标文件内容我均承认。</w:t>
      </w:r>
    </w:p>
    <w:p w14:paraId="07E0D14C">
      <w:pPr>
        <w:spacing w:line="360" w:lineRule="auto"/>
        <w:ind w:firstLine="420"/>
        <w:rPr>
          <w:rFonts w:ascii="宋体" w:hAnsi="宋体" w:eastAsia="宋体" w:cs="宋体"/>
          <w:szCs w:val="21"/>
        </w:rPr>
      </w:pPr>
      <w:r>
        <w:rPr>
          <w:rFonts w:hint="eastAsia" w:ascii="宋体" w:hAnsi="宋体" w:eastAsia="宋体" w:cs="宋体"/>
          <w:szCs w:val="21"/>
        </w:rPr>
        <w:t>代理人无转委托权，特此委托。</w:t>
      </w:r>
    </w:p>
    <w:p w14:paraId="038575BC">
      <w:pPr>
        <w:spacing w:line="360" w:lineRule="auto"/>
        <w:ind w:firstLine="420"/>
        <w:rPr>
          <w:rFonts w:ascii="宋体" w:hAnsi="宋体" w:eastAsia="宋体" w:cs="宋体"/>
          <w:szCs w:val="21"/>
        </w:rPr>
      </w:pPr>
    </w:p>
    <w:p w14:paraId="0F787FE6">
      <w:pPr>
        <w:spacing w:line="360" w:lineRule="auto"/>
        <w:ind w:firstLine="420"/>
        <w:rPr>
          <w:rFonts w:ascii="宋体" w:hAnsi="宋体" w:eastAsia="宋体" w:cs="宋体"/>
          <w:szCs w:val="21"/>
        </w:rPr>
      </w:pPr>
      <w:r>
        <w:rPr>
          <w:rFonts w:hint="eastAsia" w:ascii="宋体" w:hAnsi="宋体" w:eastAsia="宋体" w:cs="宋体"/>
          <w:szCs w:val="21"/>
        </w:rPr>
        <w:t>代理人：</w:t>
      </w:r>
      <w:r>
        <w:rPr>
          <w:rFonts w:hint="eastAsia" w:ascii="宋体" w:hAnsi="宋体" w:eastAsia="宋体" w:cs="宋体"/>
          <w:szCs w:val="21"/>
          <w:u w:val="single"/>
        </w:rPr>
        <w:t xml:space="preserve">             </w:t>
      </w:r>
    </w:p>
    <w:p w14:paraId="24D97330">
      <w:pPr>
        <w:spacing w:line="360" w:lineRule="auto"/>
        <w:ind w:firstLine="420"/>
        <w:rPr>
          <w:rFonts w:ascii="宋体" w:hAnsi="宋体" w:eastAsia="宋体" w:cs="宋体"/>
          <w:szCs w:val="21"/>
          <w:u w:val="single"/>
        </w:rPr>
      </w:pPr>
      <w:r>
        <w:rPr>
          <w:rFonts w:hint="eastAsia" w:ascii="宋体" w:hAnsi="宋体" w:eastAsia="宋体" w:cs="宋体"/>
          <w:szCs w:val="21"/>
        </w:rPr>
        <w:t>联系电话：</w:t>
      </w:r>
      <w:r>
        <w:rPr>
          <w:rFonts w:hint="eastAsia" w:ascii="宋体" w:hAnsi="宋体" w:eastAsia="宋体" w:cs="宋体"/>
          <w:szCs w:val="21"/>
          <w:u w:val="single"/>
        </w:rPr>
        <w:t xml:space="preserve">                           </w:t>
      </w:r>
      <w:r>
        <w:rPr>
          <w:rFonts w:hint="eastAsia" w:ascii="宋体" w:hAnsi="宋体" w:eastAsia="宋体" w:cs="宋体"/>
          <w:szCs w:val="21"/>
        </w:rPr>
        <w:t xml:space="preserve">    手机：</w:t>
      </w:r>
      <w:r>
        <w:rPr>
          <w:rFonts w:hint="eastAsia" w:ascii="宋体" w:hAnsi="宋体" w:eastAsia="宋体" w:cs="宋体"/>
          <w:szCs w:val="21"/>
          <w:u w:val="single"/>
        </w:rPr>
        <w:t xml:space="preserve">               </w:t>
      </w:r>
    </w:p>
    <w:p w14:paraId="335851D9">
      <w:pPr>
        <w:spacing w:line="360" w:lineRule="auto"/>
        <w:ind w:firstLine="480" w:firstLineChars="200"/>
        <w:rPr>
          <w:rFonts w:ascii="宋体" w:hAnsi="宋体" w:eastAsia="宋体" w:cs="宋体"/>
          <w:sz w:val="24"/>
          <w:szCs w:val="24"/>
        </w:rPr>
      </w:pPr>
      <w:r>
        <w:rPr>
          <w:rFonts w:hint="eastAsia"/>
          <w:sz w:val="24"/>
          <w:szCs w:val="24"/>
        </w:rPr>
        <w:t>电子邮箱：</w:t>
      </w:r>
      <w:r>
        <w:rPr>
          <w:rFonts w:hint="eastAsia" w:ascii="Times New Roman" w:hAnsi="Times New Roman" w:cs="Times New Roman"/>
          <w:kern w:val="0"/>
          <w:sz w:val="24"/>
          <w:szCs w:val="21"/>
          <w:u w:val="single"/>
        </w:rPr>
        <w:t xml:space="preserve">                        </w:t>
      </w:r>
    </w:p>
    <w:p w14:paraId="1CCCEE22">
      <w:pPr>
        <w:spacing w:line="360" w:lineRule="auto"/>
        <w:ind w:firstLine="420"/>
        <w:rPr>
          <w:rFonts w:ascii="宋体" w:hAnsi="宋体" w:eastAsia="宋体" w:cs="宋体"/>
          <w:szCs w:val="21"/>
        </w:rPr>
      </w:pPr>
      <w:r>
        <w:rPr>
          <w:rFonts w:hint="eastAsia" w:ascii="宋体" w:hAnsi="宋体" w:eastAsia="宋体" w:cs="宋体"/>
          <w:szCs w:val="21"/>
        </w:rPr>
        <w:t>身份证号码：</w:t>
      </w:r>
      <w:r>
        <w:rPr>
          <w:rFonts w:hint="eastAsia" w:ascii="宋体" w:hAnsi="宋体" w:eastAsia="宋体" w:cs="宋体"/>
          <w:szCs w:val="21"/>
          <w:u w:val="single"/>
        </w:rPr>
        <w:t xml:space="preserve">                       </w:t>
      </w:r>
      <w:r>
        <w:rPr>
          <w:rFonts w:hint="eastAsia" w:ascii="宋体" w:hAnsi="宋体" w:eastAsia="宋体" w:cs="宋体"/>
          <w:szCs w:val="21"/>
        </w:rPr>
        <w:t xml:space="preserve">    职务：</w:t>
      </w:r>
      <w:r>
        <w:rPr>
          <w:rFonts w:hint="eastAsia" w:ascii="宋体" w:hAnsi="宋体" w:eastAsia="宋体" w:cs="宋体"/>
          <w:szCs w:val="21"/>
          <w:u w:val="single"/>
        </w:rPr>
        <w:t xml:space="preserve">               </w:t>
      </w:r>
    </w:p>
    <w:p w14:paraId="5E01D08A">
      <w:pPr>
        <w:spacing w:line="360" w:lineRule="auto"/>
        <w:ind w:firstLine="420"/>
        <w:rPr>
          <w:rFonts w:ascii="宋体" w:hAnsi="宋体" w:eastAsia="宋体" w:cs="宋体"/>
          <w:szCs w:val="21"/>
        </w:rPr>
      </w:pPr>
      <w:r>
        <w:rPr>
          <w:rFonts w:hint="eastAsia" w:ascii="宋体" w:hAnsi="宋体" w:eastAsia="宋体" w:cs="宋体"/>
          <w:szCs w:val="21"/>
        </w:rPr>
        <w:t>授权委托日期：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 xml:space="preserve">月 </w:t>
      </w:r>
      <w:r>
        <w:rPr>
          <w:rFonts w:hint="eastAsia" w:ascii="宋体" w:hAnsi="宋体" w:eastAsia="宋体" w:cs="宋体"/>
          <w:szCs w:val="21"/>
          <w:u w:val="single"/>
        </w:rPr>
        <w:t xml:space="preserve">      </w:t>
      </w:r>
      <w:r>
        <w:rPr>
          <w:rFonts w:hint="eastAsia" w:ascii="宋体" w:hAnsi="宋体" w:eastAsia="宋体" w:cs="宋体"/>
          <w:szCs w:val="21"/>
        </w:rPr>
        <w:t>日</w:t>
      </w:r>
    </w:p>
    <w:p w14:paraId="0BBE81CE">
      <w:pPr>
        <w:spacing w:line="360" w:lineRule="auto"/>
        <w:rPr>
          <w:rFonts w:ascii="宋体" w:hAnsi="宋体" w:eastAsia="宋体" w:cs="宋体"/>
          <w:szCs w:val="24"/>
        </w:rPr>
      </w:pPr>
    </w:p>
    <w:p w14:paraId="1E6BA6CE">
      <w:pPr>
        <w:spacing w:line="360" w:lineRule="auto"/>
        <w:ind w:firstLine="422" w:firstLineChars="200"/>
        <w:rPr>
          <w:rFonts w:ascii="宋体" w:hAnsi="宋体" w:eastAsia="宋体" w:cs="宋体"/>
          <w:b/>
          <w:color w:val="FF0000"/>
          <w:szCs w:val="21"/>
        </w:rPr>
      </w:pPr>
      <w:r>
        <w:rPr>
          <w:rFonts w:hint="eastAsia" w:ascii="宋体" w:hAnsi="宋体" w:eastAsia="宋体" w:cs="宋体"/>
          <w:b/>
          <w:color w:val="FF0000"/>
          <w:szCs w:val="21"/>
        </w:rPr>
        <w:t>附：1.请提供代理人身份证扫描件（正反两面）；港澳台居民可提供来往通行证扫描件；非中国国籍管辖范围人员，可提供公安部门认可的身份证明材料扫描件。</w:t>
      </w:r>
    </w:p>
    <w:p w14:paraId="6A79AE5C">
      <w:pPr>
        <w:pStyle w:val="7"/>
      </w:pPr>
    </w:p>
    <w:tbl>
      <w:tblPr>
        <w:tblStyle w:val="45"/>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76985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76F98984">
            <w:pPr>
              <w:jc w:val="center"/>
              <w:rPr>
                <w:rFonts w:ascii="Times New Roman" w:hAnsi="Times New Roman" w:eastAsia="宋体" w:cs="Times New Roman"/>
                <w:szCs w:val="24"/>
              </w:rPr>
            </w:pPr>
            <w:r>
              <w:rPr>
                <w:rFonts w:hint="eastAsia" w:ascii="Times New Roman" w:hAnsi="Times New Roman" w:eastAsia="宋体" w:cs="Times New Roman"/>
                <w:szCs w:val="24"/>
              </w:rPr>
              <w:t>证件扫描件正面</w:t>
            </w:r>
          </w:p>
          <w:p w14:paraId="663EC209">
            <w:pPr>
              <w:spacing w:line="360" w:lineRule="auto"/>
              <w:jc w:val="center"/>
              <w:rPr>
                <w:rFonts w:ascii="Times New Roman" w:hAnsi="Times New Roman" w:eastAsia="宋体" w:cs="Times New Roman"/>
                <w:b/>
                <w:bCs/>
                <w:sz w:val="24"/>
                <w:szCs w:val="24"/>
              </w:rPr>
            </w:pPr>
          </w:p>
          <w:p w14:paraId="468A01D1">
            <w:pPr>
              <w:spacing w:line="360" w:lineRule="auto"/>
              <w:jc w:val="center"/>
              <w:rPr>
                <w:rFonts w:ascii="Times New Roman" w:hAnsi="Times New Roman" w:eastAsia="宋体" w:cs="Times New Roman"/>
                <w:sz w:val="24"/>
                <w:szCs w:val="24"/>
              </w:rPr>
            </w:pPr>
          </w:p>
          <w:p w14:paraId="14647FDD">
            <w:pPr>
              <w:spacing w:line="360" w:lineRule="auto"/>
              <w:jc w:val="center"/>
              <w:rPr>
                <w:rFonts w:ascii="Times New Roman" w:hAnsi="Times New Roman" w:eastAsia="宋体" w:cs="Times New Roman"/>
                <w:sz w:val="24"/>
                <w:szCs w:val="24"/>
              </w:rPr>
            </w:pPr>
          </w:p>
          <w:p w14:paraId="31E8AD61">
            <w:pPr>
              <w:spacing w:line="360" w:lineRule="auto"/>
              <w:jc w:val="center"/>
              <w:rPr>
                <w:rFonts w:ascii="Times New Roman" w:hAnsi="Times New Roman" w:eastAsia="宋体" w:cs="Times New Roman"/>
                <w:sz w:val="24"/>
                <w:szCs w:val="24"/>
              </w:rPr>
            </w:pPr>
          </w:p>
          <w:p w14:paraId="3A9D7041">
            <w:pPr>
              <w:spacing w:line="360" w:lineRule="auto"/>
              <w:jc w:val="center"/>
              <w:rPr>
                <w:rFonts w:ascii="Times New Roman" w:hAnsi="Times New Roman" w:eastAsia="宋体" w:cs="Times New Roman"/>
                <w:sz w:val="24"/>
                <w:szCs w:val="24"/>
              </w:rPr>
            </w:pPr>
          </w:p>
          <w:p w14:paraId="4AE9EAB8">
            <w:pPr>
              <w:spacing w:line="360" w:lineRule="auto"/>
              <w:jc w:val="center"/>
              <w:rPr>
                <w:rFonts w:ascii="Times New Roman" w:hAnsi="Times New Roman" w:eastAsia="宋体" w:cs="Times New Roman"/>
                <w:sz w:val="24"/>
                <w:szCs w:val="24"/>
              </w:rPr>
            </w:pPr>
          </w:p>
          <w:p w14:paraId="725BC0ED">
            <w:pPr>
              <w:spacing w:line="360" w:lineRule="auto"/>
              <w:jc w:val="center"/>
              <w:rPr>
                <w:rFonts w:ascii="Times New Roman" w:hAnsi="Times New Roman" w:eastAsia="宋体" w:cs="Times New Roman"/>
                <w:sz w:val="24"/>
                <w:szCs w:val="24"/>
              </w:rPr>
            </w:pPr>
          </w:p>
        </w:tc>
        <w:tc>
          <w:tcPr>
            <w:tcW w:w="4265" w:type="dxa"/>
          </w:tcPr>
          <w:p w14:paraId="78C52DFF">
            <w:pPr>
              <w:jc w:val="center"/>
              <w:rPr>
                <w:rFonts w:ascii="Times New Roman" w:hAnsi="Times New Roman" w:eastAsia="宋体" w:cs="Times New Roman"/>
                <w:szCs w:val="24"/>
              </w:rPr>
            </w:pPr>
            <w:r>
              <w:rPr>
                <w:rFonts w:hint="eastAsia" w:ascii="Times New Roman" w:hAnsi="Times New Roman" w:eastAsia="宋体" w:cs="Times New Roman"/>
                <w:szCs w:val="24"/>
              </w:rPr>
              <w:t>证件扫描件反面</w:t>
            </w:r>
          </w:p>
          <w:p w14:paraId="5F205485">
            <w:pPr>
              <w:spacing w:line="360" w:lineRule="auto"/>
              <w:jc w:val="center"/>
              <w:rPr>
                <w:rFonts w:ascii="Times New Roman" w:hAnsi="Times New Roman" w:eastAsia="宋体" w:cs="Times New Roman"/>
                <w:b/>
                <w:bCs/>
                <w:sz w:val="24"/>
                <w:szCs w:val="24"/>
              </w:rPr>
            </w:pPr>
          </w:p>
          <w:p w14:paraId="0FEE55EE">
            <w:pPr>
              <w:spacing w:line="360" w:lineRule="auto"/>
              <w:jc w:val="center"/>
              <w:rPr>
                <w:rFonts w:ascii="Times New Roman" w:hAnsi="Times New Roman" w:eastAsia="宋体" w:cs="Times New Roman"/>
                <w:sz w:val="24"/>
                <w:szCs w:val="24"/>
              </w:rPr>
            </w:pPr>
          </w:p>
        </w:tc>
      </w:tr>
    </w:tbl>
    <w:p w14:paraId="3550E940">
      <w:pPr>
        <w:spacing w:line="360" w:lineRule="auto"/>
        <w:ind w:firstLine="422" w:firstLineChars="200"/>
        <w:rPr>
          <w:rFonts w:ascii="Times New Roman" w:hAnsi="Times New Roman" w:eastAsia="宋体" w:cs="Times New Roman"/>
          <w:b/>
          <w:bCs/>
          <w:szCs w:val="21"/>
        </w:rPr>
      </w:pPr>
      <w:r>
        <w:rPr>
          <w:rFonts w:hint="eastAsia" w:ascii="Times New Roman" w:hAnsi="Times New Roman" w:eastAsia="宋体" w:cs="Times New Roman"/>
          <w:b/>
          <w:bCs/>
          <w:szCs w:val="21"/>
        </w:rPr>
        <w:t>温馨提示：为避免出现《深圳经济特区政府采购条例实施细则》第七十五条第二项所列情形，请投标供应商核实贵单位法定代表人、本项目投标授权代表人、项目负责人（如有）、主要技术人员（如有）等是否在贵单位缴纳社会保险。</w:t>
      </w:r>
    </w:p>
    <w:p w14:paraId="78072939">
      <w:pPr>
        <w:spacing w:line="360" w:lineRule="auto"/>
        <w:rPr>
          <w:rFonts w:ascii="Times New Roman" w:hAnsi="Times New Roman" w:eastAsia="宋体" w:cs="Times New Roman"/>
          <w:b/>
          <w:szCs w:val="21"/>
        </w:rPr>
      </w:pPr>
    </w:p>
    <w:p w14:paraId="1783EEC7">
      <w:pPr>
        <w:keepNext/>
        <w:keepLines/>
        <w:spacing w:before="260" w:after="260"/>
        <w:jc w:val="center"/>
        <w:outlineLvl w:val="2"/>
        <w:rPr>
          <w:rFonts w:ascii="Times New Roman" w:hAnsi="Times New Roman" w:eastAsia="黑体" w:cs="Times New Roman"/>
          <w:bCs/>
          <w:sz w:val="24"/>
          <w:szCs w:val="24"/>
        </w:rPr>
      </w:pPr>
      <w:r>
        <w:rPr>
          <w:rFonts w:ascii="Times New Roman" w:hAnsi="Times New Roman" w:eastAsia="黑体" w:cs="Times New Roman"/>
          <w:bCs/>
          <w:sz w:val="24"/>
          <w:szCs w:val="24"/>
        </w:rPr>
        <w:t>四、项目详细报价</w:t>
      </w:r>
    </w:p>
    <w:p w14:paraId="2C4C506C">
      <w:pPr>
        <w:pStyle w:val="19"/>
        <w:widowControl/>
        <w:kinsoku w:val="0"/>
        <w:autoSpaceDE w:val="0"/>
        <w:autoSpaceDN w:val="0"/>
        <w:adjustRightInd w:val="0"/>
        <w:snapToGrid w:val="0"/>
        <w:spacing w:before="149" w:line="218" w:lineRule="auto"/>
        <w:ind w:left="128"/>
        <w:jc w:val="left"/>
        <w:textAlignment w:val="baseline"/>
        <w:outlineLvl w:val="3"/>
        <w:rPr>
          <w:rFonts w:ascii="宋体" w:hAnsi="宋体" w:eastAsia="宋体" w:cs="宋体"/>
          <w:b/>
          <w:bCs/>
          <w:snapToGrid w:val="0"/>
          <w:color w:val="000000"/>
          <w:spacing w:val="-4"/>
          <w:kern w:val="0"/>
          <w:sz w:val="24"/>
          <w:szCs w:val="24"/>
          <w:lang w:eastAsia="en-US"/>
        </w:rPr>
      </w:pPr>
      <w:r>
        <w:rPr>
          <w:rFonts w:ascii="宋体" w:hAnsi="宋体" w:eastAsia="宋体" w:cs="宋体"/>
          <w:b/>
          <w:bCs/>
          <w:snapToGrid w:val="0"/>
          <w:color w:val="000000"/>
          <w:spacing w:val="-4"/>
          <w:kern w:val="0"/>
          <w:sz w:val="24"/>
          <w:szCs w:val="24"/>
          <w:lang w:eastAsia="en-US"/>
        </w:rPr>
        <w:t>（一）</w:t>
      </w:r>
      <w:r>
        <w:rPr>
          <w:rFonts w:hint="eastAsia" w:ascii="宋体" w:hAnsi="宋体" w:eastAsia="宋体" w:cs="宋体"/>
          <w:b/>
          <w:bCs/>
          <w:snapToGrid w:val="0"/>
          <w:color w:val="000000"/>
          <w:spacing w:val="-4"/>
          <w:kern w:val="0"/>
          <w:sz w:val="24"/>
          <w:szCs w:val="24"/>
          <w:lang w:val="en-US" w:eastAsia="zh-CN"/>
        </w:rPr>
        <w:t xml:space="preserve"> </w:t>
      </w:r>
      <w:r>
        <w:rPr>
          <w:rFonts w:hint="eastAsia" w:ascii="宋体" w:hAnsi="宋体" w:eastAsia="宋体" w:cs="宋体"/>
          <w:b/>
          <w:bCs/>
          <w:snapToGrid w:val="0"/>
          <w:color w:val="000000"/>
          <w:spacing w:val="-4"/>
          <w:kern w:val="0"/>
          <w:sz w:val="24"/>
          <w:szCs w:val="24"/>
          <w:lang w:eastAsia="zh-CN"/>
        </w:rPr>
        <w:t>硬件设备详细</w:t>
      </w:r>
      <w:r>
        <w:rPr>
          <w:rFonts w:ascii="宋体" w:hAnsi="宋体" w:eastAsia="宋体" w:cs="宋体"/>
          <w:b/>
          <w:bCs/>
          <w:snapToGrid w:val="0"/>
          <w:color w:val="000000"/>
          <w:spacing w:val="-4"/>
          <w:kern w:val="0"/>
          <w:sz w:val="24"/>
          <w:szCs w:val="24"/>
          <w:lang w:eastAsia="en-US"/>
        </w:rPr>
        <w:t>报价表</w:t>
      </w:r>
    </w:p>
    <w:tbl>
      <w:tblPr>
        <w:tblStyle w:val="44"/>
        <w:tblpPr w:leftFromText="180" w:rightFromText="180" w:vertAnchor="text" w:horzAnchor="margin" w:tblpX="-1165" w:tblpY="173"/>
        <w:tblW w:w="108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2"/>
        <w:gridCol w:w="841"/>
        <w:gridCol w:w="1223"/>
        <w:gridCol w:w="890"/>
        <w:gridCol w:w="508"/>
        <w:gridCol w:w="810"/>
        <w:gridCol w:w="715"/>
        <w:gridCol w:w="1160"/>
        <w:gridCol w:w="917"/>
        <w:gridCol w:w="666"/>
        <w:gridCol w:w="550"/>
        <w:gridCol w:w="967"/>
        <w:gridCol w:w="983"/>
      </w:tblGrid>
      <w:tr w14:paraId="71D4D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trPr>
        <w:tc>
          <w:tcPr>
            <w:tcW w:w="572" w:type="dxa"/>
            <w:vAlign w:val="center"/>
          </w:tcPr>
          <w:p w14:paraId="13B497A5">
            <w:pPr>
              <w:spacing w:line="276" w:lineRule="auto"/>
              <w:jc w:val="center"/>
              <w:rPr>
                <w:rFonts w:ascii="宋体" w:hAnsi="宋体" w:eastAsia="宋体" w:cs="宋体"/>
                <w:bCs/>
                <w:szCs w:val="21"/>
              </w:rPr>
            </w:pPr>
            <w:r>
              <w:rPr>
                <w:rFonts w:hint="eastAsia" w:ascii="宋体" w:hAnsi="宋体" w:eastAsia="宋体" w:cs="宋体"/>
                <w:bCs/>
                <w:szCs w:val="21"/>
              </w:rPr>
              <w:t>序号</w:t>
            </w:r>
          </w:p>
        </w:tc>
        <w:tc>
          <w:tcPr>
            <w:tcW w:w="841" w:type="dxa"/>
            <w:vAlign w:val="center"/>
          </w:tcPr>
          <w:p w14:paraId="0D6B8F05">
            <w:pPr>
              <w:spacing w:line="276" w:lineRule="auto"/>
              <w:jc w:val="center"/>
              <w:rPr>
                <w:rFonts w:ascii="宋体" w:hAnsi="宋体" w:eastAsia="宋体" w:cs="宋体"/>
                <w:bCs/>
                <w:szCs w:val="21"/>
              </w:rPr>
            </w:pPr>
            <w:r>
              <w:rPr>
                <w:rFonts w:hint="eastAsia" w:ascii="宋体" w:hAnsi="宋体" w:eastAsia="宋体" w:cs="宋体"/>
                <w:szCs w:val="21"/>
              </w:rPr>
              <w:t>采购计划编号</w:t>
            </w:r>
          </w:p>
        </w:tc>
        <w:tc>
          <w:tcPr>
            <w:tcW w:w="1223" w:type="dxa"/>
            <w:vAlign w:val="center"/>
          </w:tcPr>
          <w:p w14:paraId="7C5EFAB9">
            <w:pPr>
              <w:spacing w:line="276" w:lineRule="auto"/>
              <w:jc w:val="center"/>
              <w:rPr>
                <w:rFonts w:ascii="宋体" w:hAnsi="宋体" w:eastAsia="宋体" w:cs="宋体"/>
                <w:bCs/>
                <w:szCs w:val="21"/>
              </w:rPr>
            </w:pPr>
            <w:r>
              <w:rPr>
                <w:rFonts w:hint="eastAsia" w:ascii="宋体" w:hAnsi="宋体" w:eastAsia="宋体" w:cs="宋体"/>
                <w:bCs/>
                <w:szCs w:val="21"/>
              </w:rPr>
              <w:t>招标文件货物名称</w:t>
            </w:r>
          </w:p>
        </w:tc>
        <w:tc>
          <w:tcPr>
            <w:tcW w:w="890" w:type="dxa"/>
            <w:vAlign w:val="center"/>
          </w:tcPr>
          <w:p w14:paraId="7D39FC6D">
            <w:pPr>
              <w:spacing w:line="276" w:lineRule="auto"/>
              <w:jc w:val="center"/>
              <w:rPr>
                <w:rFonts w:ascii="宋体" w:hAnsi="宋体" w:eastAsia="宋体" w:cs="宋体"/>
                <w:bCs/>
                <w:szCs w:val="21"/>
              </w:rPr>
            </w:pPr>
            <w:r>
              <w:rPr>
                <w:rFonts w:ascii="宋体" w:hAnsi="宋体" w:eastAsia="宋体" w:cs="宋体"/>
                <w:bCs/>
                <w:szCs w:val="21"/>
              </w:rPr>
              <w:t>对应投标产品名称</w:t>
            </w:r>
          </w:p>
        </w:tc>
        <w:tc>
          <w:tcPr>
            <w:tcW w:w="508" w:type="dxa"/>
            <w:vAlign w:val="center"/>
          </w:tcPr>
          <w:p w14:paraId="77E4F400">
            <w:pPr>
              <w:spacing w:line="276" w:lineRule="auto"/>
              <w:jc w:val="center"/>
              <w:rPr>
                <w:rFonts w:ascii="宋体" w:hAnsi="宋体" w:eastAsia="宋体" w:cs="宋体"/>
                <w:szCs w:val="21"/>
              </w:rPr>
            </w:pPr>
            <w:r>
              <w:rPr>
                <w:rFonts w:hint="eastAsia" w:ascii="宋体" w:hAnsi="宋体" w:eastAsia="宋体" w:cs="宋体"/>
                <w:szCs w:val="21"/>
              </w:rPr>
              <w:t>品牌</w:t>
            </w:r>
          </w:p>
        </w:tc>
        <w:tc>
          <w:tcPr>
            <w:tcW w:w="810" w:type="dxa"/>
            <w:vAlign w:val="center"/>
          </w:tcPr>
          <w:p w14:paraId="2ACA52A4">
            <w:pPr>
              <w:spacing w:line="276" w:lineRule="auto"/>
              <w:jc w:val="center"/>
              <w:rPr>
                <w:rFonts w:ascii="宋体" w:hAnsi="宋体" w:eastAsia="宋体" w:cs="宋体"/>
                <w:bCs/>
                <w:szCs w:val="21"/>
              </w:rPr>
            </w:pPr>
            <w:r>
              <w:rPr>
                <w:rFonts w:hint="eastAsia" w:ascii="宋体" w:hAnsi="宋体" w:eastAsia="宋体" w:cs="宋体"/>
                <w:szCs w:val="21"/>
              </w:rPr>
              <w:t>规格/型号</w:t>
            </w:r>
          </w:p>
        </w:tc>
        <w:tc>
          <w:tcPr>
            <w:tcW w:w="715" w:type="dxa"/>
            <w:vAlign w:val="center"/>
          </w:tcPr>
          <w:p w14:paraId="7590DCB5">
            <w:pPr>
              <w:spacing w:line="276" w:lineRule="auto"/>
              <w:jc w:val="center"/>
              <w:rPr>
                <w:rFonts w:ascii="宋体" w:hAnsi="宋体" w:eastAsia="宋体" w:cs="宋体"/>
                <w:bCs/>
                <w:szCs w:val="21"/>
              </w:rPr>
            </w:pPr>
            <w:r>
              <w:rPr>
                <w:rFonts w:hint="eastAsia" w:ascii="宋体" w:hAnsi="宋体" w:eastAsia="宋体" w:cs="宋体"/>
                <w:b/>
                <w:color w:val="FF0000"/>
                <w:szCs w:val="21"/>
              </w:rPr>
              <w:t>原产地</w:t>
            </w:r>
          </w:p>
        </w:tc>
        <w:tc>
          <w:tcPr>
            <w:tcW w:w="1160" w:type="dxa"/>
            <w:vAlign w:val="center"/>
          </w:tcPr>
          <w:p w14:paraId="01392225">
            <w:pPr>
              <w:spacing w:line="276" w:lineRule="auto"/>
              <w:jc w:val="center"/>
              <w:rPr>
                <w:rFonts w:ascii="宋体" w:hAnsi="宋体" w:eastAsia="宋体" w:cs="宋体"/>
                <w:bCs/>
                <w:szCs w:val="21"/>
              </w:rPr>
            </w:pPr>
            <w:r>
              <w:rPr>
                <w:rFonts w:hint="eastAsia" w:ascii="宋体" w:hAnsi="宋体" w:eastAsia="宋体" w:cs="宋体"/>
                <w:szCs w:val="21"/>
              </w:rPr>
              <w:t>制造商名称</w:t>
            </w:r>
          </w:p>
        </w:tc>
        <w:tc>
          <w:tcPr>
            <w:tcW w:w="917" w:type="dxa"/>
            <w:vAlign w:val="center"/>
          </w:tcPr>
          <w:p w14:paraId="0281089D">
            <w:pPr>
              <w:spacing w:line="276" w:lineRule="auto"/>
              <w:jc w:val="both"/>
              <w:rPr>
                <w:rFonts w:hint="default" w:ascii="宋体" w:hAnsi="宋体" w:eastAsia="宋体" w:cs="宋体"/>
                <w:szCs w:val="21"/>
                <w:lang w:val="en-US" w:eastAsia="zh-CN"/>
              </w:rPr>
            </w:pPr>
            <w:r>
              <w:rPr>
                <w:rFonts w:hint="eastAsia" w:ascii="宋体" w:hAnsi="宋体" w:eastAsia="宋体" w:cs="宋体"/>
                <w:szCs w:val="21"/>
                <w:lang w:val="en-US" w:eastAsia="zh-CN"/>
              </w:rPr>
              <w:t>代工厂商</w:t>
            </w:r>
          </w:p>
        </w:tc>
        <w:tc>
          <w:tcPr>
            <w:tcW w:w="666" w:type="dxa"/>
            <w:vAlign w:val="center"/>
          </w:tcPr>
          <w:p w14:paraId="55CF580D">
            <w:pPr>
              <w:spacing w:line="276" w:lineRule="auto"/>
              <w:jc w:val="center"/>
              <w:rPr>
                <w:rFonts w:ascii="宋体" w:hAnsi="宋体" w:eastAsia="宋体" w:cs="宋体"/>
                <w:bCs/>
                <w:szCs w:val="21"/>
              </w:rPr>
            </w:pPr>
            <w:r>
              <w:rPr>
                <w:rFonts w:hint="eastAsia" w:ascii="宋体" w:hAnsi="宋体" w:eastAsia="宋体" w:cs="宋体"/>
                <w:bCs/>
                <w:szCs w:val="21"/>
              </w:rPr>
              <w:t>数量</w:t>
            </w:r>
          </w:p>
        </w:tc>
        <w:tc>
          <w:tcPr>
            <w:tcW w:w="550" w:type="dxa"/>
            <w:vAlign w:val="center"/>
          </w:tcPr>
          <w:p w14:paraId="0155F147">
            <w:pPr>
              <w:spacing w:line="276" w:lineRule="auto"/>
              <w:jc w:val="center"/>
              <w:rPr>
                <w:rFonts w:ascii="宋体" w:hAnsi="宋体" w:eastAsia="宋体" w:cs="宋体"/>
                <w:bCs/>
                <w:szCs w:val="21"/>
              </w:rPr>
            </w:pPr>
            <w:r>
              <w:rPr>
                <w:rFonts w:hint="eastAsia" w:ascii="宋体" w:hAnsi="宋体" w:eastAsia="宋体" w:cs="宋体"/>
                <w:bCs/>
                <w:szCs w:val="21"/>
              </w:rPr>
              <w:t>单位</w:t>
            </w:r>
          </w:p>
        </w:tc>
        <w:tc>
          <w:tcPr>
            <w:tcW w:w="967" w:type="dxa"/>
            <w:vAlign w:val="center"/>
          </w:tcPr>
          <w:p w14:paraId="7B9B13E8">
            <w:pPr>
              <w:spacing w:line="276" w:lineRule="auto"/>
              <w:jc w:val="center"/>
              <w:rPr>
                <w:rFonts w:ascii="宋体" w:hAnsi="宋体" w:eastAsia="宋体" w:cs="宋体"/>
                <w:bCs/>
                <w:szCs w:val="21"/>
              </w:rPr>
            </w:pPr>
            <w:r>
              <w:rPr>
                <w:rFonts w:hint="eastAsia" w:ascii="宋体" w:hAnsi="宋体" w:eastAsia="宋体" w:cs="宋体"/>
                <w:szCs w:val="21"/>
              </w:rPr>
              <w:t>单价(元)</w:t>
            </w:r>
          </w:p>
        </w:tc>
        <w:tc>
          <w:tcPr>
            <w:tcW w:w="983" w:type="dxa"/>
            <w:vAlign w:val="center"/>
          </w:tcPr>
          <w:p w14:paraId="6E2A4ABA">
            <w:pPr>
              <w:spacing w:line="276" w:lineRule="auto"/>
              <w:jc w:val="center"/>
              <w:rPr>
                <w:rFonts w:ascii="宋体" w:hAnsi="宋体" w:eastAsia="宋体" w:cs="宋体"/>
                <w:bCs/>
                <w:szCs w:val="21"/>
              </w:rPr>
            </w:pPr>
            <w:r>
              <w:rPr>
                <w:rFonts w:hint="eastAsia" w:ascii="宋体" w:hAnsi="宋体" w:eastAsia="宋体" w:cs="宋体"/>
                <w:szCs w:val="21"/>
              </w:rPr>
              <w:t>合价(元)</w:t>
            </w:r>
          </w:p>
        </w:tc>
      </w:tr>
      <w:tr w14:paraId="1B745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572" w:type="dxa"/>
            <w:vAlign w:val="center"/>
          </w:tcPr>
          <w:p w14:paraId="30AE43E6">
            <w:pPr>
              <w:keepNext w:val="0"/>
              <w:keepLines w:val="0"/>
              <w:widowControl/>
              <w:suppressLineNumbers w:val="0"/>
              <w:snapToGrid w:val="0"/>
              <w:ind w:left="0" w:leftChars="0" w:right="0" w:rightChars="0" w:firstLine="0" w:firstLineChars="0"/>
              <w:jc w:val="center"/>
              <w:textAlignment w:val="center"/>
              <w:rPr>
                <w:rFonts w:ascii="宋体" w:hAnsi="宋体" w:eastAsia="宋体" w:cs="宋体"/>
                <w:bCs/>
                <w:szCs w:val="21"/>
              </w:rPr>
            </w:pPr>
            <w:r>
              <w:rPr>
                <w:rFonts w:hint="eastAsia" w:ascii="宋体" w:hAnsi="宋体" w:eastAsia="宋体" w:cs="宋体"/>
                <w:b/>
                <w:bCs/>
                <w:i w:val="0"/>
                <w:iCs w:val="0"/>
                <w:color w:val="000000"/>
                <w:kern w:val="0"/>
                <w:sz w:val="20"/>
                <w:szCs w:val="20"/>
                <w:u w:val="none"/>
                <w:lang w:val="en-US" w:eastAsia="zh-CN" w:bidi="ar"/>
              </w:rPr>
              <w:t>一</w:t>
            </w:r>
          </w:p>
        </w:tc>
        <w:tc>
          <w:tcPr>
            <w:tcW w:w="841" w:type="dxa"/>
            <w:vMerge w:val="restart"/>
            <w:vAlign w:val="center"/>
          </w:tcPr>
          <w:p w14:paraId="22B89B35">
            <w:pPr>
              <w:spacing w:line="276" w:lineRule="auto"/>
              <w:jc w:val="both"/>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PLAN-2026-440305000-128001-07824</w:t>
            </w:r>
            <w:r>
              <w:rPr>
                <w:rFonts w:hint="eastAsia" w:ascii="宋体" w:hAnsi="宋体" w:eastAsia="宋体" w:cs="宋体"/>
                <w:b w:val="0"/>
                <w:bCs w:val="0"/>
                <w:sz w:val="21"/>
                <w:szCs w:val="21"/>
                <w:lang w:eastAsia="zh-CN"/>
              </w:rPr>
              <w:t>；</w:t>
            </w:r>
          </w:p>
          <w:p w14:paraId="19387594">
            <w:pPr>
              <w:spacing w:line="276" w:lineRule="auto"/>
              <w:jc w:val="center"/>
              <w:rPr>
                <w:rFonts w:ascii="宋体" w:hAnsi="宋体" w:eastAsia="宋体" w:cs="宋体"/>
                <w:bCs/>
                <w:szCs w:val="21"/>
              </w:rPr>
            </w:pPr>
            <w:r>
              <w:rPr>
                <w:rFonts w:hint="eastAsia" w:ascii="宋体" w:hAnsi="宋体" w:eastAsia="宋体" w:cs="宋体"/>
                <w:b w:val="0"/>
                <w:bCs w:val="0"/>
                <w:sz w:val="21"/>
                <w:szCs w:val="21"/>
              </w:rPr>
              <w:t>PLAN-2026-440305000-128001-0782</w:t>
            </w:r>
            <w:r>
              <w:rPr>
                <w:rFonts w:hint="eastAsia" w:ascii="宋体" w:hAnsi="宋体" w:eastAsia="宋体" w:cs="宋体"/>
                <w:b w:val="0"/>
                <w:bCs w:val="0"/>
                <w:sz w:val="21"/>
                <w:szCs w:val="21"/>
                <w:lang w:val="en-US" w:eastAsia="zh-CN"/>
              </w:rPr>
              <w:t>5；</w:t>
            </w:r>
          </w:p>
        </w:tc>
        <w:tc>
          <w:tcPr>
            <w:tcW w:w="9389" w:type="dxa"/>
            <w:gridSpan w:val="11"/>
            <w:vAlign w:val="center"/>
          </w:tcPr>
          <w:p w14:paraId="4090BB65">
            <w:pPr>
              <w:spacing w:line="276" w:lineRule="auto"/>
              <w:jc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前端设施</w:t>
            </w:r>
          </w:p>
        </w:tc>
      </w:tr>
      <w:tr w14:paraId="51935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572" w:type="dxa"/>
            <w:vAlign w:val="center"/>
          </w:tcPr>
          <w:p w14:paraId="59F703B7">
            <w:pPr>
              <w:keepNext w:val="0"/>
              <w:keepLines w:val="0"/>
              <w:widowControl/>
              <w:suppressLineNumbers w:val="0"/>
              <w:snapToGrid w:val="0"/>
              <w:ind w:left="0" w:leftChars="0" w:right="0" w:rightChars="0" w:firstLine="0" w:firstLineChars="0"/>
              <w:jc w:val="center"/>
              <w:textAlignment w:val="center"/>
              <w:rPr>
                <w:rFonts w:ascii="宋体" w:hAnsi="宋体" w:eastAsia="宋体" w:cs="宋体"/>
                <w:bCs/>
                <w:szCs w:val="21"/>
              </w:rPr>
            </w:pPr>
            <w:r>
              <w:rPr>
                <w:rFonts w:hint="eastAsia" w:ascii="宋体" w:hAnsi="宋体" w:eastAsia="宋体" w:cs="宋体"/>
                <w:b/>
                <w:bCs/>
                <w:i w:val="0"/>
                <w:iCs w:val="0"/>
                <w:color w:val="000000"/>
                <w:kern w:val="0"/>
                <w:sz w:val="20"/>
                <w:szCs w:val="20"/>
                <w:u w:val="none"/>
                <w:lang w:val="en-US" w:eastAsia="zh-CN" w:bidi="ar"/>
              </w:rPr>
              <w:t>（一）</w:t>
            </w:r>
          </w:p>
        </w:tc>
        <w:tc>
          <w:tcPr>
            <w:tcW w:w="841" w:type="dxa"/>
            <w:vMerge w:val="continue"/>
          </w:tcPr>
          <w:p w14:paraId="1A12D253">
            <w:pPr>
              <w:spacing w:line="276" w:lineRule="auto"/>
              <w:jc w:val="center"/>
              <w:rPr>
                <w:rFonts w:ascii="宋体" w:hAnsi="宋体" w:eastAsia="宋体" w:cs="宋体"/>
                <w:bCs/>
                <w:szCs w:val="21"/>
              </w:rPr>
            </w:pPr>
          </w:p>
        </w:tc>
        <w:tc>
          <w:tcPr>
            <w:tcW w:w="9389" w:type="dxa"/>
            <w:gridSpan w:val="11"/>
            <w:vAlign w:val="center"/>
          </w:tcPr>
          <w:p w14:paraId="06F72F45">
            <w:pPr>
              <w:spacing w:line="276" w:lineRule="auto"/>
              <w:jc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道路照明设施</w:t>
            </w:r>
          </w:p>
        </w:tc>
      </w:tr>
      <w:tr w14:paraId="77183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F8D87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841" w:type="dxa"/>
            <w:vMerge w:val="continue"/>
          </w:tcPr>
          <w:p w14:paraId="6B087E75">
            <w:pPr>
              <w:spacing w:line="276" w:lineRule="auto"/>
              <w:jc w:val="center"/>
              <w:rPr>
                <w:rFonts w:ascii="宋体" w:hAnsi="宋体" w:eastAsia="宋体" w:cs="宋体"/>
                <w:bCs/>
                <w:szCs w:val="21"/>
              </w:rPr>
            </w:pPr>
          </w:p>
        </w:tc>
        <w:tc>
          <w:tcPr>
            <w:tcW w:w="1223" w:type="dxa"/>
            <w:shd w:val="clear" w:color="auto" w:fill="auto"/>
            <w:vAlign w:val="center"/>
          </w:tcPr>
          <w:p w14:paraId="70D55E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路灯灯具（3×300W）</w:t>
            </w:r>
          </w:p>
        </w:tc>
        <w:tc>
          <w:tcPr>
            <w:tcW w:w="890" w:type="dxa"/>
            <w:vAlign w:val="center"/>
          </w:tcPr>
          <w:p w14:paraId="1141988E">
            <w:pPr>
              <w:spacing w:line="276" w:lineRule="auto"/>
              <w:jc w:val="center"/>
              <w:rPr>
                <w:rFonts w:ascii="宋体" w:hAnsi="宋体" w:eastAsia="宋体" w:cs="宋体"/>
                <w:bCs/>
                <w:szCs w:val="21"/>
              </w:rPr>
            </w:pPr>
          </w:p>
        </w:tc>
        <w:tc>
          <w:tcPr>
            <w:tcW w:w="508" w:type="dxa"/>
            <w:vAlign w:val="center"/>
          </w:tcPr>
          <w:p w14:paraId="4B6F3297">
            <w:pPr>
              <w:spacing w:line="276" w:lineRule="auto"/>
              <w:jc w:val="center"/>
              <w:rPr>
                <w:rFonts w:ascii="宋体" w:hAnsi="宋体" w:eastAsia="宋体" w:cs="宋体"/>
                <w:bCs/>
                <w:szCs w:val="21"/>
              </w:rPr>
            </w:pPr>
          </w:p>
        </w:tc>
        <w:tc>
          <w:tcPr>
            <w:tcW w:w="810" w:type="dxa"/>
            <w:vAlign w:val="center"/>
          </w:tcPr>
          <w:p w14:paraId="2747656F">
            <w:pPr>
              <w:spacing w:line="276" w:lineRule="auto"/>
              <w:jc w:val="center"/>
              <w:rPr>
                <w:rFonts w:ascii="宋体" w:hAnsi="宋体" w:eastAsia="宋体" w:cs="宋体"/>
                <w:bCs/>
                <w:szCs w:val="21"/>
              </w:rPr>
            </w:pPr>
          </w:p>
        </w:tc>
        <w:tc>
          <w:tcPr>
            <w:tcW w:w="715" w:type="dxa"/>
            <w:vAlign w:val="center"/>
          </w:tcPr>
          <w:p w14:paraId="43DA2766">
            <w:pPr>
              <w:spacing w:line="276" w:lineRule="auto"/>
              <w:jc w:val="center"/>
              <w:rPr>
                <w:rFonts w:ascii="宋体" w:hAnsi="宋体" w:eastAsia="宋体" w:cs="宋体"/>
                <w:bCs/>
                <w:szCs w:val="21"/>
              </w:rPr>
            </w:pPr>
          </w:p>
        </w:tc>
        <w:tc>
          <w:tcPr>
            <w:tcW w:w="1160" w:type="dxa"/>
            <w:vAlign w:val="center"/>
          </w:tcPr>
          <w:p w14:paraId="6D63E17B">
            <w:pPr>
              <w:spacing w:line="276" w:lineRule="auto"/>
              <w:jc w:val="center"/>
              <w:rPr>
                <w:rFonts w:ascii="宋体" w:hAnsi="宋体" w:eastAsia="宋体" w:cs="宋体"/>
                <w:bCs/>
                <w:szCs w:val="21"/>
              </w:rPr>
            </w:pPr>
          </w:p>
        </w:tc>
        <w:tc>
          <w:tcPr>
            <w:tcW w:w="917" w:type="dxa"/>
            <w:shd w:val="clear" w:color="auto" w:fill="auto"/>
            <w:vAlign w:val="center"/>
          </w:tcPr>
          <w:p w14:paraId="03A47B36">
            <w:pPr>
              <w:spacing w:line="276" w:lineRule="auto"/>
              <w:jc w:val="center"/>
              <w:rPr>
                <w:rFonts w:ascii="宋体" w:hAnsi="宋体" w:eastAsia="宋体" w:cs="宋体"/>
                <w:bCs/>
                <w:szCs w:val="21"/>
              </w:rPr>
            </w:pPr>
          </w:p>
        </w:tc>
        <w:tc>
          <w:tcPr>
            <w:tcW w:w="666" w:type="dxa"/>
            <w:shd w:val="clear" w:color="auto" w:fill="auto"/>
            <w:vAlign w:val="center"/>
          </w:tcPr>
          <w:p w14:paraId="249312A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82</w:t>
            </w:r>
          </w:p>
        </w:tc>
        <w:tc>
          <w:tcPr>
            <w:tcW w:w="550" w:type="dxa"/>
            <w:shd w:val="clear" w:color="auto" w:fill="auto"/>
            <w:vAlign w:val="center"/>
          </w:tcPr>
          <w:p w14:paraId="1950F0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12764023">
            <w:pPr>
              <w:spacing w:line="276" w:lineRule="auto"/>
              <w:jc w:val="center"/>
              <w:rPr>
                <w:rFonts w:ascii="宋体" w:hAnsi="宋体" w:eastAsia="宋体" w:cs="宋体"/>
                <w:bCs/>
                <w:szCs w:val="21"/>
              </w:rPr>
            </w:pPr>
          </w:p>
        </w:tc>
        <w:tc>
          <w:tcPr>
            <w:tcW w:w="983" w:type="dxa"/>
            <w:vAlign w:val="center"/>
          </w:tcPr>
          <w:p w14:paraId="66BE0D0A">
            <w:pPr>
              <w:spacing w:line="276" w:lineRule="auto"/>
              <w:jc w:val="center"/>
              <w:rPr>
                <w:rFonts w:ascii="宋体" w:hAnsi="宋体" w:eastAsia="宋体" w:cs="宋体"/>
                <w:bCs/>
                <w:szCs w:val="21"/>
              </w:rPr>
            </w:pPr>
          </w:p>
        </w:tc>
      </w:tr>
      <w:tr w14:paraId="60F3D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EC838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841" w:type="dxa"/>
            <w:vMerge w:val="continue"/>
          </w:tcPr>
          <w:p w14:paraId="4DFF6339">
            <w:pPr>
              <w:spacing w:line="276" w:lineRule="auto"/>
              <w:jc w:val="center"/>
              <w:rPr>
                <w:rFonts w:ascii="宋体" w:hAnsi="宋体" w:eastAsia="宋体" w:cs="宋体"/>
                <w:bCs/>
                <w:szCs w:val="21"/>
              </w:rPr>
            </w:pPr>
          </w:p>
        </w:tc>
        <w:tc>
          <w:tcPr>
            <w:tcW w:w="1223" w:type="dxa"/>
            <w:shd w:val="clear" w:color="auto" w:fill="auto"/>
            <w:vAlign w:val="center"/>
          </w:tcPr>
          <w:p w14:paraId="7AE784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路灯灯具（280W/80W）</w:t>
            </w:r>
          </w:p>
        </w:tc>
        <w:tc>
          <w:tcPr>
            <w:tcW w:w="890" w:type="dxa"/>
            <w:vAlign w:val="center"/>
          </w:tcPr>
          <w:p w14:paraId="2D716BE6">
            <w:pPr>
              <w:spacing w:line="276" w:lineRule="auto"/>
              <w:jc w:val="center"/>
              <w:rPr>
                <w:rFonts w:ascii="宋体" w:hAnsi="宋体" w:eastAsia="宋体" w:cs="宋体"/>
                <w:bCs/>
                <w:szCs w:val="21"/>
              </w:rPr>
            </w:pPr>
          </w:p>
        </w:tc>
        <w:tc>
          <w:tcPr>
            <w:tcW w:w="508" w:type="dxa"/>
            <w:vAlign w:val="center"/>
          </w:tcPr>
          <w:p w14:paraId="7225056D">
            <w:pPr>
              <w:spacing w:line="276" w:lineRule="auto"/>
              <w:jc w:val="center"/>
              <w:rPr>
                <w:rFonts w:ascii="宋体" w:hAnsi="宋体" w:eastAsia="宋体" w:cs="宋体"/>
                <w:bCs/>
                <w:szCs w:val="21"/>
              </w:rPr>
            </w:pPr>
          </w:p>
        </w:tc>
        <w:tc>
          <w:tcPr>
            <w:tcW w:w="810" w:type="dxa"/>
            <w:vAlign w:val="center"/>
          </w:tcPr>
          <w:p w14:paraId="65FB2305">
            <w:pPr>
              <w:spacing w:line="276" w:lineRule="auto"/>
              <w:jc w:val="center"/>
              <w:rPr>
                <w:rFonts w:ascii="宋体" w:hAnsi="宋体" w:eastAsia="宋体" w:cs="宋体"/>
                <w:bCs/>
                <w:szCs w:val="21"/>
              </w:rPr>
            </w:pPr>
          </w:p>
        </w:tc>
        <w:tc>
          <w:tcPr>
            <w:tcW w:w="715" w:type="dxa"/>
            <w:vAlign w:val="center"/>
          </w:tcPr>
          <w:p w14:paraId="404065A4">
            <w:pPr>
              <w:spacing w:line="276" w:lineRule="auto"/>
              <w:jc w:val="center"/>
              <w:rPr>
                <w:rFonts w:ascii="宋体" w:hAnsi="宋体" w:eastAsia="宋体" w:cs="宋体"/>
                <w:bCs/>
                <w:szCs w:val="21"/>
              </w:rPr>
            </w:pPr>
          </w:p>
        </w:tc>
        <w:tc>
          <w:tcPr>
            <w:tcW w:w="1160" w:type="dxa"/>
            <w:vAlign w:val="center"/>
          </w:tcPr>
          <w:p w14:paraId="7C53EFDD">
            <w:pPr>
              <w:spacing w:line="276" w:lineRule="auto"/>
              <w:jc w:val="center"/>
              <w:rPr>
                <w:rFonts w:ascii="宋体" w:hAnsi="宋体" w:eastAsia="宋体" w:cs="宋体"/>
                <w:bCs/>
                <w:szCs w:val="21"/>
              </w:rPr>
            </w:pPr>
          </w:p>
        </w:tc>
        <w:tc>
          <w:tcPr>
            <w:tcW w:w="917" w:type="dxa"/>
            <w:shd w:val="clear" w:color="auto" w:fill="auto"/>
            <w:vAlign w:val="center"/>
          </w:tcPr>
          <w:p w14:paraId="02FA986F">
            <w:pPr>
              <w:spacing w:line="276" w:lineRule="auto"/>
              <w:jc w:val="center"/>
              <w:rPr>
                <w:rFonts w:ascii="宋体" w:hAnsi="宋体" w:eastAsia="宋体" w:cs="宋体"/>
                <w:bCs/>
                <w:szCs w:val="21"/>
              </w:rPr>
            </w:pPr>
          </w:p>
        </w:tc>
        <w:tc>
          <w:tcPr>
            <w:tcW w:w="666" w:type="dxa"/>
            <w:shd w:val="clear" w:color="auto" w:fill="auto"/>
            <w:vAlign w:val="center"/>
          </w:tcPr>
          <w:p w14:paraId="6D2AB77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409</w:t>
            </w:r>
          </w:p>
        </w:tc>
        <w:tc>
          <w:tcPr>
            <w:tcW w:w="550" w:type="dxa"/>
            <w:shd w:val="clear" w:color="auto" w:fill="auto"/>
            <w:vAlign w:val="center"/>
          </w:tcPr>
          <w:p w14:paraId="38C435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076DEF6E">
            <w:pPr>
              <w:spacing w:line="276" w:lineRule="auto"/>
              <w:jc w:val="center"/>
              <w:rPr>
                <w:rFonts w:ascii="宋体" w:hAnsi="宋体" w:eastAsia="宋体" w:cs="宋体"/>
                <w:bCs/>
                <w:szCs w:val="21"/>
              </w:rPr>
            </w:pPr>
          </w:p>
        </w:tc>
        <w:tc>
          <w:tcPr>
            <w:tcW w:w="983" w:type="dxa"/>
            <w:vAlign w:val="center"/>
          </w:tcPr>
          <w:p w14:paraId="198A66A4">
            <w:pPr>
              <w:spacing w:line="276" w:lineRule="auto"/>
              <w:jc w:val="center"/>
              <w:rPr>
                <w:rFonts w:ascii="宋体" w:hAnsi="宋体" w:eastAsia="宋体" w:cs="宋体"/>
                <w:bCs/>
                <w:szCs w:val="21"/>
              </w:rPr>
            </w:pPr>
          </w:p>
        </w:tc>
      </w:tr>
      <w:tr w14:paraId="5A649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D2FF5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841" w:type="dxa"/>
            <w:vMerge w:val="continue"/>
          </w:tcPr>
          <w:p w14:paraId="64E17879">
            <w:pPr>
              <w:spacing w:line="276" w:lineRule="auto"/>
              <w:jc w:val="center"/>
              <w:rPr>
                <w:rFonts w:ascii="宋体" w:hAnsi="宋体" w:eastAsia="宋体" w:cs="宋体"/>
                <w:bCs/>
                <w:szCs w:val="21"/>
              </w:rPr>
            </w:pPr>
          </w:p>
        </w:tc>
        <w:tc>
          <w:tcPr>
            <w:tcW w:w="1223" w:type="dxa"/>
            <w:shd w:val="clear" w:color="auto" w:fill="auto"/>
            <w:vAlign w:val="center"/>
          </w:tcPr>
          <w:p w14:paraId="7C0FF6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路灯灯具（280W/280W）</w:t>
            </w:r>
          </w:p>
        </w:tc>
        <w:tc>
          <w:tcPr>
            <w:tcW w:w="890" w:type="dxa"/>
            <w:vAlign w:val="center"/>
          </w:tcPr>
          <w:p w14:paraId="36ECE3B6">
            <w:pPr>
              <w:spacing w:line="276" w:lineRule="auto"/>
              <w:jc w:val="center"/>
              <w:rPr>
                <w:rFonts w:ascii="宋体" w:hAnsi="宋体" w:eastAsia="宋体" w:cs="宋体"/>
                <w:bCs/>
                <w:szCs w:val="21"/>
              </w:rPr>
            </w:pPr>
          </w:p>
        </w:tc>
        <w:tc>
          <w:tcPr>
            <w:tcW w:w="508" w:type="dxa"/>
            <w:vAlign w:val="center"/>
          </w:tcPr>
          <w:p w14:paraId="5AF92A8D">
            <w:pPr>
              <w:spacing w:line="276" w:lineRule="auto"/>
              <w:jc w:val="center"/>
              <w:rPr>
                <w:rFonts w:ascii="宋体" w:hAnsi="宋体" w:eastAsia="宋体" w:cs="宋体"/>
                <w:bCs/>
                <w:szCs w:val="21"/>
              </w:rPr>
            </w:pPr>
          </w:p>
        </w:tc>
        <w:tc>
          <w:tcPr>
            <w:tcW w:w="810" w:type="dxa"/>
            <w:vAlign w:val="center"/>
          </w:tcPr>
          <w:p w14:paraId="47504D60">
            <w:pPr>
              <w:spacing w:line="276" w:lineRule="auto"/>
              <w:jc w:val="center"/>
              <w:rPr>
                <w:rFonts w:ascii="宋体" w:hAnsi="宋体" w:eastAsia="宋体" w:cs="宋体"/>
                <w:bCs/>
                <w:szCs w:val="21"/>
              </w:rPr>
            </w:pPr>
          </w:p>
        </w:tc>
        <w:tc>
          <w:tcPr>
            <w:tcW w:w="715" w:type="dxa"/>
            <w:vAlign w:val="center"/>
          </w:tcPr>
          <w:p w14:paraId="332092EB">
            <w:pPr>
              <w:spacing w:line="276" w:lineRule="auto"/>
              <w:jc w:val="center"/>
              <w:rPr>
                <w:rFonts w:ascii="宋体" w:hAnsi="宋体" w:eastAsia="宋体" w:cs="宋体"/>
                <w:bCs/>
                <w:szCs w:val="21"/>
              </w:rPr>
            </w:pPr>
          </w:p>
        </w:tc>
        <w:tc>
          <w:tcPr>
            <w:tcW w:w="1160" w:type="dxa"/>
            <w:vAlign w:val="center"/>
          </w:tcPr>
          <w:p w14:paraId="4439B1CD">
            <w:pPr>
              <w:spacing w:line="276" w:lineRule="auto"/>
              <w:jc w:val="center"/>
              <w:rPr>
                <w:rFonts w:ascii="宋体" w:hAnsi="宋体" w:eastAsia="宋体" w:cs="宋体"/>
                <w:bCs/>
                <w:szCs w:val="21"/>
              </w:rPr>
            </w:pPr>
          </w:p>
        </w:tc>
        <w:tc>
          <w:tcPr>
            <w:tcW w:w="917" w:type="dxa"/>
            <w:shd w:val="clear" w:color="auto" w:fill="auto"/>
            <w:vAlign w:val="center"/>
          </w:tcPr>
          <w:p w14:paraId="2864CB85">
            <w:pPr>
              <w:spacing w:line="276" w:lineRule="auto"/>
              <w:jc w:val="center"/>
              <w:rPr>
                <w:rFonts w:ascii="宋体" w:hAnsi="宋体" w:eastAsia="宋体" w:cs="宋体"/>
                <w:bCs/>
                <w:szCs w:val="21"/>
              </w:rPr>
            </w:pPr>
          </w:p>
        </w:tc>
        <w:tc>
          <w:tcPr>
            <w:tcW w:w="666" w:type="dxa"/>
            <w:shd w:val="clear" w:color="auto" w:fill="auto"/>
            <w:vAlign w:val="center"/>
          </w:tcPr>
          <w:p w14:paraId="2644CC9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w:t>
            </w:r>
          </w:p>
        </w:tc>
        <w:tc>
          <w:tcPr>
            <w:tcW w:w="550" w:type="dxa"/>
            <w:shd w:val="clear" w:color="auto" w:fill="auto"/>
            <w:vAlign w:val="center"/>
          </w:tcPr>
          <w:p w14:paraId="141485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50A5ED10">
            <w:pPr>
              <w:spacing w:line="276" w:lineRule="auto"/>
              <w:jc w:val="center"/>
              <w:rPr>
                <w:rFonts w:ascii="宋体" w:hAnsi="宋体" w:eastAsia="宋体" w:cs="宋体"/>
                <w:bCs/>
                <w:szCs w:val="21"/>
              </w:rPr>
            </w:pPr>
          </w:p>
        </w:tc>
        <w:tc>
          <w:tcPr>
            <w:tcW w:w="983" w:type="dxa"/>
            <w:vAlign w:val="center"/>
          </w:tcPr>
          <w:p w14:paraId="36AD8EB4">
            <w:pPr>
              <w:spacing w:line="276" w:lineRule="auto"/>
              <w:jc w:val="center"/>
              <w:rPr>
                <w:rFonts w:ascii="宋体" w:hAnsi="宋体" w:eastAsia="宋体" w:cs="宋体"/>
                <w:bCs/>
                <w:szCs w:val="21"/>
              </w:rPr>
            </w:pPr>
          </w:p>
        </w:tc>
      </w:tr>
      <w:tr w14:paraId="5421B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AE844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841" w:type="dxa"/>
            <w:vMerge w:val="continue"/>
          </w:tcPr>
          <w:p w14:paraId="200617B5">
            <w:pPr>
              <w:spacing w:line="276" w:lineRule="auto"/>
              <w:jc w:val="center"/>
              <w:rPr>
                <w:rFonts w:ascii="宋体" w:hAnsi="宋体" w:eastAsia="宋体" w:cs="宋体"/>
                <w:bCs/>
                <w:szCs w:val="21"/>
              </w:rPr>
            </w:pPr>
          </w:p>
        </w:tc>
        <w:tc>
          <w:tcPr>
            <w:tcW w:w="1223" w:type="dxa"/>
            <w:shd w:val="clear" w:color="auto" w:fill="auto"/>
            <w:vAlign w:val="center"/>
          </w:tcPr>
          <w:p w14:paraId="454282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路灯灯具（180W/80W）</w:t>
            </w:r>
          </w:p>
        </w:tc>
        <w:tc>
          <w:tcPr>
            <w:tcW w:w="890" w:type="dxa"/>
            <w:vAlign w:val="center"/>
          </w:tcPr>
          <w:p w14:paraId="4C9AD8B6">
            <w:pPr>
              <w:spacing w:line="276" w:lineRule="auto"/>
              <w:jc w:val="center"/>
              <w:rPr>
                <w:rFonts w:ascii="宋体" w:hAnsi="宋体" w:eastAsia="宋体" w:cs="宋体"/>
                <w:bCs/>
                <w:szCs w:val="21"/>
              </w:rPr>
            </w:pPr>
          </w:p>
        </w:tc>
        <w:tc>
          <w:tcPr>
            <w:tcW w:w="508" w:type="dxa"/>
            <w:vAlign w:val="center"/>
          </w:tcPr>
          <w:p w14:paraId="4B2FC4BF">
            <w:pPr>
              <w:spacing w:line="276" w:lineRule="auto"/>
              <w:jc w:val="center"/>
              <w:rPr>
                <w:rFonts w:ascii="宋体" w:hAnsi="宋体" w:eastAsia="宋体" w:cs="宋体"/>
                <w:bCs/>
                <w:szCs w:val="21"/>
              </w:rPr>
            </w:pPr>
          </w:p>
        </w:tc>
        <w:tc>
          <w:tcPr>
            <w:tcW w:w="810" w:type="dxa"/>
            <w:vAlign w:val="center"/>
          </w:tcPr>
          <w:p w14:paraId="636AF06E">
            <w:pPr>
              <w:spacing w:line="276" w:lineRule="auto"/>
              <w:jc w:val="center"/>
              <w:rPr>
                <w:rFonts w:ascii="宋体" w:hAnsi="宋体" w:eastAsia="宋体" w:cs="宋体"/>
                <w:bCs/>
                <w:szCs w:val="21"/>
              </w:rPr>
            </w:pPr>
          </w:p>
        </w:tc>
        <w:tc>
          <w:tcPr>
            <w:tcW w:w="715" w:type="dxa"/>
            <w:vAlign w:val="center"/>
          </w:tcPr>
          <w:p w14:paraId="435F53DB">
            <w:pPr>
              <w:spacing w:line="276" w:lineRule="auto"/>
              <w:jc w:val="center"/>
              <w:rPr>
                <w:rFonts w:ascii="宋体" w:hAnsi="宋体" w:eastAsia="宋体" w:cs="宋体"/>
                <w:bCs/>
                <w:szCs w:val="21"/>
              </w:rPr>
            </w:pPr>
          </w:p>
        </w:tc>
        <w:tc>
          <w:tcPr>
            <w:tcW w:w="1160" w:type="dxa"/>
            <w:vAlign w:val="center"/>
          </w:tcPr>
          <w:p w14:paraId="5052235C">
            <w:pPr>
              <w:spacing w:line="276" w:lineRule="auto"/>
              <w:jc w:val="center"/>
              <w:rPr>
                <w:rFonts w:ascii="宋体" w:hAnsi="宋体" w:eastAsia="宋体" w:cs="宋体"/>
                <w:bCs/>
                <w:szCs w:val="21"/>
              </w:rPr>
            </w:pPr>
          </w:p>
        </w:tc>
        <w:tc>
          <w:tcPr>
            <w:tcW w:w="917" w:type="dxa"/>
            <w:shd w:val="clear" w:color="auto" w:fill="auto"/>
            <w:vAlign w:val="center"/>
          </w:tcPr>
          <w:p w14:paraId="6C202A5E">
            <w:pPr>
              <w:spacing w:line="276" w:lineRule="auto"/>
              <w:jc w:val="center"/>
              <w:rPr>
                <w:rFonts w:ascii="宋体" w:hAnsi="宋体" w:eastAsia="宋体" w:cs="宋体"/>
                <w:bCs/>
                <w:szCs w:val="21"/>
              </w:rPr>
            </w:pPr>
          </w:p>
        </w:tc>
        <w:tc>
          <w:tcPr>
            <w:tcW w:w="666" w:type="dxa"/>
            <w:shd w:val="clear" w:color="auto" w:fill="auto"/>
            <w:vAlign w:val="center"/>
          </w:tcPr>
          <w:p w14:paraId="670A57E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64</w:t>
            </w:r>
          </w:p>
        </w:tc>
        <w:tc>
          <w:tcPr>
            <w:tcW w:w="550" w:type="dxa"/>
            <w:shd w:val="clear" w:color="auto" w:fill="auto"/>
            <w:vAlign w:val="center"/>
          </w:tcPr>
          <w:p w14:paraId="0E2DAB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3BFA220E">
            <w:pPr>
              <w:spacing w:line="276" w:lineRule="auto"/>
              <w:jc w:val="center"/>
              <w:rPr>
                <w:rFonts w:ascii="宋体" w:hAnsi="宋体" w:eastAsia="宋体" w:cs="宋体"/>
                <w:bCs/>
                <w:szCs w:val="21"/>
              </w:rPr>
            </w:pPr>
          </w:p>
        </w:tc>
        <w:tc>
          <w:tcPr>
            <w:tcW w:w="983" w:type="dxa"/>
            <w:vAlign w:val="center"/>
          </w:tcPr>
          <w:p w14:paraId="55DA6BD8">
            <w:pPr>
              <w:spacing w:line="276" w:lineRule="auto"/>
              <w:jc w:val="center"/>
              <w:rPr>
                <w:rFonts w:ascii="宋体" w:hAnsi="宋体" w:eastAsia="宋体" w:cs="宋体"/>
                <w:bCs/>
                <w:szCs w:val="21"/>
              </w:rPr>
            </w:pPr>
          </w:p>
        </w:tc>
      </w:tr>
      <w:tr w14:paraId="7AFF8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CF009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841" w:type="dxa"/>
            <w:vMerge w:val="continue"/>
          </w:tcPr>
          <w:p w14:paraId="235B6130">
            <w:pPr>
              <w:spacing w:line="276" w:lineRule="auto"/>
              <w:jc w:val="center"/>
              <w:rPr>
                <w:rFonts w:ascii="宋体" w:hAnsi="宋体" w:eastAsia="宋体" w:cs="宋体"/>
                <w:bCs/>
                <w:szCs w:val="21"/>
              </w:rPr>
            </w:pPr>
          </w:p>
        </w:tc>
        <w:tc>
          <w:tcPr>
            <w:tcW w:w="1223" w:type="dxa"/>
            <w:shd w:val="clear" w:color="auto" w:fill="auto"/>
            <w:vAlign w:val="center"/>
          </w:tcPr>
          <w:p w14:paraId="34C86D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路灯灯具（180W）</w:t>
            </w:r>
          </w:p>
        </w:tc>
        <w:tc>
          <w:tcPr>
            <w:tcW w:w="890" w:type="dxa"/>
            <w:vAlign w:val="center"/>
          </w:tcPr>
          <w:p w14:paraId="1DECE710">
            <w:pPr>
              <w:spacing w:line="276" w:lineRule="auto"/>
              <w:jc w:val="center"/>
              <w:rPr>
                <w:rFonts w:ascii="宋体" w:hAnsi="宋体" w:eastAsia="宋体" w:cs="宋体"/>
                <w:bCs/>
                <w:szCs w:val="21"/>
              </w:rPr>
            </w:pPr>
          </w:p>
        </w:tc>
        <w:tc>
          <w:tcPr>
            <w:tcW w:w="508" w:type="dxa"/>
            <w:vAlign w:val="center"/>
          </w:tcPr>
          <w:p w14:paraId="4173811F">
            <w:pPr>
              <w:spacing w:line="276" w:lineRule="auto"/>
              <w:jc w:val="center"/>
              <w:rPr>
                <w:rFonts w:ascii="宋体" w:hAnsi="宋体" w:eastAsia="宋体" w:cs="宋体"/>
                <w:bCs/>
                <w:szCs w:val="21"/>
              </w:rPr>
            </w:pPr>
          </w:p>
        </w:tc>
        <w:tc>
          <w:tcPr>
            <w:tcW w:w="810" w:type="dxa"/>
            <w:vAlign w:val="center"/>
          </w:tcPr>
          <w:p w14:paraId="7C571D64">
            <w:pPr>
              <w:spacing w:line="276" w:lineRule="auto"/>
              <w:jc w:val="center"/>
              <w:rPr>
                <w:rFonts w:ascii="宋体" w:hAnsi="宋体" w:eastAsia="宋体" w:cs="宋体"/>
                <w:bCs/>
                <w:szCs w:val="21"/>
              </w:rPr>
            </w:pPr>
          </w:p>
        </w:tc>
        <w:tc>
          <w:tcPr>
            <w:tcW w:w="715" w:type="dxa"/>
            <w:vAlign w:val="center"/>
          </w:tcPr>
          <w:p w14:paraId="746C17F0">
            <w:pPr>
              <w:spacing w:line="276" w:lineRule="auto"/>
              <w:jc w:val="center"/>
              <w:rPr>
                <w:rFonts w:ascii="宋体" w:hAnsi="宋体" w:eastAsia="宋体" w:cs="宋体"/>
                <w:bCs/>
                <w:szCs w:val="21"/>
              </w:rPr>
            </w:pPr>
          </w:p>
        </w:tc>
        <w:tc>
          <w:tcPr>
            <w:tcW w:w="1160" w:type="dxa"/>
            <w:vAlign w:val="center"/>
          </w:tcPr>
          <w:p w14:paraId="417B1E56">
            <w:pPr>
              <w:spacing w:line="276" w:lineRule="auto"/>
              <w:jc w:val="center"/>
              <w:rPr>
                <w:rFonts w:ascii="宋体" w:hAnsi="宋体" w:eastAsia="宋体" w:cs="宋体"/>
                <w:bCs/>
                <w:szCs w:val="21"/>
              </w:rPr>
            </w:pPr>
          </w:p>
        </w:tc>
        <w:tc>
          <w:tcPr>
            <w:tcW w:w="917" w:type="dxa"/>
            <w:shd w:val="clear" w:color="auto" w:fill="auto"/>
            <w:vAlign w:val="center"/>
          </w:tcPr>
          <w:p w14:paraId="5C02E24C">
            <w:pPr>
              <w:spacing w:line="276" w:lineRule="auto"/>
              <w:jc w:val="center"/>
              <w:rPr>
                <w:rFonts w:ascii="宋体" w:hAnsi="宋体" w:eastAsia="宋体" w:cs="宋体"/>
                <w:bCs/>
                <w:szCs w:val="21"/>
              </w:rPr>
            </w:pPr>
          </w:p>
        </w:tc>
        <w:tc>
          <w:tcPr>
            <w:tcW w:w="666" w:type="dxa"/>
            <w:shd w:val="clear" w:color="auto" w:fill="auto"/>
            <w:vAlign w:val="center"/>
          </w:tcPr>
          <w:p w14:paraId="60A7D74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550" w:type="dxa"/>
            <w:shd w:val="clear" w:color="auto" w:fill="auto"/>
            <w:vAlign w:val="center"/>
          </w:tcPr>
          <w:p w14:paraId="1A4EA1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442C90E5">
            <w:pPr>
              <w:spacing w:line="276" w:lineRule="auto"/>
              <w:jc w:val="center"/>
              <w:rPr>
                <w:rFonts w:ascii="宋体" w:hAnsi="宋体" w:eastAsia="宋体" w:cs="宋体"/>
                <w:bCs/>
                <w:szCs w:val="21"/>
              </w:rPr>
            </w:pPr>
          </w:p>
        </w:tc>
        <w:tc>
          <w:tcPr>
            <w:tcW w:w="983" w:type="dxa"/>
            <w:vAlign w:val="center"/>
          </w:tcPr>
          <w:p w14:paraId="311A9A09">
            <w:pPr>
              <w:spacing w:line="276" w:lineRule="auto"/>
              <w:jc w:val="center"/>
              <w:rPr>
                <w:rFonts w:ascii="宋体" w:hAnsi="宋体" w:eastAsia="宋体" w:cs="宋体"/>
                <w:bCs/>
                <w:szCs w:val="21"/>
              </w:rPr>
            </w:pPr>
          </w:p>
        </w:tc>
      </w:tr>
      <w:tr w14:paraId="6F2C3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15CED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841" w:type="dxa"/>
            <w:vMerge w:val="continue"/>
          </w:tcPr>
          <w:p w14:paraId="52A682FC">
            <w:pPr>
              <w:spacing w:line="276" w:lineRule="auto"/>
              <w:jc w:val="center"/>
              <w:rPr>
                <w:rFonts w:ascii="宋体" w:hAnsi="宋体" w:eastAsia="宋体" w:cs="宋体"/>
                <w:bCs/>
                <w:szCs w:val="21"/>
              </w:rPr>
            </w:pPr>
          </w:p>
        </w:tc>
        <w:tc>
          <w:tcPr>
            <w:tcW w:w="1223" w:type="dxa"/>
            <w:shd w:val="clear" w:color="auto" w:fill="auto"/>
            <w:vAlign w:val="center"/>
          </w:tcPr>
          <w:p w14:paraId="099143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路灯灯具（280W）</w:t>
            </w:r>
          </w:p>
        </w:tc>
        <w:tc>
          <w:tcPr>
            <w:tcW w:w="890" w:type="dxa"/>
            <w:vAlign w:val="center"/>
          </w:tcPr>
          <w:p w14:paraId="2F1EF347">
            <w:pPr>
              <w:spacing w:line="276" w:lineRule="auto"/>
              <w:jc w:val="center"/>
              <w:rPr>
                <w:rFonts w:ascii="宋体" w:hAnsi="宋体" w:eastAsia="宋体" w:cs="宋体"/>
                <w:bCs/>
                <w:szCs w:val="21"/>
              </w:rPr>
            </w:pPr>
          </w:p>
        </w:tc>
        <w:tc>
          <w:tcPr>
            <w:tcW w:w="508" w:type="dxa"/>
            <w:vAlign w:val="center"/>
          </w:tcPr>
          <w:p w14:paraId="61CD4BCE">
            <w:pPr>
              <w:spacing w:line="276" w:lineRule="auto"/>
              <w:jc w:val="center"/>
              <w:rPr>
                <w:rFonts w:ascii="宋体" w:hAnsi="宋体" w:eastAsia="宋体" w:cs="宋体"/>
                <w:bCs/>
                <w:szCs w:val="21"/>
              </w:rPr>
            </w:pPr>
          </w:p>
        </w:tc>
        <w:tc>
          <w:tcPr>
            <w:tcW w:w="810" w:type="dxa"/>
            <w:vAlign w:val="center"/>
          </w:tcPr>
          <w:p w14:paraId="4BD96595">
            <w:pPr>
              <w:spacing w:line="276" w:lineRule="auto"/>
              <w:jc w:val="center"/>
              <w:rPr>
                <w:rFonts w:ascii="宋体" w:hAnsi="宋体" w:eastAsia="宋体" w:cs="宋体"/>
                <w:bCs/>
                <w:szCs w:val="21"/>
              </w:rPr>
            </w:pPr>
          </w:p>
        </w:tc>
        <w:tc>
          <w:tcPr>
            <w:tcW w:w="715" w:type="dxa"/>
            <w:vAlign w:val="center"/>
          </w:tcPr>
          <w:p w14:paraId="297B5B1F">
            <w:pPr>
              <w:spacing w:line="276" w:lineRule="auto"/>
              <w:jc w:val="center"/>
              <w:rPr>
                <w:rFonts w:ascii="宋体" w:hAnsi="宋体" w:eastAsia="宋体" w:cs="宋体"/>
                <w:bCs/>
                <w:szCs w:val="21"/>
              </w:rPr>
            </w:pPr>
          </w:p>
        </w:tc>
        <w:tc>
          <w:tcPr>
            <w:tcW w:w="1160" w:type="dxa"/>
            <w:vAlign w:val="center"/>
          </w:tcPr>
          <w:p w14:paraId="6DCC520C">
            <w:pPr>
              <w:spacing w:line="276" w:lineRule="auto"/>
              <w:jc w:val="center"/>
              <w:rPr>
                <w:rFonts w:ascii="宋体" w:hAnsi="宋体" w:eastAsia="宋体" w:cs="宋体"/>
                <w:bCs/>
                <w:szCs w:val="21"/>
              </w:rPr>
            </w:pPr>
          </w:p>
        </w:tc>
        <w:tc>
          <w:tcPr>
            <w:tcW w:w="917" w:type="dxa"/>
            <w:shd w:val="clear" w:color="auto" w:fill="auto"/>
            <w:vAlign w:val="center"/>
          </w:tcPr>
          <w:p w14:paraId="3709C2A4">
            <w:pPr>
              <w:spacing w:line="276" w:lineRule="auto"/>
              <w:jc w:val="center"/>
              <w:rPr>
                <w:rFonts w:ascii="宋体" w:hAnsi="宋体" w:eastAsia="宋体" w:cs="宋体"/>
                <w:bCs/>
                <w:szCs w:val="21"/>
              </w:rPr>
            </w:pPr>
          </w:p>
        </w:tc>
        <w:tc>
          <w:tcPr>
            <w:tcW w:w="666" w:type="dxa"/>
            <w:shd w:val="clear" w:color="auto" w:fill="auto"/>
            <w:vAlign w:val="center"/>
          </w:tcPr>
          <w:p w14:paraId="3D0456A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37</w:t>
            </w:r>
          </w:p>
        </w:tc>
        <w:tc>
          <w:tcPr>
            <w:tcW w:w="550" w:type="dxa"/>
            <w:shd w:val="clear" w:color="auto" w:fill="auto"/>
            <w:vAlign w:val="center"/>
          </w:tcPr>
          <w:p w14:paraId="53D06B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7066D997">
            <w:pPr>
              <w:spacing w:line="276" w:lineRule="auto"/>
              <w:jc w:val="center"/>
              <w:rPr>
                <w:rFonts w:ascii="宋体" w:hAnsi="宋体" w:eastAsia="宋体" w:cs="宋体"/>
                <w:bCs/>
                <w:szCs w:val="21"/>
              </w:rPr>
            </w:pPr>
          </w:p>
        </w:tc>
        <w:tc>
          <w:tcPr>
            <w:tcW w:w="983" w:type="dxa"/>
            <w:vAlign w:val="center"/>
          </w:tcPr>
          <w:p w14:paraId="702A0821">
            <w:pPr>
              <w:spacing w:line="276" w:lineRule="auto"/>
              <w:jc w:val="center"/>
              <w:rPr>
                <w:rFonts w:ascii="宋体" w:hAnsi="宋体" w:eastAsia="宋体" w:cs="宋体"/>
                <w:bCs/>
                <w:szCs w:val="21"/>
              </w:rPr>
            </w:pPr>
          </w:p>
        </w:tc>
      </w:tr>
      <w:tr w14:paraId="7FCE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12561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w:t>
            </w:r>
          </w:p>
        </w:tc>
        <w:tc>
          <w:tcPr>
            <w:tcW w:w="841" w:type="dxa"/>
            <w:vMerge w:val="continue"/>
          </w:tcPr>
          <w:p w14:paraId="10FCD2FC">
            <w:pPr>
              <w:spacing w:line="276" w:lineRule="auto"/>
              <w:jc w:val="center"/>
              <w:rPr>
                <w:rFonts w:ascii="宋体" w:hAnsi="宋体" w:eastAsia="宋体" w:cs="宋体"/>
                <w:bCs/>
                <w:szCs w:val="21"/>
              </w:rPr>
            </w:pPr>
          </w:p>
        </w:tc>
        <w:tc>
          <w:tcPr>
            <w:tcW w:w="1223" w:type="dxa"/>
            <w:shd w:val="clear" w:color="auto" w:fill="auto"/>
            <w:vAlign w:val="center"/>
          </w:tcPr>
          <w:p w14:paraId="46CFB1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路灯灯具（300W）</w:t>
            </w:r>
          </w:p>
        </w:tc>
        <w:tc>
          <w:tcPr>
            <w:tcW w:w="890" w:type="dxa"/>
            <w:vAlign w:val="center"/>
          </w:tcPr>
          <w:p w14:paraId="5DBE6AAC">
            <w:pPr>
              <w:spacing w:line="276" w:lineRule="auto"/>
              <w:jc w:val="center"/>
              <w:rPr>
                <w:rFonts w:ascii="宋体" w:hAnsi="宋体" w:eastAsia="宋体" w:cs="宋体"/>
                <w:bCs/>
                <w:szCs w:val="21"/>
              </w:rPr>
            </w:pPr>
          </w:p>
        </w:tc>
        <w:tc>
          <w:tcPr>
            <w:tcW w:w="508" w:type="dxa"/>
            <w:vAlign w:val="center"/>
          </w:tcPr>
          <w:p w14:paraId="643F76F1">
            <w:pPr>
              <w:spacing w:line="276" w:lineRule="auto"/>
              <w:jc w:val="center"/>
              <w:rPr>
                <w:rFonts w:ascii="宋体" w:hAnsi="宋体" w:eastAsia="宋体" w:cs="宋体"/>
                <w:bCs/>
                <w:szCs w:val="21"/>
              </w:rPr>
            </w:pPr>
          </w:p>
        </w:tc>
        <w:tc>
          <w:tcPr>
            <w:tcW w:w="810" w:type="dxa"/>
            <w:vAlign w:val="center"/>
          </w:tcPr>
          <w:p w14:paraId="10746F70">
            <w:pPr>
              <w:spacing w:line="276" w:lineRule="auto"/>
              <w:jc w:val="center"/>
              <w:rPr>
                <w:rFonts w:ascii="宋体" w:hAnsi="宋体" w:eastAsia="宋体" w:cs="宋体"/>
                <w:bCs/>
                <w:szCs w:val="21"/>
              </w:rPr>
            </w:pPr>
          </w:p>
        </w:tc>
        <w:tc>
          <w:tcPr>
            <w:tcW w:w="715" w:type="dxa"/>
            <w:vAlign w:val="center"/>
          </w:tcPr>
          <w:p w14:paraId="3CC8B485">
            <w:pPr>
              <w:spacing w:line="276" w:lineRule="auto"/>
              <w:jc w:val="center"/>
              <w:rPr>
                <w:rFonts w:ascii="宋体" w:hAnsi="宋体" w:eastAsia="宋体" w:cs="宋体"/>
                <w:bCs/>
                <w:szCs w:val="21"/>
              </w:rPr>
            </w:pPr>
          </w:p>
        </w:tc>
        <w:tc>
          <w:tcPr>
            <w:tcW w:w="1160" w:type="dxa"/>
            <w:vAlign w:val="center"/>
          </w:tcPr>
          <w:p w14:paraId="6FF05397">
            <w:pPr>
              <w:spacing w:line="276" w:lineRule="auto"/>
              <w:jc w:val="center"/>
              <w:rPr>
                <w:rFonts w:ascii="宋体" w:hAnsi="宋体" w:eastAsia="宋体" w:cs="宋体"/>
                <w:bCs/>
                <w:szCs w:val="21"/>
              </w:rPr>
            </w:pPr>
          </w:p>
        </w:tc>
        <w:tc>
          <w:tcPr>
            <w:tcW w:w="917" w:type="dxa"/>
            <w:shd w:val="clear" w:color="auto" w:fill="auto"/>
            <w:vAlign w:val="center"/>
          </w:tcPr>
          <w:p w14:paraId="43EC84E9">
            <w:pPr>
              <w:spacing w:line="276" w:lineRule="auto"/>
              <w:jc w:val="center"/>
              <w:rPr>
                <w:rFonts w:ascii="宋体" w:hAnsi="宋体" w:eastAsia="宋体" w:cs="宋体"/>
                <w:bCs/>
                <w:szCs w:val="21"/>
              </w:rPr>
            </w:pPr>
          </w:p>
        </w:tc>
        <w:tc>
          <w:tcPr>
            <w:tcW w:w="666" w:type="dxa"/>
            <w:shd w:val="clear" w:color="auto" w:fill="auto"/>
            <w:vAlign w:val="center"/>
          </w:tcPr>
          <w:p w14:paraId="1CD933F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550" w:type="dxa"/>
            <w:shd w:val="clear" w:color="auto" w:fill="auto"/>
            <w:vAlign w:val="center"/>
          </w:tcPr>
          <w:p w14:paraId="7B261C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01D79E93">
            <w:pPr>
              <w:spacing w:line="276" w:lineRule="auto"/>
              <w:jc w:val="center"/>
              <w:rPr>
                <w:rFonts w:ascii="宋体" w:hAnsi="宋体" w:eastAsia="宋体" w:cs="宋体"/>
                <w:bCs/>
                <w:szCs w:val="21"/>
              </w:rPr>
            </w:pPr>
          </w:p>
        </w:tc>
        <w:tc>
          <w:tcPr>
            <w:tcW w:w="983" w:type="dxa"/>
            <w:vAlign w:val="center"/>
          </w:tcPr>
          <w:p w14:paraId="3246A5F9">
            <w:pPr>
              <w:spacing w:line="276" w:lineRule="auto"/>
              <w:jc w:val="center"/>
              <w:rPr>
                <w:rFonts w:ascii="宋体" w:hAnsi="宋体" w:eastAsia="宋体" w:cs="宋体"/>
                <w:bCs/>
                <w:szCs w:val="21"/>
              </w:rPr>
            </w:pPr>
          </w:p>
        </w:tc>
      </w:tr>
      <w:tr w14:paraId="3B6B7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54289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w:t>
            </w:r>
          </w:p>
        </w:tc>
        <w:tc>
          <w:tcPr>
            <w:tcW w:w="841" w:type="dxa"/>
            <w:vMerge w:val="continue"/>
          </w:tcPr>
          <w:p w14:paraId="6B331D76">
            <w:pPr>
              <w:spacing w:line="276" w:lineRule="auto"/>
              <w:jc w:val="center"/>
              <w:rPr>
                <w:rFonts w:ascii="宋体" w:hAnsi="宋体" w:eastAsia="宋体" w:cs="宋体"/>
                <w:bCs/>
                <w:szCs w:val="21"/>
              </w:rPr>
            </w:pPr>
          </w:p>
        </w:tc>
        <w:tc>
          <w:tcPr>
            <w:tcW w:w="1223" w:type="dxa"/>
            <w:shd w:val="clear" w:color="auto" w:fill="auto"/>
            <w:vAlign w:val="center"/>
          </w:tcPr>
          <w:p w14:paraId="23FB7E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吸顶灯灯具</w:t>
            </w:r>
          </w:p>
        </w:tc>
        <w:tc>
          <w:tcPr>
            <w:tcW w:w="890" w:type="dxa"/>
            <w:vAlign w:val="center"/>
          </w:tcPr>
          <w:p w14:paraId="351ECA32">
            <w:pPr>
              <w:spacing w:line="276" w:lineRule="auto"/>
              <w:jc w:val="center"/>
              <w:rPr>
                <w:rFonts w:ascii="宋体" w:hAnsi="宋体" w:eastAsia="宋体" w:cs="宋体"/>
                <w:bCs/>
                <w:szCs w:val="21"/>
              </w:rPr>
            </w:pPr>
          </w:p>
        </w:tc>
        <w:tc>
          <w:tcPr>
            <w:tcW w:w="508" w:type="dxa"/>
            <w:vAlign w:val="center"/>
          </w:tcPr>
          <w:p w14:paraId="2F4F22D8">
            <w:pPr>
              <w:spacing w:line="276" w:lineRule="auto"/>
              <w:jc w:val="center"/>
              <w:rPr>
                <w:rFonts w:ascii="宋体" w:hAnsi="宋体" w:eastAsia="宋体" w:cs="宋体"/>
                <w:bCs/>
                <w:szCs w:val="21"/>
              </w:rPr>
            </w:pPr>
          </w:p>
        </w:tc>
        <w:tc>
          <w:tcPr>
            <w:tcW w:w="810" w:type="dxa"/>
            <w:vAlign w:val="center"/>
          </w:tcPr>
          <w:p w14:paraId="40680230">
            <w:pPr>
              <w:spacing w:line="276" w:lineRule="auto"/>
              <w:jc w:val="center"/>
              <w:rPr>
                <w:rFonts w:ascii="宋体" w:hAnsi="宋体" w:eastAsia="宋体" w:cs="宋体"/>
                <w:bCs/>
                <w:szCs w:val="21"/>
              </w:rPr>
            </w:pPr>
          </w:p>
        </w:tc>
        <w:tc>
          <w:tcPr>
            <w:tcW w:w="715" w:type="dxa"/>
            <w:vAlign w:val="center"/>
          </w:tcPr>
          <w:p w14:paraId="02F91677">
            <w:pPr>
              <w:spacing w:line="276" w:lineRule="auto"/>
              <w:jc w:val="center"/>
              <w:rPr>
                <w:rFonts w:ascii="宋体" w:hAnsi="宋体" w:eastAsia="宋体" w:cs="宋体"/>
                <w:bCs/>
                <w:szCs w:val="21"/>
              </w:rPr>
            </w:pPr>
          </w:p>
        </w:tc>
        <w:tc>
          <w:tcPr>
            <w:tcW w:w="1160" w:type="dxa"/>
            <w:vAlign w:val="center"/>
          </w:tcPr>
          <w:p w14:paraId="695D3C28">
            <w:pPr>
              <w:spacing w:line="276" w:lineRule="auto"/>
              <w:jc w:val="center"/>
              <w:rPr>
                <w:rFonts w:ascii="宋体" w:hAnsi="宋体" w:eastAsia="宋体" w:cs="宋体"/>
                <w:bCs/>
                <w:szCs w:val="21"/>
              </w:rPr>
            </w:pPr>
          </w:p>
        </w:tc>
        <w:tc>
          <w:tcPr>
            <w:tcW w:w="917" w:type="dxa"/>
            <w:shd w:val="clear" w:color="auto" w:fill="auto"/>
            <w:vAlign w:val="center"/>
          </w:tcPr>
          <w:p w14:paraId="632A42C6">
            <w:pPr>
              <w:spacing w:line="276" w:lineRule="auto"/>
              <w:jc w:val="center"/>
              <w:rPr>
                <w:rFonts w:ascii="宋体" w:hAnsi="宋体" w:eastAsia="宋体" w:cs="宋体"/>
                <w:bCs/>
                <w:szCs w:val="21"/>
              </w:rPr>
            </w:pPr>
          </w:p>
        </w:tc>
        <w:tc>
          <w:tcPr>
            <w:tcW w:w="666" w:type="dxa"/>
            <w:shd w:val="clear" w:color="auto" w:fill="auto"/>
            <w:vAlign w:val="center"/>
          </w:tcPr>
          <w:p w14:paraId="158F282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w:t>
            </w:r>
          </w:p>
        </w:tc>
        <w:tc>
          <w:tcPr>
            <w:tcW w:w="550" w:type="dxa"/>
            <w:shd w:val="clear" w:color="auto" w:fill="auto"/>
            <w:vAlign w:val="center"/>
          </w:tcPr>
          <w:p w14:paraId="4E124B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71A2A23B">
            <w:pPr>
              <w:spacing w:line="276" w:lineRule="auto"/>
              <w:jc w:val="center"/>
              <w:rPr>
                <w:rFonts w:ascii="宋体" w:hAnsi="宋体" w:eastAsia="宋体" w:cs="宋体"/>
                <w:bCs/>
                <w:szCs w:val="21"/>
              </w:rPr>
            </w:pPr>
          </w:p>
        </w:tc>
        <w:tc>
          <w:tcPr>
            <w:tcW w:w="983" w:type="dxa"/>
            <w:vAlign w:val="center"/>
          </w:tcPr>
          <w:p w14:paraId="5621671C">
            <w:pPr>
              <w:spacing w:line="276" w:lineRule="auto"/>
              <w:jc w:val="center"/>
              <w:rPr>
                <w:rFonts w:ascii="宋体" w:hAnsi="宋体" w:eastAsia="宋体" w:cs="宋体"/>
                <w:bCs/>
                <w:szCs w:val="21"/>
              </w:rPr>
            </w:pPr>
          </w:p>
        </w:tc>
      </w:tr>
      <w:tr w14:paraId="0C948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F3748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841" w:type="dxa"/>
            <w:vMerge w:val="continue"/>
          </w:tcPr>
          <w:p w14:paraId="6A79D38D">
            <w:pPr>
              <w:spacing w:line="276" w:lineRule="auto"/>
              <w:jc w:val="center"/>
              <w:rPr>
                <w:rFonts w:ascii="宋体" w:hAnsi="宋体" w:eastAsia="宋体" w:cs="宋体"/>
                <w:bCs/>
                <w:szCs w:val="21"/>
              </w:rPr>
            </w:pPr>
          </w:p>
        </w:tc>
        <w:tc>
          <w:tcPr>
            <w:tcW w:w="1223" w:type="dxa"/>
            <w:shd w:val="clear" w:color="auto" w:fill="auto"/>
            <w:vAlign w:val="center"/>
          </w:tcPr>
          <w:p w14:paraId="63A5F6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驱动电源（300W/280W）</w:t>
            </w:r>
          </w:p>
        </w:tc>
        <w:tc>
          <w:tcPr>
            <w:tcW w:w="890" w:type="dxa"/>
            <w:vAlign w:val="center"/>
          </w:tcPr>
          <w:p w14:paraId="6AF928A6">
            <w:pPr>
              <w:spacing w:line="276" w:lineRule="auto"/>
              <w:jc w:val="center"/>
              <w:rPr>
                <w:rFonts w:ascii="宋体" w:hAnsi="宋体" w:eastAsia="宋体" w:cs="宋体"/>
                <w:bCs/>
                <w:szCs w:val="21"/>
              </w:rPr>
            </w:pPr>
          </w:p>
        </w:tc>
        <w:tc>
          <w:tcPr>
            <w:tcW w:w="508" w:type="dxa"/>
            <w:vAlign w:val="center"/>
          </w:tcPr>
          <w:p w14:paraId="0675CF6A">
            <w:pPr>
              <w:spacing w:line="276" w:lineRule="auto"/>
              <w:jc w:val="center"/>
              <w:rPr>
                <w:rFonts w:ascii="宋体" w:hAnsi="宋体" w:eastAsia="宋体" w:cs="宋体"/>
                <w:bCs/>
                <w:szCs w:val="21"/>
              </w:rPr>
            </w:pPr>
          </w:p>
        </w:tc>
        <w:tc>
          <w:tcPr>
            <w:tcW w:w="810" w:type="dxa"/>
            <w:vAlign w:val="center"/>
          </w:tcPr>
          <w:p w14:paraId="55295F0D">
            <w:pPr>
              <w:spacing w:line="276" w:lineRule="auto"/>
              <w:jc w:val="center"/>
              <w:rPr>
                <w:rFonts w:ascii="宋体" w:hAnsi="宋体" w:eastAsia="宋体" w:cs="宋体"/>
                <w:bCs/>
                <w:szCs w:val="21"/>
              </w:rPr>
            </w:pPr>
          </w:p>
        </w:tc>
        <w:tc>
          <w:tcPr>
            <w:tcW w:w="715" w:type="dxa"/>
            <w:vAlign w:val="center"/>
          </w:tcPr>
          <w:p w14:paraId="2B19FB7B">
            <w:pPr>
              <w:spacing w:line="276" w:lineRule="auto"/>
              <w:jc w:val="center"/>
              <w:rPr>
                <w:rFonts w:ascii="宋体" w:hAnsi="宋体" w:eastAsia="宋体" w:cs="宋体"/>
                <w:bCs/>
                <w:szCs w:val="21"/>
              </w:rPr>
            </w:pPr>
          </w:p>
        </w:tc>
        <w:tc>
          <w:tcPr>
            <w:tcW w:w="1160" w:type="dxa"/>
            <w:vAlign w:val="center"/>
          </w:tcPr>
          <w:p w14:paraId="6AC4B6D2">
            <w:pPr>
              <w:spacing w:line="276" w:lineRule="auto"/>
              <w:jc w:val="center"/>
              <w:rPr>
                <w:rFonts w:ascii="宋体" w:hAnsi="宋体" w:eastAsia="宋体" w:cs="宋体"/>
                <w:bCs/>
                <w:szCs w:val="21"/>
              </w:rPr>
            </w:pPr>
          </w:p>
        </w:tc>
        <w:tc>
          <w:tcPr>
            <w:tcW w:w="917" w:type="dxa"/>
            <w:shd w:val="clear" w:color="auto" w:fill="auto"/>
            <w:vAlign w:val="center"/>
          </w:tcPr>
          <w:p w14:paraId="4EE760E5">
            <w:pPr>
              <w:spacing w:line="276" w:lineRule="auto"/>
              <w:jc w:val="center"/>
              <w:rPr>
                <w:rFonts w:ascii="宋体" w:hAnsi="宋体" w:eastAsia="宋体" w:cs="宋体"/>
                <w:bCs/>
                <w:szCs w:val="21"/>
              </w:rPr>
            </w:pPr>
          </w:p>
        </w:tc>
        <w:tc>
          <w:tcPr>
            <w:tcW w:w="666" w:type="dxa"/>
            <w:shd w:val="clear" w:color="auto" w:fill="auto"/>
            <w:vAlign w:val="center"/>
          </w:tcPr>
          <w:p w14:paraId="7227644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727</w:t>
            </w:r>
          </w:p>
        </w:tc>
        <w:tc>
          <w:tcPr>
            <w:tcW w:w="550" w:type="dxa"/>
            <w:shd w:val="clear" w:color="auto" w:fill="auto"/>
            <w:vAlign w:val="center"/>
          </w:tcPr>
          <w:p w14:paraId="4F30BD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611B4839">
            <w:pPr>
              <w:spacing w:line="276" w:lineRule="auto"/>
              <w:jc w:val="center"/>
              <w:rPr>
                <w:rFonts w:ascii="宋体" w:hAnsi="宋体" w:eastAsia="宋体" w:cs="宋体"/>
                <w:bCs/>
                <w:szCs w:val="21"/>
              </w:rPr>
            </w:pPr>
          </w:p>
        </w:tc>
        <w:tc>
          <w:tcPr>
            <w:tcW w:w="983" w:type="dxa"/>
            <w:vAlign w:val="center"/>
          </w:tcPr>
          <w:p w14:paraId="5A8E48A2">
            <w:pPr>
              <w:spacing w:line="276" w:lineRule="auto"/>
              <w:jc w:val="center"/>
              <w:rPr>
                <w:rFonts w:ascii="宋体" w:hAnsi="宋体" w:eastAsia="宋体" w:cs="宋体"/>
                <w:bCs/>
                <w:szCs w:val="21"/>
              </w:rPr>
            </w:pPr>
          </w:p>
        </w:tc>
      </w:tr>
      <w:tr w14:paraId="64F80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6AEE9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841" w:type="dxa"/>
            <w:vMerge w:val="continue"/>
          </w:tcPr>
          <w:p w14:paraId="2800EA45">
            <w:pPr>
              <w:spacing w:line="276" w:lineRule="auto"/>
              <w:jc w:val="center"/>
              <w:rPr>
                <w:rFonts w:ascii="宋体" w:hAnsi="宋体" w:eastAsia="宋体" w:cs="宋体"/>
                <w:bCs/>
                <w:szCs w:val="21"/>
              </w:rPr>
            </w:pPr>
          </w:p>
        </w:tc>
        <w:tc>
          <w:tcPr>
            <w:tcW w:w="1223" w:type="dxa"/>
            <w:shd w:val="clear" w:color="auto" w:fill="auto"/>
            <w:vAlign w:val="center"/>
          </w:tcPr>
          <w:p w14:paraId="5BDABB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驱动电源（180W/160W）</w:t>
            </w:r>
          </w:p>
        </w:tc>
        <w:tc>
          <w:tcPr>
            <w:tcW w:w="890" w:type="dxa"/>
            <w:vAlign w:val="center"/>
          </w:tcPr>
          <w:p w14:paraId="46BCD18B">
            <w:pPr>
              <w:spacing w:line="276" w:lineRule="auto"/>
              <w:jc w:val="center"/>
              <w:rPr>
                <w:rFonts w:ascii="宋体" w:hAnsi="宋体" w:eastAsia="宋体" w:cs="宋体"/>
                <w:bCs/>
                <w:szCs w:val="21"/>
              </w:rPr>
            </w:pPr>
          </w:p>
        </w:tc>
        <w:tc>
          <w:tcPr>
            <w:tcW w:w="508" w:type="dxa"/>
            <w:vAlign w:val="center"/>
          </w:tcPr>
          <w:p w14:paraId="25E129FE">
            <w:pPr>
              <w:spacing w:line="276" w:lineRule="auto"/>
              <w:jc w:val="center"/>
              <w:rPr>
                <w:rFonts w:ascii="宋体" w:hAnsi="宋体" w:eastAsia="宋体" w:cs="宋体"/>
                <w:bCs/>
                <w:szCs w:val="21"/>
              </w:rPr>
            </w:pPr>
          </w:p>
        </w:tc>
        <w:tc>
          <w:tcPr>
            <w:tcW w:w="810" w:type="dxa"/>
            <w:vAlign w:val="center"/>
          </w:tcPr>
          <w:p w14:paraId="69838862">
            <w:pPr>
              <w:spacing w:line="276" w:lineRule="auto"/>
              <w:jc w:val="center"/>
              <w:rPr>
                <w:rFonts w:ascii="宋体" w:hAnsi="宋体" w:eastAsia="宋体" w:cs="宋体"/>
                <w:bCs/>
                <w:szCs w:val="21"/>
              </w:rPr>
            </w:pPr>
          </w:p>
        </w:tc>
        <w:tc>
          <w:tcPr>
            <w:tcW w:w="715" w:type="dxa"/>
            <w:vAlign w:val="center"/>
          </w:tcPr>
          <w:p w14:paraId="12BF8CD6">
            <w:pPr>
              <w:spacing w:line="276" w:lineRule="auto"/>
              <w:jc w:val="center"/>
              <w:rPr>
                <w:rFonts w:ascii="宋体" w:hAnsi="宋体" w:eastAsia="宋体" w:cs="宋体"/>
                <w:bCs/>
                <w:szCs w:val="21"/>
              </w:rPr>
            </w:pPr>
          </w:p>
        </w:tc>
        <w:tc>
          <w:tcPr>
            <w:tcW w:w="1160" w:type="dxa"/>
            <w:vAlign w:val="center"/>
          </w:tcPr>
          <w:p w14:paraId="14E18611">
            <w:pPr>
              <w:spacing w:line="276" w:lineRule="auto"/>
              <w:jc w:val="center"/>
              <w:rPr>
                <w:rFonts w:ascii="宋体" w:hAnsi="宋体" w:eastAsia="宋体" w:cs="宋体"/>
                <w:bCs/>
                <w:szCs w:val="21"/>
              </w:rPr>
            </w:pPr>
          </w:p>
        </w:tc>
        <w:tc>
          <w:tcPr>
            <w:tcW w:w="917" w:type="dxa"/>
            <w:shd w:val="clear" w:color="auto" w:fill="auto"/>
            <w:vAlign w:val="center"/>
          </w:tcPr>
          <w:p w14:paraId="7CBD739D">
            <w:pPr>
              <w:spacing w:line="276" w:lineRule="auto"/>
              <w:jc w:val="center"/>
              <w:rPr>
                <w:rFonts w:ascii="宋体" w:hAnsi="宋体" w:eastAsia="宋体" w:cs="宋体"/>
                <w:bCs/>
                <w:szCs w:val="21"/>
              </w:rPr>
            </w:pPr>
          </w:p>
        </w:tc>
        <w:tc>
          <w:tcPr>
            <w:tcW w:w="666" w:type="dxa"/>
            <w:shd w:val="clear" w:color="auto" w:fill="auto"/>
            <w:vAlign w:val="center"/>
          </w:tcPr>
          <w:p w14:paraId="43FE431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75</w:t>
            </w:r>
          </w:p>
        </w:tc>
        <w:tc>
          <w:tcPr>
            <w:tcW w:w="550" w:type="dxa"/>
            <w:shd w:val="clear" w:color="auto" w:fill="auto"/>
            <w:vAlign w:val="center"/>
          </w:tcPr>
          <w:p w14:paraId="60C603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2687403F">
            <w:pPr>
              <w:spacing w:line="276" w:lineRule="auto"/>
              <w:jc w:val="center"/>
              <w:rPr>
                <w:rFonts w:ascii="宋体" w:hAnsi="宋体" w:eastAsia="宋体" w:cs="宋体"/>
                <w:bCs/>
                <w:szCs w:val="21"/>
              </w:rPr>
            </w:pPr>
          </w:p>
        </w:tc>
        <w:tc>
          <w:tcPr>
            <w:tcW w:w="983" w:type="dxa"/>
            <w:vAlign w:val="center"/>
          </w:tcPr>
          <w:p w14:paraId="72357CE5">
            <w:pPr>
              <w:spacing w:line="276" w:lineRule="auto"/>
              <w:jc w:val="center"/>
              <w:rPr>
                <w:rFonts w:ascii="宋体" w:hAnsi="宋体" w:eastAsia="宋体" w:cs="宋体"/>
                <w:bCs/>
                <w:szCs w:val="21"/>
              </w:rPr>
            </w:pPr>
          </w:p>
        </w:tc>
      </w:tr>
      <w:tr w14:paraId="58C53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CC01A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841" w:type="dxa"/>
            <w:vMerge w:val="continue"/>
          </w:tcPr>
          <w:p w14:paraId="28F37130">
            <w:pPr>
              <w:spacing w:line="276" w:lineRule="auto"/>
              <w:jc w:val="center"/>
              <w:rPr>
                <w:rFonts w:ascii="宋体" w:hAnsi="宋体" w:eastAsia="宋体" w:cs="宋体"/>
                <w:bCs/>
                <w:szCs w:val="21"/>
              </w:rPr>
            </w:pPr>
          </w:p>
        </w:tc>
        <w:tc>
          <w:tcPr>
            <w:tcW w:w="1223" w:type="dxa"/>
            <w:shd w:val="clear" w:color="auto" w:fill="auto"/>
            <w:vAlign w:val="center"/>
          </w:tcPr>
          <w:p w14:paraId="323CAB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驱动电源（80W）</w:t>
            </w:r>
          </w:p>
        </w:tc>
        <w:tc>
          <w:tcPr>
            <w:tcW w:w="890" w:type="dxa"/>
            <w:vAlign w:val="center"/>
          </w:tcPr>
          <w:p w14:paraId="70319C2E">
            <w:pPr>
              <w:spacing w:line="276" w:lineRule="auto"/>
              <w:jc w:val="center"/>
              <w:rPr>
                <w:rFonts w:ascii="宋体" w:hAnsi="宋体" w:eastAsia="宋体" w:cs="宋体"/>
                <w:bCs/>
                <w:szCs w:val="21"/>
              </w:rPr>
            </w:pPr>
          </w:p>
        </w:tc>
        <w:tc>
          <w:tcPr>
            <w:tcW w:w="508" w:type="dxa"/>
            <w:vAlign w:val="center"/>
          </w:tcPr>
          <w:p w14:paraId="503A6852">
            <w:pPr>
              <w:spacing w:line="276" w:lineRule="auto"/>
              <w:jc w:val="center"/>
              <w:rPr>
                <w:rFonts w:ascii="宋体" w:hAnsi="宋体" w:eastAsia="宋体" w:cs="宋体"/>
                <w:bCs/>
                <w:szCs w:val="21"/>
              </w:rPr>
            </w:pPr>
          </w:p>
        </w:tc>
        <w:tc>
          <w:tcPr>
            <w:tcW w:w="810" w:type="dxa"/>
            <w:vAlign w:val="center"/>
          </w:tcPr>
          <w:p w14:paraId="521EAE65">
            <w:pPr>
              <w:spacing w:line="276" w:lineRule="auto"/>
              <w:jc w:val="center"/>
              <w:rPr>
                <w:rFonts w:ascii="宋体" w:hAnsi="宋体" w:eastAsia="宋体" w:cs="宋体"/>
                <w:bCs/>
                <w:szCs w:val="21"/>
              </w:rPr>
            </w:pPr>
          </w:p>
        </w:tc>
        <w:tc>
          <w:tcPr>
            <w:tcW w:w="715" w:type="dxa"/>
            <w:vAlign w:val="center"/>
          </w:tcPr>
          <w:p w14:paraId="05AB4700">
            <w:pPr>
              <w:spacing w:line="276" w:lineRule="auto"/>
              <w:jc w:val="center"/>
              <w:rPr>
                <w:rFonts w:ascii="宋体" w:hAnsi="宋体" w:eastAsia="宋体" w:cs="宋体"/>
                <w:bCs/>
                <w:szCs w:val="21"/>
              </w:rPr>
            </w:pPr>
          </w:p>
        </w:tc>
        <w:tc>
          <w:tcPr>
            <w:tcW w:w="1160" w:type="dxa"/>
            <w:vAlign w:val="center"/>
          </w:tcPr>
          <w:p w14:paraId="25B2D66D">
            <w:pPr>
              <w:spacing w:line="276" w:lineRule="auto"/>
              <w:jc w:val="center"/>
              <w:rPr>
                <w:rFonts w:ascii="宋体" w:hAnsi="宋体" w:eastAsia="宋体" w:cs="宋体"/>
                <w:bCs/>
                <w:szCs w:val="21"/>
              </w:rPr>
            </w:pPr>
          </w:p>
        </w:tc>
        <w:tc>
          <w:tcPr>
            <w:tcW w:w="917" w:type="dxa"/>
            <w:shd w:val="clear" w:color="auto" w:fill="auto"/>
            <w:vAlign w:val="center"/>
          </w:tcPr>
          <w:p w14:paraId="6E6C48F4">
            <w:pPr>
              <w:spacing w:line="276" w:lineRule="auto"/>
              <w:jc w:val="center"/>
              <w:rPr>
                <w:rFonts w:ascii="宋体" w:hAnsi="宋体" w:eastAsia="宋体" w:cs="宋体"/>
                <w:bCs/>
                <w:szCs w:val="21"/>
              </w:rPr>
            </w:pPr>
          </w:p>
        </w:tc>
        <w:tc>
          <w:tcPr>
            <w:tcW w:w="666" w:type="dxa"/>
            <w:shd w:val="clear" w:color="auto" w:fill="auto"/>
            <w:vAlign w:val="center"/>
          </w:tcPr>
          <w:p w14:paraId="2C9543F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473</w:t>
            </w:r>
          </w:p>
        </w:tc>
        <w:tc>
          <w:tcPr>
            <w:tcW w:w="550" w:type="dxa"/>
            <w:shd w:val="clear" w:color="auto" w:fill="auto"/>
            <w:vAlign w:val="center"/>
          </w:tcPr>
          <w:p w14:paraId="542E10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29919844">
            <w:pPr>
              <w:spacing w:line="276" w:lineRule="auto"/>
              <w:jc w:val="center"/>
              <w:rPr>
                <w:rFonts w:ascii="宋体" w:hAnsi="宋体" w:eastAsia="宋体" w:cs="宋体"/>
                <w:bCs/>
                <w:szCs w:val="21"/>
              </w:rPr>
            </w:pPr>
          </w:p>
        </w:tc>
        <w:tc>
          <w:tcPr>
            <w:tcW w:w="983" w:type="dxa"/>
            <w:vAlign w:val="center"/>
          </w:tcPr>
          <w:p w14:paraId="76A2CFA9">
            <w:pPr>
              <w:spacing w:line="276" w:lineRule="auto"/>
              <w:jc w:val="center"/>
              <w:rPr>
                <w:rFonts w:ascii="宋体" w:hAnsi="宋体" w:eastAsia="宋体" w:cs="宋体"/>
                <w:bCs/>
                <w:szCs w:val="21"/>
              </w:rPr>
            </w:pPr>
          </w:p>
        </w:tc>
      </w:tr>
      <w:tr w14:paraId="07B4F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42E8F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w:t>
            </w:r>
          </w:p>
        </w:tc>
        <w:tc>
          <w:tcPr>
            <w:tcW w:w="841" w:type="dxa"/>
            <w:vMerge w:val="continue"/>
          </w:tcPr>
          <w:p w14:paraId="0EEAD347">
            <w:pPr>
              <w:spacing w:line="276" w:lineRule="auto"/>
              <w:jc w:val="center"/>
              <w:rPr>
                <w:rFonts w:ascii="宋体" w:hAnsi="宋体" w:eastAsia="宋体" w:cs="宋体"/>
                <w:bCs/>
                <w:szCs w:val="21"/>
              </w:rPr>
            </w:pPr>
          </w:p>
        </w:tc>
        <w:tc>
          <w:tcPr>
            <w:tcW w:w="1223" w:type="dxa"/>
            <w:shd w:val="clear" w:color="auto" w:fill="auto"/>
            <w:vAlign w:val="center"/>
          </w:tcPr>
          <w:p w14:paraId="69AF89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驱动电源（60W）</w:t>
            </w:r>
          </w:p>
        </w:tc>
        <w:tc>
          <w:tcPr>
            <w:tcW w:w="890" w:type="dxa"/>
            <w:vAlign w:val="center"/>
          </w:tcPr>
          <w:p w14:paraId="436309C2">
            <w:pPr>
              <w:spacing w:line="276" w:lineRule="auto"/>
              <w:jc w:val="center"/>
              <w:rPr>
                <w:rFonts w:ascii="宋体" w:hAnsi="宋体" w:eastAsia="宋体" w:cs="宋体"/>
                <w:bCs/>
                <w:szCs w:val="21"/>
              </w:rPr>
            </w:pPr>
          </w:p>
        </w:tc>
        <w:tc>
          <w:tcPr>
            <w:tcW w:w="508" w:type="dxa"/>
            <w:vAlign w:val="center"/>
          </w:tcPr>
          <w:p w14:paraId="02FE8E55">
            <w:pPr>
              <w:spacing w:line="276" w:lineRule="auto"/>
              <w:jc w:val="center"/>
              <w:rPr>
                <w:rFonts w:ascii="宋体" w:hAnsi="宋体" w:eastAsia="宋体" w:cs="宋体"/>
                <w:bCs/>
                <w:szCs w:val="21"/>
              </w:rPr>
            </w:pPr>
          </w:p>
        </w:tc>
        <w:tc>
          <w:tcPr>
            <w:tcW w:w="810" w:type="dxa"/>
            <w:vAlign w:val="center"/>
          </w:tcPr>
          <w:p w14:paraId="158160C8">
            <w:pPr>
              <w:spacing w:line="276" w:lineRule="auto"/>
              <w:jc w:val="center"/>
              <w:rPr>
                <w:rFonts w:ascii="宋体" w:hAnsi="宋体" w:eastAsia="宋体" w:cs="宋体"/>
                <w:bCs/>
                <w:szCs w:val="21"/>
              </w:rPr>
            </w:pPr>
          </w:p>
        </w:tc>
        <w:tc>
          <w:tcPr>
            <w:tcW w:w="715" w:type="dxa"/>
            <w:vAlign w:val="center"/>
          </w:tcPr>
          <w:p w14:paraId="767F8B52">
            <w:pPr>
              <w:spacing w:line="276" w:lineRule="auto"/>
              <w:jc w:val="center"/>
              <w:rPr>
                <w:rFonts w:ascii="宋体" w:hAnsi="宋体" w:eastAsia="宋体" w:cs="宋体"/>
                <w:bCs/>
                <w:szCs w:val="21"/>
              </w:rPr>
            </w:pPr>
          </w:p>
        </w:tc>
        <w:tc>
          <w:tcPr>
            <w:tcW w:w="1160" w:type="dxa"/>
            <w:vAlign w:val="center"/>
          </w:tcPr>
          <w:p w14:paraId="6BF831E3">
            <w:pPr>
              <w:spacing w:line="276" w:lineRule="auto"/>
              <w:jc w:val="center"/>
              <w:rPr>
                <w:rFonts w:ascii="宋体" w:hAnsi="宋体" w:eastAsia="宋体" w:cs="宋体"/>
                <w:bCs/>
                <w:szCs w:val="21"/>
              </w:rPr>
            </w:pPr>
          </w:p>
        </w:tc>
        <w:tc>
          <w:tcPr>
            <w:tcW w:w="917" w:type="dxa"/>
            <w:shd w:val="clear" w:color="auto" w:fill="auto"/>
            <w:vAlign w:val="center"/>
          </w:tcPr>
          <w:p w14:paraId="20484127">
            <w:pPr>
              <w:spacing w:line="276" w:lineRule="auto"/>
              <w:jc w:val="center"/>
              <w:rPr>
                <w:rFonts w:ascii="宋体" w:hAnsi="宋体" w:eastAsia="宋体" w:cs="宋体"/>
                <w:bCs/>
                <w:szCs w:val="21"/>
              </w:rPr>
            </w:pPr>
          </w:p>
        </w:tc>
        <w:tc>
          <w:tcPr>
            <w:tcW w:w="666" w:type="dxa"/>
            <w:shd w:val="clear" w:color="auto" w:fill="auto"/>
            <w:vAlign w:val="center"/>
          </w:tcPr>
          <w:p w14:paraId="5824124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w:t>
            </w:r>
          </w:p>
        </w:tc>
        <w:tc>
          <w:tcPr>
            <w:tcW w:w="550" w:type="dxa"/>
            <w:shd w:val="clear" w:color="auto" w:fill="auto"/>
            <w:vAlign w:val="center"/>
          </w:tcPr>
          <w:p w14:paraId="50E961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2FDCAE23">
            <w:pPr>
              <w:spacing w:line="276" w:lineRule="auto"/>
              <w:jc w:val="center"/>
              <w:rPr>
                <w:rFonts w:ascii="宋体" w:hAnsi="宋体" w:eastAsia="宋体" w:cs="宋体"/>
                <w:bCs/>
                <w:szCs w:val="21"/>
              </w:rPr>
            </w:pPr>
          </w:p>
        </w:tc>
        <w:tc>
          <w:tcPr>
            <w:tcW w:w="983" w:type="dxa"/>
            <w:vAlign w:val="center"/>
          </w:tcPr>
          <w:p w14:paraId="6C071537">
            <w:pPr>
              <w:spacing w:line="276" w:lineRule="auto"/>
              <w:jc w:val="center"/>
              <w:rPr>
                <w:rFonts w:ascii="宋体" w:hAnsi="宋体" w:eastAsia="宋体" w:cs="宋体"/>
                <w:bCs/>
                <w:szCs w:val="21"/>
              </w:rPr>
            </w:pPr>
          </w:p>
        </w:tc>
      </w:tr>
      <w:tr w14:paraId="1288A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11A12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t>（二）</w:t>
            </w:r>
          </w:p>
        </w:tc>
        <w:tc>
          <w:tcPr>
            <w:tcW w:w="841" w:type="dxa"/>
            <w:vMerge w:val="continue"/>
          </w:tcPr>
          <w:p w14:paraId="01F4889C">
            <w:pPr>
              <w:spacing w:line="276" w:lineRule="auto"/>
              <w:jc w:val="center"/>
              <w:rPr>
                <w:rFonts w:ascii="宋体" w:hAnsi="宋体" w:eastAsia="宋体" w:cs="宋体"/>
                <w:bCs/>
                <w:szCs w:val="21"/>
              </w:rPr>
            </w:pPr>
          </w:p>
        </w:tc>
        <w:tc>
          <w:tcPr>
            <w:tcW w:w="9389" w:type="dxa"/>
            <w:gridSpan w:val="11"/>
            <w:shd w:val="clear" w:color="auto" w:fill="auto"/>
            <w:vAlign w:val="center"/>
          </w:tcPr>
          <w:p w14:paraId="4AA83333">
            <w:pPr>
              <w:snapToGrid w:val="0"/>
              <w:ind w:left="0" w:leftChars="0" w:right="0" w:rightChars="0" w:firstLine="0" w:firstLineChars="0"/>
              <w:jc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交通管控设施</w:t>
            </w:r>
          </w:p>
        </w:tc>
      </w:tr>
      <w:tr w14:paraId="6F873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619578C1">
            <w:pPr>
              <w:snapToGrid w:val="0"/>
              <w:ind w:left="0" w:leftChars="0" w:right="0" w:rightChars="0" w:firstLine="0" w:firstLineChars="0"/>
              <w:jc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sz w:val="20"/>
                <w:szCs w:val="20"/>
                <w:u w:val="none"/>
                <w:lang w:val="en-US" w:eastAsia="zh-CN"/>
              </w:rPr>
              <w:t>/</w:t>
            </w:r>
          </w:p>
        </w:tc>
        <w:tc>
          <w:tcPr>
            <w:tcW w:w="841" w:type="dxa"/>
            <w:vMerge w:val="continue"/>
          </w:tcPr>
          <w:p w14:paraId="0E58E9E7">
            <w:pPr>
              <w:spacing w:line="276" w:lineRule="auto"/>
              <w:jc w:val="center"/>
              <w:rPr>
                <w:rFonts w:ascii="宋体" w:hAnsi="宋体" w:eastAsia="宋体" w:cs="宋体"/>
                <w:bCs/>
                <w:szCs w:val="21"/>
              </w:rPr>
            </w:pPr>
          </w:p>
        </w:tc>
        <w:tc>
          <w:tcPr>
            <w:tcW w:w="9389" w:type="dxa"/>
            <w:gridSpan w:val="11"/>
            <w:shd w:val="clear" w:color="auto" w:fill="auto"/>
            <w:vAlign w:val="center"/>
          </w:tcPr>
          <w:p w14:paraId="47864B78">
            <w:pPr>
              <w:snapToGrid w:val="0"/>
              <w:ind w:left="0" w:leftChars="0" w:right="0" w:rightChars="0" w:firstLine="0" w:firstLineChars="0"/>
              <w:jc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信号控制设备</w:t>
            </w:r>
          </w:p>
        </w:tc>
      </w:tr>
      <w:tr w14:paraId="4F7B2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C1C8A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w:t>
            </w:r>
          </w:p>
        </w:tc>
        <w:tc>
          <w:tcPr>
            <w:tcW w:w="841" w:type="dxa"/>
            <w:vMerge w:val="continue"/>
          </w:tcPr>
          <w:p w14:paraId="306762B5">
            <w:pPr>
              <w:spacing w:line="276" w:lineRule="auto"/>
              <w:jc w:val="center"/>
              <w:rPr>
                <w:rFonts w:ascii="宋体" w:hAnsi="宋体" w:eastAsia="宋体" w:cs="宋体"/>
                <w:bCs/>
                <w:szCs w:val="21"/>
              </w:rPr>
            </w:pPr>
          </w:p>
        </w:tc>
        <w:tc>
          <w:tcPr>
            <w:tcW w:w="1223" w:type="dxa"/>
            <w:shd w:val="clear" w:color="auto" w:fill="auto"/>
            <w:vAlign w:val="center"/>
          </w:tcPr>
          <w:p w14:paraId="5C6180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智能信号控制机（96路）</w:t>
            </w:r>
          </w:p>
        </w:tc>
        <w:tc>
          <w:tcPr>
            <w:tcW w:w="890" w:type="dxa"/>
            <w:vAlign w:val="center"/>
          </w:tcPr>
          <w:p w14:paraId="35CD00DA">
            <w:pPr>
              <w:spacing w:line="276" w:lineRule="auto"/>
              <w:jc w:val="center"/>
              <w:rPr>
                <w:rFonts w:ascii="宋体" w:hAnsi="宋体" w:eastAsia="宋体" w:cs="宋体"/>
                <w:bCs/>
                <w:szCs w:val="21"/>
              </w:rPr>
            </w:pPr>
          </w:p>
        </w:tc>
        <w:tc>
          <w:tcPr>
            <w:tcW w:w="508" w:type="dxa"/>
            <w:vAlign w:val="center"/>
          </w:tcPr>
          <w:p w14:paraId="358D100F">
            <w:pPr>
              <w:spacing w:line="276" w:lineRule="auto"/>
              <w:jc w:val="center"/>
              <w:rPr>
                <w:rFonts w:ascii="宋体" w:hAnsi="宋体" w:eastAsia="宋体" w:cs="宋体"/>
                <w:bCs/>
                <w:szCs w:val="21"/>
              </w:rPr>
            </w:pPr>
          </w:p>
        </w:tc>
        <w:tc>
          <w:tcPr>
            <w:tcW w:w="810" w:type="dxa"/>
            <w:vAlign w:val="center"/>
          </w:tcPr>
          <w:p w14:paraId="1F5610DB">
            <w:pPr>
              <w:spacing w:line="276" w:lineRule="auto"/>
              <w:jc w:val="center"/>
              <w:rPr>
                <w:rFonts w:ascii="宋体" w:hAnsi="宋体" w:eastAsia="宋体" w:cs="宋体"/>
                <w:bCs/>
                <w:szCs w:val="21"/>
              </w:rPr>
            </w:pPr>
          </w:p>
        </w:tc>
        <w:tc>
          <w:tcPr>
            <w:tcW w:w="715" w:type="dxa"/>
            <w:vAlign w:val="center"/>
          </w:tcPr>
          <w:p w14:paraId="45CB9ECE">
            <w:pPr>
              <w:spacing w:line="276" w:lineRule="auto"/>
              <w:jc w:val="center"/>
              <w:rPr>
                <w:rFonts w:ascii="宋体" w:hAnsi="宋体" w:eastAsia="宋体" w:cs="宋体"/>
                <w:bCs/>
                <w:szCs w:val="21"/>
              </w:rPr>
            </w:pPr>
          </w:p>
        </w:tc>
        <w:tc>
          <w:tcPr>
            <w:tcW w:w="1160" w:type="dxa"/>
            <w:vAlign w:val="center"/>
          </w:tcPr>
          <w:p w14:paraId="29CB71A2">
            <w:pPr>
              <w:spacing w:line="276" w:lineRule="auto"/>
              <w:jc w:val="center"/>
              <w:rPr>
                <w:rFonts w:ascii="宋体" w:hAnsi="宋体" w:eastAsia="宋体" w:cs="宋体"/>
                <w:bCs/>
                <w:szCs w:val="21"/>
              </w:rPr>
            </w:pPr>
          </w:p>
        </w:tc>
        <w:tc>
          <w:tcPr>
            <w:tcW w:w="917" w:type="dxa"/>
            <w:shd w:val="clear" w:color="auto" w:fill="auto"/>
            <w:vAlign w:val="center"/>
          </w:tcPr>
          <w:p w14:paraId="1029532C">
            <w:pPr>
              <w:spacing w:line="276" w:lineRule="auto"/>
              <w:jc w:val="center"/>
              <w:rPr>
                <w:rFonts w:ascii="宋体" w:hAnsi="宋体" w:eastAsia="宋体" w:cs="宋体"/>
                <w:bCs/>
                <w:szCs w:val="21"/>
              </w:rPr>
            </w:pPr>
          </w:p>
        </w:tc>
        <w:tc>
          <w:tcPr>
            <w:tcW w:w="666" w:type="dxa"/>
            <w:shd w:val="clear" w:color="auto" w:fill="auto"/>
            <w:vAlign w:val="center"/>
          </w:tcPr>
          <w:p w14:paraId="1713870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24</w:t>
            </w:r>
          </w:p>
        </w:tc>
        <w:tc>
          <w:tcPr>
            <w:tcW w:w="550" w:type="dxa"/>
            <w:shd w:val="clear" w:color="auto" w:fill="auto"/>
            <w:vAlign w:val="center"/>
          </w:tcPr>
          <w:p w14:paraId="7D74E8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76F21283">
            <w:pPr>
              <w:spacing w:line="276" w:lineRule="auto"/>
              <w:jc w:val="center"/>
              <w:rPr>
                <w:rFonts w:ascii="宋体" w:hAnsi="宋体" w:eastAsia="宋体" w:cs="宋体"/>
                <w:bCs/>
                <w:szCs w:val="21"/>
              </w:rPr>
            </w:pPr>
          </w:p>
        </w:tc>
        <w:tc>
          <w:tcPr>
            <w:tcW w:w="983" w:type="dxa"/>
            <w:vAlign w:val="center"/>
          </w:tcPr>
          <w:p w14:paraId="64B4A9B9">
            <w:pPr>
              <w:spacing w:line="276" w:lineRule="auto"/>
              <w:jc w:val="center"/>
              <w:rPr>
                <w:rFonts w:ascii="宋体" w:hAnsi="宋体" w:eastAsia="宋体" w:cs="宋体"/>
                <w:bCs/>
                <w:szCs w:val="21"/>
              </w:rPr>
            </w:pPr>
          </w:p>
        </w:tc>
      </w:tr>
      <w:tr w14:paraId="1E991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00960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841" w:type="dxa"/>
            <w:vMerge w:val="continue"/>
          </w:tcPr>
          <w:p w14:paraId="6B82A5D0">
            <w:pPr>
              <w:spacing w:line="276" w:lineRule="auto"/>
              <w:jc w:val="center"/>
              <w:rPr>
                <w:rFonts w:ascii="宋体" w:hAnsi="宋体" w:eastAsia="宋体" w:cs="宋体"/>
                <w:bCs/>
                <w:szCs w:val="21"/>
              </w:rPr>
            </w:pPr>
          </w:p>
        </w:tc>
        <w:tc>
          <w:tcPr>
            <w:tcW w:w="1223" w:type="dxa"/>
            <w:shd w:val="clear" w:color="auto" w:fill="auto"/>
            <w:vAlign w:val="center"/>
          </w:tcPr>
          <w:p w14:paraId="0C4EA8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智能信号控制机（120路）</w:t>
            </w:r>
          </w:p>
        </w:tc>
        <w:tc>
          <w:tcPr>
            <w:tcW w:w="890" w:type="dxa"/>
            <w:vAlign w:val="center"/>
          </w:tcPr>
          <w:p w14:paraId="730DFB6C">
            <w:pPr>
              <w:spacing w:line="276" w:lineRule="auto"/>
              <w:jc w:val="center"/>
              <w:rPr>
                <w:rFonts w:ascii="宋体" w:hAnsi="宋体" w:eastAsia="宋体" w:cs="宋体"/>
                <w:bCs/>
                <w:szCs w:val="21"/>
              </w:rPr>
            </w:pPr>
          </w:p>
        </w:tc>
        <w:tc>
          <w:tcPr>
            <w:tcW w:w="508" w:type="dxa"/>
            <w:vAlign w:val="center"/>
          </w:tcPr>
          <w:p w14:paraId="5B45F62A">
            <w:pPr>
              <w:spacing w:line="276" w:lineRule="auto"/>
              <w:jc w:val="center"/>
              <w:rPr>
                <w:rFonts w:ascii="宋体" w:hAnsi="宋体" w:eastAsia="宋体" w:cs="宋体"/>
                <w:bCs/>
                <w:szCs w:val="21"/>
              </w:rPr>
            </w:pPr>
          </w:p>
        </w:tc>
        <w:tc>
          <w:tcPr>
            <w:tcW w:w="810" w:type="dxa"/>
            <w:vAlign w:val="center"/>
          </w:tcPr>
          <w:p w14:paraId="059DAE9B">
            <w:pPr>
              <w:spacing w:line="276" w:lineRule="auto"/>
              <w:jc w:val="center"/>
              <w:rPr>
                <w:rFonts w:ascii="宋体" w:hAnsi="宋体" w:eastAsia="宋体" w:cs="宋体"/>
                <w:bCs/>
                <w:szCs w:val="21"/>
              </w:rPr>
            </w:pPr>
          </w:p>
        </w:tc>
        <w:tc>
          <w:tcPr>
            <w:tcW w:w="715" w:type="dxa"/>
            <w:vAlign w:val="center"/>
          </w:tcPr>
          <w:p w14:paraId="306CF1E5">
            <w:pPr>
              <w:spacing w:line="276" w:lineRule="auto"/>
              <w:jc w:val="center"/>
              <w:rPr>
                <w:rFonts w:ascii="宋体" w:hAnsi="宋体" w:eastAsia="宋体" w:cs="宋体"/>
                <w:bCs/>
                <w:szCs w:val="21"/>
              </w:rPr>
            </w:pPr>
          </w:p>
        </w:tc>
        <w:tc>
          <w:tcPr>
            <w:tcW w:w="1160" w:type="dxa"/>
            <w:vAlign w:val="center"/>
          </w:tcPr>
          <w:p w14:paraId="7DC82BC8">
            <w:pPr>
              <w:spacing w:line="276" w:lineRule="auto"/>
              <w:jc w:val="center"/>
              <w:rPr>
                <w:rFonts w:ascii="宋体" w:hAnsi="宋体" w:eastAsia="宋体" w:cs="宋体"/>
                <w:bCs/>
                <w:szCs w:val="21"/>
              </w:rPr>
            </w:pPr>
          </w:p>
        </w:tc>
        <w:tc>
          <w:tcPr>
            <w:tcW w:w="917" w:type="dxa"/>
            <w:shd w:val="clear" w:color="auto" w:fill="auto"/>
            <w:vAlign w:val="center"/>
          </w:tcPr>
          <w:p w14:paraId="519F59EB">
            <w:pPr>
              <w:spacing w:line="276" w:lineRule="auto"/>
              <w:jc w:val="center"/>
              <w:rPr>
                <w:rFonts w:ascii="宋体" w:hAnsi="宋体" w:eastAsia="宋体" w:cs="宋体"/>
                <w:bCs/>
                <w:szCs w:val="21"/>
              </w:rPr>
            </w:pPr>
          </w:p>
        </w:tc>
        <w:tc>
          <w:tcPr>
            <w:tcW w:w="666" w:type="dxa"/>
            <w:shd w:val="clear" w:color="auto" w:fill="auto"/>
            <w:vAlign w:val="center"/>
          </w:tcPr>
          <w:p w14:paraId="0D6881D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550" w:type="dxa"/>
            <w:shd w:val="clear" w:color="auto" w:fill="auto"/>
            <w:vAlign w:val="center"/>
          </w:tcPr>
          <w:p w14:paraId="519051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3314C494">
            <w:pPr>
              <w:spacing w:line="276" w:lineRule="auto"/>
              <w:jc w:val="center"/>
              <w:rPr>
                <w:rFonts w:ascii="宋体" w:hAnsi="宋体" w:eastAsia="宋体" w:cs="宋体"/>
                <w:bCs/>
                <w:szCs w:val="21"/>
              </w:rPr>
            </w:pPr>
          </w:p>
        </w:tc>
        <w:tc>
          <w:tcPr>
            <w:tcW w:w="983" w:type="dxa"/>
            <w:vAlign w:val="center"/>
          </w:tcPr>
          <w:p w14:paraId="5339D0EA">
            <w:pPr>
              <w:spacing w:line="276" w:lineRule="auto"/>
              <w:jc w:val="center"/>
              <w:rPr>
                <w:rFonts w:ascii="宋体" w:hAnsi="宋体" w:eastAsia="宋体" w:cs="宋体"/>
                <w:bCs/>
                <w:szCs w:val="21"/>
              </w:rPr>
            </w:pPr>
          </w:p>
        </w:tc>
      </w:tr>
      <w:tr w14:paraId="224D1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3ABD7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w:t>
            </w:r>
          </w:p>
        </w:tc>
        <w:tc>
          <w:tcPr>
            <w:tcW w:w="841" w:type="dxa"/>
            <w:vMerge w:val="continue"/>
          </w:tcPr>
          <w:p w14:paraId="17F3FD91">
            <w:pPr>
              <w:spacing w:line="276" w:lineRule="auto"/>
              <w:jc w:val="center"/>
              <w:rPr>
                <w:rFonts w:ascii="宋体" w:hAnsi="宋体" w:eastAsia="宋体" w:cs="宋体"/>
                <w:bCs/>
                <w:szCs w:val="21"/>
              </w:rPr>
            </w:pPr>
          </w:p>
        </w:tc>
        <w:tc>
          <w:tcPr>
            <w:tcW w:w="1223" w:type="dxa"/>
            <w:shd w:val="clear" w:color="auto" w:fill="auto"/>
            <w:vAlign w:val="center"/>
          </w:tcPr>
          <w:p w14:paraId="569D8C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多功能机动车信号灯（内置倒计时器）</w:t>
            </w:r>
          </w:p>
        </w:tc>
        <w:tc>
          <w:tcPr>
            <w:tcW w:w="890" w:type="dxa"/>
            <w:vAlign w:val="center"/>
          </w:tcPr>
          <w:p w14:paraId="284828D9">
            <w:pPr>
              <w:spacing w:line="276" w:lineRule="auto"/>
              <w:jc w:val="center"/>
              <w:rPr>
                <w:rFonts w:ascii="宋体" w:hAnsi="宋体" w:eastAsia="宋体" w:cs="宋体"/>
                <w:bCs/>
                <w:szCs w:val="21"/>
              </w:rPr>
            </w:pPr>
          </w:p>
        </w:tc>
        <w:tc>
          <w:tcPr>
            <w:tcW w:w="508" w:type="dxa"/>
            <w:vAlign w:val="center"/>
          </w:tcPr>
          <w:p w14:paraId="1C7C4B23">
            <w:pPr>
              <w:spacing w:line="276" w:lineRule="auto"/>
              <w:jc w:val="center"/>
              <w:rPr>
                <w:rFonts w:ascii="宋体" w:hAnsi="宋体" w:eastAsia="宋体" w:cs="宋体"/>
                <w:bCs/>
                <w:szCs w:val="21"/>
              </w:rPr>
            </w:pPr>
          </w:p>
        </w:tc>
        <w:tc>
          <w:tcPr>
            <w:tcW w:w="810" w:type="dxa"/>
            <w:vAlign w:val="center"/>
          </w:tcPr>
          <w:p w14:paraId="4DB2F6E7">
            <w:pPr>
              <w:spacing w:line="276" w:lineRule="auto"/>
              <w:jc w:val="center"/>
              <w:rPr>
                <w:rFonts w:ascii="宋体" w:hAnsi="宋体" w:eastAsia="宋体" w:cs="宋体"/>
                <w:bCs/>
                <w:szCs w:val="21"/>
              </w:rPr>
            </w:pPr>
          </w:p>
        </w:tc>
        <w:tc>
          <w:tcPr>
            <w:tcW w:w="715" w:type="dxa"/>
            <w:vAlign w:val="center"/>
          </w:tcPr>
          <w:p w14:paraId="65782DAA">
            <w:pPr>
              <w:spacing w:line="276" w:lineRule="auto"/>
              <w:jc w:val="center"/>
              <w:rPr>
                <w:rFonts w:ascii="宋体" w:hAnsi="宋体" w:eastAsia="宋体" w:cs="宋体"/>
                <w:bCs/>
                <w:szCs w:val="21"/>
              </w:rPr>
            </w:pPr>
          </w:p>
        </w:tc>
        <w:tc>
          <w:tcPr>
            <w:tcW w:w="1160" w:type="dxa"/>
            <w:vAlign w:val="center"/>
          </w:tcPr>
          <w:p w14:paraId="3E991438">
            <w:pPr>
              <w:spacing w:line="276" w:lineRule="auto"/>
              <w:jc w:val="center"/>
              <w:rPr>
                <w:rFonts w:ascii="宋体" w:hAnsi="宋体" w:eastAsia="宋体" w:cs="宋体"/>
                <w:bCs/>
                <w:szCs w:val="21"/>
              </w:rPr>
            </w:pPr>
          </w:p>
        </w:tc>
        <w:tc>
          <w:tcPr>
            <w:tcW w:w="917" w:type="dxa"/>
            <w:shd w:val="clear" w:color="auto" w:fill="auto"/>
            <w:vAlign w:val="center"/>
          </w:tcPr>
          <w:p w14:paraId="7FA16DFC">
            <w:pPr>
              <w:spacing w:line="276" w:lineRule="auto"/>
              <w:jc w:val="center"/>
              <w:rPr>
                <w:rFonts w:ascii="宋体" w:hAnsi="宋体" w:eastAsia="宋体" w:cs="宋体"/>
                <w:bCs/>
                <w:szCs w:val="21"/>
              </w:rPr>
            </w:pPr>
          </w:p>
        </w:tc>
        <w:tc>
          <w:tcPr>
            <w:tcW w:w="666" w:type="dxa"/>
            <w:shd w:val="clear" w:color="auto" w:fill="auto"/>
            <w:vAlign w:val="center"/>
          </w:tcPr>
          <w:p w14:paraId="6EF4BB7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98</w:t>
            </w:r>
          </w:p>
        </w:tc>
        <w:tc>
          <w:tcPr>
            <w:tcW w:w="550" w:type="dxa"/>
            <w:shd w:val="clear" w:color="auto" w:fill="auto"/>
            <w:vAlign w:val="center"/>
          </w:tcPr>
          <w:p w14:paraId="28D374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6D881CFC">
            <w:pPr>
              <w:spacing w:line="276" w:lineRule="auto"/>
              <w:jc w:val="center"/>
              <w:rPr>
                <w:rFonts w:ascii="宋体" w:hAnsi="宋体" w:eastAsia="宋体" w:cs="宋体"/>
                <w:bCs/>
                <w:szCs w:val="21"/>
              </w:rPr>
            </w:pPr>
          </w:p>
        </w:tc>
        <w:tc>
          <w:tcPr>
            <w:tcW w:w="983" w:type="dxa"/>
            <w:vAlign w:val="center"/>
          </w:tcPr>
          <w:p w14:paraId="1D00273F">
            <w:pPr>
              <w:spacing w:line="276" w:lineRule="auto"/>
              <w:jc w:val="center"/>
              <w:rPr>
                <w:rFonts w:ascii="宋体" w:hAnsi="宋体" w:eastAsia="宋体" w:cs="宋体"/>
                <w:bCs/>
                <w:szCs w:val="21"/>
              </w:rPr>
            </w:pPr>
          </w:p>
        </w:tc>
      </w:tr>
      <w:tr w14:paraId="7C534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36FF8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w:t>
            </w:r>
          </w:p>
        </w:tc>
        <w:tc>
          <w:tcPr>
            <w:tcW w:w="841" w:type="dxa"/>
            <w:vMerge w:val="continue"/>
          </w:tcPr>
          <w:p w14:paraId="4B03AB7D">
            <w:pPr>
              <w:spacing w:line="276" w:lineRule="auto"/>
              <w:jc w:val="center"/>
              <w:rPr>
                <w:rFonts w:ascii="宋体" w:hAnsi="宋体" w:eastAsia="宋体" w:cs="宋体"/>
                <w:bCs/>
                <w:szCs w:val="21"/>
              </w:rPr>
            </w:pPr>
          </w:p>
        </w:tc>
        <w:tc>
          <w:tcPr>
            <w:tcW w:w="1223" w:type="dxa"/>
            <w:shd w:val="clear" w:color="auto" w:fill="auto"/>
            <w:vAlign w:val="center"/>
          </w:tcPr>
          <w:p w14:paraId="570085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箭头机动车信号灯（内置倒计时器）</w:t>
            </w:r>
          </w:p>
        </w:tc>
        <w:tc>
          <w:tcPr>
            <w:tcW w:w="890" w:type="dxa"/>
            <w:vAlign w:val="center"/>
          </w:tcPr>
          <w:p w14:paraId="61D8AEBC">
            <w:pPr>
              <w:spacing w:line="276" w:lineRule="auto"/>
              <w:jc w:val="center"/>
              <w:rPr>
                <w:rFonts w:ascii="宋体" w:hAnsi="宋体" w:eastAsia="宋体" w:cs="宋体"/>
                <w:bCs/>
                <w:szCs w:val="21"/>
              </w:rPr>
            </w:pPr>
          </w:p>
        </w:tc>
        <w:tc>
          <w:tcPr>
            <w:tcW w:w="508" w:type="dxa"/>
            <w:vAlign w:val="center"/>
          </w:tcPr>
          <w:p w14:paraId="16A2958E">
            <w:pPr>
              <w:spacing w:line="276" w:lineRule="auto"/>
              <w:jc w:val="center"/>
              <w:rPr>
                <w:rFonts w:ascii="宋体" w:hAnsi="宋体" w:eastAsia="宋体" w:cs="宋体"/>
                <w:bCs/>
                <w:szCs w:val="21"/>
              </w:rPr>
            </w:pPr>
          </w:p>
        </w:tc>
        <w:tc>
          <w:tcPr>
            <w:tcW w:w="810" w:type="dxa"/>
            <w:vAlign w:val="center"/>
          </w:tcPr>
          <w:p w14:paraId="4D4BAD6F">
            <w:pPr>
              <w:spacing w:line="276" w:lineRule="auto"/>
              <w:jc w:val="center"/>
              <w:rPr>
                <w:rFonts w:ascii="宋体" w:hAnsi="宋体" w:eastAsia="宋体" w:cs="宋体"/>
                <w:bCs/>
                <w:szCs w:val="21"/>
              </w:rPr>
            </w:pPr>
          </w:p>
        </w:tc>
        <w:tc>
          <w:tcPr>
            <w:tcW w:w="715" w:type="dxa"/>
            <w:vAlign w:val="center"/>
          </w:tcPr>
          <w:p w14:paraId="178E900D">
            <w:pPr>
              <w:spacing w:line="276" w:lineRule="auto"/>
              <w:jc w:val="center"/>
              <w:rPr>
                <w:rFonts w:ascii="宋体" w:hAnsi="宋体" w:eastAsia="宋体" w:cs="宋体"/>
                <w:bCs/>
                <w:szCs w:val="21"/>
              </w:rPr>
            </w:pPr>
          </w:p>
        </w:tc>
        <w:tc>
          <w:tcPr>
            <w:tcW w:w="1160" w:type="dxa"/>
            <w:vAlign w:val="center"/>
          </w:tcPr>
          <w:p w14:paraId="5E1C1200">
            <w:pPr>
              <w:spacing w:line="276" w:lineRule="auto"/>
              <w:jc w:val="center"/>
              <w:rPr>
                <w:rFonts w:ascii="宋体" w:hAnsi="宋体" w:eastAsia="宋体" w:cs="宋体"/>
                <w:bCs/>
                <w:szCs w:val="21"/>
              </w:rPr>
            </w:pPr>
          </w:p>
        </w:tc>
        <w:tc>
          <w:tcPr>
            <w:tcW w:w="917" w:type="dxa"/>
            <w:shd w:val="clear" w:color="auto" w:fill="auto"/>
            <w:vAlign w:val="center"/>
          </w:tcPr>
          <w:p w14:paraId="15DC2883">
            <w:pPr>
              <w:spacing w:line="276" w:lineRule="auto"/>
              <w:jc w:val="center"/>
              <w:rPr>
                <w:rFonts w:ascii="宋体" w:hAnsi="宋体" w:eastAsia="宋体" w:cs="宋体"/>
                <w:bCs/>
                <w:szCs w:val="21"/>
              </w:rPr>
            </w:pPr>
          </w:p>
        </w:tc>
        <w:tc>
          <w:tcPr>
            <w:tcW w:w="666" w:type="dxa"/>
            <w:shd w:val="clear" w:color="auto" w:fill="auto"/>
            <w:vAlign w:val="center"/>
          </w:tcPr>
          <w:p w14:paraId="75F630A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85</w:t>
            </w:r>
          </w:p>
        </w:tc>
        <w:tc>
          <w:tcPr>
            <w:tcW w:w="550" w:type="dxa"/>
            <w:shd w:val="clear" w:color="auto" w:fill="auto"/>
            <w:vAlign w:val="center"/>
          </w:tcPr>
          <w:p w14:paraId="6BC3F9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6347E410">
            <w:pPr>
              <w:spacing w:line="276" w:lineRule="auto"/>
              <w:jc w:val="center"/>
              <w:rPr>
                <w:rFonts w:ascii="宋体" w:hAnsi="宋体" w:eastAsia="宋体" w:cs="宋体"/>
                <w:bCs/>
                <w:szCs w:val="21"/>
              </w:rPr>
            </w:pPr>
          </w:p>
        </w:tc>
        <w:tc>
          <w:tcPr>
            <w:tcW w:w="983" w:type="dxa"/>
            <w:vAlign w:val="center"/>
          </w:tcPr>
          <w:p w14:paraId="42366F37">
            <w:pPr>
              <w:spacing w:line="276" w:lineRule="auto"/>
              <w:jc w:val="center"/>
              <w:rPr>
                <w:rFonts w:ascii="宋体" w:hAnsi="宋体" w:eastAsia="宋体" w:cs="宋体"/>
                <w:bCs/>
                <w:szCs w:val="21"/>
              </w:rPr>
            </w:pPr>
          </w:p>
        </w:tc>
      </w:tr>
      <w:tr w14:paraId="304C1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97F7A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41" w:type="dxa"/>
            <w:vMerge w:val="continue"/>
          </w:tcPr>
          <w:p w14:paraId="56F1B26F">
            <w:pPr>
              <w:spacing w:line="276" w:lineRule="auto"/>
              <w:jc w:val="center"/>
              <w:rPr>
                <w:rFonts w:ascii="宋体" w:hAnsi="宋体" w:eastAsia="宋体" w:cs="宋体"/>
                <w:bCs/>
                <w:szCs w:val="21"/>
              </w:rPr>
            </w:pPr>
          </w:p>
        </w:tc>
        <w:tc>
          <w:tcPr>
            <w:tcW w:w="1223" w:type="dxa"/>
            <w:shd w:val="clear" w:color="auto" w:fill="auto"/>
            <w:vAlign w:val="center"/>
          </w:tcPr>
          <w:p w14:paraId="4BADFB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圆饼机动车信号灯（内置倒计时器）</w:t>
            </w:r>
          </w:p>
        </w:tc>
        <w:tc>
          <w:tcPr>
            <w:tcW w:w="890" w:type="dxa"/>
            <w:vAlign w:val="center"/>
          </w:tcPr>
          <w:p w14:paraId="4FFDF018">
            <w:pPr>
              <w:spacing w:line="276" w:lineRule="auto"/>
              <w:jc w:val="center"/>
              <w:rPr>
                <w:rFonts w:ascii="宋体" w:hAnsi="宋体" w:eastAsia="宋体" w:cs="宋体"/>
                <w:bCs/>
                <w:szCs w:val="21"/>
              </w:rPr>
            </w:pPr>
          </w:p>
        </w:tc>
        <w:tc>
          <w:tcPr>
            <w:tcW w:w="508" w:type="dxa"/>
            <w:vAlign w:val="center"/>
          </w:tcPr>
          <w:p w14:paraId="5BC7F496">
            <w:pPr>
              <w:spacing w:line="276" w:lineRule="auto"/>
              <w:jc w:val="center"/>
              <w:rPr>
                <w:rFonts w:ascii="宋体" w:hAnsi="宋体" w:eastAsia="宋体" w:cs="宋体"/>
                <w:bCs/>
                <w:szCs w:val="21"/>
              </w:rPr>
            </w:pPr>
          </w:p>
        </w:tc>
        <w:tc>
          <w:tcPr>
            <w:tcW w:w="810" w:type="dxa"/>
            <w:vAlign w:val="center"/>
          </w:tcPr>
          <w:p w14:paraId="22886A9A">
            <w:pPr>
              <w:spacing w:line="276" w:lineRule="auto"/>
              <w:jc w:val="center"/>
              <w:rPr>
                <w:rFonts w:ascii="宋体" w:hAnsi="宋体" w:eastAsia="宋体" w:cs="宋体"/>
                <w:bCs/>
                <w:szCs w:val="21"/>
              </w:rPr>
            </w:pPr>
          </w:p>
        </w:tc>
        <w:tc>
          <w:tcPr>
            <w:tcW w:w="715" w:type="dxa"/>
            <w:vAlign w:val="center"/>
          </w:tcPr>
          <w:p w14:paraId="64E0ACA2">
            <w:pPr>
              <w:spacing w:line="276" w:lineRule="auto"/>
              <w:jc w:val="center"/>
              <w:rPr>
                <w:rFonts w:ascii="宋体" w:hAnsi="宋体" w:eastAsia="宋体" w:cs="宋体"/>
                <w:bCs/>
                <w:szCs w:val="21"/>
              </w:rPr>
            </w:pPr>
          </w:p>
        </w:tc>
        <w:tc>
          <w:tcPr>
            <w:tcW w:w="1160" w:type="dxa"/>
            <w:vAlign w:val="center"/>
          </w:tcPr>
          <w:p w14:paraId="272A3883">
            <w:pPr>
              <w:spacing w:line="276" w:lineRule="auto"/>
              <w:jc w:val="center"/>
              <w:rPr>
                <w:rFonts w:ascii="宋体" w:hAnsi="宋体" w:eastAsia="宋体" w:cs="宋体"/>
                <w:bCs/>
                <w:szCs w:val="21"/>
              </w:rPr>
            </w:pPr>
          </w:p>
        </w:tc>
        <w:tc>
          <w:tcPr>
            <w:tcW w:w="917" w:type="dxa"/>
            <w:shd w:val="clear" w:color="auto" w:fill="auto"/>
            <w:vAlign w:val="center"/>
          </w:tcPr>
          <w:p w14:paraId="5ED8E0A5">
            <w:pPr>
              <w:spacing w:line="276" w:lineRule="auto"/>
              <w:jc w:val="center"/>
              <w:rPr>
                <w:rFonts w:ascii="宋体" w:hAnsi="宋体" w:eastAsia="宋体" w:cs="宋体"/>
                <w:bCs/>
                <w:szCs w:val="21"/>
              </w:rPr>
            </w:pPr>
          </w:p>
        </w:tc>
        <w:tc>
          <w:tcPr>
            <w:tcW w:w="666" w:type="dxa"/>
            <w:shd w:val="clear" w:color="auto" w:fill="auto"/>
            <w:vAlign w:val="center"/>
          </w:tcPr>
          <w:p w14:paraId="2B235C0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39</w:t>
            </w:r>
          </w:p>
        </w:tc>
        <w:tc>
          <w:tcPr>
            <w:tcW w:w="550" w:type="dxa"/>
            <w:shd w:val="clear" w:color="auto" w:fill="auto"/>
            <w:vAlign w:val="center"/>
          </w:tcPr>
          <w:p w14:paraId="0B91FA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6177E5B4">
            <w:pPr>
              <w:spacing w:line="276" w:lineRule="auto"/>
              <w:jc w:val="center"/>
              <w:rPr>
                <w:rFonts w:ascii="宋体" w:hAnsi="宋体" w:eastAsia="宋体" w:cs="宋体"/>
                <w:bCs/>
                <w:szCs w:val="21"/>
              </w:rPr>
            </w:pPr>
          </w:p>
        </w:tc>
        <w:tc>
          <w:tcPr>
            <w:tcW w:w="983" w:type="dxa"/>
            <w:vAlign w:val="center"/>
          </w:tcPr>
          <w:p w14:paraId="53C729A4">
            <w:pPr>
              <w:spacing w:line="276" w:lineRule="auto"/>
              <w:jc w:val="center"/>
              <w:rPr>
                <w:rFonts w:ascii="宋体" w:hAnsi="宋体" w:eastAsia="宋体" w:cs="宋体"/>
                <w:bCs/>
                <w:szCs w:val="21"/>
              </w:rPr>
            </w:pPr>
          </w:p>
        </w:tc>
      </w:tr>
      <w:tr w14:paraId="0B740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A36BD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41" w:type="dxa"/>
            <w:vMerge w:val="continue"/>
          </w:tcPr>
          <w:p w14:paraId="16E8D436">
            <w:pPr>
              <w:spacing w:line="276" w:lineRule="auto"/>
              <w:jc w:val="center"/>
              <w:rPr>
                <w:rFonts w:ascii="宋体" w:hAnsi="宋体" w:eastAsia="宋体" w:cs="宋体"/>
                <w:bCs/>
                <w:szCs w:val="21"/>
              </w:rPr>
            </w:pPr>
          </w:p>
        </w:tc>
        <w:tc>
          <w:tcPr>
            <w:tcW w:w="1223" w:type="dxa"/>
            <w:shd w:val="clear" w:color="auto" w:fill="auto"/>
            <w:vAlign w:val="center"/>
          </w:tcPr>
          <w:p w14:paraId="192438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多功能机动车信号灯（辅灯）</w:t>
            </w:r>
          </w:p>
        </w:tc>
        <w:tc>
          <w:tcPr>
            <w:tcW w:w="890" w:type="dxa"/>
            <w:vAlign w:val="center"/>
          </w:tcPr>
          <w:p w14:paraId="59D8A70F">
            <w:pPr>
              <w:spacing w:line="276" w:lineRule="auto"/>
              <w:jc w:val="center"/>
              <w:rPr>
                <w:rFonts w:ascii="宋体" w:hAnsi="宋体" w:eastAsia="宋体" w:cs="宋体"/>
                <w:bCs/>
                <w:szCs w:val="21"/>
              </w:rPr>
            </w:pPr>
          </w:p>
        </w:tc>
        <w:tc>
          <w:tcPr>
            <w:tcW w:w="508" w:type="dxa"/>
            <w:vAlign w:val="center"/>
          </w:tcPr>
          <w:p w14:paraId="457A3592">
            <w:pPr>
              <w:spacing w:line="276" w:lineRule="auto"/>
              <w:jc w:val="center"/>
              <w:rPr>
                <w:rFonts w:ascii="宋体" w:hAnsi="宋体" w:eastAsia="宋体" w:cs="宋体"/>
                <w:bCs/>
                <w:szCs w:val="21"/>
              </w:rPr>
            </w:pPr>
          </w:p>
        </w:tc>
        <w:tc>
          <w:tcPr>
            <w:tcW w:w="810" w:type="dxa"/>
            <w:vAlign w:val="center"/>
          </w:tcPr>
          <w:p w14:paraId="66F32C46">
            <w:pPr>
              <w:spacing w:line="276" w:lineRule="auto"/>
              <w:jc w:val="center"/>
              <w:rPr>
                <w:rFonts w:ascii="宋体" w:hAnsi="宋体" w:eastAsia="宋体" w:cs="宋体"/>
                <w:bCs/>
                <w:szCs w:val="21"/>
              </w:rPr>
            </w:pPr>
          </w:p>
        </w:tc>
        <w:tc>
          <w:tcPr>
            <w:tcW w:w="715" w:type="dxa"/>
            <w:vAlign w:val="center"/>
          </w:tcPr>
          <w:p w14:paraId="243C2C4E">
            <w:pPr>
              <w:spacing w:line="276" w:lineRule="auto"/>
              <w:jc w:val="center"/>
              <w:rPr>
                <w:rFonts w:ascii="宋体" w:hAnsi="宋体" w:eastAsia="宋体" w:cs="宋体"/>
                <w:bCs/>
                <w:szCs w:val="21"/>
              </w:rPr>
            </w:pPr>
          </w:p>
        </w:tc>
        <w:tc>
          <w:tcPr>
            <w:tcW w:w="1160" w:type="dxa"/>
            <w:vAlign w:val="center"/>
          </w:tcPr>
          <w:p w14:paraId="3A80B045">
            <w:pPr>
              <w:spacing w:line="276" w:lineRule="auto"/>
              <w:jc w:val="center"/>
              <w:rPr>
                <w:rFonts w:ascii="宋体" w:hAnsi="宋体" w:eastAsia="宋体" w:cs="宋体"/>
                <w:bCs/>
                <w:szCs w:val="21"/>
              </w:rPr>
            </w:pPr>
          </w:p>
        </w:tc>
        <w:tc>
          <w:tcPr>
            <w:tcW w:w="917" w:type="dxa"/>
            <w:shd w:val="clear" w:color="auto" w:fill="auto"/>
            <w:vAlign w:val="center"/>
          </w:tcPr>
          <w:p w14:paraId="7617E252">
            <w:pPr>
              <w:spacing w:line="276" w:lineRule="auto"/>
              <w:jc w:val="center"/>
              <w:rPr>
                <w:rFonts w:ascii="宋体" w:hAnsi="宋体" w:eastAsia="宋体" w:cs="宋体"/>
                <w:bCs/>
                <w:szCs w:val="21"/>
              </w:rPr>
            </w:pPr>
          </w:p>
        </w:tc>
        <w:tc>
          <w:tcPr>
            <w:tcW w:w="666" w:type="dxa"/>
            <w:shd w:val="clear" w:color="auto" w:fill="auto"/>
            <w:vAlign w:val="center"/>
          </w:tcPr>
          <w:p w14:paraId="6A84392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550" w:type="dxa"/>
            <w:shd w:val="clear" w:color="auto" w:fill="auto"/>
            <w:vAlign w:val="center"/>
          </w:tcPr>
          <w:p w14:paraId="02C762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2044D09E">
            <w:pPr>
              <w:spacing w:line="276" w:lineRule="auto"/>
              <w:jc w:val="center"/>
              <w:rPr>
                <w:rFonts w:ascii="宋体" w:hAnsi="宋体" w:eastAsia="宋体" w:cs="宋体"/>
                <w:bCs/>
                <w:szCs w:val="21"/>
              </w:rPr>
            </w:pPr>
          </w:p>
        </w:tc>
        <w:tc>
          <w:tcPr>
            <w:tcW w:w="983" w:type="dxa"/>
            <w:vAlign w:val="center"/>
          </w:tcPr>
          <w:p w14:paraId="6EFDF58F">
            <w:pPr>
              <w:spacing w:line="276" w:lineRule="auto"/>
              <w:jc w:val="center"/>
              <w:rPr>
                <w:rFonts w:ascii="宋体" w:hAnsi="宋体" w:eastAsia="宋体" w:cs="宋体"/>
                <w:bCs/>
                <w:szCs w:val="21"/>
              </w:rPr>
            </w:pPr>
          </w:p>
        </w:tc>
      </w:tr>
      <w:tr w14:paraId="13978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6AF6A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19</w:t>
            </w:r>
          </w:p>
        </w:tc>
        <w:tc>
          <w:tcPr>
            <w:tcW w:w="841" w:type="dxa"/>
            <w:vMerge w:val="continue"/>
          </w:tcPr>
          <w:p w14:paraId="6271B77C">
            <w:pPr>
              <w:spacing w:line="276" w:lineRule="auto"/>
              <w:jc w:val="center"/>
              <w:rPr>
                <w:rFonts w:ascii="宋体" w:hAnsi="宋体" w:eastAsia="宋体" w:cs="宋体"/>
                <w:bCs/>
                <w:szCs w:val="21"/>
              </w:rPr>
            </w:pPr>
          </w:p>
        </w:tc>
        <w:tc>
          <w:tcPr>
            <w:tcW w:w="1223" w:type="dxa"/>
            <w:shd w:val="clear" w:color="auto" w:fill="auto"/>
            <w:vAlign w:val="center"/>
          </w:tcPr>
          <w:p w14:paraId="12CACD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箭头机动车信号灯（辅灯）</w:t>
            </w:r>
          </w:p>
        </w:tc>
        <w:tc>
          <w:tcPr>
            <w:tcW w:w="890" w:type="dxa"/>
            <w:vAlign w:val="center"/>
          </w:tcPr>
          <w:p w14:paraId="1BD3738E">
            <w:pPr>
              <w:spacing w:line="276" w:lineRule="auto"/>
              <w:jc w:val="center"/>
              <w:rPr>
                <w:rFonts w:ascii="宋体" w:hAnsi="宋体" w:eastAsia="宋体" w:cs="宋体"/>
                <w:bCs/>
                <w:szCs w:val="21"/>
              </w:rPr>
            </w:pPr>
          </w:p>
        </w:tc>
        <w:tc>
          <w:tcPr>
            <w:tcW w:w="508" w:type="dxa"/>
            <w:vAlign w:val="center"/>
          </w:tcPr>
          <w:p w14:paraId="19B0195C">
            <w:pPr>
              <w:spacing w:line="276" w:lineRule="auto"/>
              <w:jc w:val="center"/>
              <w:rPr>
                <w:rFonts w:ascii="宋体" w:hAnsi="宋体" w:eastAsia="宋体" w:cs="宋体"/>
                <w:bCs/>
                <w:szCs w:val="21"/>
              </w:rPr>
            </w:pPr>
          </w:p>
        </w:tc>
        <w:tc>
          <w:tcPr>
            <w:tcW w:w="810" w:type="dxa"/>
            <w:vAlign w:val="center"/>
          </w:tcPr>
          <w:p w14:paraId="562E81C9">
            <w:pPr>
              <w:spacing w:line="276" w:lineRule="auto"/>
              <w:jc w:val="center"/>
              <w:rPr>
                <w:rFonts w:ascii="宋体" w:hAnsi="宋体" w:eastAsia="宋体" w:cs="宋体"/>
                <w:bCs/>
                <w:szCs w:val="21"/>
              </w:rPr>
            </w:pPr>
          </w:p>
        </w:tc>
        <w:tc>
          <w:tcPr>
            <w:tcW w:w="715" w:type="dxa"/>
            <w:vAlign w:val="center"/>
          </w:tcPr>
          <w:p w14:paraId="34E27856">
            <w:pPr>
              <w:spacing w:line="276" w:lineRule="auto"/>
              <w:jc w:val="center"/>
              <w:rPr>
                <w:rFonts w:ascii="宋体" w:hAnsi="宋体" w:eastAsia="宋体" w:cs="宋体"/>
                <w:bCs/>
                <w:szCs w:val="21"/>
              </w:rPr>
            </w:pPr>
          </w:p>
        </w:tc>
        <w:tc>
          <w:tcPr>
            <w:tcW w:w="1160" w:type="dxa"/>
            <w:vAlign w:val="center"/>
          </w:tcPr>
          <w:p w14:paraId="008F0574">
            <w:pPr>
              <w:spacing w:line="276" w:lineRule="auto"/>
              <w:jc w:val="center"/>
              <w:rPr>
                <w:rFonts w:ascii="宋体" w:hAnsi="宋体" w:eastAsia="宋体" w:cs="宋体"/>
                <w:bCs/>
                <w:szCs w:val="21"/>
              </w:rPr>
            </w:pPr>
          </w:p>
        </w:tc>
        <w:tc>
          <w:tcPr>
            <w:tcW w:w="917" w:type="dxa"/>
            <w:shd w:val="clear" w:color="auto" w:fill="auto"/>
            <w:vAlign w:val="center"/>
          </w:tcPr>
          <w:p w14:paraId="618BA9AA">
            <w:pPr>
              <w:spacing w:line="276" w:lineRule="auto"/>
              <w:jc w:val="center"/>
              <w:rPr>
                <w:rFonts w:ascii="宋体" w:hAnsi="宋体" w:eastAsia="宋体" w:cs="宋体"/>
                <w:bCs/>
                <w:szCs w:val="21"/>
              </w:rPr>
            </w:pPr>
          </w:p>
        </w:tc>
        <w:tc>
          <w:tcPr>
            <w:tcW w:w="666" w:type="dxa"/>
            <w:shd w:val="clear" w:color="auto" w:fill="auto"/>
            <w:vAlign w:val="center"/>
          </w:tcPr>
          <w:p w14:paraId="713AF26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550" w:type="dxa"/>
            <w:shd w:val="clear" w:color="auto" w:fill="auto"/>
            <w:vAlign w:val="center"/>
          </w:tcPr>
          <w:p w14:paraId="114291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17B67184">
            <w:pPr>
              <w:spacing w:line="276" w:lineRule="auto"/>
              <w:jc w:val="center"/>
              <w:rPr>
                <w:rFonts w:ascii="宋体" w:hAnsi="宋体" w:eastAsia="宋体" w:cs="宋体"/>
                <w:bCs/>
                <w:szCs w:val="21"/>
              </w:rPr>
            </w:pPr>
          </w:p>
        </w:tc>
        <w:tc>
          <w:tcPr>
            <w:tcW w:w="983" w:type="dxa"/>
            <w:vAlign w:val="center"/>
          </w:tcPr>
          <w:p w14:paraId="22DAAFED">
            <w:pPr>
              <w:spacing w:line="276" w:lineRule="auto"/>
              <w:jc w:val="center"/>
              <w:rPr>
                <w:rFonts w:ascii="宋体" w:hAnsi="宋体" w:eastAsia="宋体" w:cs="宋体"/>
                <w:bCs/>
                <w:szCs w:val="21"/>
              </w:rPr>
            </w:pPr>
          </w:p>
        </w:tc>
      </w:tr>
      <w:tr w14:paraId="3F073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1E31F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w:t>
            </w:r>
          </w:p>
        </w:tc>
        <w:tc>
          <w:tcPr>
            <w:tcW w:w="841" w:type="dxa"/>
            <w:vMerge w:val="continue"/>
          </w:tcPr>
          <w:p w14:paraId="01DC9052">
            <w:pPr>
              <w:spacing w:line="276" w:lineRule="auto"/>
              <w:jc w:val="center"/>
              <w:rPr>
                <w:rFonts w:ascii="宋体" w:hAnsi="宋体" w:eastAsia="宋体" w:cs="宋体"/>
                <w:bCs/>
                <w:szCs w:val="21"/>
              </w:rPr>
            </w:pPr>
          </w:p>
        </w:tc>
        <w:tc>
          <w:tcPr>
            <w:tcW w:w="1223" w:type="dxa"/>
            <w:shd w:val="clear" w:color="auto" w:fill="auto"/>
            <w:vAlign w:val="center"/>
          </w:tcPr>
          <w:p w14:paraId="764FCC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圆饼机动车信号灯（辅灯）</w:t>
            </w:r>
          </w:p>
        </w:tc>
        <w:tc>
          <w:tcPr>
            <w:tcW w:w="890" w:type="dxa"/>
            <w:vAlign w:val="center"/>
          </w:tcPr>
          <w:p w14:paraId="24871211">
            <w:pPr>
              <w:spacing w:line="276" w:lineRule="auto"/>
              <w:jc w:val="center"/>
              <w:rPr>
                <w:rFonts w:ascii="宋体" w:hAnsi="宋体" w:eastAsia="宋体" w:cs="宋体"/>
                <w:bCs/>
                <w:szCs w:val="21"/>
              </w:rPr>
            </w:pPr>
          </w:p>
        </w:tc>
        <w:tc>
          <w:tcPr>
            <w:tcW w:w="508" w:type="dxa"/>
            <w:vAlign w:val="center"/>
          </w:tcPr>
          <w:p w14:paraId="4C9F4A0E">
            <w:pPr>
              <w:spacing w:line="276" w:lineRule="auto"/>
              <w:jc w:val="center"/>
              <w:rPr>
                <w:rFonts w:ascii="宋体" w:hAnsi="宋体" w:eastAsia="宋体" w:cs="宋体"/>
                <w:bCs/>
                <w:szCs w:val="21"/>
              </w:rPr>
            </w:pPr>
          </w:p>
        </w:tc>
        <w:tc>
          <w:tcPr>
            <w:tcW w:w="810" w:type="dxa"/>
            <w:vAlign w:val="center"/>
          </w:tcPr>
          <w:p w14:paraId="7438E60E">
            <w:pPr>
              <w:spacing w:line="276" w:lineRule="auto"/>
              <w:jc w:val="center"/>
              <w:rPr>
                <w:rFonts w:ascii="宋体" w:hAnsi="宋体" w:eastAsia="宋体" w:cs="宋体"/>
                <w:bCs/>
                <w:szCs w:val="21"/>
              </w:rPr>
            </w:pPr>
          </w:p>
        </w:tc>
        <w:tc>
          <w:tcPr>
            <w:tcW w:w="715" w:type="dxa"/>
            <w:vAlign w:val="center"/>
          </w:tcPr>
          <w:p w14:paraId="767005DE">
            <w:pPr>
              <w:spacing w:line="276" w:lineRule="auto"/>
              <w:jc w:val="center"/>
              <w:rPr>
                <w:rFonts w:ascii="宋体" w:hAnsi="宋体" w:eastAsia="宋体" w:cs="宋体"/>
                <w:bCs/>
                <w:szCs w:val="21"/>
              </w:rPr>
            </w:pPr>
          </w:p>
        </w:tc>
        <w:tc>
          <w:tcPr>
            <w:tcW w:w="1160" w:type="dxa"/>
            <w:vAlign w:val="center"/>
          </w:tcPr>
          <w:p w14:paraId="3101F369">
            <w:pPr>
              <w:spacing w:line="276" w:lineRule="auto"/>
              <w:jc w:val="center"/>
              <w:rPr>
                <w:rFonts w:ascii="宋体" w:hAnsi="宋体" w:eastAsia="宋体" w:cs="宋体"/>
                <w:bCs/>
                <w:szCs w:val="21"/>
              </w:rPr>
            </w:pPr>
          </w:p>
        </w:tc>
        <w:tc>
          <w:tcPr>
            <w:tcW w:w="917" w:type="dxa"/>
            <w:shd w:val="clear" w:color="auto" w:fill="auto"/>
            <w:vAlign w:val="center"/>
          </w:tcPr>
          <w:p w14:paraId="2842311B">
            <w:pPr>
              <w:spacing w:line="276" w:lineRule="auto"/>
              <w:jc w:val="center"/>
              <w:rPr>
                <w:rFonts w:ascii="宋体" w:hAnsi="宋体" w:eastAsia="宋体" w:cs="宋体"/>
                <w:bCs/>
                <w:szCs w:val="21"/>
              </w:rPr>
            </w:pPr>
          </w:p>
        </w:tc>
        <w:tc>
          <w:tcPr>
            <w:tcW w:w="666" w:type="dxa"/>
            <w:shd w:val="clear" w:color="auto" w:fill="auto"/>
            <w:vAlign w:val="center"/>
          </w:tcPr>
          <w:p w14:paraId="381921F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550" w:type="dxa"/>
            <w:shd w:val="clear" w:color="auto" w:fill="auto"/>
            <w:vAlign w:val="center"/>
          </w:tcPr>
          <w:p w14:paraId="0BA082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0563F8DE">
            <w:pPr>
              <w:spacing w:line="276" w:lineRule="auto"/>
              <w:jc w:val="center"/>
              <w:rPr>
                <w:rFonts w:ascii="宋体" w:hAnsi="宋体" w:eastAsia="宋体" w:cs="宋体"/>
                <w:bCs/>
                <w:szCs w:val="21"/>
              </w:rPr>
            </w:pPr>
          </w:p>
        </w:tc>
        <w:tc>
          <w:tcPr>
            <w:tcW w:w="983" w:type="dxa"/>
            <w:vAlign w:val="center"/>
          </w:tcPr>
          <w:p w14:paraId="7E1C2088">
            <w:pPr>
              <w:spacing w:line="276" w:lineRule="auto"/>
              <w:jc w:val="center"/>
              <w:rPr>
                <w:rFonts w:ascii="宋体" w:hAnsi="宋体" w:eastAsia="宋体" w:cs="宋体"/>
                <w:bCs/>
                <w:szCs w:val="21"/>
              </w:rPr>
            </w:pPr>
          </w:p>
        </w:tc>
      </w:tr>
      <w:tr w14:paraId="31B43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86741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21</w:t>
            </w:r>
          </w:p>
        </w:tc>
        <w:tc>
          <w:tcPr>
            <w:tcW w:w="841" w:type="dxa"/>
            <w:vMerge w:val="continue"/>
          </w:tcPr>
          <w:p w14:paraId="2D33FF43">
            <w:pPr>
              <w:spacing w:line="276" w:lineRule="auto"/>
              <w:jc w:val="center"/>
              <w:rPr>
                <w:rFonts w:ascii="宋体" w:hAnsi="宋体" w:eastAsia="宋体" w:cs="宋体"/>
                <w:bCs/>
                <w:szCs w:val="21"/>
              </w:rPr>
            </w:pPr>
          </w:p>
        </w:tc>
        <w:tc>
          <w:tcPr>
            <w:tcW w:w="1223" w:type="dxa"/>
            <w:shd w:val="clear" w:color="auto" w:fill="auto"/>
            <w:vAlign w:val="center"/>
          </w:tcPr>
          <w:p w14:paraId="20EC64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人行道信号灯</w:t>
            </w:r>
          </w:p>
        </w:tc>
        <w:tc>
          <w:tcPr>
            <w:tcW w:w="890" w:type="dxa"/>
            <w:vAlign w:val="center"/>
          </w:tcPr>
          <w:p w14:paraId="79ECD3B1">
            <w:pPr>
              <w:spacing w:line="276" w:lineRule="auto"/>
              <w:jc w:val="center"/>
              <w:rPr>
                <w:rFonts w:ascii="宋体" w:hAnsi="宋体" w:eastAsia="宋体" w:cs="宋体"/>
                <w:bCs/>
                <w:szCs w:val="21"/>
              </w:rPr>
            </w:pPr>
          </w:p>
        </w:tc>
        <w:tc>
          <w:tcPr>
            <w:tcW w:w="508" w:type="dxa"/>
            <w:vAlign w:val="center"/>
          </w:tcPr>
          <w:p w14:paraId="7363EB0C">
            <w:pPr>
              <w:spacing w:line="276" w:lineRule="auto"/>
              <w:jc w:val="center"/>
              <w:rPr>
                <w:rFonts w:ascii="宋体" w:hAnsi="宋体" w:eastAsia="宋体" w:cs="宋体"/>
                <w:bCs/>
                <w:szCs w:val="21"/>
              </w:rPr>
            </w:pPr>
          </w:p>
        </w:tc>
        <w:tc>
          <w:tcPr>
            <w:tcW w:w="810" w:type="dxa"/>
            <w:vAlign w:val="center"/>
          </w:tcPr>
          <w:p w14:paraId="5C7A87E6">
            <w:pPr>
              <w:spacing w:line="276" w:lineRule="auto"/>
              <w:jc w:val="center"/>
              <w:rPr>
                <w:rFonts w:ascii="宋体" w:hAnsi="宋体" w:eastAsia="宋体" w:cs="宋体"/>
                <w:bCs/>
                <w:szCs w:val="21"/>
              </w:rPr>
            </w:pPr>
          </w:p>
        </w:tc>
        <w:tc>
          <w:tcPr>
            <w:tcW w:w="715" w:type="dxa"/>
            <w:vAlign w:val="center"/>
          </w:tcPr>
          <w:p w14:paraId="3CD8219C">
            <w:pPr>
              <w:spacing w:line="276" w:lineRule="auto"/>
              <w:jc w:val="center"/>
              <w:rPr>
                <w:rFonts w:ascii="宋体" w:hAnsi="宋体" w:eastAsia="宋体" w:cs="宋体"/>
                <w:bCs/>
                <w:szCs w:val="21"/>
              </w:rPr>
            </w:pPr>
          </w:p>
        </w:tc>
        <w:tc>
          <w:tcPr>
            <w:tcW w:w="1160" w:type="dxa"/>
            <w:vAlign w:val="center"/>
          </w:tcPr>
          <w:p w14:paraId="3CBB4F1B">
            <w:pPr>
              <w:spacing w:line="276" w:lineRule="auto"/>
              <w:jc w:val="center"/>
              <w:rPr>
                <w:rFonts w:ascii="宋体" w:hAnsi="宋体" w:eastAsia="宋体" w:cs="宋体"/>
                <w:bCs/>
                <w:szCs w:val="21"/>
              </w:rPr>
            </w:pPr>
          </w:p>
        </w:tc>
        <w:tc>
          <w:tcPr>
            <w:tcW w:w="917" w:type="dxa"/>
            <w:shd w:val="clear" w:color="auto" w:fill="auto"/>
            <w:vAlign w:val="center"/>
          </w:tcPr>
          <w:p w14:paraId="13015254">
            <w:pPr>
              <w:spacing w:line="276" w:lineRule="auto"/>
              <w:jc w:val="center"/>
              <w:rPr>
                <w:rFonts w:ascii="宋体" w:hAnsi="宋体" w:eastAsia="宋体" w:cs="宋体"/>
                <w:bCs/>
                <w:szCs w:val="21"/>
              </w:rPr>
            </w:pPr>
          </w:p>
        </w:tc>
        <w:tc>
          <w:tcPr>
            <w:tcW w:w="666" w:type="dxa"/>
            <w:shd w:val="clear" w:color="auto" w:fill="auto"/>
            <w:vAlign w:val="center"/>
          </w:tcPr>
          <w:p w14:paraId="4B03532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328</w:t>
            </w:r>
          </w:p>
        </w:tc>
        <w:tc>
          <w:tcPr>
            <w:tcW w:w="550" w:type="dxa"/>
            <w:shd w:val="clear" w:color="auto" w:fill="auto"/>
            <w:vAlign w:val="center"/>
          </w:tcPr>
          <w:p w14:paraId="484156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4DDEC5FE">
            <w:pPr>
              <w:spacing w:line="276" w:lineRule="auto"/>
              <w:jc w:val="center"/>
              <w:rPr>
                <w:rFonts w:ascii="宋体" w:hAnsi="宋体" w:eastAsia="宋体" w:cs="宋体"/>
                <w:bCs/>
                <w:szCs w:val="21"/>
              </w:rPr>
            </w:pPr>
          </w:p>
        </w:tc>
        <w:tc>
          <w:tcPr>
            <w:tcW w:w="983" w:type="dxa"/>
            <w:vAlign w:val="center"/>
          </w:tcPr>
          <w:p w14:paraId="2A89F3E3">
            <w:pPr>
              <w:spacing w:line="276" w:lineRule="auto"/>
              <w:jc w:val="center"/>
              <w:rPr>
                <w:rFonts w:ascii="宋体" w:hAnsi="宋体" w:eastAsia="宋体" w:cs="宋体"/>
                <w:bCs/>
                <w:szCs w:val="21"/>
              </w:rPr>
            </w:pPr>
          </w:p>
        </w:tc>
      </w:tr>
      <w:tr w14:paraId="163B6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D7970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841" w:type="dxa"/>
            <w:vMerge w:val="continue"/>
          </w:tcPr>
          <w:p w14:paraId="7DD49E4A">
            <w:pPr>
              <w:spacing w:line="276" w:lineRule="auto"/>
              <w:jc w:val="center"/>
              <w:rPr>
                <w:rFonts w:ascii="宋体" w:hAnsi="宋体" w:eastAsia="宋体" w:cs="宋体"/>
                <w:bCs/>
                <w:szCs w:val="21"/>
              </w:rPr>
            </w:pPr>
          </w:p>
        </w:tc>
        <w:tc>
          <w:tcPr>
            <w:tcW w:w="1223" w:type="dxa"/>
            <w:shd w:val="clear" w:color="auto" w:fill="auto"/>
            <w:vAlign w:val="center"/>
          </w:tcPr>
          <w:p w14:paraId="54A621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盲人钟</w:t>
            </w:r>
          </w:p>
        </w:tc>
        <w:tc>
          <w:tcPr>
            <w:tcW w:w="890" w:type="dxa"/>
            <w:vAlign w:val="center"/>
          </w:tcPr>
          <w:p w14:paraId="70A463A2">
            <w:pPr>
              <w:spacing w:line="276" w:lineRule="auto"/>
              <w:jc w:val="center"/>
              <w:rPr>
                <w:rFonts w:ascii="宋体" w:hAnsi="宋体" w:eastAsia="宋体" w:cs="宋体"/>
                <w:bCs/>
                <w:szCs w:val="21"/>
              </w:rPr>
            </w:pPr>
          </w:p>
        </w:tc>
        <w:tc>
          <w:tcPr>
            <w:tcW w:w="508" w:type="dxa"/>
            <w:vAlign w:val="center"/>
          </w:tcPr>
          <w:p w14:paraId="45DD03DB">
            <w:pPr>
              <w:spacing w:line="276" w:lineRule="auto"/>
              <w:jc w:val="center"/>
              <w:rPr>
                <w:rFonts w:ascii="宋体" w:hAnsi="宋体" w:eastAsia="宋体" w:cs="宋体"/>
                <w:bCs/>
                <w:szCs w:val="21"/>
              </w:rPr>
            </w:pPr>
          </w:p>
        </w:tc>
        <w:tc>
          <w:tcPr>
            <w:tcW w:w="810" w:type="dxa"/>
            <w:vAlign w:val="center"/>
          </w:tcPr>
          <w:p w14:paraId="34601F02">
            <w:pPr>
              <w:spacing w:line="276" w:lineRule="auto"/>
              <w:jc w:val="center"/>
              <w:rPr>
                <w:rFonts w:ascii="宋体" w:hAnsi="宋体" w:eastAsia="宋体" w:cs="宋体"/>
                <w:bCs/>
                <w:szCs w:val="21"/>
              </w:rPr>
            </w:pPr>
          </w:p>
        </w:tc>
        <w:tc>
          <w:tcPr>
            <w:tcW w:w="715" w:type="dxa"/>
            <w:vAlign w:val="center"/>
          </w:tcPr>
          <w:p w14:paraId="74A10F9F">
            <w:pPr>
              <w:spacing w:line="276" w:lineRule="auto"/>
              <w:jc w:val="center"/>
              <w:rPr>
                <w:rFonts w:ascii="宋体" w:hAnsi="宋体" w:eastAsia="宋体" w:cs="宋体"/>
                <w:bCs/>
                <w:szCs w:val="21"/>
              </w:rPr>
            </w:pPr>
          </w:p>
        </w:tc>
        <w:tc>
          <w:tcPr>
            <w:tcW w:w="1160" w:type="dxa"/>
            <w:vAlign w:val="center"/>
          </w:tcPr>
          <w:p w14:paraId="2C742136">
            <w:pPr>
              <w:spacing w:line="276" w:lineRule="auto"/>
              <w:jc w:val="center"/>
              <w:rPr>
                <w:rFonts w:ascii="宋体" w:hAnsi="宋体" w:eastAsia="宋体" w:cs="宋体"/>
                <w:bCs/>
                <w:szCs w:val="21"/>
              </w:rPr>
            </w:pPr>
          </w:p>
        </w:tc>
        <w:tc>
          <w:tcPr>
            <w:tcW w:w="917" w:type="dxa"/>
            <w:shd w:val="clear" w:color="auto" w:fill="auto"/>
            <w:vAlign w:val="center"/>
          </w:tcPr>
          <w:p w14:paraId="67089817">
            <w:pPr>
              <w:spacing w:line="276" w:lineRule="auto"/>
              <w:jc w:val="center"/>
              <w:rPr>
                <w:rFonts w:ascii="宋体" w:hAnsi="宋体" w:eastAsia="宋体" w:cs="宋体"/>
                <w:bCs/>
                <w:szCs w:val="21"/>
              </w:rPr>
            </w:pPr>
          </w:p>
        </w:tc>
        <w:tc>
          <w:tcPr>
            <w:tcW w:w="666" w:type="dxa"/>
            <w:shd w:val="clear" w:color="auto" w:fill="auto"/>
            <w:vAlign w:val="center"/>
          </w:tcPr>
          <w:p w14:paraId="674259D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328</w:t>
            </w:r>
          </w:p>
        </w:tc>
        <w:tc>
          <w:tcPr>
            <w:tcW w:w="550" w:type="dxa"/>
            <w:shd w:val="clear" w:color="auto" w:fill="auto"/>
            <w:vAlign w:val="center"/>
          </w:tcPr>
          <w:p w14:paraId="2BD509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35098EDE">
            <w:pPr>
              <w:spacing w:line="276" w:lineRule="auto"/>
              <w:jc w:val="center"/>
              <w:rPr>
                <w:rFonts w:ascii="宋体" w:hAnsi="宋体" w:eastAsia="宋体" w:cs="宋体"/>
                <w:bCs/>
                <w:szCs w:val="21"/>
              </w:rPr>
            </w:pPr>
          </w:p>
        </w:tc>
        <w:tc>
          <w:tcPr>
            <w:tcW w:w="983" w:type="dxa"/>
            <w:vAlign w:val="center"/>
          </w:tcPr>
          <w:p w14:paraId="26BCD916">
            <w:pPr>
              <w:spacing w:line="276" w:lineRule="auto"/>
              <w:jc w:val="center"/>
              <w:rPr>
                <w:rFonts w:ascii="宋体" w:hAnsi="宋体" w:eastAsia="宋体" w:cs="宋体"/>
                <w:bCs/>
                <w:szCs w:val="21"/>
              </w:rPr>
            </w:pPr>
          </w:p>
        </w:tc>
      </w:tr>
      <w:tr w14:paraId="09AAC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AFB1C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41" w:type="dxa"/>
            <w:vMerge w:val="continue"/>
          </w:tcPr>
          <w:p w14:paraId="31F2023F">
            <w:pPr>
              <w:spacing w:line="276" w:lineRule="auto"/>
              <w:jc w:val="center"/>
              <w:rPr>
                <w:rFonts w:ascii="宋体" w:hAnsi="宋体" w:eastAsia="宋体" w:cs="宋体"/>
                <w:bCs/>
                <w:szCs w:val="21"/>
              </w:rPr>
            </w:pPr>
          </w:p>
        </w:tc>
        <w:tc>
          <w:tcPr>
            <w:tcW w:w="1223" w:type="dxa"/>
            <w:shd w:val="clear" w:color="auto" w:fill="auto"/>
            <w:vAlign w:val="center"/>
          </w:tcPr>
          <w:p w14:paraId="7E6DC8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机动车辅助信号灯杆件</w:t>
            </w:r>
          </w:p>
        </w:tc>
        <w:tc>
          <w:tcPr>
            <w:tcW w:w="890" w:type="dxa"/>
            <w:vAlign w:val="center"/>
          </w:tcPr>
          <w:p w14:paraId="656FFD9A">
            <w:pPr>
              <w:spacing w:line="276" w:lineRule="auto"/>
              <w:jc w:val="center"/>
              <w:rPr>
                <w:rFonts w:ascii="宋体" w:hAnsi="宋体" w:eastAsia="宋体" w:cs="宋体"/>
                <w:bCs/>
                <w:szCs w:val="21"/>
              </w:rPr>
            </w:pPr>
          </w:p>
        </w:tc>
        <w:tc>
          <w:tcPr>
            <w:tcW w:w="508" w:type="dxa"/>
            <w:vAlign w:val="center"/>
          </w:tcPr>
          <w:p w14:paraId="45302B35">
            <w:pPr>
              <w:spacing w:line="276" w:lineRule="auto"/>
              <w:jc w:val="center"/>
              <w:rPr>
                <w:rFonts w:ascii="宋体" w:hAnsi="宋体" w:eastAsia="宋体" w:cs="宋体"/>
                <w:bCs/>
                <w:szCs w:val="21"/>
              </w:rPr>
            </w:pPr>
          </w:p>
        </w:tc>
        <w:tc>
          <w:tcPr>
            <w:tcW w:w="810" w:type="dxa"/>
            <w:vAlign w:val="center"/>
          </w:tcPr>
          <w:p w14:paraId="7919CED8">
            <w:pPr>
              <w:spacing w:line="276" w:lineRule="auto"/>
              <w:jc w:val="center"/>
              <w:rPr>
                <w:rFonts w:ascii="宋体" w:hAnsi="宋体" w:eastAsia="宋体" w:cs="宋体"/>
                <w:bCs/>
                <w:szCs w:val="21"/>
              </w:rPr>
            </w:pPr>
          </w:p>
        </w:tc>
        <w:tc>
          <w:tcPr>
            <w:tcW w:w="715" w:type="dxa"/>
            <w:vAlign w:val="center"/>
          </w:tcPr>
          <w:p w14:paraId="5660795D">
            <w:pPr>
              <w:spacing w:line="276" w:lineRule="auto"/>
              <w:jc w:val="center"/>
              <w:rPr>
                <w:rFonts w:ascii="宋体" w:hAnsi="宋体" w:eastAsia="宋体" w:cs="宋体"/>
                <w:bCs/>
                <w:szCs w:val="21"/>
              </w:rPr>
            </w:pPr>
          </w:p>
        </w:tc>
        <w:tc>
          <w:tcPr>
            <w:tcW w:w="1160" w:type="dxa"/>
            <w:vAlign w:val="center"/>
          </w:tcPr>
          <w:p w14:paraId="6AF4F05F">
            <w:pPr>
              <w:spacing w:line="276" w:lineRule="auto"/>
              <w:jc w:val="center"/>
              <w:rPr>
                <w:rFonts w:ascii="宋体" w:hAnsi="宋体" w:eastAsia="宋体" w:cs="宋体"/>
                <w:bCs/>
                <w:szCs w:val="21"/>
              </w:rPr>
            </w:pPr>
          </w:p>
        </w:tc>
        <w:tc>
          <w:tcPr>
            <w:tcW w:w="917" w:type="dxa"/>
            <w:shd w:val="clear" w:color="auto" w:fill="auto"/>
            <w:vAlign w:val="center"/>
          </w:tcPr>
          <w:p w14:paraId="44036F47">
            <w:pPr>
              <w:spacing w:line="276" w:lineRule="auto"/>
              <w:jc w:val="center"/>
              <w:rPr>
                <w:rFonts w:ascii="宋体" w:hAnsi="宋体" w:eastAsia="宋体" w:cs="宋体"/>
                <w:bCs/>
                <w:szCs w:val="21"/>
              </w:rPr>
            </w:pPr>
          </w:p>
        </w:tc>
        <w:tc>
          <w:tcPr>
            <w:tcW w:w="666" w:type="dxa"/>
            <w:shd w:val="clear" w:color="auto" w:fill="auto"/>
            <w:vAlign w:val="center"/>
          </w:tcPr>
          <w:p w14:paraId="425144A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550" w:type="dxa"/>
            <w:shd w:val="clear" w:color="auto" w:fill="auto"/>
            <w:vAlign w:val="center"/>
          </w:tcPr>
          <w:p w14:paraId="63337D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0A88CE07">
            <w:pPr>
              <w:spacing w:line="276" w:lineRule="auto"/>
              <w:jc w:val="center"/>
              <w:rPr>
                <w:rFonts w:ascii="宋体" w:hAnsi="宋体" w:eastAsia="宋体" w:cs="宋体"/>
                <w:bCs/>
                <w:szCs w:val="21"/>
              </w:rPr>
            </w:pPr>
          </w:p>
        </w:tc>
        <w:tc>
          <w:tcPr>
            <w:tcW w:w="983" w:type="dxa"/>
            <w:vAlign w:val="center"/>
          </w:tcPr>
          <w:p w14:paraId="29F026DE">
            <w:pPr>
              <w:spacing w:line="276" w:lineRule="auto"/>
              <w:jc w:val="center"/>
              <w:rPr>
                <w:rFonts w:ascii="宋体" w:hAnsi="宋体" w:eastAsia="宋体" w:cs="宋体"/>
                <w:bCs/>
                <w:szCs w:val="21"/>
              </w:rPr>
            </w:pPr>
          </w:p>
        </w:tc>
      </w:tr>
      <w:tr w14:paraId="40550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CEE08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24</w:t>
            </w:r>
          </w:p>
        </w:tc>
        <w:tc>
          <w:tcPr>
            <w:tcW w:w="841" w:type="dxa"/>
            <w:vMerge w:val="continue"/>
          </w:tcPr>
          <w:p w14:paraId="05D3CA9F">
            <w:pPr>
              <w:spacing w:line="276" w:lineRule="auto"/>
              <w:jc w:val="center"/>
              <w:rPr>
                <w:rFonts w:ascii="宋体" w:hAnsi="宋体" w:eastAsia="宋体" w:cs="宋体"/>
                <w:bCs/>
                <w:szCs w:val="21"/>
              </w:rPr>
            </w:pPr>
          </w:p>
        </w:tc>
        <w:tc>
          <w:tcPr>
            <w:tcW w:w="1223" w:type="dxa"/>
            <w:shd w:val="clear" w:color="auto" w:fill="auto"/>
            <w:vAlign w:val="center"/>
          </w:tcPr>
          <w:p w14:paraId="499AC0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行人信号灯杆件</w:t>
            </w:r>
          </w:p>
        </w:tc>
        <w:tc>
          <w:tcPr>
            <w:tcW w:w="890" w:type="dxa"/>
            <w:vAlign w:val="center"/>
          </w:tcPr>
          <w:p w14:paraId="12EA8D00">
            <w:pPr>
              <w:spacing w:line="276" w:lineRule="auto"/>
              <w:jc w:val="center"/>
              <w:rPr>
                <w:rFonts w:ascii="宋体" w:hAnsi="宋体" w:eastAsia="宋体" w:cs="宋体"/>
                <w:bCs/>
                <w:szCs w:val="21"/>
              </w:rPr>
            </w:pPr>
          </w:p>
        </w:tc>
        <w:tc>
          <w:tcPr>
            <w:tcW w:w="508" w:type="dxa"/>
            <w:vAlign w:val="center"/>
          </w:tcPr>
          <w:p w14:paraId="7AB61CE8">
            <w:pPr>
              <w:spacing w:line="276" w:lineRule="auto"/>
              <w:jc w:val="center"/>
              <w:rPr>
                <w:rFonts w:ascii="宋体" w:hAnsi="宋体" w:eastAsia="宋体" w:cs="宋体"/>
                <w:bCs/>
                <w:szCs w:val="21"/>
              </w:rPr>
            </w:pPr>
          </w:p>
        </w:tc>
        <w:tc>
          <w:tcPr>
            <w:tcW w:w="810" w:type="dxa"/>
            <w:vAlign w:val="center"/>
          </w:tcPr>
          <w:p w14:paraId="3C426536">
            <w:pPr>
              <w:spacing w:line="276" w:lineRule="auto"/>
              <w:jc w:val="center"/>
              <w:rPr>
                <w:rFonts w:ascii="宋体" w:hAnsi="宋体" w:eastAsia="宋体" w:cs="宋体"/>
                <w:bCs/>
                <w:szCs w:val="21"/>
              </w:rPr>
            </w:pPr>
          </w:p>
        </w:tc>
        <w:tc>
          <w:tcPr>
            <w:tcW w:w="715" w:type="dxa"/>
            <w:vAlign w:val="center"/>
          </w:tcPr>
          <w:p w14:paraId="622BEABE">
            <w:pPr>
              <w:spacing w:line="276" w:lineRule="auto"/>
              <w:jc w:val="center"/>
              <w:rPr>
                <w:rFonts w:ascii="宋体" w:hAnsi="宋体" w:eastAsia="宋体" w:cs="宋体"/>
                <w:bCs/>
                <w:szCs w:val="21"/>
              </w:rPr>
            </w:pPr>
          </w:p>
        </w:tc>
        <w:tc>
          <w:tcPr>
            <w:tcW w:w="1160" w:type="dxa"/>
            <w:vAlign w:val="center"/>
          </w:tcPr>
          <w:p w14:paraId="1DC9A579">
            <w:pPr>
              <w:spacing w:line="276" w:lineRule="auto"/>
              <w:jc w:val="center"/>
              <w:rPr>
                <w:rFonts w:ascii="宋体" w:hAnsi="宋体" w:eastAsia="宋体" w:cs="宋体"/>
                <w:bCs/>
                <w:szCs w:val="21"/>
              </w:rPr>
            </w:pPr>
          </w:p>
        </w:tc>
        <w:tc>
          <w:tcPr>
            <w:tcW w:w="917" w:type="dxa"/>
            <w:shd w:val="clear" w:color="auto" w:fill="auto"/>
            <w:vAlign w:val="center"/>
          </w:tcPr>
          <w:p w14:paraId="1656DF30">
            <w:pPr>
              <w:spacing w:line="276" w:lineRule="auto"/>
              <w:jc w:val="center"/>
              <w:rPr>
                <w:rFonts w:ascii="宋体" w:hAnsi="宋体" w:eastAsia="宋体" w:cs="宋体"/>
                <w:bCs/>
                <w:szCs w:val="21"/>
              </w:rPr>
            </w:pPr>
          </w:p>
        </w:tc>
        <w:tc>
          <w:tcPr>
            <w:tcW w:w="666" w:type="dxa"/>
            <w:shd w:val="clear" w:color="auto" w:fill="auto"/>
            <w:vAlign w:val="center"/>
          </w:tcPr>
          <w:p w14:paraId="19B8495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230</w:t>
            </w:r>
          </w:p>
        </w:tc>
        <w:tc>
          <w:tcPr>
            <w:tcW w:w="550" w:type="dxa"/>
            <w:shd w:val="clear" w:color="auto" w:fill="auto"/>
            <w:vAlign w:val="center"/>
          </w:tcPr>
          <w:p w14:paraId="525FE0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760D90FD">
            <w:pPr>
              <w:spacing w:line="276" w:lineRule="auto"/>
              <w:jc w:val="center"/>
              <w:rPr>
                <w:rFonts w:ascii="宋体" w:hAnsi="宋体" w:eastAsia="宋体" w:cs="宋体"/>
                <w:bCs/>
                <w:szCs w:val="21"/>
              </w:rPr>
            </w:pPr>
          </w:p>
        </w:tc>
        <w:tc>
          <w:tcPr>
            <w:tcW w:w="983" w:type="dxa"/>
            <w:vAlign w:val="center"/>
          </w:tcPr>
          <w:p w14:paraId="3A329EBF">
            <w:pPr>
              <w:spacing w:line="276" w:lineRule="auto"/>
              <w:jc w:val="center"/>
              <w:rPr>
                <w:rFonts w:ascii="宋体" w:hAnsi="宋体" w:eastAsia="宋体" w:cs="宋体"/>
                <w:bCs/>
                <w:szCs w:val="21"/>
              </w:rPr>
            </w:pPr>
          </w:p>
        </w:tc>
      </w:tr>
      <w:tr w14:paraId="2A92D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0EC0B22">
            <w:pPr>
              <w:snapToGrid w:val="0"/>
              <w:ind w:left="0" w:leftChars="0" w:right="0" w:rightChars="0" w:firstLine="0" w:firstLineChars="0"/>
              <w:jc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sz w:val="20"/>
                <w:szCs w:val="20"/>
                <w:u w:val="none"/>
                <w:lang w:val="en-US" w:eastAsia="zh-CN"/>
              </w:rPr>
              <w:t>/</w:t>
            </w:r>
          </w:p>
        </w:tc>
        <w:tc>
          <w:tcPr>
            <w:tcW w:w="841" w:type="dxa"/>
            <w:vMerge w:val="continue"/>
          </w:tcPr>
          <w:p w14:paraId="4974FD5C">
            <w:pPr>
              <w:spacing w:line="276" w:lineRule="auto"/>
              <w:jc w:val="center"/>
              <w:rPr>
                <w:rFonts w:ascii="宋体" w:hAnsi="宋体" w:eastAsia="宋体" w:cs="宋体"/>
                <w:bCs/>
                <w:szCs w:val="21"/>
              </w:rPr>
            </w:pPr>
          </w:p>
        </w:tc>
        <w:tc>
          <w:tcPr>
            <w:tcW w:w="9389" w:type="dxa"/>
            <w:gridSpan w:val="11"/>
            <w:vAlign w:val="center"/>
          </w:tcPr>
          <w:p w14:paraId="3A84C062">
            <w:pPr>
              <w:spacing w:line="276" w:lineRule="auto"/>
              <w:jc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一体化智能机柜设备</w:t>
            </w:r>
          </w:p>
        </w:tc>
      </w:tr>
      <w:tr w14:paraId="1B0E2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B629A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25</w:t>
            </w:r>
          </w:p>
        </w:tc>
        <w:tc>
          <w:tcPr>
            <w:tcW w:w="841" w:type="dxa"/>
            <w:vMerge w:val="continue"/>
          </w:tcPr>
          <w:p w14:paraId="5C236433">
            <w:pPr>
              <w:spacing w:line="276" w:lineRule="auto"/>
              <w:jc w:val="center"/>
              <w:rPr>
                <w:rFonts w:ascii="宋体" w:hAnsi="宋体" w:eastAsia="宋体" w:cs="宋体"/>
                <w:bCs/>
                <w:szCs w:val="21"/>
              </w:rPr>
            </w:pPr>
          </w:p>
        </w:tc>
        <w:tc>
          <w:tcPr>
            <w:tcW w:w="1223" w:type="dxa"/>
            <w:shd w:val="clear" w:color="auto" w:fill="auto"/>
            <w:vAlign w:val="center"/>
          </w:tcPr>
          <w:p w14:paraId="085853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一体化智能机柜</w:t>
            </w:r>
          </w:p>
        </w:tc>
        <w:tc>
          <w:tcPr>
            <w:tcW w:w="890" w:type="dxa"/>
            <w:vAlign w:val="center"/>
          </w:tcPr>
          <w:p w14:paraId="5881B7FE">
            <w:pPr>
              <w:spacing w:line="276" w:lineRule="auto"/>
              <w:jc w:val="center"/>
              <w:rPr>
                <w:rFonts w:ascii="宋体" w:hAnsi="宋体" w:eastAsia="宋体" w:cs="宋体"/>
                <w:bCs/>
                <w:szCs w:val="21"/>
              </w:rPr>
            </w:pPr>
          </w:p>
        </w:tc>
        <w:tc>
          <w:tcPr>
            <w:tcW w:w="508" w:type="dxa"/>
            <w:vAlign w:val="center"/>
          </w:tcPr>
          <w:p w14:paraId="7427ECED">
            <w:pPr>
              <w:spacing w:line="276" w:lineRule="auto"/>
              <w:jc w:val="center"/>
              <w:rPr>
                <w:rFonts w:ascii="宋体" w:hAnsi="宋体" w:eastAsia="宋体" w:cs="宋体"/>
                <w:bCs/>
                <w:szCs w:val="21"/>
              </w:rPr>
            </w:pPr>
          </w:p>
        </w:tc>
        <w:tc>
          <w:tcPr>
            <w:tcW w:w="810" w:type="dxa"/>
            <w:vAlign w:val="center"/>
          </w:tcPr>
          <w:p w14:paraId="7984939E">
            <w:pPr>
              <w:spacing w:line="276" w:lineRule="auto"/>
              <w:jc w:val="center"/>
              <w:rPr>
                <w:rFonts w:ascii="宋体" w:hAnsi="宋体" w:eastAsia="宋体" w:cs="宋体"/>
                <w:bCs/>
                <w:szCs w:val="21"/>
              </w:rPr>
            </w:pPr>
          </w:p>
        </w:tc>
        <w:tc>
          <w:tcPr>
            <w:tcW w:w="715" w:type="dxa"/>
            <w:vAlign w:val="center"/>
          </w:tcPr>
          <w:p w14:paraId="595959E5">
            <w:pPr>
              <w:spacing w:line="276" w:lineRule="auto"/>
              <w:jc w:val="center"/>
              <w:rPr>
                <w:rFonts w:ascii="宋体" w:hAnsi="宋体" w:eastAsia="宋体" w:cs="宋体"/>
                <w:bCs/>
                <w:szCs w:val="21"/>
              </w:rPr>
            </w:pPr>
          </w:p>
        </w:tc>
        <w:tc>
          <w:tcPr>
            <w:tcW w:w="1160" w:type="dxa"/>
            <w:vAlign w:val="center"/>
          </w:tcPr>
          <w:p w14:paraId="412C02DE">
            <w:pPr>
              <w:spacing w:line="276" w:lineRule="auto"/>
              <w:jc w:val="center"/>
              <w:rPr>
                <w:rFonts w:ascii="宋体" w:hAnsi="宋体" w:eastAsia="宋体" w:cs="宋体"/>
                <w:bCs/>
                <w:szCs w:val="21"/>
              </w:rPr>
            </w:pPr>
          </w:p>
        </w:tc>
        <w:tc>
          <w:tcPr>
            <w:tcW w:w="917" w:type="dxa"/>
            <w:shd w:val="clear" w:color="auto" w:fill="auto"/>
            <w:vAlign w:val="center"/>
          </w:tcPr>
          <w:p w14:paraId="2122104B">
            <w:pPr>
              <w:spacing w:line="276" w:lineRule="auto"/>
              <w:jc w:val="center"/>
              <w:rPr>
                <w:rFonts w:ascii="宋体" w:hAnsi="宋体" w:eastAsia="宋体" w:cs="宋体"/>
                <w:bCs/>
                <w:szCs w:val="21"/>
              </w:rPr>
            </w:pPr>
          </w:p>
        </w:tc>
        <w:tc>
          <w:tcPr>
            <w:tcW w:w="666" w:type="dxa"/>
            <w:shd w:val="clear" w:color="auto" w:fill="auto"/>
            <w:vAlign w:val="center"/>
          </w:tcPr>
          <w:p w14:paraId="4C0AF50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w:t>
            </w:r>
          </w:p>
        </w:tc>
        <w:tc>
          <w:tcPr>
            <w:tcW w:w="550" w:type="dxa"/>
            <w:shd w:val="clear" w:color="auto" w:fill="auto"/>
            <w:vAlign w:val="center"/>
          </w:tcPr>
          <w:p w14:paraId="078097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36D9BABD">
            <w:pPr>
              <w:spacing w:line="276" w:lineRule="auto"/>
              <w:jc w:val="center"/>
              <w:rPr>
                <w:rFonts w:ascii="宋体" w:hAnsi="宋体" w:eastAsia="宋体" w:cs="宋体"/>
                <w:bCs/>
                <w:szCs w:val="21"/>
              </w:rPr>
            </w:pPr>
          </w:p>
        </w:tc>
        <w:tc>
          <w:tcPr>
            <w:tcW w:w="983" w:type="dxa"/>
            <w:vAlign w:val="center"/>
          </w:tcPr>
          <w:p w14:paraId="6C311688">
            <w:pPr>
              <w:spacing w:line="276" w:lineRule="auto"/>
              <w:jc w:val="center"/>
              <w:rPr>
                <w:rFonts w:ascii="宋体" w:hAnsi="宋体" w:eastAsia="宋体" w:cs="宋体"/>
                <w:bCs/>
                <w:szCs w:val="21"/>
              </w:rPr>
            </w:pPr>
          </w:p>
        </w:tc>
      </w:tr>
      <w:tr w14:paraId="7428E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3F6C8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841" w:type="dxa"/>
            <w:vMerge w:val="continue"/>
          </w:tcPr>
          <w:p w14:paraId="0F67FF20">
            <w:pPr>
              <w:spacing w:line="276" w:lineRule="auto"/>
              <w:jc w:val="center"/>
              <w:rPr>
                <w:rFonts w:ascii="宋体" w:hAnsi="宋体" w:eastAsia="宋体" w:cs="宋体"/>
                <w:bCs/>
                <w:szCs w:val="21"/>
              </w:rPr>
            </w:pPr>
          </w:p>
        </w:tc>
        <w:tc>
          <w:tcPr>
            <w:tcW w:w="1223" w:type="dxa"/>
            <w:shd w:val="clear" w:color="auto" w:fill="auto"/>
            <w:vAlign w:val="center"/>
          </w:tcPr>
          <w:p w14:paraId="6D1CE4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ONU</w:t>
            </w:r>
          </w:p>
        </w:tc>
        <w:tc>
          <w:tcPr>
            <w:tcW w:w="890" w:type="dxa"/>
            <w:vAlign w:val="center"/>
          </w:tcPr>
          <w:p w14:paraId="08894EE8">
            <w:pPr>
              <w:spacing w:line="276" w:lineRule="auto"/>
              <w:jc w:val="center"/>
              <w:rPr>
                <w:rFonts w:ascii="宋体" w:hAnsi="宋体" w:eastAsia="宋体" w:cs="宋体"/>
                <w:bCs/>
                <w:szCs w:val="21"/>
              </w:rPr>
            </w:pPr>
          </w:p>
        </w:tc>
        <w:tc>
          <w:tcPr>
            <w:tcW w:w="508" w:type="dxa"/>
            <w:vAlign w:val="center"/>
          </w:tcPr>
          <w:p w14:paraId="1AE3CF7C">
            <w:pPr>
              <w:spacing w:line="276" w:lineRule="auto"/>
              <w:jc w:val="center"/>
              <w:rPr>
                <w:rFonts w:ascii="宋体" w:hAnsi="宋体" w:eastAsia="宋体" w:cs="宋体"/>
                <w:bCs/>
                <w:szCs w:val="21"/>
              </w:rPr>
            </w:pPr>
          </w:p>
        </w:tc>
        <w:tc>
          <w:tcPr>
            <w:tcW w:w="810" w:type="dxa"/>
            <w:vAlign w:val="center"/>
          </w:tcPr>
          <w:p w14:paraId="433BE8EC">
            <w:pPr>
              <w:spacing w:line="276" w:lineRule="auto"/>
              <w:jc w:val="center"/>
              <w:rPr>
                <w:rFonts w:ascii="宋体" w:hAnsi="宋体" w:eastAsia="宋体" w:cs="宋体"/>
                <w:bCs/>
                <w:szCs w:val="21"/>
              </w:rPr>
            </w:pPr>
          </w:p>
        </w:tc>
        <w:tc>
          <w:tcPr>
            <w:tcW w:w="715" w:type="dxa"/>
            <w:vAlign w:val="center"/>
          </w:tcPr>
          <w:p w14:paraId="7D940EEA">
            <w:pPr>
              <w:spacing w:line="276" w:lineRule="auto"/>
              <w:jc w:val="center"/>
              <w:rPr>
                <w:rFonts w:ascii="宋体" w:hAnsi="宋体" w:eastAsia="宋体" w:cs="宋体"/>
                <w:bCs/>
                <w:szCs w:val="21"/>
              </w:rPr>
            </w:pPr>
          </w:p>
        </w:tc>
        <w:tc>
          <w:tcPr>
            <w:tcW w:w="1160" w:type="dxa"/>
            <w:vAlign w:val="center"/>
          </w:tcPr>
          <w:p w14:paraId="15F30CA1">
            <w:pPr>
              <w:spacing w:line="276" w:lineRule="auto"/>
              <w:jc w:val="center"/>
              <w:rPr>
                <w:rFonts w:ascii="宋体" w:hAnsi="宋体" w:eastAsia="宋体" w:cs="宋体"/>
                <w:bCs/>
                <w:szCs w:val="21"/>
              </w:rPr>
            </w:pPr>
          </w:p>
        </w:tc>
        <w:tc>
          <w:tcPr>
            <w:tcW w:w="917" w:type="dxa"/>
            <w:shd w:val="clear" w:color="auto" w:fill="auto"/>
            <w:vAlign w:val="center"/>
          </w:tcPr>
          <w:p w14:paraId="1BC0C77E">
            <w:pPr>
              <w:spacing w:line="276" w:lineRule="auto"/>
              <w:jc w:val="center"/>
              <w:rPr>
                <w:rFonts w:ascii="宋体" w:hAnsi="宋体" w:eastAsia="宋体" w:cs="宋体"/>
                <w:bCs/>
                <w:szCs w:val="21"/>
              </w:rPr>
            </w:pPr>
          </w:p>
        </w:tc>
        <w:tc>
          <w:tcPr>
            <w:tcW w:w="666" w:type="dxa"/>
            <w:shd w:val="clear" w:color="auto" w:fill="auto"/>
            <w:vAlign w:val="center"/>
          </w:tcPr>
          <w:p w14:paraId="008BA5A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550" w:type="dxa"/>
            <w:shd w:val="clear" w:color="auto" w:fill="auto"/>
            <w:vAlign w:val="center"/>
          </w:tcPr>
          <w:p w14:paraId="294EA9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4D036022">
            <w:pPr>
              <w:spacing w:line="276" w:lineRule="auto"/>
              <w:jc w:val="center"/>
              <w:rPr>
                <w:rFonts w:ascii="宋体" w:hAnsi="宋体" w:eastAsia="宋体" w:cs="宋体"/>
                <w:bCs/>
                <w:szCs w:val="21"/>
              </w:rPr>
            </w:pPr>
          </w:p>
        </w:tc>
        <w:tc>
          <w:tcPr>
            <w:tcW w:w="983" w:type="dxa"/>
            <w:vAlign w:val="center"/>
          </w:tcPr>
          <w:p w14:paraId="1875BC1F">
            <w:pPr>
              <w:spacing w:line="276" w:lineRule="auto"/>
              <w:jc w:val="center"/>
              <w:rPr>
                <w:rFonts w:ascii="宋体" w:hAnsi="宋体" w:eastAsia="宋体" w:cs="宋体"/>
                <w:bCs/>
                <w:szCs w:val="21"/>
              </w:rPr>
            </w:pPr>
          </w:p>
        </w:tc>
      </w:tr>
      <w:tr w14:paraId="4FB07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236AF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841" w:type="dxa"/>
            <w:vMerge w:val="continue"/>
          </w:tcPr>
          <w:p w14:paraId="283619CF">
            <w:pPr>
              <w:spacing w:line="276" w:lineRule="auto"/>
              <w:jc w:val="center"/>
              <w:rPr>
                <w:rFonts w:ascii="宋体" w:hAnsi="宋体" w:eastAsia="宋体" w:cs="宋体"/>
                <w:bCs/>
                <w:szCs w:val="21"/>
              </w:rPr>
            </w:pPr>
          </w:p>
        </w:tc>
        <w:tc>
          <w:tcPr>
            <w:tcW w:w="1223" w:type="dxa"/>
            <w:shd w:val="clear" w:color="auto" w:fill="auto"/>
            <w:vAlign w:val="center"/>
          </w:tcPr>
          <w:p w14:paraId="79CF1F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红绿灯信号检测器</w:t>
            </w:r>
          </w:p>
        </w:tc>
        <w:tc>
          <w:tcPr>
            <w:tcW w:w="890" w:type="dxa"/>
            <w:vAlign w:val="center"/>
          </w:tcPr>
          <w:p w14:paraId="7F05E3FB">
            <w:pPr>
              <w:spacing w:line="276" w:lineRule="auto"/>
              <w:jc w:val="center"/>
              <w:rPr>
                <w:rFonts w:ascii="宋体" w:hAnsi="宋体" w:eastAsia="宋体" w:cs="宋体"/>
                <w:bCs/>
                <w:szCs w:val="21"/>
              </w:rPr>
            </w:pPr>
          </w:p>
        </w:tc>
        <w:tc>
          <w:tcPr>
            <w:tcW w:w="508" w:type="dxa"/>
            <w:vAlign w:val="center"/>
          </w:tcPr>
          <w:p w14:paraId="2FBD202F">
            <w:pPr>
              <w:spacing w:line="276" w:lineRule="auto"/>
              <w:jc w:val="center"/>
              <w:rPr>
                <w:rFonts w:ascii="宋体" w:hAnsi="宋体" w:eastAsia="宋体" w:cs="宋体"/>
                <w:bCs/>
                <w:szCs w:val="21"/>
              </w:rPr>
            </w:pPr>
          </w:p>
        </w:tc>
        <w:tc>
          <w:tcPr>
            <w:tcW w:w="810" w:type="dxa"/>
            <w:vAlign w:val="center"/>
          </w:tcPr>
          <w:p w14:paraId="6E7393B6">
            <w:pPr>
              <w:spacing w:line="276" w:lineRule="auto"/>
              <w:jc w:val="center"/>
              <w:rPr>
                <w:rFonts w:ascii="宋体" w:hAnsi="宋体" w:eastAsia="宋体" w:cs="宋体"/>
                <w:bCs/>
                <w:szCs w:val="21"/>
              </w:rPr>
            </w:pPr>
          </w:p>
        </w:tc>
        <w:tc>
          <w:tcPr>
            <w:tcW w:w="715" w:type="dxa"/>
            <w:vAlign w:val="center"/>
          </w:tcPr>
          <w:p w14:paraId="7C411E2F">
            <w:pPr>
              <w:spacing w:line="276" w:lineRule="auto"/>
              <w:jc w:val="center"/>
              <w:rPr>
                <w:rFonts w:ascii="宋体" w:hAnsi="宋体" w:eastAsia="宋体" w:cs="宋体"/>
                <w:bCs/>
                <w:szCs w:val="21"/>
              </w:rPr>
            </w:pPr>
          </w:p>
        </w:tc>
        <w:tc>
          <w:tcPr>
            <w:tcW w:w="1160" w:type="dxa"/>
            <w:vAlign w:val="center"/>
          </w:tcPr>
          <w:p w14:paraId="2202CDFE">
            <w:pPr>
              <w:spacing w:line="276" w:lineRule="auto"/>
              <w:jc w:val="center"/>
              <w:rPr>
                <w:rFonts w:ascii="宋体" w:hAnsi="宋体" w:eastAsia="宋体" w:cs="宋体"/>
                <w:bCs/>
                <w:szCs w:val="21"/>
              </w:rPr>
            </w:pPr>
          </w:p>
        </w:tc>
        <w:tc>
          <w:tcPr>
            <w:tcW w:w="917" w:type="dxa"/>
            <w:shd w:val="clear" w:color="auto" w:fill="auto"/>
            <w:vAlign w:val="center"/>
          </w:tcPr>
          <w:p w14:paraId="4F941241">
            <w:pPr>
              <w:spacing w:line="276" w:lineRule="auto"/>
              <w:jc w:val="center"/>
              <w:rPr>
                <w:rFonts w:ascii="宋体" w:hAnsi="宋体" w:eastAsia="宋体" w:cs="宋体"/>
                <w:bCs/>
                <w:szCs w:val="21"/>
              </w:rPr>
            </w:pPr>
          </w:p>
        </w:tc>
        <w:tc>
          <w:tcPr>
            <w:tcW w:w="666" w:type="dxa"/>
            <w:shd w:val="clear" w:color="auto" w:fill="auto"/>
            <w:vAlign w:val="center"/>
          </w:tcPr>
          <w:p w14:paraId="6B53C93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550" w:type="dxa"/>
            <w:shd w:val="clear" w:color="auto" w:fill="auto"/>
            <w:vAlign w:val="center"/>
          </w:tcPr>
          <w:p w14:paraId="263D84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62D7B951">
            <w:pPr>
              <w:spacing w:line="276" w:lineRule="auto"/>
              <w:jc w:val="center"/>
              <w:rPr>
                <w:rFonts w:ascii="宋体" w:hAnsi="宋体" w:eastAsia="宋体" w:cs="宋体"/>
                <w:bCs/>
                <w:szCs w:val="21"/>
              </w:rPr>
            </w:pPr>
          </w:p>
        </w:tc>
        <w:tc>
          <w:tcPr>
            <w:tcW w:w="983" w:type="dxa"/>
            <w:vAlign w:val="center"/>
          </w:tcPr>
          <w:p w14:paraId="60290AB7">
            <w:pPr>
              <w:spacing w:line="276" w:lineRule="auto"/>
              <w:jc w:val="center"/>
              <w:rPr>
                <w:rFonts w:ascii="宋体" w:hAnsi="宋体" w:eastAsia="宋体" w:cs="宋体"/>
                <w:bCs/>
                <w:szCs w:val="21"/>
              </w:rPr>
            </w:pPr>
          </w:p>
        </w:tc>
      </w:tr>
      <w:tr w14:paraId="5CE56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29A75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28</w:t>
            </w:r>
          </w:p>
        </w:tc>
        <w:tc>
          <w:tcPr>
            <w:tcW w:w="841" w:type="dxa"/>
            <w:vMerge w:val="continue"/>
          </w:tcPr>
          <w:p w14:paraId="0163F0F0">
            <w:pPr>
              <w:spacing w:line="276" w:lineRule="auto"/>
              <w:jc w:val="center"/>
              <w:rPr>
                <w:rFonts w:ascii="宋体" w:hAnsi="宋体" w:eastAsia="宋体" w:cs="宋体"/>
                <w:bCs/>
                <w:szCs w:val="21"/>
              </w:rPr>
            </w:pPr>
          </w:p>
        </w:tc>
        <w:tc>
          <w:tcPr>
            <w:tcW w:w="1223" w:type="dxa"/>
            <w:shd w:val="clear" w:color="auto" w:fill="auto"/>
            <w:vAlign w:val="center"/>
          </w:tcPr>
          <w:p w14:paraId="3A3830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工业交换机（8电+16光）</w:t>
            </w:r>
          </w:p>
        </w:tc>
        <w:tc>
          <w:tcPr>
            <w:tcW w:w="890" w:type="dxa"/>
            <w:vAlign w:val="center"/>
          </w:tcPr>
          <w:p w14:paraId="6BD0B24F">
            <w:pPr>
              <w:spacing w:line="276" w:lineRule="auto"/>
              <w:jc w:val="center"/>
              <w:rPr>
                <w:rFonts w:ascii="宋体" w:hAnsi="宋体" w:eastAsia="宋体" w:cs="宋体"/>
                <w:bCs/>
                <w:szCs w:val="21"/>
              </w:rPr>
            </w:pPr>
          </w:p>
        </w:tc>
        <w:tc>
          <w:tcPr>
            <w:tcW w:w="508" w:type="dxa"/>
            <w:vAlign w:val="center"/>
          </w:tcPr>
          <w:p w14:paraId="136BB35A">
            <w:pPr>
              <w:spacing w:line="276" w:lineRule="auto"/>
              <w:jc w:val="center"/>
              <w:rPr>
                <w:rFonts w:ascii="宋体" w:hAnsi="宋体" w:eastAsia="宋体" w:cs="宋体"/>
                <w:bCs/>
                <w:szCs w:val="21"/>
              </w:rPr>
            </w:pPr>
          </w:p>
        </w:tc>
        <w:tc>
          <w:tcPr>
            <w:tcW w:w="810" w:type="dxa"/>
            <w:vAlign w:val="center"/>
          </w:tcPr>
          <w:p w14:paraId="1062AF5B">
            <w:pPr>
              <w:spacing w:line="276" w:lineRule="auto"/>
              <w:jc w:val="center"/>
              <w:rPr>
                <w:rFonts w:ascii="宋体" w:hAnsi="宋体" w:eastAsia="宋体" w:cs="宋体"/>
                <w:bCs/>
                <w:szCs w:val="21"/>
              </w:rPr>
            </w:pPr>
          </w:p>
        </w:tc>
        <w:tc>
          <w:tcPr>
            <w:tcW w:w="715" w:type="dxa"/>
            <w:vAlign w:val="center"/>
          </w:tcPr>
          <w:p w14:paraId="4B9573FB">
            <w:pPr>
              <w:spacing w:line="276" w:lineRule="auto"/>
              <w:jc w:val="center"/>
              <w:rPr>
                <w:rFonts w:ascii="宋体" w:hAnsi="宋体" w:eastAsia="宋体" w:cs="宋体"/>
                <w:bCs/>
                <w:szCs w:val="21"/>
              </w:rPr>
            </w:pPr>
          </w:p>
        </w:tc>
        <w:tc>
          <w:tcPr>
            <w:tcW w:w="1160" w:type="dxa"/>
            <w:vAlign w:val="center"/>
          </w:tcPr>
          <w:p w14:paraId="6C0A8198">
            <w:pPr>
              <w:spacing w:line="276" w:lineRule="auto"/>
              <w:jc w:val="center"/>
              <w:rPr>
                <w:rFonts w:ascii="宋体" w:hAnsi="宋体" w:eastAsia="宋体" w:cs="宋体"/>
                <w:bCs/>
                <w:szCs w:val="21"/>
              </w:rPr>
            </w:pPr>
          </w:p>
        </w:tc>
        <w:tc>
          <w:tcPr>
            <w:tcW w:w="917" w:type="dxa"/>
            <w:shd w:val="clear" w:color="auto" w:fill="auto"/>
            <w:vAlign w:val="center"/>
          </w:tcPr>
          <w:p w14:paraId="3E6774FF">
            <w:pPr>
              <w:spacing w:line="276" w:lineRule="auto"/>
              <w:jc w:val="center"/>
              <w:rPr>
                <w:rFonts w:ascii="宋体" w:hAnsi="宋体" w:eastAsia="宋体" w:cs="宋体"/>
                <w:bCs/>
                <w:szCs w:val="21"/>
              </w:rPr>
            </w:pPr>
          </w:p>
        </w:tc>
        <w:tc>
          <w:tcPr>
            <w:tcW w:w="666" w:type="dxa"/>
            <w:shd w:val="clear" w:color="auto" w:fill="auto"/>
            <w:vAlign w:val="center"/>
          </w:tcPr>
          <w:p w14:paraId="2AA5F85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550" w:type="dxa"/>
            <w:shd w:val="clear" w:color="auto" w:fill="auto"/>
            <w:vAlign w:val="center"/>
          </w:tcPr>
          <w:p w14:paraId="3D9699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0B04EABA">
            <w:pPr>
              <w:spacing w:line="276" w:lineRule="auto"/>
              <w:jc w:val="center"/>
              <w:rPr>
                <w:rFonts w:ascii="宋体" w:hAnsi="宋体" w:eastAsia="宋体" w:cs="宋体"/>
                <w:bCs/>
                <w:szCs w:val="21"/>
              </w:rPr>
            </w:pPr>
          </w:p>
        </w:tc>
        <w:tc>
          <w:tcPr>
            <w:tcW w:w="983" w:type="dxa"/>
            <w:vAlign w:val="center"/>
          </w:tcPr>
          <w:p w14:paraId="482BB5F2">
            <w:pPr>
              <w:spacing w:line="276" w:lineRule="auto"/>
              <w:jc w:val="center"/>
              <w:rPr>
                <w:rFonts w:ascii="宋体" w:hAnsi="宋体" w:eastAsia="宋体" w:cs="宋体"/>
                <w:bCs/>
                <w:szCs w:val="21"/>
              </w:rPr>
            </w:pPr>
          </w:p>
        </w:tc>
      </w:tr>
      <w:tr w14:paraId="711C1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EE5B5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29</w:t>
            </w:r>
          </w:p>
        </w:tc>
        <w:tc>
          <w:tcPr>
            <w:tcW w:w="841" w:type="dxa"/>
            <w:vMerge w:val="continue"/>
          </w:tcPr>
          <w:p w14:paraId="3B12E324">
            <w:pPr>
              <w:spacing w:line="276" w:lineRule="auto"/>
              <w:jc w:val="center"/>
              <w:rPr>
                <w:rFonts w:ascii="宋体" w:hAnsi="宋体" w:eastAsia="宋体" w:cs="宋体"/>
                <w:bCs/>
                <w:szCs w:val="21"/>
              </w:rPr>
            </w:pPr>
          </w:p>
        </w:tc>
        <w:tc>
          <w:tcPr>
            <w:tcW w:w="1223" w:type="dxa"/>
            <w:shd w:val="clear" w:color="auto" w:fill="auto"/>
            <w:vAlign w:val="center"/>
          </w:tcPr>
          <w:p w14:paraId="214F04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千兆光模块</w:t>
            </w:r>
          </w:p>
        </w:tc>
        <w:tc>
          <w:tcPr>
            <w:tcW w:w="890" w:type="dxa"/>
            <w:vAlign w:val="center"/>
          </w:tcPr>
          <w:p w14:paraId="496B37F0">
            <w:pPr>
              <w:spacing w:line="276" w:lineRule="auto"/>
              <w:jc w:val="center"/>
              <w:rPr>
                <w:rFonts w:ascii="宋体" w:hAnsi="宋体" w:eastAsia="宋体" w:cs="宋体"/>
                <w:bCs/>
                <w:szCs w:val="21"/>
              </w:rPr>
            </w:pPr>
          </w:p>
        </w:tc>
        <w:tc>
          <w:tcPr>
            <w:tcW w:w="508" w:type="dxa"/>
            <w:vAlign w:val="center"/>
          </w:tcPr>
          <w:p w14:paraId="4BE636D9">
            <w:pPr>
              <w:spacing w:line="276" w:lineRule="auto"/>
              <w:jc w:val="center"/>
              <w:rPr>
                <w:rFonts w:ascii="宋体" w:hAnsi="宋体" w:eastAsia="宋体" w:cs="宋体"/>
                <w:bCs/>
                <w:szCs w:val="21"/>
              </w:rPr>
            </w:pPr>
          </w:p>
        </w:tc>
        <w:tc>
          <w:tcPr>
            <w:tcW w:w="810" w:type="dxa"/>
            <w:vAlign w:val="center"/>
          </w:tcPr>
          <w:p w14:paraId="6475317F">
            <w:pPr>
              <w:spacing w:line="276" w:lineRule="auto"/>
              <w:jc w:val="center"/>
              <w:rPr>
                <w:rFonts w:ascii="宋体" w:hAnsi="宋体" w:eastAsia="宋体" w:cs="宋体"/>
                <w:bCs/>
                <w:szCs w:val="21"/>
              </w:rPr>
            </w:pPr>
          </w:p>
        </w:tc>
        <w:tc>
          <w:tcPr>
            <w:tcW w:w="715" w:type="dxa"/>
            <w:vAlign w:val="center"/>
          </w:tcPr>
          <w:p w14:paraId="177D7401">
            <w:pPr>
              <w:spacing w:line="276" w:lineRule="auto"/>
              <w:jc w:val="center"/>
              <w:rPr>
                <w:rFonts w:ascii="宋体" w:hAnsi="宋体" w:eastAsia="宋体" w:cs="宋体"/>
                <w:bCs/>
                <w:szCs w:val="21"/>
              </w:rPr>
            </w:pPr>
          </w:p>
        </w:tc>
        <w:tc>
          <w:tcPr>
            <w:tcW w:w="1160" w:type="dxa"/>
            <w:vAlign w:val="center"/>
          </w:tcPr>
          <w:p w14:paraId="0036F599">
            <w:pPr>
              <w:spacing w:line="276" w:lineRule="auto"/>
              <w:jc w:val="center"/>
              <w:rPr>
                <w:rFonts w:ascii="宋体" w:hAnsi="宋体" w:eastAsia="宋体" w:cs="宋体"/>
                <w:bCs/>
                <w:szCs w:val="21"/>
              </w:rPr>
            </w:pPr>
          </w:p>
        </w:tc>
        <w:tc>
          <w:tcPr>
            <w:tcW w:w="917" w:type="dxa"/>
            <w:shd w:val="clear" w:color="auto" w:fill="auto"/>
            <w:vAlign w:val="center"/>
          </w:tcPr>
          <w:p w14:paraId="479A29FA">
            <w:pPr>
              <w:spacing w:line="276" w:lineRule="auto"/>
              <w:jc w:val="center"/>
              <w:rPr>
                <w:rFonts w:ascii="宋体" w:hAnsi="宋体" w:eastAsia="宋体" w:cs="宋体"/>
                <w:bCs/>
                <w:szCs w:val="21"/>
              </w:rPr>
            </w:pPr>
          </w:p>
        </w:tc>
        <w:tc>
          <w:tcPr>
            <w:tcW w:w="666" w:type="dxa"/>
            <w:shd w:val="clear" w:color="auto" w:fill="auto"/>
            <w:vAlign w:val="center"/>
          </w:tcPr>
          <w:p w14:paraId="04B6BBA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104</w:t>
            </w:r>
          </w:p>
        </w:tc>
        <w:tc>
          <w:tcPr>
            <w:tcW w:w="550" w:type="dxa"/>
            <w:shd w:val="clear" w:color="auto" w:fill="auto"/>
            <w:vAlign w:val="center"/>
          </w:tcPr>
          <w:p w14:paraId="7079B2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个</w:t>
            </w:r>
          </w:p>
        </w:tc>
        <w:tc>
          <w:tcPr>
            <w:tcW w:w="967" w:type="dxa"/>
            <w:vAlign w:val="center"/>
          </w:tcPr>
          <w:p w14:paraId="7874E653">
            <w:pPr>
              <w:spacing w:line="276" w:lineRule="auto"/>
              <w:jc w:val="center"/>
              <w:rPr>
                <w:rFonts w:ascii="宋体" w:hAnsi="宋体" w:eastAsia="宋体" w:cs="宋体"/>
                <w:bCs/>
                <w:szCs w:val="21"/>
              </w:rPr>
            </w:pPr>
          </w:p>
        </w:tc>
        <w:tc>
          <w:tcPr>
            <w:tcW w:w="983" w:type="dxa"/>
            <w:vAlign w:val="center"/>
          </w:tcPr>
          <w:p w14:paraId="57903261">
            <w:pPr>
              <w:spacing w:line="276" w:lineRule="auto"/>
              <w:jc w:val="center"/>
              <w:rPr>
                <w:rFonts w:ascii="宋体" w:hAnsi="宋体" w:eastAsia="宋体" w:cs="宋体"/>
                <w:bCs/>
                <w:szCs w:val="21"/>
              </w:rPr>
            </w:pPr>
          </w:p>
        </w:tc>
      </w:tr>
      <w:tr w14:paraId="5A826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0EF45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w:t>
            </w:r>
          </w:p>
        </w:tc>
        <w:tc>
          <w:tcPr>
            <w:tcW w:w="841" w:type="dxa"/>
            <w:vMerge w:val="continue"/>
          </w:tcPr>
          <w:p w14:paraId="0279C5E5">
            <w:pPr>
              <w:spacing w:line="276" w:lineRule="auto"/>
              <w:jc w:val="center"/>
              <w:rPr>
                <w:rFonts w:ascii="宋体" w:hAnsi="宋体" w:eastAsia="宋体" w:cs="宋体"/>
                <w:bCs/>
                <w:szCs w:val="21"/>
              </w:rPr>
            </w:pPr>
          </w:p>
        </w:tc>
        <w:tc>
          <w:tcPr>
            <w:tcW w:w="1223" w:type="dxa"/>
            <w:shd w:val="clear" w:color="auto" w:fill="auto"/>
            <w:vAlign w:val="center"/>
          </w:tcPr>
          <w:p w14:paraId="5883D7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24芯光纤配线架</w:t>
            </w:r>
          </w:p>
        </w:tc>
        <w:tc>
          <w:tcPr>
            <w:tcW w:w="890" w:type="dxa"/>
            <w:vAlign w:val="center"/>
          </w:tcPr>
          <w:p w14:paraId="49FDA5DB">
            <w:pPr>
              <w:spacing w:line="276" w:lineRule="auto"/>
              <w:jc w:val="center"/>
              <w:rPr>
                <w:rFonts w:ascii="宋体" w:hAnsi="宋体" w:eastAsia="宋体" w:cs="宋体"/>
                <w:bCs/>
                <w:szCs w:val="21"/>
              </w:rPr>
            </w:pPr>
          </w:p>
        </w:tc>
        <w:tc>
          <w:tcPr>
            <w:tcW w:w="508" w:type="dxa"/>
            <w:vAlign w:val="center"/>
          </w:tcPr>
          <w:p w14:paraId="09122FAD">
            <w:pPr>
              <w:spacing w:line="276" w:lineRule="auto"/>
              <w:jc w:val="center"/>
              <w:rPr>
                <w:rFonts w:ascii="宋体" w:hAnsi="宋体" w:eastAsia="宋体" w:cs="宋体"/>
                <w:bCs/>
                <w:szCs w:val="21"/>
              </w:rPr>
            </w:pPr>
          </w:p>
        </w:tc>
        <w:tc>
          <w:tcPr>
            <w:tcW w:w="810" w:type="dxa"/>
            <w:vAlign w:val="center"/>
          </w:tcPr>
          <w:p w14:paraId="708C12B1">
            <w:pPr>
              <w:spacing w:line="276" w:lineRule="auto"/>
              <w:jc w:val="center"/>
              <w:rPr>
                <w:rFonts w:ascii="宋体" w:hAnsi="宋体" w:eastAsia="宋体" w:cs="宋体"/>
                <w:bCs/>
                <w:szCs w:val="21"/>
              </w:rPr>
            </w:pPr>
          </w:p>
        </w:tc>
        <w:tc>
          <w:tcPr>
            <w:tcW w:w="715" w:type="dxa"/>
            <w:vAlign w:val="center"/>
          </w:tcPr>
          <w:p w14:paraId="4D8A79A8">
            <w:pPr>
              <w:spacing w:line="276" w:lineRule="auto"/>
              <w:jc w:val="center"/>
              <w:rPr>
                <w:rFonts w:ascii="宋体" w:hAnsi="宋体" w:eastAsia="宋体" w:cs="宋体"/>
                <w:bCs/>
                <w:szCs w:val="21"/>
              </w:rPr>
            </w:pPr>
          </w:p>
        </w:tc>
        <w:tc>
          <w:tcPr>
            <w:tcW w:w="1160" w:type="dxa"/>
            <w:vAlign w:val="center"/>
          </w:tcPr>
          <w:p w14:paraId="01B4B331">
            <w:pPr>
              <w:spacing w:line="276" w:lineRule="auto"/>
              <w:jc w:val="center"/>
              <w:rPr>
                <w:rFonts w:ascii="宋体" w:hAnsi="宋体" w:eastAsia="宋体" w:cs="宋体"/>
                <w:bCs/>
                <w:szCs w:val="21"/>
              </w:rPr>
            </w:pPr>
          </w:p>
        </w:tc>
        <w:tc>
          <w:tcPr>
            <w:tcW w:w="917" w:type="dxa"/>
            <w:shd w:val="clear" w:color="auto" w:fill="auto"/>
            <w:vAlign w:val="center"/>
          </w:tcPr>
          <w:p w14:paraId="25758059">
            <w:pPr>
              <w:spacing w:line="276" w:lineRule="auto"/>
              <w:jc w:val="center"/>
              <w:rPr>
                <w:rFonts w:ascii="宋体" w:hAnsi="宋体" w:eastAsia="宋体" w:cs="宋体"/>
                <w:bCs/>
                <w:szCs w:val="21"/>
              </w:rPr>
            </w:pPr>
          </w:p>
        </w:tc>
        <w:tc>
          <w:tcPr>
            <w:tcW w:w="666" w:type="dxa"/>
            <w:shd w:val="clear" w:color="auto" w:fill="auto"/>
            <w:vAlign w:val="center"/>
          </w:tcPr>
          <w:p w14:paraId="45D2FA7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550" w:type="dxa"/>
            <w:shd w:val="clear" w:color="auto" w:fill="auto"/>
            <w:vAlign w:val="center"/>
          </w:tcPr>
          <w:p w14:paraId="7B935D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51093054">
            <w:pPr>
              <w:spacing w:line="276" w:lineRule="auto"/>
              <w:jc w:val="center"/>
              <w:rPr>
                <w:rFonts w:ascii="宋体" w:hAnsi="宋体" w:eastAsia="宋体" w:cs="宋体"/>
                <w:bCs/>
                <w:szCs w:val="21"/>
              </w:rPr>
            </w:pPr>
          </w:p>
        </w:tc>
        <w:tc>
          <w:tcPr>
            <w:tcW w:w="983" w:type="dxa"/>
            <w:vAlign w:val="center"/>
          </w:tcPr>
          <w:p w14:paraId="5C335626">
            <w:pPr>
              <w:spacing w:line="276" w:lineRule="auto"/>
              <w:jc w:val="center"/>
              <w:rPr>
                <w:rFonts w:ascii="宋体" w:hAnsi="宋体" w:eastAsia="宋体" w:cs="宋体"/>
                <w:bCs/>
                <w:szCs w:val="21"/>
              </w:rPr>
            </w:pPr>
          </w:p>
        </w:tc>
      </w:tr>
      <w:tr w14:paraId="0A6CD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4F6F6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31</w:t>
            </w:r>
          </w:p>
        </w:tc>
        <w:tc>
          <w:tcPr>
            <w:tcW w:w="841" w:type="dxa"/>
            <w:vMerge w:val="continue"/>
          </w:tcPr>
          <w:p w14:paraId="1AD487FE">
            <w:pPr>
              <w:spacing w:line="276" w:lineRule="auto"/>
              <w:jc w:val="center"/>
              <w:rPr>
                <w:rFonts w:ascii="宋体" w:hAnsi="宋体" w:eastAsia="宋体" w:cs="宋体"/>
                <w:bCs/>
                <w:szCs w:val="21"/>
              </w:rPr>
            </w:pPr>
          </w:p>
        </w:tc>
        <w:tc>
          <w:tcPr>
            <w:tcW w:w="1223" w:type="dxa"/>
            <w:shd w:val="clear" w:color="auto" w:fill="auto"/>
            <w:vAlign w:val="center"/>
          </w:tcPr>
          <w:p w14:paraId="03CC3A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144芯光纤配线架</w:t>
            </w:r>
          </w:p>
        </w:tc>
        <w:tc>
          <w:tcPr>
            <w:tcW w:w="890" w:type="dxa"/>
            <w:vAlign w:val="center"/>
          </w:tcPr>
          <w:p w14:paraId="001FF9B2">
            <w:pPr>
              <w:spacing w:line="276" w:lineRule="auto"/>
              <w:jc w:val="center"/>
              <w:rPr>
                <w:rFonts w:ascii="宋体" w:hAnsi="宋体" w:eastAsia="宋体" w:cs="宋体"/>
                <w:bCs/>
                <w:szCs w:val="21"/>
              </w:rPr>
            </w:pPr>
          </w:p>
        </w:tc>
        <w:tc>
          <w:tcPr>
            <w:tcW w:w="508" w:type="dxa"/>
            <w:vAlign w:val="center"/>
          </w:tcPr>
          <w:p w14:paraId="1E300F29">
            <w:pPr>
              <w:spacing w:line="276" w:lineRule="auto"/>
              <w:jc w:val="center"/>
              <w:rPr>
                <w:rFonts w:ascii="宋体" w:hAnsi="宋体" w:eastAsia="宋体" w:cs="宋体"/>
                <w:bCs/>
                <w:szCs w:val="21"/>
              </w:rPr>
            </w:pPr>
          </w:p>
        </w:tc>
        <w:tc>
          <w:tcPr>
            <w:tcW w:w="810" w:type="dxa"/>
            <w:vAlign w:val="center"/>
          </w:tcPr>
          <w:p w14:paraId="10026615">
            <w:pPr>
              <w:spacing w:line="276" w:lineRule="auto"/>
              <w:jc w:val="center"/>
              <w:rPr>
                <w:rFonts w:ascii="宋体" w:hAnsi="宋体" w:eastAsia="宋体" w:cs="宋体"/>
                <w:bCs/>
                <w:szCs w:val="21"/>
              </w:rPr>
            </w:pPr>
          </w:p>
        </w:tc>
        <w:tc>
          <w:tcPr>
            <w:tcW w:w="715" w:type="dxa"/>
            <w:vAlign w:val="center"/>
          </w:tcPr>
          <w:p w14:paraId="31DE755C">
            <w:pPr>
              <w:spacing w:line="276" w:lineRule="auto"/>
              <w:jc w:val="center"/>
              <w:rPr>
                <w:rFonts w:ascii="宋体" w:hAnsi="宋体" w:eastAsia="宋体" w:cs="宋体"/>
                <w:bCs/>
                <w:szCs w:val="21"/>
              </w:rPr>
            </w:pPr>
          </w:p>
        </w:tc>
        <w:tc>
          <w:tcPr>
            <w:tcW w:w="1160" w:type="dxa"/>
            <w:vAlign w:val="center"/>
          </w:tcPr>
          <w:p w14:paraId="67835FC6">
            <w:pPr>
              <w:spacing w:line="276" w:lineRule="auto"/>
              <w:jc w:val="center"/>
              <w:rPr>
                <w:rFonts w:ascii="宋体" w:hAnsi="宋体" w:eastAsia="宋体" w:cs="宋体"/>
                <w:bCs/>
                <w:szCs w:val="21"/>
              </w:rPr>
            </w:pPr>
          </w:p>
        </w:tc>
        <w:tc>
          <w:tcPr>
            <w:tcW w:w="917" w:type="dxa"/>
            <w:shd w:val="clear" w:color="auto" w:fill="auto"/>
            <w:vAlign w:val="center"/>
          </w:tcPr>
          <w:p w14:paraId="44CA6BFF">
            <w:pPr>
              <w:spacing w:line="276" w:lineRule="auto"/>
              <w:jc w:val="center"/>
              <w:rPr>
                <w:rFonts w:ascii="宋体" w:hAnsi="宋体" w:eastAsia="宋体" w:cs="宋体"/>
                <w:bCs/>
                <w:szCs w:val="21"/>
              </w:rPr>
            </w:pPr>
          </w:p>
        </w:tc>
        <w:tc>
          <w:tcPr>
            <w:tcW w:w="666" w:type="dxa"/>
            <w:shd w:val="clear" w:color="auto" w:fill="auto"/>
            <w:vAlign w:val="center"/>
          </w:tcPr>
          <w:p w14:paraId="3DDE123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550" w:type="dxa"/>
            <w:shd w:val="clear" w:color="auto" w:fill="auto"/>
            <w:vAlign w:val="center"/>
          </w:tcPr>
          <w:p w14:paraId="599326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15927539">
            <w:pPr>
              <w:spacing w:line="276" w:lineRule="auto"/>
              <w:jc w:val="center"/>
              <w:rPr>
                <w:rFonts w:ascii="宋体" w:hAnsi="宋体" w:eastAsia="宋体" w:cs="宋体"/>
                <w:bCs/>
                <w:szCs w:val="21"/>
              </w:rPr>
            </w:pPr>
          </w:p>
        </w:tc>
        <w:tc>
          <w:tcPr>
            <w:tcW w:w="983" w:type="dxa"/>
            <w:vAlign w:val="center"/>
          </w:tcPr>
          <w:p w14:paraId="494971E1">
            <w:pPr>
              <w:spacing w:line="276" w:lineRule="auto"/>
              <w:jc w:val="center"/>
              <w:rPr>
                <w:rFonts w:ascii="宋体" w:hAnsi="宋体" w:eastAsia="宋体" w:cs="宋体"/>
                <w:bCs/>
                <w:szCs w:val="21"/>
              </w:rPr>
            </w:pPr>
          </w:p>
        </w:tc>
      </w:tr>
      <w:tr w14:paraId="06C5C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B4951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32</w:t>
            </w:r>
          </w:p>
        </w:tc>
        <w:tc>
          <w:tcPr>
            <w:tcW w:w="841" w:type="dxa"/>
            <w:vMerge w:val="continue"/>
          </w:tcPr>
          <w:p w14:paraId="44F2275F">
            <w:pPr>
              <w:spacing w:line="276" w:lineRule="auto"/>
              <w:jc w:val="center"/>
              <w:rPr>
                <w:rFonts w:ascii="宋体" w:hAnsi="宋体" w:eastAsia="宋体" w:cs="宋体"/>
                <w:bCs/>
                <w:szCs w:val="21"/>
              </w:rPr>
            </w:pPr>
          </w:p>
        </w:tc>
        <w:tc>
          <w:tcPr>
            <w:tcW w:w="1223" w:type="dxa"/>
            <w:shd w:val="clear" w:color="auto" w:fill="auto"/>
            <w:vAlign w:val="center"/>
          </w:tcPr>
          <w:p w14:paraId="6171B4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交通监控配电箱</w:t>
            </w:r>
          </w:p>
        </w:tc>
        <w:tc>
          <w:tcPr>
            <w:tcW w:w="890" w:type="dxa"/>
            <w:vAlign w:val="center"/>
          </w:tcPr>
          <w:p w14:paraId="5FDFAD1E">
            <w:pPr>
              <w:spacing w:line="276" w:lineRule="auto"/>
              <w:jc w:val="center"/>
              <w:rPr>
                <w:rFonts w:ascii="宋体" w:hAnsi="宋体" w:eastAsia="宋体" w:cs="宋体"/>
                <w:bCs/>
                <w:szCs w:val="21"/>
              </w:rPr>
            </w:pPr>
          </w:p>
        </w:tc>
        <w:tc>
          <w:tcPr>
            <w:tcW w:w="508" w:type="dxa"/>
            <w:vAlign w:val="center"/>
          </w:tcPr>
          <w:p w14:paraId="1F9B84F1">
            <w:pPr>
              <w:spacing w:line="276" w:lineRule="auto"/>
              <w:jc w:val="center"/>
              <w:rPr>
                <w:rFonts w:ascii="宋体" w:hAnsi="宋体" w:eastAsia="宋体" w:cs="宋体"/>
                <w:bCs/>
                <w:szCs w:val="21"/>
              </w:rPr>
            </w:pPr>
          </w:p>
        </w:tc>
        <w:tc>
          <w:tcPr>
            <w:tcW w:w="810" w:type="dxa"/>
            <w:vAlign w:val="center"/>
          </w:tcPr>
          <w:p w14:paraId="1A1144D0">
            <w:pPr>
              <w:spacing w:line="276" w:lineRule="auto"/>
              <w:jc w:val="center"/>
              <w:rPr>
                <w:rFonts w:ascii="宋体" w:hAnsi="宋体" w:eastAsia="宋体" w:cs="宋体"/>
                <w:bCs/>
                <w:szCs w:val="21"/>
              </w:rPr>
            </w:pPr>
          </w:p>
        </w:tc>
        <w:tc>
          <w:tcPr>
            <w:tcW w:w="715" w:type="dxa"/>
            <w:vAlign w:val="center"/>
          </w:tcPr>
          <w:p w14:paraId="42725FC3">
            <w:pPr>
              <w:spacing w:line="276" w:lineRule="auto"/>
              <w:jc w:val="center"/>
              <w:rPr>
                <w:rFonts w:ascii="宋体" w:hAnsi="宋体" w:eastAsia="宋体" w:cs="宋体"/>
                <w:bCs/>
                <w:szCs w:val="21"/>
              </w:rPr>
            </w:pPr>
          </w:p>
        </w:tc>
        <w:tc>
          <w:tcPr>
            <w:tcW w:w="1160" w:type="dxa"/>
            <w:vAlign w:val="center"/>
          </w:tcPr>
          <w:p w14:paraId="4F027846">
            <w:pPr>
              <w:spacing w:line="276" w:lineRule="auto"/>
              <w:jc w:val="center"/>
              <w:rPr>
                <w:rFonts w:ascii="宋体" w:hAnsi="宋体" w:eastAsia="宋体" w:cs="宋体"/>
                <w:bCs/>
                <w:szCs w:val="21"/>
              </w:rPr>
            </w:pPr>
          </w:p>
        </w:tc>
        <w:tc>
          <w:tcPr>
            <w:tcW w:w="917" w:type="dxa"/>
            <w:shd w:val="clear" w:color="auto" w:fill="auto"/>
            <w:vAlign w:val="center"/>
          </w:tcPr>
          <w:p w14:paraId="3FECD24D">
            <w:pPr>
              <w:spacing w:line="276" w:lineRule="auto"/>
              <w:jc w:val="center"/>
              <w:rPr>
                <w:rFonts w:ascii="宋体" w:hAnsi="宋体" w:eastAsia="宋体" w:cs="宋体"/>
                <w:bCs/>
                <w:szCs w:val="21"/>
              </w:rPr>
            </w:pPr>
          </w:p>
        </w:tc>
        <w:tc>
          <w:tcPr>
            <w:tcW w:w="666" w:type="dxa"/>
            <w:shd w:val="clear" w:color="auto" w:fill="auto"/>
            <w:vAlign w:val="center"/>
          </w:tcPr>
          <w:p w14:paraId="3FFE570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w:t>
            </w:r>
          </w:p>
        </w:tc>
        <w:tc>
          <w:tcPr>
            <w:tcW w:w="550" w:type="dxa"/>
            <w:shd w:val="clear" w:color="auto" w:fill="auto"/>
            <w:vAlign w:val="center"/>
          </w:tcPr>
          <w:p w14:paraId="11905A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2C8074F4">
            <w:pPr>
              <w:spacing w:line="276" w:lineRule="auto"/>
              <w:jc w:val="center"/>
              <w:rPr>
                <w:rFonts w:ascii="宋体" w:hAnsi="宋体" w:eastAsia="宋体" w:cs="宋体"/>
                <w:bCs/>
                <w:szCs w:val="21"/>
              </w:rPr>
            </w:pPr>
          </w:p>
        </w:tc>
        <w:tc>
          <w:tcPr>
            <w:tcW w:w="983" w:type="dxa"/>
            <w:vAlign w:val="center"/>
          </w:tcPr>
          <w:p w14:paraId="31748E06">
            <w:pPr>
              <w:spacing w:line="276" w:lineRule="auto"/>
              <w:jc w:val="center"/>
              <w:rPr>
                <w:rFonts w:ascii="宋体" w:hAnsi="宋体" w:eastAsia="宋体" w:cs="宋体"/>
                <w:bCs/>
                <w:szCs w:val="21"/>
              </w:rPr>
            </w:pPr>
          </w:p>
        </w:tc>
      </w:tr>
      <w:tr w14:paraId="17F14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770E11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33</w:t>
            </w:r>
          </w:p>
        </w:tc>
        <w:tc>
          <w:tcPr>
            <w:tcW w:w="841" w:type="dxa"/>
            <w:vMerge w:val="continue"/>
          </w:tcPr>
          <w:p w14:paraId="263CCE31">
            <w:pPr>
              <w:spacing w:line="276" w:lineRule="auto"/>
              <w:jc w:val="center"/>
              <w:rPr>
                <w:rFonts w:ascii="宋体" w:hAnsi="宋体" w:eastAsia="宋体" w:cs="宋体"/>
                <w:bCs/>
                <w:szCs w:val="21"/>
              </w:rPr>
            </w:pPr>
          </w:p>
        </w:tc>
        <w:tc>
          <w:tcPr>
            <w:tcW w:w="1223" w:type="dxa"/>
            <w:shd w:val="clear" w:color="auto" w:fill="auto"/>
            <w:vAlign w:val="center"/>
          </w:tcPr>
          <w:p w14:paraId="7546B7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监控主机落地箱</w:t>
            </w:r>
          </w:p>
        </w:tc>
        <w:tc>
          <w:tcPr>
            <w:tcW w:w="890" w:type="dxa"/>
            <w:vAlign w:val="center"/>
          </w:tcPr>
          <w:p w14:paraId="4CEFBC79">
            <w:pPr>
              <w:spacing w:line="276" w:lineRule="auto"/>
              <w:jc w:val="center"/>
              <w:rPr>
                <w:rFonts w:ascii="宋体" w:hAnsi="宋体" w:eastAsia="宋体" w:cs="宋体"/>
                <w:bCs/>
                <w:szCs w:val="21"/>
              </w:rPr>
            </w:pPr>
          </w:p>
        </w:tc>
        <w:tc>
          <w:tcPr>
            <w:tcW w:w="508" w:type="dxa"/>
            <w:vAlign w:val="center"/>
          </w:tcPr>
          <w:p w14:paraId="685A181C">
            <w:pPr>
              <w:spacing w:line="276" w:lineRule="auto"/>
              <w:jc w:val="center"/>
              <w:rPr>
                <w:rFonts w:ascii="宋体" w:hAnsi="宋体" w:eastAsia="宋体" w:cs="宋体"/>
                <w:bCs/>
                <w:szCs w:val="21"/>
              </w:rPr>
            </w:pPr>
          </w:p>
        </w:tc>
        <w:tc>
          <w:tcPr>
            <w:tcW w:w="810" w:type="dxa"/>
            <w:vAlign w:val="center"/>
          </w:tcPr>
          <w:p w14:paraId="21E13161">
            <w:pPr>
              <w:spacing w:line="276" w:lineRule="auto"/>
              <w:jc w:val="center"/>
              <w:rPr>
                <w:rFonts w:ascii="宋体" w:hAnsi="宋体" w:eastAsia="宋体" w:cs="宋体"/>
                <w:bCs/>
                <w:szCs w:val="21"/>
              </w:rPr>
            </w:pPr>
          </w:p>
        </w:tc>
        <w:tc>
          <w:tcPr>
            <w:tcW w:w="715" w:type="dxa"/>
            <w:vAlign w:val="center"/>
          </w:tcPr>
          <w:p w14:paraId="2B3D95C3">
            <w:pPr>
              <w:spacing w:line="276" w:lineRule="auto"/>
              <w:jc w:val="center"/>
              <w:rPr>
                <w:rFonts w:ascii="宋体" w:hAnsi="宋体" w:eastAsia="宋体" w:cs="宋体"/>
                <w:bCs/>
                <w:szCs w:val="21"/>
              </w:rPr>
            </w:pPr>
          </w:p>
        </w:tc>
        <w:tc>
          <w:tcPr>
            <w:tcW w:w="1160" w:type="dxa"/>
            <w:vAlign w:val="center"/>
          </w:tcPr>
          <w:p w14:paraId="309C4626">
            <w:pPr>
              <w:spacing w:line="276" w:lineRule="auto"/>
              <w:jc w:val="center"/>
              <w:rPr>
                <w:rFonts w:ascii="宋体" w:hAnsi="宋体" w:eastAsia="宋体" w:cs="宋体"/>
                <w:bCs/>
                <w:szCs w:val="21"/>
              </w:rPr>
            </w:pPr>
          </w:p>
        </w:tc>
        <w:tc>
          <w:tcPr>
            <w:tcW w:w="917" w:type="dxa"/>
            <w:shd w:val="clear" w:color="auto" w:fill="auto"/>
            <w:vAlign w:val="center"/>
          </w:tcPr>
          <w:p w14:paraId="0F11058E">
            <w:pPr>
              <w:spacing w:line="276" w:lineRule="auto"/>
              <w:jc w:val="center"/>
              <w:rPr>
                <w:rFonts w:ascii="宋体" w:hAnsi="宋体" w:eastAsia="宋体" w:cs="宋体"/>
                <w:bCs/>
                <w:szCs w:val="21"/>
              </w:rPr>
            </w:pPr>
          </w:p>
        </w:tc>
        <w:tc>
          <w:tcPr>
            <w:tcW w:w="666" w:type="dxa"/>
            <w:shd w:val="clear" w:color="auto" w:fill="auto"/>
            <w:vAlign w:val="center"/>
          </w:tcPr>
          <w:p w14:paraId="1877698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550" w:type="dxa"/>
            <w:shd w:val="clear" w:color="auto" w:fill="auto"/>
            <w:vAlign w:val="center"/>
          </w:tcPr>
          <w:p w14:paraId="7E44FF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58E3B65F">
            <w:pPr>
              <w:spacing w:line="276" w:lineRule="auto"/>
              <w:jc w:val="center"/>
              <w:rPr>
                <w:rFonts w:ascii="宋体" w:hAnsi="宋体" w:eastAsia="宋体" w:cs="宋体"/>
                <w:bCs/>
                <w:szCs w:val="21"/>
              </w:rPr>
            </w:pPr>
          </w:p>
        </w:tc>
        <w:tc>
          <w:tcPr>
            <w:tcW w:w="983" w:type="dxa"/>
            <w:vAlign w:val="center"/>
          </w:tcPr>
          <w:p w14:paraId="13FD1643">
            <w:pPr>
              <w:spacing w:line="276" w:lineRule="auto"/>
              <w:jc w:val="center"/>
              <w:rPr>
                <w:rFonts w:ascii="宋体" w:hAnsi="宋体" w:eastAsia="宋体" w:cs="宋体"/>
                <w:bCs/>
                <w:szCs w:val="21"/>
              </w:rPr>
            </w:pPr>
          </w:p>
        </w:tc>
      </w:tr>
      <w:tr w14:paraId="114D1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1EEACFF">
            <w:pPr>
              <w:snapToGrid w:val="0"/>
              <w:ind w:left="0" w:leftChars="0" w:right="0" w:rightChars="0" w:firstLine="0" w:firstLineChars="0"/>
              <w:jc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sz w:val="20"/>
                <w:szCs w:val="20"/>
                <w:u w:val="none"/>
                <w:lang w:val="en-US" w:eastAsia="zh-CN"/>
              </w:rPr>
              <w:t>/</w:t>
            </w:r>
          </w:p>
        </w:tc>
        <w:tc>
          <w:tcPr>
            <w:tcW w:w="841" w:type="dxa"/>
            <w:vMerge w:val="continue"/>
          </w:tcPr>
          <w:p w14:paraId="244413F2">
            <w:pPr>
              <w:spacing w:line="276" w:lineRule="auto"/>
              <w:jc w:val="center"/>
              <w:rPr>
                <w:rFonts w:ascii="宋体" w:hAnsi="宋体" w:eastAsia="宋体" w:cs="宋体"/>
                <w:bCs/>
                <w:szCs w:val="21"/>
              </w:rPr>
            </w:pPr>
          </w:p>
        </w:tc>
        <w:tc>
          <w:tcPr>
            <w:tcW w:w="9389" w:type="dxa"/>
            <w:gridSpan w:val="11"/>
            <w:vAlign w:val="center"/>
          </w:tcPr>
          <w:p w14:paraId="77C51C8A">
            <w:pPr>
              <w:spacing w:line="276" w:lineRule="auto"/>
              <w:jc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电警卡口设备</w:t>
            </w:r>
          </w:p>
        </w:tc>
      </w:tr>
      <w:tr w14:paraId="4672E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58A346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841" w:type="dxa"/>
            <w:vMerge w:val="continue"/>
          </w:tcPr>
          <w:p w14:paraId="57A0DA2A">
            <w:pPr>
              <w:spacing w:line="276" w:lineRule="auto"/>
              <w:jc w:val="center"/>
              <w:rPr>
                <w:rFonts w:ascii="宋体" w:hAnsi="宋体" w:eastAsia="宋体" w:cs="宋体"/>
                <w:bCs/>
                <w:szCs w:val="21"/>
              </w:rPr>
            </w:pPr>
          </w:p>
        </w:tc>
        <w:tc>
          <w:tcPr>
            <w:tcW w:w="1223" w:type="dxa"/>
            <w:shd w:val="clear" w:color="auto" w:fill="auto"/>
            <w:vAlign w:val="center"/>
          </w:tcPr>
          <w:p w14:paraId="0AC2B8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一体化闯红灯抓拍单元(900万)</w:t>
            </w:r>
          </w:p>
        </w:tc>
        <w:tc>
          <w:tcPr>
            <w:tcW w:w="890" w:type="dxa"/>
            <w:vAlign w:val="center"/>
          </w:tcPr>
          <w:p w14:paraId="370BD436">
            <w:pPr>
              <w:spacing w:line="276" w:lineRule="auto"/>
              <w:jc w:val="center"/>
              <w:rPr>
                <w:rFonts w:ascii="宋体" w:hAnsi="宋体" w:eastAsia="宋体" w:cs="宋体"/>
                <w:bCs/>
                <w:szCs w:val="21"/>
              </w:rPr>
            </w:pPr>
          </w:p>
        </w:tc>
        <w:tc>
          <w:tcPr>
            <w:tcW w:w="508" w:type="dxa"/>
            <w:vAlign w:val="center"/>
          </w:tcPr>
          <w:p w14:paraId="4CB79A49">
            <w:pPr>
              <w:spacing w:line="276" w:lineRule="auto"/>
              <w:jc w:val="center"/>
              <w:rPr>
                <w:rFonts w:ascii="宋体" w:hAnsi="宋体" w:eastAsia="宋体" w:cs="宋体"/>
                <w:bCs/>
                <w:szCs w:val="21"/>
              </w:rPr>
            </w:pPr>
          </w:p>
        </w:tc>
        <w:tc>
          <w:tcPr>
            <w:tcW w:w="810" w:type="dxa"/>
            <w:vAlign w:val="center"/>
          </w:tcPr>
          <w:p w14:paraId="2D90AB90">
            <w:pPr>
              <w:spacing w:line="276" w:lineRule="auto"/>
              <w:jc w:val="center"/>
              <w:rPr>
                <w:rFonts w:ascii="宋体" w:hAnsi="宋体" w:eastAsia="宋体" w:cs="宋体"/>
                <w:bCs/>
                <w:szCs w:val="21"/>
              </w:rPr>
            </w:pPr>
          </w:p>
        </w:tc>
        <w:tc>
          <w:tcPr>
            <w:tcW w:w="715" w:type="dxa"/>
            <w:vAlign w:val="center"/>
          </w:tcPr>
          <w:p w14:paraId="34CBEDCE">
            <w:pPr>
              <w:spacing w:line="276" w:lineRule="auto"/>
              <w:jc w:val="center"/>
              <w:rPr>
                <w:rFonts w:ascii="宋体" w:hAnsi="宋体" w:eastAsia="宋体" w:cs="宋体"/>
                <w:bCs/>
                <w:szCs w:val="21"/>
              </w:rPr>
            </w:pPr>
          </w:p>
        </w:tc>
        <w:tc>
          <w:tcPr>
            <w:tcW w:w="1160" w:type="dxa"/>
            <w:vAlign w:val="center"/>
          </w:tcPr>
          <w:p w14:paraId="6CD54807">
            <w:pPr>
              <w:spacing w:line="276" w:lineRule="auto"/>
              <w:jc w:val="center"/>
              <w:rPr>
                <w:rFonts w:ascii="宋体" w:hAnsi="宋体" w:eastAsia="宋体" w:cs="宋体"/>
                <w:bCs/>
                <w:szCs w:val="21"/>
              </w:rPr>
            </w:pPr>
          </w:p>
        </w:tc>
        <w:tc>
          <w:tcPr>
            <w:tcW w:w="917" w:type="dxa"/>
            <w:shd w:val="clear" w:color="auto" w:fill="auto"/>
            <w:vAlign w:val="center"/>
          </w:tcPr>
          <w:p w14:paraId="58F6A9AF">
            <w:pPr>
              <w:spacing w:line="276" w:lineRule="auto"/>
              <w:jc w:val="center"/>
              <w:rPr>
                <w:rFonts w:ascii="宋体" w:hAnsi="宋体" w:eastAsia="宋体" w:cs="宋体"/>
                <w:bCs/>
                <w:szCs w:val="21"/>
              </w:rPr>
            </w:pPr>
          </w:p>
        </w:tc>
        <w:tc>
          <w:tcPr>
            <w:tcW w:w="666" w:type="dxa"/>
            <w:shd w:val="clear" w:color="auto" w:fill="auto"/>
            <w:vAlign w:val="center"/>
          </w:tcPr>
          <w:p w14:paraId="06D6504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102</w:t>
            </w:r>
          </w:p>
        </w:tc>
        <w:tc>
          <w:tcPr>
            <w:tcW w:w="550" w:type="dxa"/>
            <w:shd w:val="clear" w:color="auto" w:fill="auto"/>
            <w:vAlign w:val="center"/>
          </w:tcPr>
          <w:p w14:paraId="5862AB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01F8B762">
            <w:pPr>
              <w:spacing w:line="276" w:lineRule="auto"/>
              <w:jc w:val="center"/>
              <w:rPr>
                <w:rFonts w:ascii="宋体" w:hAnsi="宋体" w:eastAsia="宋体" w:cs="宋体"/>
                <w:bCs/>
                <w:szCs w:val="21"/>
              </w:rPr>
            </w:pPr>
          </w:p>
        </w:tc>
        <w:tc>
          <w:tcPr>
            <w:tcW w:w="983" w:type="dxa"/>
            <w:vAlign w:val="center"/>
          </w:tcPr>
          <w:p w14:paraId="7A798F9C">
            <w:pPr>
              <w:spacing w:line="276" w:lineRule="auto"/>
              <w:jc w:val="center"/>
              <w:rPr>
                <w:rFonts w:ascii="宋体" w:hAnsi="宋体" w:eastAsia="宋体" w:cs="宋体"/>
                <w:bCs/>
                <w:szCs w:val="21"/>
              </w:rPr>
            </w:pPr>
          </w:p>
        </w:tc>
      </w:tr>
      <w:tr w14:paraId="671F770E">
        <w:tblPrEx>
          <w:tblCellMar>
            <w:top w:w="0" w:type="dxa"/>
            <w:left w:w="108" w:type="dxa"/>
            <w:bottom w:w="0" w:type="dxa"/>
            <w:right w:w="108" w:type="dxa"/>
          </w:tblCellMar>
        </w:tblPrEx>
        <w:trPr>
          <w:trHeight w:val="360" w:hRule="atLeast"/>
        </w:trPr>
        <w:tc>
          <w:tcPr>
            <w:tcW w:w="572" w:type="dxa"/>
            <w:shd w:val="clear" w:color="auto" w:fill="auto"/>
            <w:vAlign w:val="center"/>
          </w:tcPr>
          <w:p w14:paraId="7CB4A6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35</w:t>
            </w:r>
          </w:p>
        </w:tc>
        <w:tc>
          <w:tcPr>
            <w:tcW w:w="841" w:type="dxa"/>
            <w:vMerge w:val="continue"/>
          </w:tcPr>
          <w:p w14:paraId="062D1B91">
            <w:pPr>
              <w:spacing w:line="276" w:lineRule="auto"/>
              <w:jc w:val="center"/>
              <w:rPr>
                <w:rFonts w:ascii="宋体" w:hAnsi="宋体" w:eastAsia="宋体" w:cs="宋体"/>
                <w:bCs/>
                <w:szCs w:val="21"/>
              </w:rPr>
            </w:pPr>
          </w:p>
        </w:tc>
        <w:tc>
          <w:tcPr>
            <w:tcW w:w="1223" w:type="dxa"/>
            <w:shd w:val="clear" w:color="auto" w:fill="auto"/>
            <w:vAlign w:val="center"/>
          </w:tcPr>
          <w:p w14:paraId="466BE6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电警补光灯</w:t>
            </w:r>
          </w:p>
        </w:tc>
        <w:tc>
          <w:tcPr>
            <w:tcW w:w="890" w:type="dxa"/>
            <w:vAlign w:val="center"/>
          </w:tcPr>
          <w:p w14:paraId="377CD0B4">
            <w:pPr>
              <w:spacing w:line="276" w:lineRule="auto"/>
              <w:jc w:val="center"/>
              <w:rPr>
                <w:rFonts w:ascii="宋体" w:hAnsi="宋体" w:eastAsia="宋体" w:cs="宋体"/>
                <w:bCs/>
                <w:szCs w:val="21"/>
              </w:rPr>
            </w:pPr>
          </w:p>
        </w:tc>
        <w:tc>
          <w:tcPr>
            <w:tcW w:w="508" w:type="dxa"/>
            <w:vAlign w:val="center"/>
          </w:tcPr>
          <w:p w14:paraId="32BD49AF">
            <w:pPr>
              <w:spacing w:line="276" w:lineRule="auto"/>
              <w:jc w:val="center"/>
              <w:rPr>
                <w:rFonts w:ascii="宋体" w:hAnsi="宋体" w:eastAsia="宋体" w:cs="宋体"/>
                <w:bCs/>
                <w:szCs w:val="21"/>
              </w:rPr>
            </w:pPr>
          </w:p>
        </w:tc>
        <w:tc>
          <w:tcPr>
            <w:tcW w:w="810" w:type="dxa"/>
            <w:vAlign w:val="center"/>
          </w:tcPr>
          <w:p w14:paraId="49687B3A">
            <w:pPr>
              <w:spacing w:line="276" w:lineRule="auto"/>
              <w:jc w:val="center"/>
              <w:rPr>
                <w:rFonts w:ascii="宋体" w:hAnsi="宋体" w:eastAsia="宋体" w:cs="宋体"/>
                <w:bCs/>
                <w:szCs w:val="21"/>
              </w:rPr>
            </w:pPr>
          </w:p>
        </w:tc>
        <w:tc>
          <w:tcPr>
            <w:tcW w:w="715" w:type="dxa"/>
            <w:vAlign w:val="center"/>
          </w:tcPr>
          <w:p w14:paraId="78D3864B">
            <w:pPr>
              <w:spacing w:line="276" w:lineRule="auto"/>
              <w:jc w:val="center"/>
              <w:rPr>
                <w:rFonts w:ascii="宋体" w:hAnsi="宋体" w:eastAsia="宋体" w:cs="宋体"/>
                <w:bCs/>
                <w:szCs w:val="21"/>
              </w:rPr>
            </w:pPr>
          </w:p>
        </w:tc>
        <w:tc>
          <w:tcPr>
            <w:tcW w:w="1160" w:type="dxa"/>
            <w:vAlign w:val="center"/>
          </w:tcPr>
          <w:p w14:paraId="4388B650">
            <w:pPr>
              <w:spacing w:line="276" w:lineRule="auto"/>
              <w:jc w:val="center"/>
              <w:rPr>
                <w:rFonts w:ascii="宋体" w:hAnsi="宋体" w:eastAsia="宋体" w:cs="宋体"/>
                <w:bCs/>
                <w:szCs w:val="21"/>
              </w:rPr>
            </w:pPr>
          </w:p>
        </w:tc>
        <w:tc>
          <w:tcPr>
            <w:tcW w:w="917" w:type="dxa"/>
            <w:shd w:val="clear" w:color="auto" w:fill="auto"/>
            <w:vAlign w:val="center"/>
          </w:tcPr>
          <w:p w14:paraId="4422E4A5">
            <w:pPr>
              <w:spacing w:line="276" w:lineRule="auto"/>
              <w:jc w:val="center"/>
              <w:rPr>
                <w:rFonts w:ascii="宋体" w:hAnsi="宋体" w:eastAsia="宋体" w:cs="宋体"/>
                <w:bCs/>
                <w:szCs w:val="21"/>
              </w:rPr>
            </w:pPr>
          </w:p>
        </w:tc>
        <w:tc>
          <w:tcPr>
            <w:tcW w:w="666" w:type="dxa"/>
            <w:shd w:val="clear" w:color="auto" w:fill="auto"/>
            <w:vAlign w:val="center"/>
          </w:tcPr>
          <w:p w14:paraId="05B7192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241</w:t>
            </w:r>
          </w:p>
        </w:tc>
        <w:tc>
          <w:tcPr>
            <w:tcW w:w="550" w:type="dxa"/>
            <w:shd w:val="clear" w:color="auto" w:fill="auto"/>
            <w:vAlign w:val="center"/>
          </w:tcPr>
          <w:p w14:paraId="0841B3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149FE298">
            <w:pPr>
              <w:spacing w:line="276" w:lineRule="auto"/>
              <w:jc w:val="center"/>
              <w:rPr>
                <w:rFonts w:ascii="宋体" w:hAnsi="宋体" w:eastAsia="宋体" w:cs="宋体"/>
                <w:bCs/>
                <w:szCs w:val="21"/>
              </w:rPr>
            </w:pPr>
          </w:p>
        </w:tc>
        <w:tc>
          <w:tcPr>
            <w:tcW w:w="983" w:type="dxa"/>
            <w:vAlign w:val="center"/>
          </w:tcPr>
          <w:p w14:paraId="1267702B">
            <w:pPr>
              <w:spacing w:line="276" w:lineRule="auto"/>
              <w:jc w:val="center"/>
              <w:rPr>
                <w:rFonts w:ascii="宋体" w:hAnsi="宋体" w:eastAsia="宋体" w:cs="宋体"/>
                <w:bCs/>
                <w:szCs w:val="21"/>
              </w:rPr>
            </w:pPr>
          </w:p>
        </w:tc>
      </w:tr>
      <w:tr w14:paraId="34180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F592A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41" w:type="dxa"/>
            <w:vMerge w:val="continue"/>
          </w:tcPr>
          <w:p w14:paraId="3E587B6E">
            <w:pPr>
              <w:spacing w:line="276" w:lineRule="auto"/>
              <w:jc w:val="center"/>
              <w:rPr>
                <w:rFonts w:ascii="宋体" w:hAnsi="宋体" w:eastAsia="宋体" w:cs="宋体"/>
                <w:bCs/>
                <w:szCs w:val="21"/>
              </w:rPr>
            </w:pPr>
          </w:p>
        </w:tc>
        <w:tc>
          <w:tcPr>
            <w:tcW w:w="1223" w:type="dxa"/>
            <w:shd w:val="clear" w:color="auto" w:fill="auto"/>
            <w:vAlign w:val="center"/>
          </w:tcPr>
          <w:p w14:paraId="7A3497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一体化卡口抓拍单元(900万)</w:t>
            </w:r>
          </w:p>
        </w:tc>
        <w:tc>
          <w:tcPr>
            <w:tcW w:w="890" w:type="dxa"/>
            <w:vAlign w:val="center"/>
          </w:tcPr>
          <w:p w14:paraId="74E680C6">
            <w:pPr>
              <w:spacing w:line="276" w:lineRule="auto"/>
              <w:jc w:val="center"/>
              <w:rPr>
                <w:rFonts w:ascii="宋体" w:hAnsi="宋体" w:eastAsia="宋体" w:cs="宋体"/>
                <w:bCs/>
                <w:szCs w:val="21"/>
              </w:rPr>
            </w:pPr>
          </w:p>
        </w:tc>
        <w:tc>
          <w:tcPr>
            <w:tcW w:w="508" w:type="dxa"/>
            <w:vAlign w:val="center"/>
          </w:tcPr>
          <w:p w14:paraId="642B9C77">
            <w:pPr>
              <w:spacing w:line="276" w:lineRule="auto"/>
              <w:jc w:val="center"/>
              <w:rPr>
                <w:rFonts w:ascii="宋体" w:hAnsi="宋体" w:eastAsia="宋体" w:cs="宋体"/>
                <w:bCs/>
                <w:szCs w:val="21"/>
              </w:rPr>
            </w:pPr>
          </w:p>
        </w:tc>
        <w:tc>
          <w:tcPr>
            <w:tcW w:w="810" w:type="dxa"/>
            <w:vAlign w:val="center"/>
          </w:tcPr>
          <w:p w14:paraId="0ACDF01D">
            <w:pPr>
              <w:spacing w:line="276" w:lineRule="auto"/>
              <w:jc w:val="center"/>
              <w:rPr>
                <w:rFonts w:ascii="宋体" w:hAnsi="宋体" w:eastAsia="宋体" w:cs="宋体"/>
                <w:bCs/>
                <w:szCs w:val="21"/>
              </w:rPr>
            </w:pPr>
          </w:p>
        </w:tc>
        <w:tc>
          <w:tcPr>
            <w:tcW w:w="715" w:type="dxa"/>
            <w:vAlign w:val="center"/>
          </w:tcPr>
          <w:p w14:paraId="131778C1">
            <w:pPr>
              <w:spacing w:line="276" w:lineRule="auto"/>
              <w:jc w:val="center"/>
              <w:rPr>
                <w:rFonts w:ascii="宋体" w:hAnsi="宋体" w:eastAsia="宋体" w:cs="宋体"/>
                <w:bCs/>
                <w:szCs w:val="21"/>
              </w:rPr>
            </w:pPr>
          </w:p>
        </w:tc>
        <w:tc>
          <w:tcPr>
            <w:tcW w:w="1160" w:type="dxa"/>
            <w:vAlign w:val="center"/>
          </w:tcPr>
          <w:p w14:paraId="0C4D87E8">
            <w:pPr>
              <w:spacing w:line="276" w:lineRule="auto"/>
              <w:jc w:val="center"/>
              <w:rPr>
                <w:rFonts w:ascii="宋体" w:hAnsi="宋体" w:eastAsia="宋体" w:cs="宋体"/>
                <w:bCs/>
                <w:szCs w:val="21"/>
              </w:rPr>
            </w:pPr>
          </w:p>
        </w:tc>
        <w:tc>
          <w:tcPr>
            <w:tcW w:w="917" w:type="dxa"/>
            <w:shd w:val="clear" w:color="auto" w:fill="auto"/>
            <w:vAlign w:val="center"/>
          </w:tcPr>
          <w:p w14:paraId="090D1492">
            <w:pPr>
              <w:spacing w:line="276" w:lineRule="auto"/>
              <w:jc w:val="center"/>
              <w:rPr>
                <w:rFonts w:ascii="宋体" w:hAnsi="宋体" w:eastAsia="宋体" w:cs="宋体"/>
                <w:bCs/>
                <w:szCs w:val="21"/>
              </w:rPr>
            </w:pPr>
          </w:p>
        </w:tc>
        <w:tc>
          <w:tcPr>
            <w:tcW w:w="666" w:type="dxa"/>
            <w:shd w:val="clear" w:color="auto" w:fill="auto"/>
            <w:vAlign w:val="center"/>
          </w:tcPr>
          <w:p w14:paraId="3CAB49D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70</w:t>
            </w:r>
          </w:p>
        </w:tc>
        <w:tc>
          <w:tcPr>
            <w:tcW w:w="550" w:type="dxa"/>
            <w:shd w:val="clear" w:color="auto" w:fill="auto"/>
            <w:vAlign w:val="center"/>
          </w:tcPr>
          <w:p w14:paraId="29DA33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36578812">
            <w:pPr>
              <w:spacing w:line="276" w:lineRule="auto"/>
              <w:jc w:val="center"/>
              <w:rPr>
                <w:rFonts w:ascii="宋体" w:hAnsi="宋体" w:eastAsia="宋体" w:cs="宋体"/>
                <w:bCs/>
                <w:szCs w:val="21"/>
              </w:rPr>
            </w:pPr>
          </w:p>
        </w:tc>
        <w:tc>
          <w:tcPr>
            <w:tcW w:w="983" w:type="dxa"/>
            <w:vAlign w:val="center"/>
          </w:tcPr>
          <w:p w14:paraId="11072C62">
            <w:pPr>
              <w:spacing w:line="276" w:lineRule="auto"/>
              <w:jc w:val="center"/>
              <w:rPr>
                <w:rFonts w:ascii="宋体" w:hAnsi="宋体" w:eastAsia="宋体" w:cs="宋体"/>
                <w:bCs/>
                <w:szCs w:val="21"/>
              </w:rPr>
            </w:pPr>
          </w:p>
        </w:tc>
      </w:tr>
      <w:tr w14:paraId="318E0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EBBD0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37</w:t>
            </w:r>
          </w:p>
        </w:tc>
        <w:tc>
          <w:tcPr>
            <w:tcW w:w="841" w:type="dxa"/>
            <w:vMerge w:val="continue"/>
          </w:tcPr>
          <w:p w14:paraId="58188DD1">
            <w:pPr>
              <w:spacing w:line="276" w:lineRule="auto"/>
              <w:jc w:val="center"/>
              <w:rPr>
                <w:rFonts w:ascii="宋体" w:hAnsi="宋体" w:eastAsia="宋体" w:cs="宋体"/>
                <w:bCs/>
                <w:szCs w:val="21"/>
              </w:rPr>
            </w:pPr>
          </w:p>
        </w:tc>
        <w:tc>
          <w:tcPr>
            <w:tcW w:w="1223" w:type="dxa"/>
            <w:shd w:val="clear" w:color="auto" w:fill="auto"/>
            <w:vAlign w:val="center"/>
          </w:tcPr>
          <w:p w14:paraId="3FCF11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环保卡口闪光灯</w:t>
            </w:r>
          </w:p>
        </w:tc>
        <w:tc>
          <w:tcPr>
            <w:tcW w:w="890" w:type="dxa"/>
            <w:vAlign w:val="center"/>
          </w:tcPr>
          <w:p w14:paraId="08152E6D">
            <w:pPr>
              <w:spacing w:line="276" w:lineRule="auto"/>
              <w:jc w:val="center"/>
              <w:rPr>
                <w:rFonts w:ascii="宋体" w:hAnsi="宋体" w:eastAsia="宋体" w:cs="宋体"/>
                <w:bCs/>
                <w:szCs w:val="21"/>
              </w:rPr>
            </w:pPr>
          </w:p>
        </w:tc>
        <w:tc>
          <w:tcPr>
            <w:tcW w:w="508" w:type="dxa"/>
            <w:vAlign w:val="center"/>
          </w:tcPr>
          <w:p w14:paraId="4981A1EC">
            <w:pPr>
              <w:spacing w:line="276" w:lineRule="auto"/>
              <w:jc w:val="center"/>
              <w:rPr>
                <w:rFonts w:ascii="宋体" w:hAnsi="宋体" w:eastAsia="宋体" w:cs="宋体"/>
                <w:bCs/>
                <w:szCs w:val="21"/>
              </w:rPr>
            </w:pPr>
          </w:p>
        </w:tc>
        <w:tc>
          <w:tcPr>
            <w:tcW w:w="810" w:type="dxa"/>
            <w:vAlign w:val="center"/>
          </w:tcPr>
          <w:p w14:paraId="52BCBE85">
            <w:pPr>
              <w:spacing w:line="276" w:lineRule="auto"/>
              <w:jc w:val="center"/>
              <w:rPr>
                <w:rFonts w:ascii="宋体" w:hAnsi="宋体" w:eastAsia="宋体" w:cs="宋体"/>
                <w:bCs/>
                <w:szCs w:val="21"/>
              </w:rPr>
            </w:pPr>
          </w:p>
        </w:tc>
        <w:tc>
          <w:tcPr>
            <w:tcW w:w="715" w:type="dxa"/>
            <w:vAlign w:val="center"/>
          </w:tcPr>
          <w:p w14:paraId="1461456A">
            <w:pPr>
              <w:spacing w:line="276" w:lineRule="auto"/>
              <w:jc w:val="center"/>
              <w:rPr>
                <w:rFonts w:ascii="宋体" w:hAnsi="宋体" w:eastAsia="宋体" w:cs="宋体"/>
                <w:bCs/>
                <w:szCs w:val="21"/>
              </w:rPr>
            </w:pPr>
          </w:p>
        </w:tc>
        <w:tc>
          <w:tcPr>
            <w:tcW w:w="1160" w:type="dxa"/>
            <w:vAlign w:val="center"/>
          </w:tcPr>
          <w:p w14:paraId="045D1F28">
            <w:pPr>
              <w:spacing w:line="276" w:lineRule="auto"/>
              <w:jc w:val="center"/>
              <w:rPr>
                <w:rFonts w:ascii="宋体" w:hAnsi="宋体" w:eastAsia="宋体" w:cs="宋体"/>
                <w:bCs/>
                <w:szCs w:val="21"/>
              </w:rPr>
            </w:pPr>
          </w:p>
        </w:tc>
        <w:tc>
          <w:tcPr>
            <w:tcW w:w="917" w:type="dxa"/>
            <w:shd w:val="clear" w:color="auto" w:fill="auto"/>
            <w:vAlign w:val="center"/>
          </w:tcPr>
          <w:p w14:paraId="2D372CA5">
            <w:pPr>
              <w:spacing w:line="276" w:lineRule="auto"/>
              <w:jc w:val="center"/>
              <w:rPr>
                <w:rFonts w:ascii="宋体" w:hAnsi="宋体" w:eastAsia="宋体" w:cs="宋体"/>
                <w:bCs/>
                <w:szCs w:val="21"/>
              </w:rPr>
            </w:pPr>
          </w:p>
        </w:tc>
        <w:tc>
          <w:tcPr>
            <w:tcW w:w="666" w:type="dxa"/>
            <w:shd w:val="clear" w:color="auto" w:fill="auto"/>
            <w:vAlign w:val="center"/>
          </w:tcPr>
          <w:p w14:paraId="19DC916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127</w:t>
            </w:r>
          </w:p>
        </w:tc>
        <w:tc>
          <w:tcPr>
            <w:tcW w:w="550" w:type="dxa"/>
            <w:shd w:val="clear" w:color="auto" w:fill="auto"/>
            <w:vAlign w:val="center"/>
          </w:tcPr>
          <w:p w14:paraId="43CEE4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36250828">
            <w:pPr>
              <w:spacing w:line="276" w:lineRule="auto"/>
              <w:jc w:val="center"/>
              <w:rPr>
                <w:rFonts w:ascii="宋体" w:hAnsi="宋体" w:eastAsia="宋体" w:cs="宋体"/>
                <w:bCs/>
                <w:szCs w:val="21"/>
              </w:rPr>
            </w:pPr>
          </w:p>
        </w:tc>
        <w:tc>
          <w:tcPr>
            <w:tcW w:w="983" w:type="dxa"/>
            <w:vAlign w:val="center"/>
          </w:tcPr>
          <w:p w14:paraId="7ACFF909">
            <w:pPr>
              <w:spacing w:line="276" w:lineRule="auto"/>
              <w:jc w:val="center"/>
              <w:rPr>
                <w:rFonts w:ascii="宋体" w:hAnsi="宋体" w:eastAsia="宋体" w:cs="宋体"/>
                <w:bCs/>
                <w:szCs w:val="21"/>
              </w:rPr>
            </w:pPr>
          </w:p>
        </w:tc>
      </w:tr>
      <w:tr w14:paraId="702B7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F4AAE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38</w:t>
            </w:r>
          </w:p>
        </w:tc>
        <w:tc>
          <w:tcPr>
            <w:tcW w:w="841" w:type="dxa"/>
            <w:vMerge w:val="continue"/>
          </w:tcPr>
          <w:p w14:paraId="11DD6129">
            <w:pPr>
              <w:spacing w:line="276" w:lineRule="auto"/>
              <w:jc w:val="center"/>
              <w:rPr>
                <w:rFonts w:ascii="宋体" w:hAnsi="宋体" w:eastAsia="宋体" w:cs="宋体"/>
                <w:bCs/>
                <w:szCs w:val="21"/>
              </w:rPr>
            </w:pPr>
          </w:p>
        </w:tc>
        <w:tc>
          <w:tcPr>
            <w:tcW w:w="1223" w:type="dxa"/>
            <w:shd w:val="clear" w:color="auto" w:fill="auto"/>
            <w:vAlign w:val="center"/>
          </w:tcPr>
          <w:p w14:paraId="1BF29F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电警主机（含存储）</w:t>
            </w:r>
          </w:p>
        </w:tc>
        <w:tc>
          <w:tcPr>
            <w:tcW w:w="890" w:type="dxa"/>
            <w:vAlign w:val="center"/>
          </w:tcPr>
          <w:p w14:paraId="4ED08539">
            <w:pPr>
              <w:spacing w:line="276" w:lineRule="auto"/>
              <w:jc w:val="center"/>
              <w:rPr>
                <w:rFonts w:ascii="宋体" w:hAnsi="宋体" w:eastAsia="宋体" w:cs="宋体"/>
                <w:bCs/>
                <w:szCs w:val="21"/>
              </w:rPr>
            </w:pPr>
          </w:p>
        </w:tc>
        <w:tc>
          <w:tcPr>
            <w:tcW w:w="508" w:type="dxa"/>
            <w:vAlign w:val="center"/>
          </w:tcPr>
          <w:p w14:paraId="0986D9AC">
            <w:pPr>
              <w:spacing w:line="276" w:lineRule="auto"/>
              <w:jc w:val="center"/>
              <w:rPr>
                <w:rFonts w:ascii="宋体" w:hAnsi="宋体" w:eastAsia="宋体" w:cs="宋体"/>
                <w:bCs/>
                <w:szCs w:val="21"/>
              </w:rPr>
            </w:pPr>
          </w:p>
        </w:tc>
        <w:tc>
          <w:tcPr>
            <w:tcW w:w="810" w:type="dxa"/>
            <w:vAlign w:val="center"/>
          </w:tcPr>
          <w:p w14:paraId="7595E522">
            <w:pPr>
              <w:spacing w:line="276" w:lineRule="auto"/>
              <w:jc w:val="center"/>
              <w:rPr>
                <w:rFonts w:ascii="宋体" w:hAnsi="宋体" w:eastAsia="宋体" w:cs="宋体"/>
                <w:bCs/>
                <w:szCs w:val="21"/>
              </w:rPr>
            </w:pPr>
          </w:p>
        </w:tc>
        <w:tc>
          <w:tcPr>
            <w:tcW w:w="715" w:type="dxa"/>
            <w:vAlign w:val="center"/>
          </w:tcPr>
          <w:p w14:paraId="4FB7AB43">
            <w:pPr>
              <w:spacing w:line="276" w:lineRule="auto"/>
              <w:jc w:val="center"/>
              <w:rPr>
                <w:rFonts w:ascii="宋体" w:hAnsi="宋体" w:eastAsia="宋体" w:cs="宋体"/>
                <w:bCs/>
                <w:szCs w:val="21"/>
              </w:rPr>
            </w:pPr>
          </w:p>
        </w:tc>
        <w:tc>
          <w:tcPr>
            <w:tcW w:w="1160" w:type="dxa"/>
            <w:vAlign w:val="center"/>
          </w:tcPr>
          <w:p w14:paraId="5BD51A9D">
            <w:pPr>
              <w:spacing w:line="276" w:lineRule="auto"/>
              <w:jc w:val="center"/>
              <w:rPr>
                <w:rFonts w:ascii="宋体" w:hAnsi="宋体" w:eastAsia="宋体" w:cs="宋体"/>
                <w:bCs/>
                <w:szCs w:val="21"/>
              </w:rPr>
            </w:pPr>
          </w:p>
        </w:tc>
        <w:tc>
          <w:tcPr>
            <w:tcW w:w="917" w:type="dxa"/>
            <w:shd w:val="clear" w:color="auto" w:fill="auto"/>
            <w:vAlign w:val="center"/>
          </w:tcPr>
          <w:p w14:paraId="126B493E">
            <w:pPr>
              <w:spacing w:line="276" w:lineRule="auto"/>
              <w:jc w:val="center"/>
              <w:rPr>
                <w:rFonts w:ascii="宋体" w:hAnsi="宋体" w:eastAsia="宋体" w:cs="宋体"/>
                <w:bCs/>
                <w:szCs w:val="21"/>
              </w:rPr>
            </w:pPr>
          </w:p>
        </w:tc>
        <w:tc>
          <w:tcPr>
            <w:tcW w:w="666" w:type="dxa"/>
            <w:shd w:val="clear" w:color="auto" w:fill="auto"/>
            <w:vAlign w:val="center"/>
          </w:tcPr>
          <w:p w14:paraId="56425F2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550" w:type="dxa"/>
            <w:shd w:val="clear" w:color="auto" w:fill="auto"/>
            <w:vAlign w:val="center"/>
          </w:tcPr>
          <w:p w14:paraId="01E1F5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05F85A21">
            <w:pPr>
              <w:spacing w:line="276" w:lineRule="auto"/>
              <w:jc w:val="center"/>
              <w:rPr>
                <w:rFonts w:ascii="宋体" w:hAnsi="宋体" w:eastAsia="宋体" w:cs="宋体"/>
                <w:bCs/>
                <w:szCs w:val="21"/>
              </w:rPr>
            </w:pPr>
          </w:p>
        </w:tc>
        <w:tc>
          <w:tcPr>
            <w:tcW w:w="983" w:type="dxa"/>
            <w:vAlign w:val="center"/>
          </w:tcPr>
          <w:p w14:paraId="081AD3C9">
            <w:pPr>
              <w:spacing w:line="276" w:lineRule="auto"/>
              <w:jc w:val="center"/>
              <w:rPr>
                <w:rFonts w:ascii="宋体" w:hAnsi="宋体" w:eastAsia="宋体" w:cs="宋体"/>
                <w:bCs/>
                <w:szCs w:val="21"/>
              </w:rPr>
            </w:pPr>
          </w:p>
        </w:tc>
      </w:tr>
      <w:tr w14:paraId="14B7B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3377D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39</w:t>
            </w:r>
          </w:p>
        </w:tc>
        <w:tc>
          <w:tcPr>
            <w:tcW w:w="841" w:type="dxa"/>
            <w:vMerge w:val="continue"/>
          </w:tcPr>
          <w:p w14:paraId="61F89832">
            <w:pPr>
              <w:spacing w:line="276" w:lineRule="auto"/>
              <w:jc w:val="center"/>
              <w:rPr>
                <w:rFonts w:ascii="宋体" w:hAnsi="宋体" w:eastAsia="宋体" w:cs="宋体"/>
                <w:bCs/>
                <w:szCs w:val="21"/>
              </w:rPr>
            </w:pPr>
          </w:p>
        </w:tc>
        <w:tc>
          <w:tcPr>
            <w:tcW w:w="1223" w:type="dxa"/>
            <w:shd w:val="clear" w:color="auto" w:fill="auto"/>
            <w:vAlign w:val="center"/>
          </w:tcPr>
          <w:p w14:paraId="27141D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二合一防雷器</w:t>
            </w:r>
          </w:p>
        </w:tc>
        <w:tc>
          <w:tcPr>
            <w:tcW w:w="890" w:type="dxa"/>
            <w:vAlign w:val="center"/>
          </w:tcPr>
          <w:p w14:paraId="7F6F0505">
            <w:pPr>
              <w:spacing w:line="276" w:lineRule="auto"/>
              <w:jc w:val="center"/>
              <w:rPr>
                <w:rFonts w:ascii="宋体" w:hAnsi="宋体" w:eastAsia="宋体" w:cs="宋体"/>
                <w:bCs/>
                <w:szCs w:val="21"/>
              </w:rPr>
            </w:pPr>
          </w:p>
        </w:tc>
        <w:tc>
          <w:tcPr>
            <w:tcW w:w="508" w:type="dxa"/>
            <w:vAlign w:val="center"/>
          </w:tcPr>
          <w:p w14:paraId="7ADA9B8F">
            <w:pPr>
              <w:spacing w:line="276" w:lineRule="auto"/>
              <w:jc w:val="center"/>
              <w:rPr>
                <w:rFonts w:ascii="宋体" w:hAnsi="宋体" w:eastAsia="宋体" w:cs="宋体"/>
                <w:bCs/>
                <w:szCs w:val="21"/>
              </w:rPr>
            </w:pPr>
          </w:p>
        </w:tc>
        <w:tc>
          <w:tcPr>
            <w:tcW w:w="810" w:type="dxa"/>
            <w:vAlign w:val="center"/>
          </w:tcPr>
          <w:p w14:paraId="7C4FC27E">
            <w:pPr>
              <w:spacing w:line="276" w:lineRule="auto"/>
              <w:jc w:val="center"/>
              <w:rPr>
                <w:rFonts w:ascii="宋体" w:hAnsi="宋体" w:eastAsia="宋体" w:cs="宋体"/>
                <w:bCs/>
                <w:szCs w:val="21"/>
              </w:rPr>
            </w:pPr>
          </w:p>
        </w:tc>
        <w:tc>
          <w:tcPr>
            <w:tcW w:w="715" w:type="dxa"/>
            <w:vAlign w:val="center"/>
          </w:tcPr>
          <w:p w14:paraId="14A397CD">
            <w:pPr>
              <w:spacing w:line="276" w:lineRule="auto"/>
              <w:jc w:val="center"/>
              <w:rPr>
                <w:rFonts w:ascii="宋体" w:hAnsi="宋体" w:eastAsia="宋体" w:cs="宋体"/>
                <w:bCs/>
                <w:szCs w:val="21"/>
              </w:rPr>
            </w:pPr>
          </w:p>
        </w:tc>
        <w:tc>
          <w:tcPr>
            <w:tcW w:w="1160" w:type="dxa"/>
            <w:vAlign w:val="center"/>
          </w:tcPr>
          <w:p w14:paraId="42EBA278">
            <w:pPr>
              <w:spacing w:line="276" w:lineRule="auto"/>
              <w:jc w:val="center"/>
              <w:rPr>
                <w:rFonts w:ascii="宋体" w:hAnsi="宋体" w:eastAsia="宋体" w:cs="宋体"/>
                <w:bCs/>
                <w:szCs w:val="21"/>
              </w:rPr>
            </w:pPr>
          </w:p>
        </w:tc>
        <w:tc>
          <w:tcPr>
            <w:tcW w:w="917" w:type="dxa"/>
            <w:shd w:val="clear" w:color="auto" w:fill="auto"/>
            <w:vAlign w:val="center"/>
          </w:tcPr>
          <w:p w14:paraId="2A583A91">
            <w:pPr>
              <w:spacing w:line="276" w:lineRule="auto"/>
              <w:jc w:val="center"/>
              <w:rPr>
                <w:rFonts w:ascii="宋体" w:hAnsi="宋体" w:eastAsia="宋体" w:cs="宋体"/>
                <w:bCs/>
                <w:szCs w:val="21"/>
              </w:rPr>
            </w:pPr>
          </w:p>
        </w:tc>
        <w:tc>
          <w:tcPr>
            <w:tcW w:w="666" w:type="dxa"/>
            <w:shd w:val="clear" w:color="auto" w:fill="auto"/>
            <w:vAlign w:val="center"/>
          </w:tcPr>
          <w:p w14:paraId="3D10E60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104</w:t>
            </w:r>
          </w:p>
        </w:tc>
        <w:tc>
          <w:tcPr>
            <w:tcW w:w="550" w:type="dxa"/>
            <w:shd w:val="clear" w:color="auto" w:fill="auto"/>
            <w:vAlign w:val="center"/>
          </w:tcPr>
          <w:p w14:paraId="5BCA9B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个</w:t>
            </w:r>
          </w:p>
        </w:tc>
        <w:tc>
          <w:tcPr>
            <w:tcW w:w="967" w:type="dxa"/>
            <w:vAlign w:val="center"/>
          </w:tcPr>
          <w:p w14:paraId="2CFB1190">
            <w:pPr>
              <w:spacing w:line="276" w:lineRule="auto"/>
              <w:jc w:val="center"/>
              <w:rPr>
                <w:rFonts w:ascii="宋体" w:hAnsi="宋体" w:eastAsia="宋体" w:cs="宋体"/>
                <w:bCs/>
                <w:szCs w:val="21"/>
              </w:rPr>
            </w:pPr>
          </w:p>
        </w:tc>
        <w:tc>
          <w:tcPr>
            <w:tcW w:w="983" w:type="dxa"/>
            <w:vAlign w:val="center"/>
          </w:tcPr>
          <w:p w14:paraId="2D9098AD">
            <w:pPr>
              <w:spacing w:line="276" w:lineRule="auto"/>
              <w:jc w:val="center"/>
              <w:rPr>
                <w:rFonts w:ascii="宋体" w:hAnsi="宋体" w:eastAsia="宋体" w:cs="宋体"/>
                <w:bCs/>
                <w:szCs w:val="21"/>
              </w:rPr>
            </w:pPr>
          </w:p>
        </w:tc>
      </w:tr>
      <w:tr w14:paraId="77AB6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ECE0F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40</w:t>
            </w:r>
          </w:p>
        </w:tc>
        <w:tc>
          <w:tcPr>
            <w:tcW w:w="841" w:type="dxa"/>
            <w:vMerge w:val="continue"/>
          </w:tcPr>
          <w:p w14:paraId="3B022552">
            <w:pPr>
              <w:spacing w:line="276" w:lineRule="auto"/>
              <w:jc w:val="center"/>
              <w:rPr>
                <w:rFonts w:ascii="宋体" w:hAnsi="宋体" w:eastAsia="宋体" w:cs="宋体"/>
                <w:bCs/>
                <w:szCs w:val="21"/>
              </w:rPr>
            </w:pPr>
          </w:p>
        </w:tc>
        <w:tc>
          <w:tcPr>
            <w:tcW w:w="1223" w:type="dxa"/>
            <w:shd w:val="clear" w:color="auto" w:fill="auto"/>
            <w:vAlign w:val="center"/>
          </w:tcPr>
          <w:p w14:paraId="66BEAD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工业交换机（8电+2光）</w:t>
            </w:r>
          </w:p>
        </w:tc>
        <w:tc>
          <w:tcPr>
            <w:tcW w:w="890" w:type="dxa"/>
            <w:vAlign w:val="center"/>
          </w:tcPr>
          <w:p w14:paraId="4637F566">
            <w:pPr>
              <w:spacing w:line="276" w:lineRule="auto"/>
              <w:jc w:val="center"/>
              <w:rPr>
                <w:rFonts w:ascii="宋体" w:hAnsi="宋体" w:eastAsia="宋体" w:cs="宋体"/>
                <w:bCs/>
                <w:szCs w:val="21"/>
              </w:rPr>
            </w:pPr>
          </w:p>
        </w:tc>
        <w:tc>
          <w:tcPr>
            <w:tcW w:w="508" w:type="dxa"/>
            <w:vAlign w:val="center"/>
          </w:tcPr>
          <w:p w14:paraId="577D5469">
            <w:pPr>
              <w:spacing w:line="276" w:lineRule="auto"/>
              <w:jc w:val="center"/>
              <w:rPr>
                <w:rFonts w:ascii="宋体" w:hAnsi="宋体" w:eastAsia="宋体" w:cs="宋体"/>
                <w:bCs/>
                <w:szCs w:val="21"/>
              </w:rPr>
            </w:pPr>
          </w:p>
        </w:tc>
        <w:tc>
          <w:tcPr>
            <w:tcW w:w="810" w:type="dxa"/>
            <w:vAlign w:val="center"/>
          </w:tcPr>
          <w:p w14:paraId="60C5CE19">
            <w:pPr>
              <w:spacing w:line="276" w:lineRule="auto"/>
              <w:jc w:val="center"/>
              <w:rPr>
                <w:rFonts w:ascii="宋体" w:hAnsi="宋体" w:eastAsia="宋体" w:cs="宋体"/>
                <w:bCs/>
                <w:szCs w:val="21"/>
              </w:rPr>
            </w:pPr>
          </w:p>
        </w:tc>
        <w:tc>
          <w:tcPr>
            <w:tcW w:w="715" w:type="dxa"/>
            <w:vAlign w:val="center"/>
          </w:tcPr>
          <w:p w14:paraId="5685D8EC">
            <w:pPr>
              <w:spacing w:line="276" w:lineRule="auto"/>
              <w:jc w:val="center"/>
              <w:rPr>
                <w:rFonts w:ascii="宋体" w:hAnsi="宋体" w:eastAsia="宋体" w:cs="宋体"/>
                <w:bCs/>
                <w:szCs w:val="21"/>
              </w:rPr>
            </w:pPr>
          </w:p>
        </w:tc>
        <w:tc>
          <w:tcPr>
            <w:tcW w:w="1160" w:type="dxa"/>
            <w:vAlign w:val="center"/>
          </w:tcPr>
          <w:p w14:paraId="62927C3C">
            <w:pPr>
              <w:spacing w:line="276" w:lineRule="auto"/>
              <w:jc w:val="center"/>
              <w:rPr>
                <w:rFonts w:ascii="宋体" w:hAnsi="宋体" w:eastAsia="宋体" w:cs="宋体"/>
                <w:bCs/>
                <w:szCs w:val="21"/>
              </w:rPr>
            </w:pPr>
          </w:p>
        </w:tc>
        <w:tc>
          <w:tcPr>
            <w:tcW w:w="917" w:type="dxa"/>
            <w:shd w:val="clear" w:color="auto" w:fill="auto"/>
            <w:vAlign w:val="center"/>
          </w:tcPr>
          <w:p w14:paraId="217DBEFB">
            <w:pPr>
              <w:spacing w:line="276" w:lineRule="auto"/>
              <w:jc w:val="center"/>
              <w:rPr>
                <w:rFonts w:ascii="宋体" w:hAnsi="宋体" w:eastAsia="宋体" w:cs="宋体"/>
                <w:bCs/>
                <w:szCs w:val="21"/>
              </w:rPr>
            </w:pPr>
          </w:p>
        </w:tc>
        <w:tc>
          <w:tcPr>
            <w:tcW w:w="666" w:type="dxa"/>
            <w:shd w:val="clear" w:color="auto" w:fill="auto"/>
            <w:vAlign w:val="center"/>
          </w:tcPr>
          <w:p w14:paraId="2708851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104</w:t>
            </w:r>
          </w:p>
        </w:tc>
        <w:tc>
          <w:tcPr>
            <w:tcW w:w="550" w:type="dxa"/>
            <w:shd w:val="clear" w:color="auto" w:fill="auto"/>
            <w:vAlign w:val="center"/>
          </w:tcPr>
          <w:p w14:paraId="2C9B4F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58AF459E">
            <w:pPr>
              <w:spacing w:line="276" w:lineRule="auto"/>
              <w:jc w:val="center"/>
              <w:rPr>
                <w:rFonts w:ascii="宋体" w:hAnsi="宋体" w:eastAsia="宋体" w:cs="宋体"/>
                <w:bCs/>
                <w:szCs w:val="21"/>
              </w:rPr>
            </w:pPr>
          </w:p>
        </w:tc>
        <w:tc>
          <w:tcPr>
            <w:tcW w:w="983" w:type="dxa"/>
            <w:vAlign w:val="center"/>
          </w:tcPr>
          <w:p w14:paraId="26E14788">
            <w:pPr>
              <w:spacing w:line="276" w:lineRule="auto"/>
              <w:jc w:val="center"/>
              <w:rPr>
                <w:rFonts w:ascii="宋体" w:hAnsi="宋体" w:eastAsia="宋体" w:cs="宋体"/>
                <w:bCs/>
                <w:szCs w:val="21"/>
              </w:rPr>
            </w:pPr>
          </w:p>
        </w:tc>
      </w:tr>
      <w:tr w14:paraId="0A6D6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52BE38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41</w:t>
            </w:r>
          </w:p>
        </w:tc>
        <w:tc>
          <w:tcPr>
            <w:tcW w:w="841" w:type="dxa"/>
            <w:vMerge w:val="continue"/>
          </w:tcPr>
          <w:p w14:paraId="0EF30271">
            <w:pPr>
              <w:spacing w:line="276" w:lineRule="auto"/>
              <w:jc w:val="center"/>
              <w:rPr>
                <w:rFonts w:ascii="宋体" w:hAnsi="宋体" w:eastAsia="宋体" w:cs="宋体"/>
                <w:bCs/>
                <w:szCs w:val="21"/>
              </w:rPr>
            </w:pPr>
          </w:p>
        </w:tc>
        <w:tc>
          <w:tcPr>
            <w:tcW w:w="1223" w:type="dxa"/>
            <w:shd w:val="clear" w:color="auto" w:fill="auto"/>
            <w:vAlign w:val="center"/>
          </w:tcPr>
          <w:p w14:paraId="49CA2B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千兆光模块</w:t>
            </w:r>
          </w:p>
        </w:tc>
        <w:tc>
          <w:tcPr>
            <w:tcW w:w="890" w:type="dxa"/>
            <w:vAlign w:val="center"/>
          </w:tcPr>
          <w:p w14:paraId="65DE8048">
            <w:pPr>
              <w:spacing w:line="276" w:lineRule="auto"/>
              <w:jc w:val="center"/>
              <w:rPr>
                <w:rFonts w:ascii="宋体" w:hAnsi="宋体" w:eastAsia="宋体" w:cs="宋体"/>
                <w:bCs/>
                <w:szCs w:val="21"/>
              </w:rPr>
            </w:pPr>
          </w:p>
        </w:tc>
        <w:tc>
          <w:tcPr>
            <w:tcW w:w="508" w:type="dxa"/>
            <w:vAlign w:val="center"/>
          </w:tcPr>
          <w:p w14:paraId="53EBB88E">
            <w:pPr>
              <w:spacing w:line="276" w:lineRule="auto"/>
              <w:jc w:val="center"/>
              <w:rPr>
                <w:rFonts w:ascii="宋体" w:hAnsi="宋体" w:eastAsia="宋体" w:cs="宋体"/>
                <w:bCs/>
                <w:szCs w:val="21"/>
              </w:rPr>
            </w:pPr>
          </w:p>
        </w:tc>
        <w:tc>
          <w:tcPr>
            <w:tcW w:w="810" w:type="dxa"/>
            <w:vAlign w:val="center"/>
          </w:tcPr>
          <w:p w14:paraId="6CDED3A6">
            <w:pPr>
              <w:spacing w:line="276" w:lineRule="auto"/>
              <w:jc w:val="center"/>
              <w:rPr>
                <w:rFonts w:ascii="宋体" w:hAnsi="宋体" w:eastAsia="宋体" w:cs="宋体"/>
                <w:bCs/>
                <w:szCs w:val="21"/>
              </w:rPr>
            </w:pPr>
          </w:p>
        </w:tc>
        <w:tc>
          <w:tcPr>
            <w:tcW w:w="715" w:type="dxa"/>
            <w:vAlign w:val="center"/>
          </w:tcPr>
          <w:p w14:paraId="2F010352">
            <w:pPr>
              <w:spacing w:line="276" w:lineRule="auto"/>
              <w:jc w:val="center"/>
              <w:rPr>
                <w:rFonts w:ascii="宋体" w:hAnsi="宋体" w:eastAsia="宋体" w:cs="宋体"/>
                <w:bCs/>
                <w:szCs w:val="21"/>
              </w:rPr>
            </w:pPr>
          </w:p>
        </w:tc>
        <w:tc>
          <w:tcPr>
            <w:tcW w:w="1160" w:type="dxa"/>
            <w:vAlign w:val="center"/>
          </w:tcPr>
          <w:p w14:paraId="3D050F2E">
            <w:pPr>
              <w:spacing w:line="276" w:lineRule="auto"/>
              <w:jc w:val="center"/>
              <w:rPr>
                <w:rFonts w:ascii="宋体" w:hAnsi="宋体" w:eastAsia="宋体" w:cs="宋体"/>
                <w:bCs/>
                <w:szCs w:val="21"/>
              </w:rPr>
            </w:pPr>
          </w:p>
        </w:tc>
        <w:tc>
          <w:tcPr>
            <w:tcW w:w="917" w:type="dxa"/>
            <w:shd w:val="clear" w:color="auto" w:fill="auto"/>
            <w:vAlign w:val="center"/>
          </w:tcPr>
          <w:p w14:paraId="6C769AA4">
            <w:pPr>
              <w:spacing w:line="276" w:lineRule="auto"/>
              <w:jc w:val="center"/>
              <w:rPr>
                <w:rFonts w:ascii="宋体" w:hAnsi="宋体" w:eastAsia="宋体" w:cs="宋体"/>
                <w:bCs/>
                <w:szCs w:val="21"/>
              </w:rPr>
            </w:pPr>
          </w:p>
        </w:tc>
        <w:tc>
          <w:tcPr>
            <w:tcW w:w="666" w:type="dxa"/>
            <w:shd w:val="clear" w:color="auto" w:fill="auto"/>
            <w:vAlign w:val="center"/>
          </w:tcPr>
          <w:p w14:paraId="2919B15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208</w:t>
            </w:r>
          </w:p>
        </w:tc>
        <w:tc>
          <w:tcPr>
            <w:tcW w:w="550" w:type="dxa"/>
            <w:shd w:val="clear" w:color="auto" w:fill="auto"/>
            <w:vAlign w:val="center"/>
          </w:tcPr>
          <w:p w14:paraId="74CBD1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个</w:t>
            </w:r>
          </w:p>
        </w:tc>
        <w:tc>
          <w:tcPr>
            <w:tcW w:w="967" w:type="dxa"/>
            <w:vAlign w:val="center"/>
          </w:tcPr>
          <w:p w14:paraId="14335387">
            <w:pPr>
              <w:spacing w:line="276" w:lineRule="auto"/>
              <w:jc w:val="center"/>
              <w:rPr>
                <w:rFonts w:ascii="宋体" w:hAnsi="宋体" w:eastAsia="宋体" w:cs="宋体"/>
                <w:bCs/>
                <w:szCs w:val="21"/>
              </w:rPr>
            </w:pPr>
          </w:p>
        </w:tc>
        <w:tc>
          <w:tcPr>
            <w:tcW w:w="983" w:type="dxa"/>
            <w:vAlign w:val="center"/>
          </w:tcPr>
          <w:p w14:paraId="57CFE50C">
            <w:pPr>
              <w:spacing w:line="276" w:lineRule="auto"/>
              <w:jc w:val="center"/>
              <w:rPr>
                <w:rFonts w:ascii="宋体" w:hAnsi="宋体" w:eastAsia="宋体" w:cs="宋体"/>
                <w:bCs/>
                <w:szCs w:val="21"/>
              </w:rPr>
            </w:pPr>
          </w:p>
        </w:tc>
      </w:tr>
      <w:tr w14:paraId="35EA6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62F8FE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42</w:t>
            </w:r>
          </w:p>
        </w:tc>
        <w:tc>
          <w:tcPr>
            <w:tcW w:w="841" w:type="dxa"/>
            <w:vMerge w:val="continue"/>
          </w:tcPr>
          <w:p w14:paraId="47BC6339">
            <w:pPr>
              <w:spacing w:line="276" w:lineRule="auto"/>
              <w:jc w:val="center"/>
              <w:rPr>
                <w:rFonts w:ascii="宋体" w:hAnsi="宋体" w:eastAsia="宋体" w:cs="宋体"/>
                <w:bCs/>
                <w:szCs w:val="21"/>
              </w:rPr>
            </w:pPr>
          </w:p>
        </w:tc>
        <w:tc>
          <w:tcPr>
            <w:tcW w:w="1223" w:type="dxa"/>
            <w:shd w:val="clear" w:color="auto" w:fill="auto"/>
            <w:vAlign w:val="center"/>
          </w:tcPr>
          <w:p w14:paraId="222005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RFID双基一体机（含机动车电警抓拍）</w:t>
            </w:r>
          </w:p>
        </w:tc>
        <w:tc>
          <w:tcPr>
            <w:tcW w:w="890" w:type="dxa"/>
            <w:vAlign w:val="center"/>
          </w:tcPr>
          <w:p w14:paraId="7FDDEEC2">
            <w:pPr>
              <w:spacing w:line="276" w:lineRule="auto"/>
              <w:jc w:val="center"/>
              <w:rPr>
                <w:rFonts w:ascii="宋体" w:hAnsi="宋体" w:eastAsia="宋体" w:cs="宋体"/>
                <w:bCs/>
                <w:szCs w:val="21"/>
              </w:rPr>
            </w:pPr>
          </w:p>
        </w:tc>
        <w:tc>
          <w:tcPr>
            <w:tcW w:w="508" w:type="dxa"/>
            <w:vAlign w:val="center"/>
          </w:tcPr>
          <w:p w14:paraId="2EC2FB9F">
            <w:pPr>
              <w:spacing w:line="276" w:lineRule="auto"/>
              <w:jc w:val="center"/>
              <w:rPr>
                <w:rFonts w:ascii="宋体" w:hAnsi="宋体" w:eastAsia="宋体" w:cs="宋体"/>
                <w:bCs/>
                <w:szCs w:val="21"/>
              </w:rPr>
            </w:pPr>
          </w:p>
        </w:tc>
        <w:tc>
          <w:tcPr>
            <w:tcW w:w="810" w:type="dxa"/>
            <w:vAlign w:val="center"/>
          </w:tcPr>
          <w:p w14:paraId="404350C4">
            <w:pPr>
              <w:spacing w:line="276" w:lineRule="auto"/>
              <w:jc w:val="center"/>
              <w:rPr>
                <w:rFonts w:ascii="宋体" w:hAnsi="宋体" w:eastAsia="宋体" w:cs="宋体"/>
                <w:bCs/>
                <w:szCs w:val="21"/>
              </w:rPr>
            </w:pPr>
          </w:p>
        </w:tc>
        <w:tc>
          <w:tcPr>
            <w:tcW w:w="715" w:type="dxa"/>
            <w:vAlign w:val="center"/>
          </w:tcPr>
          <w:p w14:paraId="460B4A7F">
            <w:pPr>
              <w:spacing w:line="276" w:lineRule="auto"/>
              <w:jc w:val="center"/>
              <w:rPr>
                <w:rFonts w:ascii="宋体" w:hAnsi="宋体" w:eastAsia="宋体" w:cs="宋体"/>
                <w:bCs/>
                <w:szCs w:val="21"/>
              </w:rPr>
            </w:pPr>
          </w:p>
        </w:tc>
        <w:tc>
          <w:tcPr>
            <w:tcW w:w="1160" w:type="dxa"/>
            <w:vAlign w:val="center"/>
          </w:tcPr>
          <w:p w14:paraId="35FAEF22">
            <w:pPr>
              <w:spacing w:line="276" w:lineRule="auto"/>
              <w:jc w:val="center"/>
              <w:rPr>
                <w:rFonts w:ascii="宋体" w:hAnsi="宋体" w:eastAsia="宋体" w:cs="宋体"/>
                <w:bCs/>
                <w:szCs w:val="21"/>
              </w:rPr>
            </w:pPr>
          </w:p>
        </w:tc>
        <w:tc>
          <w:tcPr>
            <w:tcW w:w="917" w:type="dxa"/>
            <w:shd w:val="clear" w:color="auto" w:fill="auto"/>
            <w:vAlign w:val="center"/>
          </w:tcPr>
          <w:p w14:paraId="72703128">
            <w:pPr>
              <w:spacing w:line="276" w:lineRule="auto"/>
              <w:jc w:val="center"/>
              <w:rPr>
                <w:rFonts w:ascii="宋体" w:hAnsi="宋体" w:eastAsia="宋体" w:cs="宋体"/>
                <w:bCs/>
                <w:szCs w:val="21"/>
              </w:rPr>
            </w:pPr>
          </w:p>
        </w:tc>
        <w:tc>
          <w:tcPr>
            <w:tcW w:w="666" w:type="dxa"/>
            <w:shd w:val="clear" w:color="auto" w:fill="auto"/>
            <w:vAlign w:val="center"/>
          </w:tcPr>
          <w:p w14:paraId="7904C8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47</w:t>
            </w:r>
          </w:p>
        </w:tc>
        <w:tc>
          <w:tcPr>
            <w:tcW w:w="550" w:type="dxa"/>
            <w:shd w:val="clear" w:color="auto" w:fill="auto"/>
            <w:vAlign w:val="center"/>
          </w:tcPr>
          <w:p w14:paraId="5F5942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256886EC">
            <w:pPr>
              <w:spacing w:line="276" w:lineRule="auto"/>
              <w:jc w:val="center"/>
              <w:rPr>
                <w:rFonts w:ascii="宋体" w:hAnsi="宋体" w:eastAsia="宋体" w:cs="宋体"/>
                <w:bCs/>
                <w:szCs w:val="21"/>
              </w:rPr>
            </w:pPr>
          </w:p>
        </w:tc>
        <w:tc>
          <w:tcPr>
            <w:tcW w:w="983" w:type="dxa"/>
            <w:vAlign w:val="center"/>
          </w:tcPr>
          <w:p w14:paraId="778752A4">
            <w:pPr>
              <w:spacing w:line="276" w:lineRule="auto"/>
              <w:jc w:val="center"/>
              <w:rPr>
                <w:rFonts w:ascii="宋体" w:hAnsi="宋体" w:eastAsia="宋体" w:cs="宋体"/>
                <w:bCs/>
                <w:szCs w:val="21"/>
              </w:rPr>
            </w:pPr>
          </w:p>
        </w:tc>
      </w:tr>
      <w:tr w14:paraId="72C96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535D20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43</w:t>
            </w:r>
          </w:p>
        </w:tc>
        <w:tc>
          <w:tcPr>
            <w:tcW w:w="841" w:type="dxa"/>
            <w:vMerge w:val="continue"/>
          </w:tcPr>
          <w:p w14:paraId="7C4696F3">
            <w:pPr>
              <w:spacing w:line="276" w:lineRule="auto"/>
              <w:jc w:val="center"/>
              <w:rPr>
                <w:rFonts w:ascii="宋体" w:hAnsi="宋体" w:eastAsia="宋体" w:cs="宋体"/>
                <w:bCs/>
                <w:szCs w:val="21"/>
              </w:rPr>
            </w:pPr>
          </w:p>
        </w:tc>
        <w:tc>
          <w:tcPr>
            <w:tcW w:w="1223" w:type="dxa"/>
            <w:shd w:val="clear" w:color="auto" w:fill="auto"/>
            <w:vAlign w:val="center"/>
          </w:tcPr>
          <w:p w14:paraId="1C385C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RFID双基补光灯</w:t>
            </w:r>
          </w:p>
        </w:tc>
        <w:tc>
          <w:tcPr>
            <w:tcW w:w="890" w:type="dxa"/>
            <w:vAlign w:val="center"/>
          </w:tcPr>
          <w:p w14:paraId="0E001B7F">
            <w:pPr>
              <w:spacing w:line="276" w:lineRule="auto"/>
              <w:jc w:val="center"/>
              <w:rPr>
                <w:rFonts w:ascii="宋体" w:hAnsi="宋体" w:eastAsia="宋体" w:cs="宋体"/>
                <w:bCs/>
                <w:szCs w:val="21"/>
              </w:rPr>
            </w:pPr>
          </w:p>
        </w:tc>
        <w:tc>
          <w:tcPr>
            <w:tcW w:w="508" w:type="dxa"/>
            <w:vAlign w:val="center"/>
          </w:tcPr>
          <w:p w14:paraId="05551669">
            <w:pPr>
              <w:spacing w:line="276" w:lineRule="auto"/>
              <w:jc w:val="center"/>
              <w:rPr>
                <w:rFonts w:ascii="宋体" w:hAnsi="宋体" w:eastAsia="宋体" w:cs="宋体"/>
                <w:bCs/>
                <w:szCs w:val="21"/>
              </w:rPr>
            </w:pPr>
          </w:p>
        </w:tc>
        <w:tc>
          <w:tcPr>
            <w:tcW w:w="810" w:type="dxa"/>
            <w:vAlign w:val="center"/>
          </w:tcPr>
          <w:p w14:paraId="099D9B21">
            <w:pPr>
              <w:spacing w:line="276" w:lineRule="auto"/>
              <w:jc w:val="center"/>
              <w:rPr>
                <w:rFonts w:ascii="宋体" w:hAnsi="宋体" w:eastAsia="宋体" w:cs="宋体"/>
                <w:bCs/>
                <w:szCs w:val="21"/>
              </w:rPr>
            </w:pPr>
          </w:p>
        </w:tc>
        <w:tc>
          <w:tcPr>
            <w:tcW w:w="715" w:type="dxa"/>
            <w:vAlign w:val="center"/>
          </w:tcPr>
          <w:p w14:paraId="7FEC233E">
            <w:pPr>
              <w:spacing w:line="276" w:lineRule="auto"/>
              <w:jc w:val="center"/>
              <w:rPr>
                <w:rFonts w:ascii="宋体" w:hAnsi="宋体" w:eastAsia="宋体" w:cs="宋体"/>
                <w:bCs/>
                <w:szCs w:val="21"/>
              </w:rPr>
            </w:pPr>
          </w:p>
        </w:tc>
        <w:tc>
          <w:tcPr>
            <w:tcW w:w="1160" w:type="dxa"/>
            <w:vAlign w:val="center"/>
          </w:tcPr>
          <w:p w14:paraId="7C9CAA4F">
            <w:pPr>
              <w:spacing w:line="276" w:lineRule="auto"/>
              <w:jc w:val="center"/>
              <w:rPr>
                <w:rFonts w:ascii="宋体" w:hAnsi="宋体" w:eastAsia="宋体" w:cs="宋体"/>
                <w:bCs/>
                <w:szCs w:val="21"/>
              </w:rPr>
            </w:pPr>
          </w:p>
        </w:tc>
        <w:tc>
          <w:tcPr>
            <w:tcW w:w="917" w:type="dxa"/>
            <w:shd w:val="clear" w:color="auto" w:fill="auto"/>
            <w:vAlign w:val="center"/>
          </w:tcPr>
          <w:p w14:paraId="2159F1DF">
            <w:pPr>
              <w:spacing w:line="276" w:lineRule="auto"/>
              <w:jc w:val="center"/>
              <w:rPr>
                <w:rFonts w:ascii="宋体" w:hAnsi="宋体" w:eastAsia="宋体" w:cs="宋体"/>
                <w:bCs/>
                <w:szCs w:val="21"/>
              </w:rPr>
            </w:pPr>
          </w:p>
        </w:tc>
        <w:tc>
          <w:tcPr>
            <w:tcW w:w="666" w:type="dxa"/>
            <w:shd w:val="clear" w:color="auto" w:fill="auto"/>
            <w:vAlign w:val="center"/>
          </w:tcPr>
          <w:p w14:paraId="59D143C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113</w:t>
            </w:r>
          </w:p>
        </w:tc>
        <w:tc>
          <w:tcPr>
            <w:tcW w:w="550" w:type="dxa"/>
            <w:shd w:val="clear" w:color="auto" w:fill="auto"/>
            <w:vAlign w:val="center"/>
          </w:tcPr>
          <w:p w14:paraId="322FD6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25EB0580">
            <w:pPr>
              <w:spacing w:line="276" w:lineRule="auto"/>
              <w:jc w:val="center"/>
              <w:rPr>
                <w:rFonts w:ascii="宋体" w:hAnsi="宋体" w:eastAsia="宋体" w:cs="宋体"/>
                <w:bCs/>
                <w:szCs w:val="21"/>
              </w:rPr>
            </w:pPr>
          </w:p>
        </w:tc>
        <w:tc>
          <w:tcPr>
            <w:tcW w:w="983" w:type="dxa"/>
            <w:vAlign w:val="center"/>
          </w:tcPr>
          <w:p w14:paraId="59F7E4D1">
            <w:pPr>
              <w:spacing w:line="276" w:lineRule="auto"/>
              <w:jc w:val="center"/>
              <w:rPr>
                <w:rFonts w:ascii="宋体" w:hAnsi="宋体" w:eastAsia="宋体" w:cs="宋体"/>
                <w:bCs/>
                <w:szCs w:val="21"/>
              </w:rPr>
            </w:pPr>
          </w:p>
        </w:tc>
      </w:tr>
      <w:tr w14:paraId="2F54A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526073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44</w:t>
            </w:r>
          </w:p>
        </w:tc>
        <w:tc>
          <w:tcPr>
            <w:tcW w:w="841" w:type="dxa"/>
            <w:vMerge w:val="continue"/>
          </w:tcPr>
          <w:p w14:paraId="4982F183">
            <w:pPr>
              <w:spacing w:line="276" w:lineRule="auto"/>
              <w:jc w:val="center"/>
              <w:rPr>
                <w:rFonts w:ascii="宋体" w:hAnsi="宋体" w:eastAsia="宋体" w:cs="宋体"/>
                <w:bCs/>
                <w:szCs w:val="21"/>
              </w:rPr>
            </w:pPr>
          </w:p>
        </w:tc>
        <w:tc>
          <w:tcPr>
            <w:tcW w:w="1223" w:type="dxa"/>
            <w:shd w:val="clear" w:color="auto" w:fill="auto"/>
            <w:vAlign w:val="center"/>
          </w:tcPr>
          <w:p w14:paraId="701514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RFID天线</w:t>
            </w:r>
          </w:p>
        </w:tc>
        <w:tc>
          <w:tcPr>
            <w:tcW w:w="890" w:type="dxa"/>
            <w:vAlign w:val="center"/>
          </w:tcPr>
          <w:p w14:paraId="585129F9">
            <w:pPr>
              <w:spacing w:line="276" w:lineRule="auto"/>
              <w:jc w:val="center"/>
              <w:rPr>
                <w:rFonts w:ascii="宋体" w:hAnsi="宋体" w:eastAsia="宋体" w:cs="宋体"/>
                <w:bCs/>
                <w:szCs w:val="21"/>
              </w:rPr>
            </w:pPr>
          </w:p>
        </w:tc>
        <w:tc>
          <w:tcPr>
            <w:tcW w:w="508" w:type="dxa"/>
            <w:vAlign w:val="center"/>
          </w:tcPr>
          <w:p w14:paraId="04694FA0">
            <w:pPr>
              <w:spacing w:line="276" w:lineRule="auto"/>
              <w:jc w:val="center"/>
              <w:rPr>
                <w:rFonts w:ascii="宋体" w:hAnsi="宋体" w:eastAsia="宋体" w:cs="宋体"/>
                <w:bCs/>
                <w:szCs w:val="21"/>
              </w:rPr>
            </w:pPr>
          </w:p>
        </w:tc>
        <w:tc>
          <w:tcPr>
            <w:tcW w:w="810" w:type="dxa"/>
            <w:vAlign w:val="center"/>
          </w:tcPr>
          <w:p w14:paraId="718C692E">
            <w:pPr>
              <w:spacing w:line="276" w:lineRule="auto"/>
              <w:jc w:val="center"/>
              <w:rPr>
                <w:rFonts w:ascii="宋体" w:hAnsi="宋体" w:eastAsia="宋体" w:cs="宋体"/>
                <w:bCs/>
                <w:szCs w:val="21"/>
              </w:rPr>
            </w:pPr>
          </w:p>
        </w:tc>
        <w:tc>
          <w:tcPr>
            <w:tcW w:w="715" w:type="dxa"/>
            <w:vAlign w:val="center"/>
          </w:tcPr>
          <w:p w14:paraId="4F498E01">
            <w:pPr>
              <w:spacing w:line="276" w:lineRule="auto"/>
              <w:jc w:val="center"/>
              <w:rPr>
                <w:rFonts w:ascii="宋体" w:hAnsi="宋体" w:eastAsia="宋体" w:cs="宋体"/>
                <w:bCs/>
                <w:szCs w:val="21"/>
              </w:rPr>
            </w:pPr>
          </w:p>
        </w:tc>
        <w:tc>
          <w:tcPr>
            <w:tcW w:w="1160" w:type="dxa"/>
            <w:vAlign w:val="center"/>
          </w:tcPr>
          <w:p w14:paraId="3D804122">
            <w:pPr>
              <w:spacing w:line="276" w:lineRule="auto"/>
              <w:jc w:val="center"/>
              <w:rPr>
                <w:rFonts w:ascii="宋体" w:hAnsi="宋体" w:eastAsia="宋体" w:cs="宋体"/>
                <w:bCs/>
                <w:szCs w:val="21"/>
              </w:rPr>
            </w:pPr>
          </w:p>
        </w:tc>
        <w:tc>
          <w:tcPr>
            <w:tcW w:w="917" w:type="dxa"/>
            <w:shd w:val="clear" w:color="auto" w:fill="auto"/>
            <w:vAlign w:val="center"/>
          </w:tcPr>
          <w:p w14:paraId="4CD774B5">
            <w:pPr>
              <w:spacing w:line="276" w:lineRule="auto"/>
              <w:jc w:val="center"/>
              <w:rPr>
                <w:rFonts w:ascii="宋体" w:hAnsi="宋体" w:eastAsia="宋体" w:cs="宋体"/>
                <w:bCs/>
                <w:szCs w:val="21"/>
              </w:rPr>
            </w:pPr>
          </w:p>
        </w:tc>
        <w:tc>
          <w:tcPr>
            <w:tcW w:w="666" w:type="dxa"/>
            <w:shd w:val="clear" w:color="auto" w:fill="auto"/>
            <w:vAlign w:val="center"/>
          </w:tcPr>
          <w:p w14:paraId="3A9AD3C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46</w:t>
            </w:r>
          </w:p>
        </w:tc>
        <w:tc>
          <w:tcPr>
            <w:tcW w:w="550" w:type="dxa"/>
            <w:shd w:val="clear" w:color="auto" w:fill="auto"/>
            <w:vAlign w:val="center"/>
          </w:tcPr>
          <w:p w14:paraId="6C22DD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11980D5B">
            <w:pPr>
              <w:spacing w:line="276" w:lineRule="auto"/>
              <w:jc w:val="center"/>
              <w:rPr>
                <w:rFonts w:ascii="宋体" w:hAnsi="宋体" w:eastAsia="宋体" w:cs="宋体"/>
                <w:bCs/>
                <w:szCs w:val="21"/>
              </w:rPr>
            </w:pPr>
          </w:p>
        </w:tc>
        <w:tc>
          <w:tcPr>
            <w:tcW w:w="983" w:type="dxa"/>
            <w:vAlign w:val="center"/>
          </w:tcPr>
          <w:p w14:paraId="198373C0">
            <w:pPr>
              <w:spacing w:line="276" w:lineRule="auto"/>
              <w:jc w:val="center"/>
              <w:rPr>
                <w:rFonts w:ascii="宋体" w:hAnsi="宋体" w:eastAsia="宋体" w:cs="宋体"/>
                <w:bCs/>
                <w:szCs w:val="21"/>
              </w:rPr>
            </w:pPr>
          </w:p>
        </w:tc>
      </w:tr>
      <w:tr w14:paraId="302DF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39273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841" w:type="dxa"/>
            <w:vMerge w:val="continue"/>
          </w:tcPr>
          <w:p w14:paraId="0B2C745D">
            <w:pPr>
              <w:spacing w:line="276" w:lineRule="auto"/>
              <w:jc w:val="center"/>
              <w:rPr>
                <w:rFonts w:ascii="宋体" w:hAnsi="宋体" w:eastAsia="宋体" w:cs="宋体"/>
                <w:bCs/>
                <w:szCs w:val="21"/>
              </w:rPr>
            </w:pPr>
          </w:p>
        </w:tc>
        <w:tc>
          <w:tcPr>
            <w:tcW w:w="1223" w:type="dxa"/>
            <w:shd w:val="clear" w:color="auto" w:fill="auto"/>
            <w:vAlign w:val="center"/>
          </w:tcPr>
          <w:p w14:paraId="5374B9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RFID连接馈线</w:t>
            </w:r>
          </w:p>
        </w:tc>
        <w:tc>
          <w:tcPr>
            <w:tcW w:w="890" w:type="dxa"/>
            <w:vAlign w:val="center"/>
          </w:tcPr>
          <w:p w14:paraId="5EE80A0C">
            <w:pPr>
              <w:spacing w:line="276" w:lineRule="auto"/>
              <w:jc w:val="center"/>
              <w:rPr>
                <w:rFonts w:ascii="宋体" w:hAnsi="宋体" w:eastAsia="宋体" w:cs="宋体"/>
                <w:bCs/>
                <w:szCs w:val="21"/>
              </w:rPr>
            </w:pPr>
          </w:p>
        </w:tc>
        <w:tc>
          <w:tcPr>
            <w:tcW w:w="508" w:type="dxa"/>
            <w:vAlign w:val="center"/>
          </w:tcPr>
          <w:p w14:paraId="37892A7F">
            <w:pPr>
              <w:spacing w:line="276" w:lineRule="auto"/>
              <w:jc w:val="center"/>
              <w:rPr>
                <w:rFonts w:ascii="宋体" w:hAnsi="宋体" w:eastAsia="宋体" w:cs="宋体"/>
                <w:bCs/>
                <w:szCs w:val="21"/>
              </w:rPr>
            </w:pPr>
          </w:p>
        </w:tc>
        <w:tc>
          <w:tcPr>
            <w:tcW w:w="810" w:type="dxa"/>
            <w:vAlign w:val="center"/>
          </w:tcPr>
          <w:p w14:paraId="699A6815">
            <w:pPr>
              <w:spacing w:line="276" w:lineRule="auto"/>
              <w:jc w:val="center"/>
              <w:rPr>
                <w:rFonts w:ascii="宋体" w:hAnsi="宋体" w:eastAsia="宋体" w:cs="宋体"/>
                <w:bCs/>
                <w:szCs w:val="21"/>
              </w:rPr>
            </w:pPr>
          </w:p>
        </w:tc>
        <w:tc>
          <w:tcPr>
            <w:tcW w:w="715" w:type="dxa"/>
            <w:vAlign w:val="center"/>
          </w:tcPr>
          <w:p w14:paraId="6444A714">
            <w:pPr>
              <w:spacing w:line="276" w:lineRule="auto"/>
              <w:jc w:val="center"/>
              <w:rPr>
                <w:rFonts w:ascii="宋体" w:hAnsi="宋体" w:eastAsia="宋体" w:cs="宋体"/>
                <w:bCs/>
                <w:szCs w:val="21"/>
              </w:rPr>
            </w:pPr>
          </w:p>
        </w:tc>
        <w:tc>
          <w:tcPr>
            <w:tcW w:w="1160" w:type="dxa"/>
            <w:vAlign w:val="center"/>
          </w:tcPr>
          <w:p w14:paraId="593E72F1">
            <w:pPr>
              <w:spacing w:line="276" w:lineRule="auto"/>
              <w:jc w:val="center"/>
              <w:rPr>
                <w:rFonts w:ascii="宋体" w:hAnsi="宋体" w:eastAsia="宋体" w:cs="宋体"/>
                <w:bCs/>
                <w:szCs w:val="21"/>
              </w:rPr>
            </w:pPr>
          </w:p>
        </w:tc>
        <w:tc>
          <w:tcPr>
            <w:tcW w:w="917" w:type="dxa"/>
            <w:shd w:val="clear" w:color="auto" w:fill="auto"/>
            <w:vAlign w:val="center"/>
          </w:tcPr>
          <w:p w14:paraId="2D34635D">
            <w:pPr>
              <w:spacing w:line="276" w:lineRule="auto"/>
              <w:jc w:val="center"/>
              <w:rPr>
                <w:rFonts w:ascii="宋体" w:hAnsi="宋体" w:eastAsia="宋体" w:cs="宋体"/>
                <w:bCs/>
                <w:szCs w:val="21"/>
              </w:rPr>
            </w:pPr>
          </w:p>
        </w:tc>
        <w:tc>
          <w:tcPr>
            <w:tcW w:w="666" w:type="dxa"/>
            <w:shd w:val="clear" w:color="auto" w:fill="auto"/>
            <w:vAlign w:val="center"/>
          </w:tcPr>
          <w:p w14:paraId="2A8F798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46</w:t>
            </w:r>
          </w:p>
        </w:tc>
        <w:tc>
          <w:tcPr>
            <w:tcW w:w="550" w:type="dxa"/>
            <w:shd w:val="clear" w:color="auto" w:fill="auto"/>
            <w:vAlign w:val="center"/>
          </w:tcPr>
          <w:p w14:paraId="71D2B8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46FC8648">
            <w:pPr>
              <w:spacing w:line="276" w:lineRule="auto"/>
              <w:jc w:val="center"/>
              <w:rPr>
                <w:rFonts w:ascii="宋体" w:hAnsi="宋体" w:eastAsia="宋体" w:cs="宋体"/>
                <w:bCs/>
                <w:szCs w:val="21"/>
              </w:rPr>
            </w:pPr>
          </w:p>
        </w:tc>
        <w:tc>
          <w:tcPr>
            <w:tcW w:w="983" w:type="dxa"/>
            <w:vAlign w:val="center"/>
          </w:tcPr>
          <w:p w14:paraId="7CE4B2D6">
            <w:pPr>
              <w:spacing w:line="276" w:lineRule="auto"/>
              <w:jc w:val="center"/>
              <w:rPr>
                <w:rFonts w:ascii="宋体" w:hAnsi="宋体" w:eastAsia="宋体" w:cs="宋体"/>
                <w:bCs/>
                <w:szCs w:val="21"/>
              </w:rPr>
            </w:pPr>
          </w:p>
        </w:tc>
      </w:tr>
      <w:tr w14:paraId="29656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62838F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46</w:t>
            </w:r>
          </w:p>
        </w:tc>
        <w:tc>
          <w:tcPr>
            <w:tcW w:w="841" w:type="dxa"/>
            <w:vMerge w:val="continue"/>
          </w:tcPr>
          <w:p w14:paraId="1B156509">
            <w:pPr>
              <w:spacing w:line="276" w:lineRule="auto"/>
              <w:jc w:val="center"/>
              <w:rPr>
                <w:rFonts w:ascii="宋体" w:hAnsi="宋体" w:eastAsia="宋体" w:cs="宋体"/>
                <w:bCs/>
                <w:szCs w:val="21"/>
              </w:rPr>
            </w:pPr>
          </w:p>
        </w:tc>
        <w:tc>
          <w:tcPr>
            <w:tcW w:w="1223" w:type="dxa"/>
            <w:shd w:val="clear" w:color="auto" w:fill="auto"/>
            <w:vAlign w:val="center"/>
          </w:tcPr>
          <w:p w14:paraId="012021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RFID双基终端主机（含机动车存储）</w:t>
            </w:r>
          </w:p>
        </w:tc>
        <w:tc>
          <w:tcPr>
            <w:tcW w:w="890" w:type="dxa"/>
            <w:vAlign w:val="center"/>
          </w:tcPr>
          <w:p w14:paraId="47490D84">
            <w:pPr>
              <w:spacing w:line="276" w:lineRule="auto"/>
              <w:jc w:val="center"/>
              <w:rPr>
                <w:rFonts w:ascii="宋体" w:hAnsi="宋体" w:eastAsia="宋体" w:cs="宋体"/>
                <w:bCs/>
                <w:szCs w:val="21"/>
              </w:rPr>
            </w:pPr>
          </w:p>
        </w:tc>
        <w:tc>
          <w:tcPr>
            <w:tcW w:w="508" w:type="dxa"/>
            <w:vAlign w:val="center"/>
          </w:tcPr>
          <w:p w14:paraId="78D0F2E7">
            <w:pPr>
              <w:spacing w:line="276" w:lineRule="auto"/>
              <w:jc w:val="center"/>
              <w:rPr>
                <w:rFonts w:ascii="宋体" w:hAnsi="宋体" w:eastAsia="宋体" w:cs="宋体"/>
                <w:bCs/>
                <w:szCs w:val="21"/>
              </w:rPr>
            </w:pPr>
          </w:p>
        </w:tc>
        <w:tc>
          <w:tcPr>
            <w:tcW w:w="810" w:type="dxa"/>
            <w:vAlign w:val="center"/>
          </w:tcPr>
          <w:p w14:paraId="5AE363F6">
            <w:pPr>
              <w:spacing w:line="276" w:lineRule="auto"/>
              <w:jc w:val="center"/>
              <w:rPr>
                <w:rFonts w:ascii="宋体" w:hAnsi="宋体" w:eastAsia="宋体" w:cs="宋体"/>
                <w:bCs/>
                <w:szCs w:val="21"/>
              </w:rPr>
            </w:pPr>
          </w:p>
        </w:tc>
        <w:tc>
          <w:tcPr>
            <w:tcW w:w="715" w:type="dxa"/>
            <w:vAlign w:val="center"/>
          </w:tcPr>
          <w:p w14:paraId="051C15D9">
            <w:pPr>
              <w:spacing w:line="276" w:lineRule="auto"/>
              <w:jc w:val="center"/>
              <w:rPr>
                <w:rFonts w:ascii="宋体" w:hAnsi="宋体" w:eastAsia="宋体" w:cs="宋体"/>
                <w:bCs/>
                <w:szCs w:val="21"/>
              </w:rPr>
            </w:pPr>
          </w:p>
        </w:tc>
        <w:tc>
          <w:tcPr>
            <w:tcW w:w="1160" w:type="dxa"/>
            <w:vAlign w:val="center"/>
          </w:tcPr>
          <w:p w14:paraId="6F2EF5EA">
            <w:pPr>
              <w:spacing w:line="276" w:lineRule="auto"/>
              <w:jc w:val="center"/>
              <w:rPr>
                <w:rFonts w:ascii="宋体" w:hAnsi="宋体" w:eastAsia="宋体" w:cs="宋体"/>
                <w:bCs/>
                <w:szCs w:val="21"/>
              </w:rPr>
            </w:pPr>
          </w:p>
        </w:tc>
        <w:tc>
          <w:tcPr>
            <w:tcW w:w="917" w:type="dxa"/>
            <w:shd w:val="clear" w:color="auto" w:fill="auto"/>
            <w:vAlign w:val="center"/>
          </w:tcPr>
          <w:p w14:paraId="09140285">
            <w:pPr>
              <w:spacing w:line="276" w:lineRule="auto"/>
              <w:jc w:val="center"/>
              <w:rPr>
                <w:rFonts w:ascii="宋体" w:hAnsi="宋体" w:eastAsia="宋体" w:cs="宋体"/>
                <w:bCs/>
                <w:szCs w:val="21"/>
              </w:rPr>
            </w:pPr>
          </w:p>
        </w:tc>
        <w:tc>
          <w:tcPr>
            <w:tcW w:w="666" w:type="dxa"/>
            <w:shd w:val="clear" w:color="auto" w:fill="auto"/>
            <w:vAlign w:val="center"/>
          </w:tcPr>
          <w:p w14:paraId="47AA4A5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550" w:type="dxa"/>
            <w:shd w:val="clear" w:color="auto" w:fill="auto"/>
            <w:vAlign w:val="center"/>
          </w:tcPr>
          <w:p w14:paraId="2BC503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792A46FB">
            <w:pPr>
              <w:spacing w:line="276" w:lineRule="auto"/>
              <w:jc w:val="center"/>
              <w:rPr>
                <w:rFonts w:ascii="宋体" w:hAnsi="宋体" w:eastAsia="宋体" w:cs="宋体"/>
                <w:bCs/>
                <w:szCs w:val="21"/>
              </w:rPr>
            </w:pPr>
          </w:p>
        </w:tc>
        <w:tc>
          <w:tcPr>
            <w:tcW w:w="983" w:type="dxa"/>
            <w:vAlign w:val="center"/>
          </w:tcPr>
          <w:p w14:paraId="146C4F51">
            <w:pPr>
              <w:spacing w:line="276" w:lineRule="auto"/>
              <w:jc w:val="center"/>
              <w:rPr>
                <w:rFonts w:ascii="宋体" w:hAnsi="宋体" w:eastAsia="宋体" w:cs="宋体"/>
                <w:bCs/>
                <w:szCs w:val="21"/>
              </w:rPr>
            </w:pPr>
          </w:p>
        </w:tc>
      </w:tr>
      <w:tr w14:paraId="05F1E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661C93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47</w:t>
            </w:r>
          </w:p>
        </w:tc>
        <w:tc>
          <w:tcPr>
            <w:tcW w:w="841" w:type="dxa"/>
            <w:vMerge w:val="continue"/>
          </w:tcPr>
          <w:p w14:paraId="011BDE3E">
            <w:pPr>
              <w:spacing w:line="276" w:lineRule="auto"/>
              <w:jc w:val="center"/>
              <w:rPr>
                <w:rFonts w:ascii="宋体" w:hAnsi="宋体" w:eastAsia="宋体" w:cs="宋体"/>
                <w:bCs/>
                <w:szCs w:val="21"/>
              </w:rPr>
            </w:pPr>
          </w:p>
        </w:tc>
        <w:tc>
          <w:tcPr>
            <w:tcW w:w="1223" w:type="dxa"/>
            <w:shd w:val="clear" w:color="auto" w:fill="auto"/>
            <w:vAlign w:val="center"/>
          </w:tcPr>
          <w:p w14:paraId="51F568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挂杆箱</w:t>
            </w:r>
          </w:p>
        </w:tc>
        <w:tc>
          <w:tcPr>
            <w:tcW w:w="890" w:type="dxa"/>
            <w:vAlign w:val="center"/>
          </w:tcPr>
          <w:p w14:paraId="1CC3F947">
            <w:pPr>
              <w:spacing w:line="276" w:lineRule="auto"/>
              <w:jc w:val="center"/>
              <w:rPr>
                <w:rFonts w:ascii="宋体" w:hAnsi="宋体" w:eastAsia="宋体" w:cs="宋体"/>
                <w:bCs/>
                <w:szCs w:val="21"/>
              </w:rPr>
            </w:pPr>
          </w:p>
        </w:tc>
        <w:tc>
          <w:tcPr>
            <w:tcW w:w="508" w:type="dxa"/>
            <w:vAlign w:val="center"/>
          </w:tcPr>
          <w:p w14:paraId="635573EF">
            <w:pPr>
              <w:spacing w:line="276" w:lineRule="auto"/>
              <w:jc w:val="center"/>
              <w:rPr>
                <w:rFonts w:ascii="宋体" w:hAnsi="宋体" w:eastAsia="宋体" w:cs="宋体"/>
                <w:bCs/>
                <w:szCs w:val="21"/>
              </w:rPr>
            </w:pPr>
          </w:p>
        </w:tc>
        <w:tc>
          <w:tcPr>
            <w:tcW w:w="810" w:type="dxa"/>
            <w:vAlign w:val="center"/>
          </w:tcPr>
          <w:p w14:paraId="6DCFE1B8">
            <w:pPr>
              <w:spacing w:line="276" w:lineRule="auto"/>
              <w:jc w:val="center"/>
              <w:rPr>
                <w:rFonts w:ascii="宋体" w:hAnsi="宋体" w:eastAsia="宋体" w:cs="宋体"/>
                <w:bCs/>
                <w:szCs w:val="21"/>
              </w:rPr>
            </w:pPr>
          </w:p>
        </w:tc>
        <w:tc>
          <w:tcPr>
            <w:tcW w:w="715" w:type="dxa"/>
            <w:vAlign w:val="center"/>
          </w:tcPr>
          <w:p w14:paraId="2DB878A6">
            <w:pPr>
              <w:spacing w:line="276" w:lineRule="auto"/>
              <w:jc w:val="center"/>
              <w:rPr>
                <w:rFonts w:ascii="宋体" w:hAnsi="宋体" w:eastAsia="宋体" w:cs="宋体"/>
                <w:bCs/>
                <w:szCs w:val="21"/>
              </w:rPr>
            </w:pPr>
          </w:p>
        </w:tc>
        <w:tc>
          <w:tcPr>
            <w:tcW w:w="1160" w:type="dxa"/>
            <w:vAlign w:val="center"/>
          </w:tcPr>
          <w:p w14:paraId="0567D730">
            <w:pPr>
              <w:spacing w:line="276" w:lineRule="auto"/>
              <w:jc w:val="center"/>
              <w:rPr>
                <w:rFonts w:ascii="宋体" w:hAnsi="宋体" w:eastAsia="宋体" w:cs="宋体"/>
                <w:bCs/>
                <w:szCs w:val="21"/>
              </w:rPr>
            </w:pPr>
          </w:p>
        </w:tc>
        <w:tc>
          <w:tcPr>
            <w:tcW w:w="917" w:type="dxa"/>
            <w:shd w:val="clear" w:color="auto" w:fill="auto"/>
            <w:vAlign w:val="center"/>
          </w:tcPr>
          <w:p w14:paraId="4FA038BB">
            <w:pPr>
              <w:spacing w:line="276" w:lineRule="auto"/>
              <w:jc w:val="center"/>
              <w:rPr>
                <w:rFonts w:ascii="宋体" w:hAnsi="宋体" w:eastAsia="宋体" w:cs="宋体"/>
                <w:bCs/>
                <w:szCs w:val="21"/>
              </w:rPr>
            </w:pPr>
          </w:p>
        </w:tc>
        <w:tc>
          <w:tcPr>
            <w:tcW w:w="666" w:type="dxa"/>
            <w:shd w:val="clear" w:color="auto" w:fill="auto"/>
            <w:vAlign w:val="center"/>
          </w:tcPr>
          <w:p w14:paraId="35C41BA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104</w:t>
            </w:r>
          </w:p>
        </w:tc>
        <w:tc>
          <w:tcPr>
            <w:tcW w:w="550" w:type="dxa"/>
            <w:shd w:val="clear" w:color="auto" w:fill="auto"/>
            <w:vAlign w:val="center"/>
          </w:tcPr>
          <w:p w14:paraId="712D97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个</w:t>
            </w:r>
          </w:p>
        </w:tc>
        <w:tc>
          <w:tcPr>
            <w:tcW w:w="967" w:type="dxa"/>
            <w:vAlign w:val="center"/>
          </w:tcPr>
          <w:p w14:paraId="3987C70B">
            <w:pPr>
              <w:spacing w:line="276" w:lineRule="auto"/>
              <w:jc w:val="center"/>
              <w:rPr>
                <w:rFonts w:ascii="宋体" w:hAnsi="宋体" w:eastAsia="宋体" w:cs="宋体"/>
                <w:bCs/>
                <w:szCs w:val="21"/>
              </w:rPr>
            </w:pPr>
          </w:p>
        </w:tc>
        <w:tc>
          <w:tcPr>
            <w:tcW w:w="983" w:type="dxa"/>
            <w:vAlign w:val="center"/>
          </w:tcPr>
          <w:p w14:paraId="55D1CDBA">
            <w:pPr>
              <w:spacing w:line="276" w:lineRule="auto"/>
              <w:jc w:val="center"/>
              <w:rPr>
                <w:rFonts w:ascii="宋体" w:hAnsi="宋体" w:eastAsia="宋体" w:cs="宋体"/>
                <w:bCs/>
                <w:szCs w:val="21"/>
              </w:rPr>
            </w:pPr>
          </w:p>
        </w:tc>
      </w:tr>
      <w:tr w14:paraId="5B7AF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7C7B8E36">
            <w:pPr>
              <w:snapToGrid w:val="0"/>
              <w:ind w:left="0" w:leftChars="0" w:right="0" w:rightChars="0" w:firstLine="0" w:firstLineChars="0"/>
              <w:jc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sz w:val="20"/>
                <w:szCs w:val="20"/>
                <w:u w:val="none"/>
                <w:lang w:val="en-US" w:eastAsia="zh-CN"/>
              </w:rPr>
              <w:t>/</w:t>
            </w:r>
          </w:p>
        </w:tc>
        <w:tc>
          <w:tcPr>
            <w:tcW w:w="841" w:type="dxa"/>
            <w:vMerge w:val="continue"/>
          </w:tcPr>
          <w:p w14:paraId="44562895">
            <w:pPr>
              <w:spacing w:line="276" w:lineRule="auto"/>
              <w:jc w:val="center"/>
              <w:rPr>
                <w:rFonts w:ascii="宋体" w:hAnsi="宋体" w:eastAsia="宋体" w:cs="宋体"/>
                <w:bCs/>
                <w:szCs w:val="21"/>
              </w:rPr>
            </w:pPr>
          </w:p>
        </w:tc>
        <w:tc>
          <w:tcPr>
            <w:tcW w:w="9389" w:type="dxa"/>
            <w:gridSpan w:val="11"/>
            <w:vAlign w:val="center"/>
          </w:tcPr>
          <w:p w14:paraId="748089A8">
            <w:pPr>
              <w:spacing w:line="276" w:lineRule="auto"/>
              <w:jc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视频监控设备</w:t>
            </w:r>
          </w:p>
        </w:tc>
      </w:tr>
      <w:tr w14:paraId="3E659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1FBC6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48</w:t>
            </w:r>
          </w:p>
        </w:tc>
        <w:tc>
          <w:tcPr>
            <w:tcW w:w="841" w:type="dxa"/>
            <w:vMerge w:val="continue"/>
          </w:tcPr>
          <w:p w14:paraId="2E85BB4E">
            <w:pPr>
              <w:spacing w:line="276" w:lineRule="auto"/>
              <w:jc w:val="center"/>
              <w:rPr>
                <w:rFonts w:ascii="宋体" w:hAnsi="宋体" w:eastAsia="宋体" w:cs="宋体"/>
                <w:bCs/>
                <w:szCs w:val="21"/>
              </w:rPr>
            </w:pPr>
          </w:p>
        </w:tc>
        <w:tc>
          <w:tcPr>
            <w:tcW w:w="1223" w:type="dxa"/>
            <w:shd w:val="clear" w:color="auto" w:fill="auto"/>
            <w:vAlign w:val="center"/>
          </w:tcPr>
          <w:p w14:paraId="101E7C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路口摄像机</w:t>
            </w:r>
          </w:p>
        </w:tc>
        <w:tc>
          <w:tcPr>
            <w:tcW w:w="890" w:type="dxa"/>
            <w:vAlign w:val="center"/>
          </w:tcPr>
          <w:p w14:paraId="3BBD6EAC">
            <w:pPr>
              <w:spacing w:line="276" w:lineRule="auto"/>
              <w:jc w:val="center"/>
              <w:rPr>
                <w:rFonts w:ascii="宋体" w:hAnsi="宋体" w:eastAsia="宋体" w:cs="宋体"/>
                <w:bCs/>
                <w:szCs w:val="21"/>
              </w:rPr>
            </w:pPr>
          </w:p>
        </w:tc>
        <w:tc>
          <w:tcPr>
            <w:tcW w:w="508" w:type="dxa"/>
            <w:vAlign w:val="center"/>
          </w:tcPr>
          <w:p w14:paraId="1F6BD5D8">
            <w:pPr>
              <w:spacing w:line="276" w:lineRule="auto"/>
              <w:jc w:val="center"/>
              <w:rPr>
                <w:rFonts w:ascii="宋体" w:hAnsi="宋体" w:eastAsia="宋体" w:cs="宋体"/>
                <w:bCs/>
                <w:szCs w:val="21"/>
              </w:rPr>
            </w:pPr>
          </w:p>
        </w:tc>
        <w:tc>
          <w:tcPr>
            <w:tcW w:w="810" w:type="dxa"/>
            <w:vAlign w:val="center"/>
          </w:tcPr>
          <w:p w14:paraId="1E3B2D5D">
            <w:pPr>
              <w:spacing w:line="276" w:lineRule="auto"/>
              <w:jc w:val="center"/>
              <w:rPr>
                <w:rFonts w:ascii="宋体" w:hAnsi="宋体" w:eastAsia="宋体" w:cs="宋体"/>
                <w:bCs/>
                <w:szCs w:val="21"/>
              </w:rPr>
            </w:pPr>
          </w:p>
        </w:tc>
        <w:tc>
          <w:tcPr>
            <w:tcW w:w="715" w:type="dxa"/>
            <w:vAlign w:val="center"/>
          </w:tcPr>
          <w:p w14:paraId="6CD3E9DA">
            <w:pPr>
              <w:spacing w:line="276" w:lineRule="auto"/>
              <w:jc w:val="center"/>
              <w:rPr>
                <w:rFonts w:ascii="宋体" w:hAnsi="宋体" w:eastAsia="宋体" w:cs="宋体"/>
                <w:bCs/>
                <w:szCs w:val="21"/>
              </w:rPr>
            </w:pPr>
          </w:p>
        </w:tc>
        <w:tc>
          <w:tcPr>
            <w:tcW w:w="1160" w:type="dxa"/>
            <w:vAlign w:val="center"/>
          </w:tcPr>
          <w:p w14:paraId="11D15BAA">
            <w:pPr>
              <w:spacing w:line="276" w:lineRule="auto"/>
              <w:jc w:val="center"/>
              <w:rPr>
                <w:rFonts w:ascii="宋体" w:hAnsi="宋体" w:eastAsia="宋体" w:cs="宋体"/>
                <w:bCs/>
                <w:szCs w:val="21"/>
              </w:rPr>
            </w:pPr>
          </w:p>
        </w:tc>
        <w:tc>
          <w:tcPr>
            <w:tcW w:w="917" w:type="dxa"/>
            <w:shd w:val="clear" w:color="auto" w:fill="auto"/>
            <w:vAlign w:val="center"/>
          </w:tcPr>
          <w:p w14:paraId="5826282F">
            <w:pPr>
              <w:spacing w:line="276" w:lineRule="auto"/>
              <w:jc w:val="center"/>
              <w:rPr>
                <w:rFonts w:ascii="宋体" w:hAnsi="宋体" w:eastAsia="宋体" w:cs="宋体"/>
                <w:bCs/>
                <w:szCs w:val="21"/>
              </w:rPr>
            </w:pPr>
          </w:p>
        </w:tc>
        <w:tc>
          <w:tcPr>
            <w:tcW w:w="666" w:type="dxa"/>
            <w:shd w:val="clear" w:color="auto" w:fill="auto"/>
            <w:vAlign w:val="center"/>
          </w:tcPr>
          <w:p w14:paraId="5770834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51</w:t>
            </w:r>
          </w:p>
        </w:tc>
        <w:tc>
          <w:tcPr>
            <w:tcW w:w="550" w:type="dxa"/>
            <w:shd w:val="clear" w:color="auto" w:fill="auto"/>
            <w:vAlign w:val="center"/>
          </w:tcPr>
          <w:p w14:paraId="4CFA2F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7072E006">
            <w:pPr>
              <w:spacing w:line="276" w:lineRule="auto"/>
              <w:jc w:val="center"/>
              <w:rPr>
                <w:rFonts w:ascii="宋体" w:hAnsi="宋体" w:eastAsia="宋体" w:cs="宋体"/>
                <w:bCs/>
                <w:szCs w:val="21"/>
              </w:rPr>
            </w:pPr>
          </w:p>
        </w:tc>
        <w:tc>
          <w:tcPr>
            <w:tcW w:w="983" w:type="dxa"/>
            <w:vAlign w:val="center"/>
          </w:tcPr>
          <w:p w14:paraId="6EE3F4DC">
            <w:pPr>
              <w:spacing w:line="276" w:lineRule="auto"/>
              <w:jc w:val="center"/>
              <w:rPr>
                <w:rFonts w:ascii="宋体" w:hAnsi="宋体" w:eastAsia="宋体" w:cs="宋体"/>
                <w:bCs/>
                <w:szCs w:val="21"/>
              </w:rPr>
            </w:pPr>
          </w:p>
        </w:tc>
      </w:tr>
      <w:tr w14:paraId="19FC9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5B369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49</w:t>
            </w:r>
          </w:p>
        </w:tc>
        <w:tc>
          <w:tcPr>
            <w:tcW w:w="841" w:type="dxa"/>
            <w:vMerge w:val="continue"/>
          </w:tcPr>
          <w:p w14:paraId="04AE2F3B">
            <w:pPr>
              <w:spacing w:line="276" w:lineRule="auto"/>
              <w:jc w:val="center"/>
              <w:rPr>
                <w:rFonts w:ascii="宋体" w:hAnsi="宋体" w:eastAsia="宋体" w:cs="宋体"/>
                <w:bCs/>
                <w:szCs w:val="21"/>
              </w:rPr>
            </w:pPr>
          </w:p>
        </w:tc>
        <w:tc>
          <w:tcPr>
            <w:tcW w:w="1223" w:type="dxa"/>
            <w:shd w:val="clear" w:color="auto" w:fill="auto"/>
            <w:vAlign w:val="center"/>
          </w:tcPr>
          <w:p w14:paraId="099377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工业交换机（8电+2光）</w:t>
            </w:r>
          </w:p>
        </w:tc>
        <w:tc>
          <w:tcPr>
            <w:tcW w:w="890" w:type="dxa"/>
            <w:vAlign w:val="center"/>
          </w:tcPr>
          <w:p w14:paraId="784BAE5C">
            <w:pPr>
              <w:spacing w:line="276" w:lineRule="auto"/>
              <w:jc w:val="center"/>
              <w:rPr>
                <w:rFonts w:ascii="宋体" w:hAnsi="宋体" w:eastAsia="宋体" w:cs="宋体"/>
                <w:bCs/>
                <w:szCs w:val="21"/>
              </w:rPr>
            </w:pPr>
          </w:p>
        </w:tc>
        <w:tc>
          <w:tcPr>
            <w:tcW w:w="508" w:type="dxa"/>
            <w:vAlign w:val="center"/>
          </w:tcPr>
          <w:p w14:paraId="370C2A1A">
            <w:pPr>
              <w:spacing w:line="276" w:lineRule="auto"/>
              <w:jc w:val="center"/>
              <w:rPr>
                <w:rFonts w:ascii="宋体" w:hAnsi="宋体" w:eastAsia="宋体" w:cs="宋体"/>
                <w:bCs/>
                <w:szCs w:val="21"/>
              </w:rPr>
            </w:pPr>
          </w:p>
        </w:tc>
        <w:tc>
          <w:tcPr>
            <w:tcW w:w="810" w:type="dxa"/>
            <w:vAlign w:val="center"/>
          </w:tcPr>
          <w:p w14:paraId="45D7E5F2">
            <w:pPr>
              <w:spacing w:line="276" w:lineRule="auto"/>
              <w:jc w:val="center"/>
              <w:rPr>
                <w:rFonts w:ascii="宋体" w:hAnsi="宋体" w:eastAsia="宋体" w:cs="宋体"/>
                <w:bCs/>
                <w:szCs w:val="21"/>
              </w:rPr>
            </w:pPr>
          </w:p>
        </w:tc>
        <w:tc>
          <w:tcPr>
            <w:tcW w:w="715" w:type="dxa"/>
            <w:vAlign w:val="center"/>
          </w:tcPr>
          <w:p w14:paraId="2423DF68">
            <w:pPr>
              <w:spacing w:line="276" w:lineRule="auto"/>
              <w:jc w:val="center"/>
              <w:rPr>
                <w:rFonts w:ascii="宋体" w:hAnsi="宋体" w:eastAsia="宋体" w:cs="宋体"/>
                <w:bCs/>
                <w:szCs w:val="21"/>
              </w:rPr>
            </w:pPr>
          </w:p>
        </w:tc>
        <w:tc>
          <w:tcPr>
            <w:tcW w:w="1160" w:type="dxa"/>
            <w:vAlign w:val="center"/>
          </w:tcPr>
          <w:p w14:paraId="6EC7326C">
            <w:pPr>
              <w:spacing w:line="276" w:lineRule="auto"/>
              <w:jc w:val="center"/>
              <w:rPr>
                <w:rFonts w:ascii="宋体" w:hAnsi="宋体" w:eastAsia="宋体" w:cs="宋体"/>
                <w:bCs/>
                <w:szCs w:val="21"/>
              </w:rPr>
            </w:pPr>
          </w:p>
        </w:tc>
        <w:tc>
          <w:tcPr>
            <w:tcW w:w="917" w:type="dxa"/>
            <w:shd w:val="clear" w:color="auto" w:fill="auto"/>
            <w:vAlign w:val="center"/>
          </w:tcPr>
          <w:p w14:paraId="1000C9B3">
            <w:pPr>
              <w:spacing w:line="276" w:lineRule="auto"/>
              <w:jc w:val="center"/>
              <w:rPr>
                <w:rFonts w:ascii="宋体" w:hAnsi="宋体" w:eastAsia="宋体" w:cs="宋体"/>
                <w:bCs/>
                <w:szCs w:val="21"/>
              </w:rPr>
            </w:pPr>
          </w:p>
        </w:tc>
        <w:tc>
          <w:tcPr>
            <w:tcW w:w="666" w:type="dxa"/>
            <w:shd w:val="clear" w:color="auto" w:fill="auto"/>
            <w:vAlign w:val="center"/>
          </w:tcPr>
          <w:p w14:paraId="20C02E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51</w:t>
            </w:r>
          </w:p>
        </w:tc>
        <w:tc>
          <w:tcPr>
            <w:tcW w:w="550" w:type="dxa"/>
            <w:shd w:val="clear" w:color="auto" w:fill="auto"/>
            <w:vAlign w:val="center"/>
          </w:tcPr>
          <w:p w14:paraId="7712E3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64D00221">
            <w:pPr>
              <w:spacing w:line="276" w:lineRule="auto"/>
              <w:jc w:val="center"/>
              <w:rPr>
                <w:rFonts w:ascii="宋体" w:hAnsi="宋体" w:eastAsia="宋体" w:cs="宋体"/>
                <w:bCs/>
                <w:szCs w:val="21"/>
              </w:rPr>
            </w:pPr>
          </w:p>
        </w:tc>
        <w:tc>
          <w:tcPr>
            <w:tcW w:w="983" w:type="dxa"/>
            <w:vAlign w:val="center"/>
          </w:tcPr>
          <w:p w14:paraId="5008FEDA">
            <w:pPr>
              <w:spacing w:line="276" w:lineRule="auto"/>
              <w:jc w:val="center"/>
              <w:rPr>
                <w:rFonts w:ascii="宋体" w:hAnsi="宋体" w:eastAsia="宋体" w:cs="宋体"/>
                <w:bCs/>
                <w:szCs w:val="21"/>
              </w:rPr>
            </w:pPr>
          </w:p>
        </w:tc>
      </w:tr>
      <w:tr w14:paraId="5F0F9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F9E45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w:t>
            </w:r>
          </w:p>
        </w:tc>
        <w:tc>
          <w:tcPr>
            <w:tcW w:w="841" w:type="dxa"/>
            <w:vMerge w:val="continue"/>
          </w:tcPr>
          <w:p w14:paraId="4F5B6529">
            <w:pPr>
              <w:spacing w:line="276" w:lineRule="auto"/>
              <w:jc w:val="center"/>
              <w:rPr>
                <w:rFonts w:ascii="宋体" w:hAnsi="宋体" w:eastAsia="宋体" w:cs="宋体"/>
                <w:bCs/>
                <w:szCs w:val="21"/>
              </w:rPr>
            </w:pPr>
          </w:p>
        </w:tc>
        <w:tc>
          <w:tcPr>
            <w:tcW w:w="1223" w:type="dxa"/>
            <w:shd w:val="clear" w:color="auto" w:fill="auto"/>
            <w:vAlign w:val="center"/>
          </w:tcPr>
          <w:p w14:paraId="479089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千兆光模块</w:t>
            </w:r>
          </w:p>
        </w:tc>
        <w:tc>
          <w:tcPr>
            <w:tcW w:w="890" w:type="dxa"/>
            <w:vAlign w:val="center"/>
          </w:tcPr>
          <w:p w14:paraId="2BCD5EC8">
            <w:pPr>
              <w:spacing w:line="276" w:lineRule="auto"/>
              <w:jc w:val="center"/>
              <w:rPr>
                <w:rFonts w:ascii="宋体" w:hAnsi="宋体" w:eastAsia="宋体" w:cs="宋体"/>
                <w:bCs/>
                <w:szCs w:val="21"/>
              </w:rPr>
            </w:pPr>
          </w:p>
        </w:tc>
        <w:tc>
          <w:tcPr>
            <w:tcW w:w="508" w:type="dxa"/>
            <w:vAlign w:val="center"/>
          </w:tcPr>
          <w:p w14:paraId="7F900D06">
            <w:pPr>
              <w:spacing w:line="276" w:lineRule="auto"/>
              <w:jc w:val="center"/>
              <w:rPr>
                <w:rFonts w:ascii="宋体" w:hAnsi="宋体" w:eastAsia="宋体" w:cs="宋体"/>
                <w:bCs/>
                <w:szCs w:val="21"/>
              </w:rPr>
            </w:pPr>
          </w:p>
        </w:tc>
        <w:tc>
          <w:tcPr>
            <w:tcW w:w="810" w:type="dxa"/>
            <w:vAlign w:val="center"/>
          </w:tcPr>
          <w:p w14:paraId="691EB280">
            <w:pPr>
              <w:spacing w:line="276" w:lineRule="auto"/>
              <w:jc w:val="center"/>
              <w:rPr>
                <w:rFonts w:ascii="宋体" w:hAnsi="宋体" w:eastAsia="宋体" w:cs="宋体"/>
                <w:bCs/>
                <w:szCs w:val="21"/>
              </w:rPr>
            </w:pPr>
          </w:p>
        </w:tc>
        <w:tc>
          <w:tcPr>
            <w:tcW w:w="715" w:type="dxa"/>
            <w:vAlign w:val="center"/>
          </w:tcPr>
          <w:p w14:paraId="2D3C90C0">
            <w:pPr>
              <w:spacing w:line="276" w:lineRule="auto"/>
              <w:jc w:val="center"/>
              <w:rPr>
                <w:rFonts w:ascii="宋体" w:hAnsi="宋体" w:eastAsia="宋体" w:cs="宋体"/>
                <w:bCs/>
                <w:szCs w:val="21"/>
              </w:rPr>
            </w:pPr>
          </w:p>
        </w:tc>
        <w:tc>
          <w:tcPr>
            <w:tcW w:w="1160" w:type="dxa"/>
            <w:vAlign w:val="center"/>
          </w:tcPr>
          <w:p w14:paraId="4E94791F">
            <w:pPr>
              <w:spacing w:line="276" w:lineRule="auto"/>
              <w:jc w:val="center"/>
              <w:rPr>
                <w:rFonts w:ascii="宋体" w:hAnsi="宋体" w:eastAsia="宋体" w:cs="宋体"/>
                <w:bCs/>
                <w:szCs w:val="21"/>
              </w:rPr>
            </w:pPr>
          </w:p>
        </w:tc>
        <w:tc>
          <w:tcPr>
            <w:tcW w:w="917" w:type="dxa"/>
            <w:shd w:val="clear" w:color="auto" w:fill="auto"/>
            <w:vAlign w:val="center"/>
          </w:tcPr>
          <w:p w14:paraId="4AD8DD6E">
            <w:pPr>
              <w:spacing w:line="276" w:lineRule="auto"/>
              <w:jc w:val="center"/>
              <w:rPr>
                <w:rFonts w:ascii="宋体" w:hAnsi="宋体" w:eastAsia="宋体" w:cs="宋体"/>
                <w:bCs/>
                <w:szCs w:val="21"/>
              </w:rPr>
            </w:pPr>
          </w:p>
        </w:tc>
        <w:tc>
          <w:tcPr>
            <w:tcW w:w="666" w:type="dxa"/>
            <w:shd w:val="clear" w:color="auto" w:fill="auto"/>
            <w:vAlign w:val="center"/>
          </w:tcPr>
          <w:p w14:paraId="763648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102</w:t>
            </w:r>
          </w:p>
        </w:tc>
        <w:tc>
          <w:tcPr>
            <w:tcW w:w="550" w:type="dxa"/>
            <w:shd w:val="clear" w:color="auto" w:fill="auto"/>
            <w:vAlign w:val="center"/>
          </w:tcPr>
          <w:p w14:paraId="2A35C9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个</w:t>
            </w:r>
          </w:p>
        </w:tc>
        <w:tc>
          <w:tcPr>
            <w:tcW w:w="967" w:type="dxa"/>
            <w:vAlign w:val="center"/>
          </w:tcPr>
          <w:p w14:paraId="7AAFA5C9">
            <w:pPr>
              <w:spacing w:line="276" w:lineRule="auto"/>
              <w:jc w:val="center"/>
              <w:rPr>
                <w:rFonts w:ascii="宋体" w:hAnsi="宋体" w:eastAsia="宋体" w:cs="宋体"/>
                <w:bCs/>
                <w:szCs w:val="21"/>
              </w:rPr>
            </w:pPr>
          </w:p>
        </w:tc>
        <w:tc>
          <w:tcPr>
            <w:tcW w:w="983" w:type="dxa"/>
            <w:vAlign w:val="center"/>
          </w:tcPr>
          <w:p w14:paraId="13ED0F27">
            <w:pPr>
              <w:spacing w:line="276" w:lineRule="auto"/>
              <w:jc w:val="center"/>
              <w:rPr>
                <w:rFonts w:ascii="宋体" w:hAnsi="宋体" w:eastAsia="宋体" w:cs="宋体"/>
                <w:bCs/>
                <w:szCs w:val="21"/>
              </w:rPr>
            </w:pPr>
          </w:p>
        </w:tc>
      </w:tr>
      <w:tr w14:paraId="4B987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540253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51</w:t>
            </w:r>
          </w:p>
        </w:tc>
        <w:tc>
          <w:tcPr>
            <w:tcW w:w="841" w:type="dxa"/>
            <w:vMerge w:val="continue"/>
          </w:tcPr>
          <w:p w14:paraId="26444A0C">
            <w:pPr>
              <w:spacing w:line="276" w:lineRule="auto"/>
              <w:jc w:val="center"/>
              <w:rPr>
                <w:rFonts w:ascii="宋体" w:hAnsi="宋体" w:eastAsia="宋体" w:cs="宋体"/>
                <w:bCs/>
                <w:szCs w:val="21"/>
              </w:rPr>
            </w:pPr>
          </w:p>
        </w:tc>
        <w:tc>
          <w:tcPr>
            <w:tcW w:w="1223" w:type="dxa"/>
            <w:shd w:val="clear" w:color="auto" w:fill="auto"/>
            <w:vAlign w:val="center"/>
          </w:tcPr>
          <w:p w14:paraId="5B599A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二合一防雷器</w:t>
            </w:r>
          </w:p>
        </w:tc>
        <w:tc>
          <w:tcPr>
            <w:tcW w:w="890" w:type="dxa"/>
            <w:vAlign w:val="center"/>
          </w:tcPr>
          <w:p w14:paraId="7CBE0F2E">
            <w:pPr>
              <w:spacing w:line="276" w:lineRule="auto"/>
              <w:jc w:val="center"/>
              <w:rPr>
                <w:rFonts w:ascii="宋体" w:hAnsi="宋体" w:eastAsia="宋体" w:cs="宋体"/>
                <w:bCs/>
                <w:szCs w:val="21"/>
              </w:rPr>
            </w:pPr>
          </w:p>
        </w:tc>
        <w:tc>
          <w:tcPr>
            <w:tcW w:w="508" w:type="dxa"/>
            <w:vAlign w:val="center"/>
          </w:tcPr>
          <w:p w14:paraId="7AACA61C">
            <w:pPr>
              <w:spacing w:line="276" w:lineRule="auto"/>
              <w:jc w:val="center"/>
              <w:rPr>
                <w:rFonts w:ascii="宋体" w:hAnsi="宋体" w:eastAsia="宋体" w:cs="宋体"/>
                <w:bCs/>
                <w:szCs w:val="21"/>
              </w:rPr>
            </w:pPr>
          </w:p>
        </w:tc>
        <w:tc>
          <w:tcPr>
            <w:tcW w:w="810" w:type="dxa"/>
            <w:vAlign w:val="center"/>
          </w:tcPr>
          <w:p w14:paraId="3A9366D1">
            <w:pPr>
              <w:spacing w:line="276" w:lineRule="auto"/>
              <w:jc w:val="center"/>
              <w:rPr>
                <w:rFonts w:ascii="宋体" w:hAnsi="宋体" w:eastAsia="宋体" w:cs="宋体"/>
                <w:bCs/>
                <w:szCs w:val="21"/>
              </w:rPr>
            </w:pPr>
          </w:p>
        </w:tc>
        <w:tc>
          <w:tcPr>
            <w:tcW w:w="715" w:type="dxa"/>
            <w:vAlign w:val="center"/>
          </w:tcPr>
          <w:p w14:paraId="11202C3E">
            <w:pPr>
              <w:spacing w:line="276" w:lineRule="auto"/>
              <w:jc w:val="center"/>
              <w:rPr>
                <w:rFonts w:ascii="宋体" w:hAnsi="宋体" w:eastAsia="宋体" w:cs="宋体"/>
                <w:bCs/>
                <w:szCs w:val="21"/>
              </w:rPr>
            </w:pPr>
          </w:p>
        </w:tc>
        <w:tc>
          <w:tcPr>
            <w:tcW w:w="1160" w:type="dxa"/>
            <w:vAlign w:val="center"/>
          </w:tcPr>
          <w:p w14:paraId="49A0ECC2">
            <w:pPr>
              <w:spacing w:line="276" w:lineRule="auto"/>
              <w:jc w:val="center"/>
              <w:rPr>
                <w:rFonts w:ascii="宋体" w:hAnsi="宋体" w:eastAsia="宋体" w:cs="宋体"/>
                <w:bCs/>
                <w:szCs w:val="21"/>
              </w:rPr>
            </w:pPr>
          </w:p>
        </w:tc>
        <w:tc>
          <w:tcPr>
            <w:tcW w:w="917" w:type="dxa"/>
            <w:shd w:val="clear" w:color="auto" w:fill="auto"/>
            <w:vAlign w:val="center"/>
          </w:tcPr>
          <w:p w14:paraId="6B3F7D8E">
            <w:pPr>
              <w:spacing w:line="276" w:lineRule="auto"/>
              <w:jc w:val="center"/>
              <w:rPr>
                <w:rFonts w:ascii="宋体" w:hAnsi="宋体" w:eastAsia="宋体" w:cs="宋体"/>
                <w:bCs/>
                <w:szCs w:val="21"/>
              </w:rPr>
            </w:pPr>
          </w:p>
        </w:tc>
        <w:tc>
          <w:tcPr>
            <w:tcW w:w="666" w:type="dxa"/>
            <w:shd w:val="clear" w:color="auto" w:fill="auto"/>
            <w:vAlign w:val="center"/>
          </w:tcPr>
          <w:p w14:paraId="7DBA329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51</w:t>
            </w:r>
          </w:p>
        </w:tc>
        <w:tc>
          <w:tcPr>
            <w:tcW w:w="550" w:type="dxa"/>
            <w:shd w:val="clear" w:color="auto" w:fill="auto"/>
            <w:vAlign w:val="center"/>
          </w:tcPr>
          <w:p w14:paraId="31326C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个</w:t>
            </w:r>
          </w:p>
        </w:tc>
        <w:tc>
          <w:tcPr>
            <w:tcW w:w="967" w:type="dxa"/>
            <w:vAlign w:val="center"/>
          </w:tcPr>
          <w:p w14:paraId="54D14A43">
            <w:pPr>
              <w:spacing w:line="276" w:lineRule="auto"/>
              <w:jc w:val="center"/>
              <w:rPr>
                <w:rFonts w:ascii="宋体" w:hAnsi="宋体" w:eastAsia="宋体" w:cs="宋体"/>
                <w:bCs/>
                <w:szCs w:val="21"/>
              </w:rPr>
            </w:pPr>
          </w:p>
        </w:tc>
        <w:tc>
          <w:tcPr>
            <w:tcW w:w="983" w:type="dxa"/>
            <w:vAlign w:val="center"/>
          </w:tcPr>
          <w:p w14:paraId="217FCBF1">
            <w:pPr>
              <w:spacing w:line="276" w:lineRule="auto"/>
              <w:jc w:val="center"/>
              <w:rPr>
                <w:rFonts w:ascii="宋体" w:hAnsi="宋体" w:eastAsia="宋体" w:cs="宋体"/>
                <w:bCs/>
                <w:szCs w:val="21"/>
              </w:rPr>
            </w:pPr>
          </w:p>
        </w:tc>
      </w:tr>
      <w:tr w14:paraId="17A55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ADCF5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52</w:t>
            </w:r>
          </w:p>
        </w:tc>
        <w:tc>
          <w:tcPr>
            <w:tcW w:w="841" w:type="dxa"/>
            <w:vMerge w:val="continue"/>
          </w:tcPr>
          <w:p w14:paraId="1774DEF5">
            <w:pPr>
              <w:spacing w:line="276" w:lineRule="auto"/>
              <w:jc w:val="center"/>
              <w:rPr>
                <w:rFonts w:ascii="宋体" w:hAnsi="宋体" w:eastAsia="宋体" w:cs="宋体"/>
                <w:bCs/>
                <w:szCs w:val="21"/>
              </w:rPr>
            </w:pPr>
          </w:p>
        </w:tc>
        <w:tc>
          <w:tcPr>
            <w:tcW w:w="1223" w:type="dxa"/>
            <w:shd w:val="clear" w:color="auto" w:fill="auto"/>
            <w:vAlign w:val="center"/>
          </w:tcPr>
          <w:p w14:paraId="4BE0AF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挂杆箱</w:t>
            </w:r>
          </w:p>
        </w:tc>
        <w:tc>
          <w:tcPr>
            <w:tcW w:w="890" w:type="dxa"/>
            <w:vAlign w:val="center"/>
          </w:tcPr>
          <w:p w14:paraId="00A2305C">
            <w:pPr>
              <w:spacing w:line="276" w:lineRule="auto"/>
              <w:jc w:val="center"/>
              <w:rPr>
                <w:rFonts w:ascii="宋体" w:hAnsi="宋体" w:eastAsia="宋体" w:cs="宋体"/>
                <w:bCs/>
                <w:szCs w:val="21"/>
              </w:rPr>
            </w:pPr>
          </w:p>
        </w:tc>
        <w:tc>
          <w:tcPr>
            <w:tcW w:w="508" w:type="dxa"/>
            <w:vAlign w:val="center"/>
          </w:tcPr>
          <w:p w14:paraId="648F54F2">
            <w:pPr>
              <w:spacing w:line="276" w:lineRule="auto"/>
              <w:jc w:val="center"/>
              <w:rPr>
                <w:rFonts w:ascii="宋体" w:hAnsi="宋体" w:eastAsia="宋体" w:cs="宋体"/>
                <w:bCs/>
                <w:szCs w:val="21"/>
              </w:rPr>
            </w:pPr>
          </w:p>
        </w:tc>
        <w:tc>
          <w:tcPr>
            <w:tcW w:w="810" w:type="dxa"/>
            <w:vAlign w:val="center"/>
          </w:tcPr>
          <w:p w14:paraId="5ADFAB17">
            <w:pPr>
              <w:spacing w:line="276" w:lineRule="auto"/>
              <w:jc w:val="center"/>
              <w:rPr>
                <w:rFonts w:ascii="宋体" w:hAnsi="宋体" w:eastAsia="宋体" w:cs="宋体"/>
                <w:bCs/>
                <w:szCs w:val="21"/>
              </w:rPr>
            </w:pPr>
          </w:p>
        </w:tc>
        <w:tc>
          <w:tcPr>
            <w:tcW w:w="715" w:type="dxa"/>
            <w:vAlign w:val="center"/>
          </w:tcPr>
          <w:p w14:paraId="3C68AC8B">
            <w:pPr>
              <w:spacing w:line="276" w:lineRule="auto"/>
              <w:jc w:val="center"/>
              <w:rPr>
                <w:rFonts w:ascii="宋体" w:hAnsi="宋体" w:eastAsia="宋体" w:cs="宋体"/>
                <w:bCs/>
                <w:szCs w:val="21"/>
              </w:rPr>
            </w:pPr>
          </w:p>
        </w:tc>
        <w:tc>
          <w:tcPr>
            <w:tcW w:w="1160" w:type="dxa"/>
            <w:vAlign w:val="center"/>
          </w:tcPr>
          <w:p w14:paraId="6CE48F7B">
            <w:pPr>
              <w:spacing w:line="276" w:lineRule="auto"/>
              <w:jc w:val="center"/>
              <w:rPr>
                <w:rFonts w:ascii="宋体" w:hAnsi="宋体" w:eastAsia="宋体" w:cs="宋体"/>
                <w:bCs/>
                <w:szCs w:val="21"/>
              </w:rPr>
            </w:pPr>
          </w:p>
        </w:tc>
        <w:tc>
          <w:tcPr>
            <w:tcW w:w="917" w:type="dxa"/>
            <w:shd w:val="clear" w:color="auto" w:fill="auto"/>
            <w:vAlign w:val="center"/>
          </w:tcPr>
          <w:p w14:paraId="57B7462E">
            <w:pPr>
              <w:spacing w:line="276" w:lineRule="auto"/>
              <w:jc w:val="center"/>
              <w:rPr>
                <w:rFonts w:ascii="宋体" w:hAnsi="宋体" w:eastAsia="宋体" w:cs="宋体"/>
                <w:bCs/>
                <w:szCs w:val="21"/>
              </w:rPr>
            </w:pPr>
          </w:p>
        </w:tc>
        <w:tc>
          <w:tcPr>
            <w:tcW w:w="666" w:type="dxa"/>
            <w:shd w:val="clear" w:color="auto" w:fill="auto"/>
            <w:vAlign w:val="center"/>
          </w:tcPr>
          <w:p w14:paraId="5A66DF9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51</w:t>
            </w:r>
          </w:p>
        </w:tc>
        <w:tc>
          <w:tcPr>
            <w:tcW w:w="550" w:type="dxa"/>
            <w:shd w:val="clear" w:color="auto" w:fill="auto"/>
            <w:vAlign w:val="center"/>
          </w:tcPr>
          <w:p w14:paraId="4CA254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个</w:t>
            </w:r>
          </w:p>
        </w:tc>
        <w:tc>
          <w:tcPr>
            <w:tcW w:w="967" w:type="dxa"/>
            <w:vAlign w:val="center"/>
          </w:tcPr>
          <w:p w14:paraId="21974164">
            <w:pPr>
              <w:spacing w:line="276" w:lineRule="auto"/>
              <w:jc w:val="center"/>
              <w:rPr>
                <w:rFonts w:ascii="宋体" w:hAnsi="宋体" w:eastAsia="宋体" w:cs="宋体"/>
                <w:bCs/>
                <w:szCs w:val="21"/>
              </w:rPr>
            </w:pPr>
          </w:p>
        </w:tc>
        <w:tc>
          <w:tcPr>
            <w:tcW w:w="983" w:type="dxa"/>
            <w:vAlign w:val="center"/>
          </w:tcPr>
          <w:p w14:paraId="11C50D57">
            <w:pPr>
              <w:spacing w:line="276" w:lineRule="auto"/>
              <w:jc w:val="center"/>
              <w:rPr>
                <w:rFonts w:ascii="宋体" w:hAnsi="宋体" w:eastAsia="宋体" w:cs="宋体"/>
                <w:bCs/>
                <w:szCs w:val="21"/>
              </w:rPr>
            </w:pPr>
          </w:p>
        </w:tc>
      </w:tr>
      <w:tr w14:paraId="36E34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12E00FA">
            <w:pPr>
              <w:snapToGrid w:val="0"/>
              <w:ind w:left="0" w:leftChars="0" w:right="0" w:rightChars="0" w:firstLine="0" w:firstLineChars="0"/>
              <w:jc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sz w:val="20"/>
                <w:szCs w:val="20"/>
                <w:u w:val="none"/>
                <w:lang w:val="en-US" w:eastAsia="zh-CN"/>
              </w:rPr>
              <w:t>/</w:t>
            </w:r>
          </w:p>
        </w:tc>
        <w:tc>
          <w:tcPr>
            <w:tcW w:w="841" w:type="dxa"/>
            <w:vMerge w:val="continue"/>
          </w:tcPr>
          <w:p w14:paraId="0EFDF87F">
            <w:pPr>
              <w:spacing w:line="276" w:lineRule="auto"/>
              <w:jc w:val="center"/>
              <w:rPr>
                <w:rFonts w:ascii="宋体" w:hAnsi="宋体" w:eastAsia="宋体" w:cs="宋体"/>
                <w:bCs/>
                <w:szCs w:val="21"/>
              </w:rPr>
            </w:pPr>
          </w:p>
        </w:tc>
        <w:tc>
          <w:tcPr>
            <w:tcW w:w="9389" w:type="dxa"/>
            <w:gridSpan w:val="11"/>
            <w:vAlign w:val="center"/>
          </w:tcPr>
          <w:p w14:paraId="567C346A">
            <w:pPr>
              <w:spacing w:line="276" w:lineRule="auto"/>
              <w:jc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车道级微创新设备</w:t>
            </w:r>
          </w:p>
        </w:tc>
      </w:tr>
      <w:tr w14:paraId="7A760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776A1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53</w:t>
            </w:r>
          </w:p>
        </w:tc>
        <w:tc>
          <w:tcPr>
            <w:tcW w:w="841" w:type="dxa"/>
            <w:vMerge w:val="continue"/>
          </w:tcPr>
          <w:p w14:paraId="754B3163">
            <w:pPr>
              <w:spacing w:line="276" w:lineRule="auto"/>
              <w:jc w:val="center"/>
              <w:rPr>
                <w:rFonts w:ascii="宋体" w:hAnsi="宋体" w:eastAsia="宋体" w:cs="宋体"/>
                <w:bCs/>
                <w:szCs w:val="21"/>
              </w:rPr>
            </w:pPr>
          </w:p>
        </w:tc>
        <w:tc>
          <w:tcPr>
            <w:tcW w:w="1223" w:type="dxa"/>
            <w:shd w:val="clear" w:color="auto" w:fill="auto"/>
            <w:vAlign w:val="center"/>
          </w:tcPr>
          <w:p w14:paraId="7AE1DC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借道左转指示牌</w:t>
            </w:r>
          </w:p>
        </w:tc>
        <w:tc>
          <w:tcPr>
            <w:tcW w:w="890" w:type="dxa"/>
            <w:vAlign w:val="center"/>
          </w:tcPr>
          <w:p w14:paraId="48987DE0">
            <w:pPr>
              <w:spacing w:line="276" w:lineRule="auto"/>
              <w:jc w:val="center"/>
              <w:rPr>
                <w:rFonts w:ascii="宋体" w:hAnsi="宋体" w:eastAsia="宋体" w:cs="宋体"/>
                <w:bCs/>
                <w:szCs w:val="21"/>
              </w:rPr>
            </w:pPr>
          </w:p>
        </w:tc>
        <w:tc>
          <w:tcPr>
            <w:tcW w:w="508" w:type="dxa"/>
            <w:vAlign w:val="center"/>
          </w:tcPr>
          <w:p w14:paraId="4E807EC8">
            <w:pPr>
              <w:spacing w:line="276" w:lineRule="auto"/>
              <w:jc w:val="center"/>
              <w:rPr>
                <w:rFonts w:ascii="宋体" w:hAnsi="宋体" w:eastAsia="宋体" w:cs="宋体"/>
                <w:bCs/>
                <w:szCs w:val="21"/>
              </w:rPr>
            </w:pPr>
          </w:p>
        </w:tc>
        <w:tc>
          <w:tcPr>
            <w:tcW w:w="810" w:type="dxa"/>
            <w:vAlign w:val="center"/>
          </w:tcPr>
          <w:p w14:paraId="7FBD6779">
            <w:pPr>
              <w:spacing w:line="276" w:lineRule="auto"/>
              <w:jc w:val="center"/>
              <w:rPr>
                <w:rFonts w:ascii="宋体" w:hAnsi="宋体" w:eastAsia="宋体" w:cs="宋体"/>
                <w:bCs/>
                <w:szCs w:val="21"/>
              </w:rPr>
            </w:pPr>
          </w:p>
        </w:tc>
        <w:tc>
          <w:tcPr>
            <w:tcW w:w="715" w:type="dxa"/>
            <w:vAlign w:val="center"/>
          </w:tcPr>
          <w:p w14:paraId="30BAA233">
            <w:pPr>
              <w:spacing w:line="276" w:lineRule="auto"/>
              <w:jc w:val="center"/>
              <w:rPr>
                <w:rFonts w:ascii="宋体" w:hAnsi="宋体" w:eastAsia="宋体" w:cs="宋体"/>
                <w:bCs/>
                <w:szCs w:val="21"/>
              </w:rPr>
            </w:pPr>
          </w:p>
        </w:tc>
        <w:tc>
          <w:tcPr>
            <w:tcW w:w="1160" w:type="dxa"/>
            <w:vAlign w:val="center"/>
          </w:tcPr>
          <w:p w14:paraId="0045DC0B">
            <w:pPr>
              <w:spacing w:line="276" w:lineRule="auto"/>
              <w:jc w:val="center"/>
              <w:rPr>
                <w:rFonts w:ascii="宋体" w:hAnsi="宋体" w:eastAsia="宋体" w:cs="宋体"/>
                <w:bCs/>
                <w:szCs w:val="21"/>
              </w:rPr>
            </w:pPr>
          </w:p>
        </w:tc>
        <w:tc>
          <w:tcPr>
            <w:tcW w:w="917" w:type="dxa"/>
            <w:shd w:val="clear" w:color="auto" w:fill="auto"/>
            <w:vAlign w:val="center"/>
          </w:tcPr>
          <w:p w14:paraId="1C876DCF">
            <w:pPr>
              <w:spacing w:line="276" w:lineRule="auto"/>
              <w:jc w:val="center"/>
              <w:rPr>
                <w:rFonts w:ascii="宋体" w:hAnsi="宋体" w:eastAsia="宋体" w:cs="宋体"/>
                <w:bCs/>
                <w:szCs w:val="21"/>
              </w:rPr>
            </w:pPr>
          </w:p>
        </w:tc>
        <w:tc>
          <w:tcPr>
            <w:tcW w:w="666" w:type="dxa"/>
            <w:shd w:val="clear" w:color="auto" w:fill="auto"/>
            <w:vAlign w:val="center"/>
          </w:tcPr>
          <w:p w14:paraId="245A35F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550" w:type="dxa"/>
            <w:shd w:val="clear" w:color="auto" w:fill="auto"/>
            <w:vAlign w:val="center"/>
          </w:tcPr>
          <w:p w14:paraId="1ED4F2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137668A3">
            <w:pPr>
              <w:spacing w:line="276" w:lineRule="auto"/>
              <w:jc w:val="center"/>
              <w:rPr>
                <w:rFonts w:ascii="宋体" w:hAnsi="宋体" w:eastAsia="宋体" w:cs="宋体"/>
                <w:bCs/>
                <w:szCs w:val="21"/>
              </w:rPr>
            </w:pPr>
          </w:p>
        </w:tc>
        <w:tc>
          <w:tcPr>
            <w:tcW w:w="983" w:type="dxa"/>
            <w:vAlign w:val="center"/>
          </w:tcPr>
          <w:p w14:paraId="52526985">
            <w:pPr>
              <w:spacing w:line="276" w:lineRule="auto"/>
              <w:jc w:val="center"/>
              <w:rPr>
                <w:rFonts w:ascii="宋体" w:hAnsi="宋体" w:eastAsia="宋体" w:cs="宋体"/>
                <w:bCs/>
                <w:szCs w:val="21"/>
              </w:rPr>
            </w:pPr>
          </w:p>
        </w:tc>
      </w:tr>
      <w:tr w14:paraId="46394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9E6FD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54</w:t>
            </w:r>
          </w:p>
        </w:tc>
        <w:tc>
          <w:tcPr>
            <w:tcW w:w="841" w:type="dxa"/>
            <w:vMerge w:val="continue"/>
          </w:tcPr>
          <w:p w14:paraId="0CF7D589">
            <w:pPr>
              <w:spacing w:line="276" w:lineRule="auto"/>
              <w:jc w:val="center"/>
              <w:rPr>
                <w:rFonts w:ascii="宋体" w:hAnsi="宋体" w:eastAsia="宋体" w:cs="宋体"/>
                <w:bCs/>
                <w:szCs w:val="21"/>
              </w:rPr>
            </w:pPr>
          </w:p>
        </w:tc>
        <w:tc>
          <w:tcPr>
            <w:tcW w:w="1223" w:type="dxa"/>
            <w:shd w:val="clear" w:color="auto" w:fill="auto"/>
            <w:vAlign w:val="center"/>
          </w:tcPr>
          <w:p w14:paraId="0A685D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可变车道标志牌</w:t>
            </w:r>
          </w:p>
        </w:tc>
        <w:tc>
          <w:tcPr>
            <w:tcW w:w="890" w:type="dxa"/>
            <w:vAlign w:val="center"/>
          </w:tcPr>
          <w:p w14:paraId="315337CF">
            <w:pPr>
              <w:spacing w:line="276" w:lineRule="auto"/>
              <w:jc w:val="center"/>
              <w:rPr>
                <w:rFonts w:ascii="宋体" w:hAnsi="宋体" w:eastAsia="宋体" w:cs="宋体"/>
                <w:bCs/>
                <w:szCs w:val="21"/>
              </w:rPr>
            </w:pPr>
          </w:p>
        </w:tc>
        <w:tc>
          <w:tcPr>
            <w:tcW w:w="508" w:type="dxa"/>
            <w:vAlign w:val="center"/>
          </w:tcPr>
          <w:p w14:paraId="277BFF05">
            <w:pPr>
              <w:spacing w:line="276" w:lineRule="auto"/>
              <w:jc w:val="center"/>
              <w:rPr>
                <w:rFonts w:ascii="宋体" w:hAnsi="宋体" w:eastAsia="宋体" w:cs="宋体"/>
                <w:bCs/>
                <w:szCs w:val="21"/>
              </w:rPr>
            </w:pPr>
          </w:p>
        </w:tc>
        <w:tc>
          <w:tcPr>
            <w:tcW w:w="810" w:type="dxa"/>
            <w:vAlign w:val="center"/>
          </w:tcPr>
          <w:p w14:paraId="626BAF5E">
            <w:pPr>
              <w:spacing w:line="276" w:lineRule="auto"/>
              <w:jc w:val="center"/>
              <w:rPr>
                <w:rFonts w:ascii="宋体" w:hAnsi="宋体" w:eastAsia="宋体" w:cs="宋体"/>
                <w:bCs/>
                <w:szCs w:val="21"/>
              </w:rPr>
            </w:pPr>
          </w:p>
        </w:tc>
        <w:tc>
          <w:tcPr>
            <w:tcW w:w="715" w:type="dxa"/>
            <w:vAlign w:val="center"/>
          </w:tcPr>
          <w:p w14:paraId="6CF46A10">
            <w:pPr>
              <w:spacing w:line="276" w:lineRule="auto"/>
              <w:jc w:val="center"/>
              <w:rPr>
                <w:rFonts w:ascii="宋体" w:hAnsi="宋体" w:eastAsia="宋体" w:cs="宋体"/>
                <w:bCs/>
                <w:szCs w:val="21"/>
              </w:rPr>
            </w:pPr>
          </w:p>
        </w:tc>
        <w:tc>
          <w:tcPr>
            <w:tcW w:w="1160" w:type="dxa"/>
            <w:vAlign w:val="center"/>
          </w:tcPr>
          <w:p w14:paraId="5B4C6E85">
            <w:pPr>
              <w:spacing w:line="276" w:lineRule="auto"/>
              <w:jc w:val="center"/>
              <w:rPr>
                <w:rFonts w:ascii="宋体" w:hAnsi="宋体" w:eastAsia="宋体" w:cs="宋体"/>
                <w:bCs/>
                <w:szCs w:val="21"/>
              </w:rPr>
            </w:pPr>
          </w:p>
        </w:tc>
        <w:tc>
          <w:tcPr>
            <w:tcW w:w="917" w:type="dxa"/>
            <w:shd w:val="clear" w:color="auto" w:fill="auto"/>
            <w:vAlign w:val="center"/>
          </w:tcPr>
          <w:p w14:paraId="79D9E7F3">
            <w:pPr>
              <w:spacing w:line="276" w:lineRule="auto"/>
              <w:jc w:val="center"/>
              <w:rPr>
                <w:rFonts w:ascii="宋体" w:hAnsi="宋体" w:eastAsia="宋体" w:cs="宋体"/>
                <w:bCs/>
                <w:szCs w:val="21"/>
              </w:rPr>
            </w:pPr>
          </w:p>
        </w:tc>
        <w:tc>
          <w:tcPr>
            <w:tcW w:w="666" w:type="dxa"/>
            <w:shd w:val="clear" w:color="auto" w:fill="auto"/>
            <w:vAlign w:val="center"/>
          </w:tcPr>
          <w:p w14:paraId="5C6A613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w:t>
            </w:r>
          </w:p>
        </w:tc>
        <w:tc>
          <w:tcPr>
            <w:tcW w:w="550" w:type="dxa"/>
            <w:shd w:val="clear" w:color="auto" w:fill="auto"/>
            <w:vAlign w:val="center"/>
          </w:tcPr>
          <w:p w14:paraId="354190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组</w:t>
            </w:r>
          </w:p>
        </w:tc>
        <w:tc>
          <w:tcPr>
            <w:tcW w:w="967" w:type="dxa"/>
            <w:vAlign w:val="center"/>
          </w:tcPr>
          <w:p w14:paraId="20D4BCEE">
            <w:pPr>
              <w:spacing w:line="276" w:lineRule="auto"/>
              <w:jc w:val="center"/>
              <w:rPr>
                <w:rFonts w:ascii="宋体" w:hAnsi="宋体" w:eastAsia="宋体" w:cs="宋体"/>
                <w:bCs/>
                <w:szCs w:val="21"/>
              </w:rPr>
            </w:pPr>
          </w:p>
        </w:tc>
        <w:tc>
          <w:tcPr>
            <w:tcW w:w="983" w:type="dxa"/>
            <w:vAlign w:val="center"/>
          </w:tcPr>
          <w:p w14:paraId="3C48B11F">
            <w:pPr>
              <w:spacing w:line="276" w:lineRule="auto"/>
              <w:jc w:val="center"/>
              <w:rPr>
                <w:rFonts w:ascii="宋体" w:hAnsi="宋体" w:eastAsia="宋体" w:cs="宋体"/>
                <w:bCs/>
                <w:szCs w:val="21"/>
              </w:rPr>
            </w:pPr>
          </w:p>
        </w:tc>
      </w:tr>
      <w:tr w14:paraId="68CB4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32F73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55</w:t>
            </w:r>
          </w:p>
        </w:tc>
        <w:tc>
          <w:tcPr>
            <w:tcW w:w="841" w:type="dxa"/>
            <w:vMerge w:val="continue"/>
          </w:tcPr>
          <w:p w14:paraId="4E7033AA">
            <w:pPr>
              <w:spacing w:line="276" w:lineRule="auto"/>
              <w:jc w:val="center"/>
              <w:rPr>
                <w:rFonts w:ascii="宋体" w:hAnsi="宋体" w:eastAsia="宋体" w:cs="宋体"/>
                <w:bCs/>
                <w:szCs w:val="21"/>
              </w:rPr>
            </w:pPr>
          </w:p>
        </w:tc>
        <w:tc>
          <w:tcPr>
            <w:tcW w:w="1223" w:type="dxa"/>
            <w:shd w:val="clear" w:color="auto" w:fill="auto"/>
            <w:vAlign w:val="center"/>
          </w:tcPr>
          <w:p w14:paraId="7CB915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可变车道指示牌</w:t>
            </w:r>
          </w:p>
        </w:tc>
        <w:tc>
          <w:tcPr>
            <w:tcW w:w="890" w:type="dxa"/>
            <w:vAlign w:val="center"/>
          </w:tcPr>
          <w:p w14:paraId="123A74A6">
            <w:pPr>
              <w:spacing w:line="276" w:lineRule="auto"/>
              <w:jc w:val="center"/>
              <w:rPr>
                <w:rFonts w:ascii="宋体" w:hAnsi="宋体" w:eastAsia="宋体" w:cs="宋体"/>
                <w:bCs/>
                <w:szCs w:val="21"/>
              </w:rPr>
            </w:pPr>
          </w:p>
        </w:tc>
        <w:tc>
          <w:tcPr>
            <w:tcW w:w="508" w:type="dxa"/>
            <w:vAlign w:val="center"/>
          </w:tcPr>
          <w:p w14:paraId="4C5EA129">
            <w:pPr>
              <w:spacing w:line="276" w:lineRule="auto"/>
              <w:jc w:val="center"/>
              <w:rPr>
                <w:rFonts w:ascii="宋体" w:hAnsi="宋体" w:eastAsia="宋体" w:cs="宋体"/>
                <w:bCs/>
                <w:szCs w:val="21"/>
              </w:rPr>
            </w:pPr>
          </w:p>
        </w:tc>
        <w:tc>
          <w:tcPr>
            <w:tcW w:w="810" w:type="dxa"/>
            <w:vAlign w:val="center"/>
          </w:tcPr>
          <w:p w14:paraId="27F6CA7F">
            <w:pPr>
              <w:spacing w:line="276" w:lineRule="auto"/>
              <w:jc w:val="center"/>
              <w:rPr>
                <w:rFonts w:ascii="宋体" w:hAnsi="宋体" w:eastAsia="宋体" w:cs="宋体"/>
                <w:bCs/>
                <w:szCs w:val="21"/>
              </w:rPr>
            </w:pPr>
          </w:p>
        </w:tc>
        <w:tc>
          <w:tcPr>
            <w:tcW w:w="715" w:type="dxa"/>
            <w:vAlign w:val="center"/>
          </w:tcPr>
          <w:p w14:paraId="28F4A102">
            <w:pPr>
              <w:spacing w:line="276" w:lineRule="auto"/>
              <w:jc w:val="center"/>
              <w:rPr>
                <w:rFonts w:ascii="宋体" w:hAnsi="宋体" w:eastAsia="宋体" w:cs="宋体"/>
                <w:bCs/>
                <w:szCs w:val="21"/>
              </w:rPr>
            </w:pPr>
          </w:p>
        </w:tc>
        <w:tc>
          <w:tcPr>
            <w:tcW w:w="1160" w:type="dxa"/>
            <w:vAlign w:val="center"/>
          </w:tcPr>
          <w:p w14:paraId="05ED5A64">
            <w:pPr>
              <w:spacing w:line="276" w:lineRule="auto"/>
              <w:jc w:val="center"/>
              <w:rPr>
                <w:rFonts w:ascii="宋体" w:hAnsi="宋体" w:eastAsia="宋体" w:cs="宋体"/>
                <w:bCs/>
                <w:szCs w:val="21"/>
              </w:rPr>
            </w:pPr>
          </w:p>
        </w:tc>
        <w:tc>
          <w:tcPr>
            <w:tcW w:w="917" w:type="dxa"/>
            <w:shd w:val="clear" w:color="auto" w:fill="auto"/>
            <w:vAlign w:val="center"/>
          </w:tcPr>
          <w:p w14:paraId="484F2012">
            <w:pPr>
              <w:spacing w:line="276" w:lineRule="auto"/>
              <w:jc w:val="center"/>
              <w:rPr>
                <w:rFonts w:ascii="宋体" w:hAnsi="宋体" w:eastAsia="宋体" w:cs="宋体"/>
                <w:bCs/>
                <w:szCs w:val="21"/>
              </w:rPr>
            </w:pPr>
          </w:p>
        </w:tc>
        <w:tc>
          <w:tcPr>
            <w:tcW w:w="666" w:type="dxa"/>
            <w:shd w:val="clear" w:color="auto" w:fill="auto"/>
            <w:vAlign w:val="center"/>
          </w:tcPr>
          <w:p w14:paraId="4F28769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w:t>
            </w:r>
          </w:p>
        </w:tc>
        <w:tc>
          <w:tcPr>
            <w:tcW w:w="550" w:type="dxa"/>
            <w:shd w:val="clear" w:color="auto" w:fill="auto"/>
            <w:vAlign w:val="center"/>
          </w:tcPr>
          <w:p w14:paraId="1B2CD2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组</w:t>
            </w:r>
          </w:p>
        </w:tc>
        <w:tc>
          <w:tcPr>
            <w:tcW w:w="967" w:type="dxa"/>
            <w:vAlign w:val="center"/>
          </w:tcPr>
          <w:p w14:paraId="03D027C0">
            <w:pPr>
              <w:spacing w:line="276" w:lineRule="auto"/>
              <w:jc w:val="center"/>
              <w:rPr>
                <w:rFonts w:ascii="宋体" w:hAnsi="宋体" w:eastAsia="宋体" w:cs="宋体"/>
                <w:bCs/>
                <w:szCs w:val="21"/>
              </w:rPr>
            </w:pPr>
          </w:p>
        </w:tc>
        <w:tc>
          <w:tcPr>
            <w:tcW w:w="983" w:type="dxa"/>
            <w:vAlign w:val="center"/>
          </w:tcPr>
          <w:p w14:paraId="1ECD02AF">
            <w:pPr>
              <w:spacing w:line="276" w:lineRule="auto"/>
              <w:jc w:val="center"/>
              <w:rPr>
                <w:rFonts w:ascii="宋体" w:hAnsi="宋体" w:eastAsia="宋体" w:cs="宋体"/>
                <w:bCs/>
                <w:szCs w:val="21"/>
              </w:rPr>
            </w:pPr>
          </w:p>
        </w:tc>
      </w:tr>
      <w:tr w14:paraId="65422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661C65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t>（三）</w:t>
            </w:r>
          </w:p>
        </w:tc>
        <w:tc>
          <w:tcPr>
            <w:tcW w:w="841" w:type="dxa"/>
            <w:vMerge w:val="continue"/>
          </w:tcPr>
          <w:p w14:paraId="63D12E07">
            <w:pPr>
              <w:spacing w:line="276" w:lineRule="auto"/>
              <w:jc w:val="center"/>
              <w:rPr>
                <w:rFonts w:ascii="宋体" w:hAnsi="宋体" w:eastAsia="宋体" w:cs="宋体"/>
                <w:bCs/>
                <w:szCs w:val="21"/>
              </w:rPr>
            </w:pPr>
          </w:p>
        </w:tc>
        <w:tc>
          <w:tcPr>
            <w:tcW w:w="9389" w:type="dxa"/>
            <w:gridSpan w:val="11"/>
            <w:vAlign w:val="center"/>
          </w:tcPr>
          <w:p w14:paraId="73509AEF">
            <w:pPr>
              <w:spacing w:line="276" w:lineRule="auto"/>
              <w:jc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智慧公交设施</w:t>
            </w:r>
          </w:p>
        </w:tc>
      </w:tr>
      <w:tr w14:paraId="74B5E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8D6BB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FF0000"/>
                <w:kern w:val="2"/>
                <w:sz w:val="20"/>
                <w:szCs w:val="20"/>
                <w:u w:val="none"/>
                <w:lang w:val="en-US" w:eastAsia="zh-CN" w:bidi="ar-SA"/>
              </w:rPr>
            </w:pPr>
            <w:r>
              <w:rPr>
                <w:rFonts w:hint="eastAsia" w:ascii="宋体" w:hAnsi="宋体" w:eastAsia="宋体" w:cs="宋体"/>
                <w:i w:val="0"/>
                <w:iCs w:val="0"/>
                <w:color w:val="FF0000"/>
                <w:kern w:val="0"/>
                <w:sz w:val="20"/>
                <w:szCs w:val="20"/>
                <w:u w:val="none"/>
                <w:lang w:val="en-US" w:eastAsia="zh-CN" w:bidi="ar"/>
              </w:rPr>
              <w:t>56</w:t>
            </w:r>
          </w:p>
        </w:tc>
        <w:tc>
          <w:tcPr>
            <w:tcW w:w="841" w:type="dxa"/>
            <w:vMerge w:val="continue"/>
          </w:tcPr>
          <w:p w14:paraId="424CF3BB">
            <w:pPr>
              <w:spacing w:line="276" w:lineRule="auto"/>
              <w:jc w:val="center"/>
              <w:rPr>
                <w:rFonts w:ascii="宋体" w:hAnsi="宋体" w:eastAsia="宋体" w:cs="宋体"/>
                <w:bCs/>
                <w:color w:val="FF0000"/>
                <w:szCs w:val="21"/>
              </w:rPr>
            </w:pPr>
          </w:p>
        </w:tc>
        <w:tc>
          <w:tcPr>
            <w:tcW w:w="1223" w:type="dxa"/>
            <w:vAlign w:val="center"/>
          </w:tcPr>
          <w:p w14:paraId="08D3751C">
            <w:pPr>
              <w:spacing w:line="276" w:lineRule="auto"/>
              <w:jc w:val="center"/>
              <w:rPr>
                <w:rFonts w:hint="eastAsia" w:ascii="宋体" w:hAnsi="宋体" w:eastAsia="宋体" w:cs="宋体"/>
                <w:bCs/>
                <w:color w:val="FF0000"/>
                <w:szCs w:val="21"/>
              </w:rPr>
            </w:pPr>
            <w:r>
              <w:rPr>
                <w:rFonts w:hint="eastAsia" w:ascii="宋体" w:hAnsi="宋体" w:eastAsia="宋体" w:cs="宋体"/>
                <w:i w:val="0"/>
                <w:iCs w:val="0"/>
                <w:color w:val="FF0000"/>
                <w:kern w:val="0"/>
                <w:sz w:val="20"/>
                <w:szCs w:val="20"/>
                <w:u w:val="none"/>
                <w:lang w:val="en-US" w:eastAsia="zh-CN" w:bidi="ar"/>
              </w:rPr>
              <w:t>站台结构</w:t>
            </w:r>
          </w:p>
        </w:tc>
        <w:tc>
          <w:tcPr>
            <w:tcW w:w="890" w:type="dxa"/>
            <w:vAlign w:val="center"/>
          </w:tcPr>
          <w:p w14:paraId="180FAF66">
            <w:pPr>
              <w:spacing w:line="276" w:lineRule="auto"/>
              <w:jc w:val="center"/>
              <w:rPr>
                <w:rFonts w:ascii="宋体" w:hAnsi="宋体" w:eastAsia="宋体" w:cs="宋体"/>
                <w:bCs/>
                <w:color w:val="FF0000"/>
                <w:szCs w:val="21"/>
              </w:rPr>
            </w:pPr>
          </w:p>
        </w:tc>
        <w:tc>
          <w:tcPr>
            <w:tcW w:w="508" w:type="dxa"/>
            <w:vAlign w:val="center"/>
          </w:tcPr>
          <w:p w14:paraId="667D35B0">
            <w:pPr>
              <w:spacing w:line="276" w:lineRule="auto"/>
              <w:jc w:val="center"/>
              <w:rPr>
                <w:rFonts w:ascii="宋体" w:hAnsi="宋体" w:eastAsia="宋体" w:cs="宋体"/>
                <w:bCs/>
                <w:color w:val="FF0000"/>
                <w:szCs w:val="21"/>
              </w:rPr>
            </w:pPr>
          </w:p>
        </w:tc>
        <w:tc>
          <w:tcPr>
            <w:tcW w:w="810" w:type="dxa"/>
            <w:vAlign w:val="center"/>
          </w:tcPr>
          <w:p w14:paraId="6171228F">
            <w:pPr>
              <w:spacing w:line="276" w:lineRule="auto"/>
              <w:jc w:val="center"/>
              <w:rPr>
                <w:rFonts w:ascii="宋体" w:hAnsi="宋体" w:eastAsia="宋体" w:cs="宋体"/>
                <w:bCs/>
                <w:color w:val="FF0000"/>
                <w:szCs w:val="21"/>
              </w:rPr>
            </w:pPr>
          </w:p>
        </w:tc>
        <w:tc>
          <w:tcPr>
            <w:tcW w:w="715" w:type="dxa"/>
            <w:vAlign w:val="center"/>
          </w:tcPr>
          <w:p w14:paraId="7DDE532E">
            <w:pPr>
              <w:spacing w:line="276" w:lineRule="auto"/>
              <w:jc w:val="center"/>
              <w:rPr>
                <w:rFonts w:ascii="宋体" w:hAnsi="宋体" w:eastAsia="宋体" w:cs="宋体"/>
                <w:bCs/>
                <w:color w:val="FF0000"/>
                <w:szCs w:val="21"/>
              </w:rPr>
            </w:pPr>
          </w:p>
        </w:tc>
        <w:tc>
          <w:tcPr>
            <w:tcW w:w="1160" w:type="dxa"/>
            <w:vAlign w:val="center"/>
          </w:tcPr>
          <w:p w14:paraId="74A97B06">
            <w:pPr>
              <w:spacing w:line="276" w:lineRule="auto"/>
              <w:jc w:val="center"/>
              <w:rPr>
                <w:rFonts w:ascii="宋体" w:hAnsi="宋体" w:eastAsia="宋体" w:cs="宋体"/>
                <w:bCs/>
                <w:color w:val="FF0000"/>
                <w:szCs w:val="21"/>
              </w:rPr>
            </w:pPr>
          </w:p>
        </w:tc>
        <w:tc>
          <w:tcPr>
            <w:tcW w:w="917" w:type="dxa"/>
            <w:shd w:val="clear" w:color="auto" w:fill="auto"/>
            <w:vAlign w:val="center"/>
          </w:tcPr>
          <w:p w14:paraId="478A10F2">
            <w:pPr>
              <w:spacing w:line="276" w:lineRule="auto"/>
              <w:jc w:val="center"/>
              <w:rPr>
                <w:rFonts w:ascii="宋体" w:hAnsi="宋体" w:eastAsia="宋体" w:cs="宋体"/>
                <w:bCs/>
                <w:color w:val="FF0000"/>
                <w:szCs w:val="21"/>
              </w:rPr>
            </w:pPr>
          </w:p>
        </w:tc>
        <w:tc>
          <w:tcPr>
            <w:tcW w:w="666" w:type="dxa"/>
            <w:shd w:val="clear" w:color="auto" w:fill="auto"/>
            <w:vAlign w:val="center"/>
          </w:tcPr>
          <w:p w14:paraId="6041E3E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FF0000"/>
                <w:kern w:val="2"/>
                <w:sz w:val="20"/>
                <w:szCs w:val="20"/>
                <w:u w:val="none"/>
                <w:lang w:val="en-US" w:eastAsia="zh-CN" w:bidi="ar-SA"/>
              </w:rPr>
            </w:pPr>
            <w:r>
              <w:rPr>
                <w:rFonts w:hint="eastAsia" w:ascii="宋体" w:hAnsi="宋体" w:eastAsia="宋体" w:cs="宋体"/>
                <w:i w:val="0"/>
                <w:iCs w:val="0"/>
                <w:color w:val="FF0000"/>
                <w:kern w:val="0"/>
                <w:sz w:val="20"/>
                <w:szCs w:val="20"/>
                <w:u w:val="none"/>
                <w:lang w:val="en-US" w:eastAsia="zh-CN" w:bidi="ar"/>
              </w:rPr>
              <w:t>90</w:t>
            </w:r>
          </w:p>
        </w:tc>
        <w:tc>
          <w:tcPr>
            <w:tcW w:w="550" w:type="dxa"/>
            <w:shd w:val="clear" w:color="auto" w:fill="auto"/>
            <w:vAlign w:val="center"/>
          </w:tcPr>
          <w:p w14:paraId="5FB231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FF0000"/>
                <w:kern w:val="2"/>
                <w:sz w:val="20"/>
                <w:szCs w:val="20"/>
                <w:u w:val="none"/>
                <w:lang w:val="en-US" w:eastAsia="zh-CN" w:bidi="ar-SA"/>
              </w:rPr>
            </w:pPr>
            <w:r>
              <w:rPr>
                <w:rFonts w:hint="eastAsia" w:ascii="宋体" w:hAnsi="宋体" w:eastAsia="宋体" w:cs="宋体"/>
                <w:i w:val="0"/>
                <w:iCs w:val="0"/>
                <w:color w:val="FF0000"/>
                <w:kern w:val="0"/>
                <w:sz w:val="20"/>
                <w:szCs w:val="20"/>
                <w:u w:val="none"/>
                <w:lang w:val="en-US" w:eastAsia="zh-CN" w:bidi="ar"/>
              </w:rPr>
              <w:t>泊位</w:t>
            </w:r>
          </w:p>
        </w:tc>
        <w:tc>
          <w:tcPr>
            <w:tcW w:w="967" w:type="dxa"/>
            <w:vAlign w:val="center"/>
          </w:tcPr>
          <w:p w14:paraId="2CAB9A16">
            <w:pPr>
              <w:spacing w:line="276" w:lineRule="auto"/>
              <w:jc w:val="center"/>
              <w:rPr>
                <w:rFonts w:ascii="宋体" w:hAnsi="宋体" w:eastAsia="宋体" w:cs="宋体"/>
                <w:bCs/>
                <w:color w:val="FF0000"/>
                <w:szCs w:val="21"/>
              </w:rPr>
            </w:pPr>
          </w:p>
        </w:tc>
        <w:tc>
          <w:tcPr>
            <w:tcW w:w="983" w:type="dxa"/>
            <w:vAlign w:val="center"/>
          </w:tcPr>
          <w:p w14:paraId="33DE80F7">
            <w:pPr>
              <w:spacing w:line="276" w:lineRule="auto"/>
              <w:jc w:val="center"/>
              <w:rPr>
                <w:rFonts w:ascii="宋体" w:hAnsi="宋体" w:eastAsia="宋体" w:cs="宋体"/>
                <w:bCs/>
                <w:szCs w:val="21"/>
              </w:rPr>
            </w:pPr>
          </w:p>
        </w:tc>
      </w:tr>
      <w:tr w14:paraId="641A9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97C6A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t>（四）</w:t>
            </w:r>
          </w:p>
        </w:tc>
        <w:tc>
          <w:tcPr>
            <w:tcW w:w="841" w:type="dxa"/>
            <w:vMerge w:val="continue"/>
          </w:tcPr>
          <w:p w14:paraId="0C3EAF19">
            <w:pPr>
              <w:spacing w:line="276" w:lineRule="auto"/>
              <w:jc w:val="center"/>
              <w:rPr>
                <w:rFonts w:ascii="宋体" w:hAnsi="宋体" w:eastAsia="宋体" w:cs="宋体"/>
                <w:bCs/>
                <w:szCs w:val="21"/>
              </w:rPr>
            </w:pPr>
          </w:p>
        </w:tc>
        <w:tc>
          <w:tcPr>
            <w:tcW w:w="9389" w:type="dxa"/>
            <w:gridSpan w:val="11"/>
            <w:shd w:val="clear" w:color="auto" w:fill="auto"/>
            <w:vAlign w:val="center"/>
          </w:tcPr>
          <w:p w14:paraId="39BBA33A">
            <w:pPr>
              <w:snapToGrid w:val="0"/>
              <w:ind w:left="0" w:leftChars="0" w:right="0" w:rightChars="0" w:firstLine="0" w:firstLineChars="0"/>
              <w:jc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道路感知设施</w:t>
            </w:r>
          </w:p>
        </w:tc>
      </w:tr>
      <w:tr w14:paraId="12BBA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747FCA3">
            <w:pPr>
              <w:snapToGrid w:val="0"/>
              <w:ind w:left="0" w:leftChars="0" w:right="0" w:rightChars="0" w:firstLine="0" w:firstLineChars="0"/>
              <w:jc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sz w:val="20"/>
                <w:szCs w:val="20"/>
                <w:u w:val="none"/>
                <w:lang w:val="en-US" w:eastAsia="zh-CN"/>
              </w:rPr>
              <w:t>/</w:t>
            </w:r>
          </w:p>
        </w:tc>
        <w:tc>
          <w:tcPr>
            <w:tcW w:w="841" w:type="dxa"/>
            <w:vMerge w:val="continue"/>
          </w:tcPr>
          <w:p w14:paraId="5EE50192">
            <w:pPr>
              <w:spacing w:line="276" w:lineRule="auto"/>
              <w:jc w:val="center"/>
              <w:rPr>
                <w:rFonts w:ascii="宋体" w:hAnsi="宋体" w:eastAsia="宋体" w:cs="宋体"/>
                <w:bCs/>
                <w:szCs w:val="21"/>
              </w:rPr>
            </w:pPr>
          </w:p>
        </w:tc>
        <w:tc>
          <w:tcPr>
            <w:tcW w:w="9389" w:type="dxa"/>
            <w:gridSpan w:val="11"/>
            <w:shd w:val="clear" w:color="auto" w:fill="auto"/>
            <w:vAlign w:val="center"/>
          </w:tcPr>
          <w:p w14:paraId="3888E26E">
            <w:pPr>
              <w:snapToGrid w:val="0"/>
              <w:ind w:left="0" w:leftChars="0" w:right="0" w:rightChars="0" w:firstLine="0" w:firstLineChars="0"/>
              <w:jc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智慧道路模块</w:t>
            </w:r>
          </w:p>
        </w:tc>
      </w:tr>
      <w:tr w14:paraId="4A055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71B9E1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57</w:t>
            </w:r>
          </w:p>
        </w:tc>
        <w:tc>
          <w:tcPr>
            <w:tcW w:w="841" w:type="dxa"/>
            <w:vMerge w:val="continue"/>
          </w:tcPr>
          <w:p w14:paraId="05754266">
            <w:pPr>
              <w:spacing w:line="276" w:lineRule="auto"/>
              <w:jc w:val="center"/>
              <w:rPr>
                <w:rFonts w:ascii="宋体" w:hAnsi="宋体" w:eastAsia="宋体" w:cs="宋体"/>
                <w:bCs/>
                <w:szCs w:val="21"/>
              </w:rPr>
            </w:pPr>
          </w:p>
        </w:tc>
        <w:tc>
          <w:tcPr>
            <w:tcW w:w="1223" w:type="dxa"/>
            <w:shd w:val="clear" w:color="auto" w:fill="auto"/>
            <w:vAlign w:val="center"/>
          </w:tcPr>
          <w:p w14:paraId="5198C0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视频监控（数字网络球型摄像机）</w:t>
            </w:r>
          </w:p>
        </w:tc>
        <w:tc>
          <w:tcPr>
            <w:tcW w:w="890" w:type="dxa"/>
            <w:vAlign w:val="center"/>
          </w:tcPr>
          <w:p w14:paraId="283CCE3B">
            <w:pPr>
              <w:spacing w:line="276" w:lineRule="auto"/>
              <w:jc w:val="center"/>
              <w:rPr>
                <w:rFonts w:ascii="宋体" w:hAnsi="宋体" w:eastAsia="宋体" w:cs="宋体"/>
                <w:bCs/>
                <w:szCs w:val="21"/>
              </w:rPr>
            </w:pPr>
          </w:p>
        </w:tc>
        <w:tc>
          <w:tcPr>
            <w:tcW w:w="508" w:type="dxa"/>
            <w:vAlign w:val="center"/>
          </w:tcPr>
          <w:p w14:paraId="4663AC4E">
            <w:pPr>
              <w:spacing w:line="276" w:lineRule="auto"/>
              <w:jc w:val="center"/>
              <w:rPr>
                <w:rFonts w:ascii="宋体" w:hAnsi="宋体" w:eastAsia="宋体" w:cs="宋体"/>
                <w:bCs/>
                <w:szCs w:val="21"/>
              </w:rPr>
            </w:pPr>
          </w:p>
        </w:tc>
        <w:tc>
          <w:tcPr>
            <w:tcW w:w="810" w:type="dxa"/>
            <w:vAlign w:val="center"/>
          </w:tcPr>
          <w:p w14:paraId="0181E10B">
            <w:pPr>
              <w:spacing w:line="276" w:lineRule="auto"/>
              <w:jc w:val="center"/>
              <w:rPr>
                <w:rFonts w:ascii="宋体" w:hAnsi="宋体" w:eastAsia="宋体" w:cs="宋体"/>
                <w:bCs/>
                <w:szCs w:val="21"/>
              </w:rPr>
            </w:pPr>
          </w:p>
        </w:tc>
        <w:tc>
          <w:tcPr>
            <w:tcW w:w="715" w:type="dxa"/>
            <w:vAlign w:val="center"/>
          </w:tcPr>
          <w:p w14:paraId="4717E0C3">
            <w:pPr>
              <w:spacing w:line="276" w:lineRule="auto"/>
              <w:jc w:val="center"/>
              <w:rPr>
                <w:rFonts w:ascii="宋体" w:hAnsi="宋体" w:eastAsia="宋体" w:cs="宋体"/>
                <w:bCs/>
                <w:szCs w:val="21"/>
              </w:rPr>
            </w:pPr>
          </w:p>
        </w:tc>
        <w:tc>
          <w:tcPr>
            <w:tcW w:w="1160" w:type="dxa"/>
            <w:vAlign w:val="center"/>
          </w:tcPr>
          <w:p w14:paraId="582431C0">
            <w:pPr>
              <w:spacing w:line="276" w:lineRule="auto"/>
              <w:jc w:val="center"/>
              <w:rPr>
                <w:rFonts w:ascii="宋体" w:hAnsi="宋体" w:eastAsia="宋体" w:cs="宋体"/>
                <w:bCs/>
                <w:szCs w:val="21"/>
              </w:rPr>
            </w:pPr>
          </w:p>
        </w:tc>
        <w:tc>
          <w:tcPr>
            <w:tcW w:w="917" w:type="dxa"/>
            <w:shd w:val="clear" w:color="auto" w:fill="auto"/>
            <w:vAlign w:val="center"/>
          </w:tcPr>
          <w:p w14:paraId="63B5F14D">
            <w:pPr>
              <w:spacing w:line="276" w:lineRule="auto"/>
              <w:jc w:val="center"/>
              <w:rPr>
                <w:rFonts w:ascii="宋体" w:hAnsi="宋体" w:eastAsia="宋体" w:cs="宋体"/>
                <w:bCs/>
                <w:szCs w:val="21"/>
              </w:rPr>
            </w:pPr>
          </w:p>
        </w:tc>
        <w:tc>
          <w:tcPr>
            <w:tcW w:w="666" w:type="dxa"/>
            <w:shd w:val="clear" w:color="auto" w:fill="auto"/>
            <w:vAlign w:val="center"/>
          </w:tcPr>
          <w:p w14:paraId="4A69AFD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w:t>
            </w:r>
          </w:p>
        </w:tc>
        <w:tc>
          <w:tcPr>
            <w:tcW w:w="550" w:type="dxa"/>
            <w:shd w:val="clear" w:color="auto" w:fill="auto"/>
            <w:vAlign w:val="center"/>
          </w:tcPr>
          <w:p w14:paraId="6262FD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729510A9">
            <w:pPr>
              <w:spacing w:line="276" w:lineRule="auto"/>
              <w:jc w:val="center"/>
              <w:rPr>
                <w:rFonts w:ascii="宋体" w:hAnsi="宋体" w:eastAsia="宋体" w:cs="宋体"/>
                <w:bCs/>
                <w:szCs w:val="21"/>
              </w:rPr>
            </w:pPr>
          </w:p>
        </w:tc>
        <w:tc>
          <w:tcPr>
            <w:tcW w:w="983" w:type="dxa"/>
            <w:vAlign w:val="center"/>
          </w:tcPr>
          <w:p w14:paraId="63C13B6B">
            <w:pPr>
              <w:spacing w:line="276" w:lineRule="auto"/>
              <w:jc w:val="center"/>
              <w:rPr>
                <w:rFonts w:ascii="宋体" w:hAnsi="宋体" w:eastAsia="宋体" w:cs="宋体"/>
                <w:bCs/>
                <w:szCs w:val="21"/>
              </w:rPr>
            </w:pPr>
          </w:p>
        </w:tc>
      </w:tr>
      <w:tr w14:paraId="7C109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B64AD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58</w:t>
            </w:r>
          </w:p>
        </w:tc>
        <w:tc>
          <w:tcPr>
            <w:tcW w:w="841" w:type="dxa"/>
            <w:vMerge w:val="continue"/>
          </w:tcPr>
          <w:p w14:paraId="67BF10F6">
            <w:pPr>
              <w:spacing w:line="276" w:lineRule="auto"/>
              <w:jc w:val="center"/>
              <w:rPr>
                <w:rFonts w:ascii="宋体" w:hAnsi="宋体" w:eastAsia="宋体" w:cs="宋体"/>
                <w:bCs/>
                <w:szCs w:val="21"/>
              </w:rPr>
            </w:pPr>
          </w:p>
        </w:tc>
        <w:tc>
          <w:tcPr>
            <w:tcW w:w="1223" w:type="dxa"/>
            <w:shd w:val="clear" w:color="auto" w:fill="auto"/>
            <w:vAlign w:val="center"/>
          </w:tcPr>
          <w:p w14:paraId="1DFDC9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边缘计算节点</w:t>
            </w:r>
          </w:p>
        </w:tc>
        <w:tc>
          <w:tcPr>
            <w:tcW w:w="890" w:type="dxa"/>
            <w:vAlign w:val="center"/>
          </w:tcPr>
          <w:p w14:paraId="2AD9524C">
            <w:pPr>
              <w:spacing w:line="276" w:lineRule="auto"/>
              <w:jc w:val="center"/>
              <w:rPr>
                <w:rFonts w:ascii="宋体" w:hAnsi="宋体" w:eastAsia="宋体" w:cs="宋体"/>
                <w:bCs/>
                <w:szCs w:val="21"/>
              </w:rPr>
            </w:pPr>
          </w:p>
        </w:tc>
        <w:tc>
          <w:tcPr>
            <w:tcW w:w="508" w:type="dxa"/>
            <w:vAlign w:val="center"/>
          </w:tcPr>
          <w:p w14:paraId="44BB4887">
            <w:pPr>
              <w:spacing w:line="276" w:lineRule="auto"/>
              <w:jc w:val="center"/>
              <w:rPr>
                <w:rFonts w:ascii="宋体" w:hAnsi="宋体" w:eastAsia="宋体" w:cs="宋体"/>
                <w:bCs/>
                <w:szCs w:val="21"/>
              </w:rPr>
            </w:pPr>
          </w:p>
        </w:tc>
        <w:tc>
          <w:tcPr>
            <w:tcW w:w="810" w:type="dxa"/>
            <w:vAlign w:val="center"/>
          </w:tcPr>
          <w:p w14:paraId="55AE8FE2">
            <w:pPr>
              <w:spacing w:line="276" w:lineRule="auto"/>
              <w:jc w:val="center"/>
              <w:rPr>
                <w:rFonts w:ascii="宋体" w:hAnsi="宋体" w:eastAsia="宋体" w:cs="宋体"/>
                <w:bCs/>
                <w:szCs w:val="21"/>
              </w:rPr>
            </w:pPr>
          </w:p>
        </w:tc>
        <w:tc>
          <w:tcPr>
            <w:tcW w:w="715" w:type="dxa"/>
            <w:vAlign w:val="center"/>
          </w:tcPr>
          <w:p w14:paraId="4557B4F1">
            <w:pPr>
              <w:spacing w:line="276" w:lineRule="auto"/>
              <w:jc w:val="center"/>
              <w:rPr>
                <w:rFonts w:ascii="宋体" w:hAnsi="宋体" w:eastAsia="宋体" w:cs="宋体"/>
                <w:bCs/>
                <w:szCs w:val="21"/>
              </w:rPr>
            </w:pPr>
          </w:p>
        </w:tc>
        <w:tc>
          <w:tcPr>
            <w:tcW w:w="1160" w:type="dxa"/>
            <w:vAlign w:val="center"/>
          </w:tcPr>
          <w:p w14:paraId="22842242">
            <w:pPr>
              <w:spacing w:line="276" w:lineRule="auto"/>
              <w:jc w:val="center"/>
              <w:rPr>
                <w:rFonts w:ascii="宋体" w:hAnsi="宋体" w:eastAsia="宋体" w:cs="宋体"/>
                <w:bCs/>
                <w:szCs w:val="21"/>
              </w:rPr>
            </w:pPr>
          </w:p>
        </w:tc>
        <w:tc>
          <w:tcPr>
            <w:tcW w:w="917" w:type="dxa"/>
            <w:shd w:val="clear" w:color="auto" w:fill="auto"/>
            <w:vAlign w:val="center"/>
          </w:tcPr>
          <w:p w14:paraId="54A73EBA">
            <w:pPr>
              <w:spacing w:line="276" w:lineRule="auto"/>
              <w:jc w:val="center"/>
              <w:rPr>
                <w:rFonts w:ascii="宋体" w:hAnsi="宋体" w:eastAsia="宋体" w:cs="宋体"/>
                <w:bCs/>
                <w:szCs w:val="21"/>
              </w:rPr>
            </w:pPr>
          </w:p>
        </w:tc>
        <w:tc>
          <w:tcPr>
            <w:tcW w:w="666" w:type="dxa"/>
            <w:shd w:val="clear" w:color="auto" w:fill="auto"/>
            <w:vAlign w:val="center"/>
          </w:tcPr>
          <w:p w14:paraId="6241DE9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w:t>
            </w:r>
          </w:p>
        </w:tc>
        <w:tc>
          <w:tcPr>
            <w:tcW w:w="550" w:type="dxa"/>
            <w:shd w:val="clear" w:color="auto" w:fill="auto"/>
            <w:vAlign w:val="center"/>
          </w:tcPr>
          <w:p w14:paraId="002133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4E6B7D72">
            <w:pPr>
              <w:spacing w:line="276" w:lineRule="auto"/>
              <w:jc w:val="center"/>
              <w:rPr>
                <w:rFonts w:ascii="宋体" w:hAnsi="宋体" w:eastAsia="宋体" w:cs="宋体"/>
                <w:bCs/>
                <w:szCs w:val="21"/>
              </w:rPr>
            </w:pPr>
          </w:p>
        </w:tc>
        <w:tc>
          <w:tcPr>
            <w:tcW w:w="983" w:type="dxa"/>
            <w:vAlign w:val="center"/>
          </w:tcPr>
          <w:p w14:paraId="1A2860F3">
            <w:pPr>
              <w:spacing w:line="276" w:lineRule="auto"/>
              <w:jc w:val="center"/>
              <w:rPr>
                <w:rFonts w:ascii="宋体" w:hAnsi="宋体" w:eastAsia="宋体" w:cs="宋体"/>
                <w:bCs/>
                <w:szCs w:val="21"/>
              </w:rPr>
            </w:pPr>
          </w:p>
        </w:tc>
      </w:tr>
      <w:tr w14:paraId="1EB04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5DF16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59</w:t>
            </w:r>
          </w:p>
        </w:tc>
        <w:tc>
          <w:tcPr>
            <w:tcW w:w="841" w:type="dxa"/>
            <w:vMerge w:val="continue"/>
          </w:tcPr>
          <w:p w14:paraId="078D10E5">
            <w:pPr>
              <w:spacing w:line="276" w:lineRule="auto"/>
              <w:jc w:val="center"/>
              <w:rPr>
                <w:rFonts w:ascii="宋体" w:hAnsi="宋体" w:eastAsia="宋体" w:cs="宋体"/>
                <w:bCs/>
                <w:szCs w:val="21"/>
              </w:rPr>
            </w:pPr>
          </w:p>
        </w:tc>
        <w:tc>
          <w:tcPr>
            <w:tcW w:w="1223" w:type="dxa"/>
            <w:shd w:val="clear" w:color="auto" w:fill="auto"/>
            <w:vAlign w:val="center"/>
          </w:tcPr>
          <w:p w14:paraId="5FE30B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千兆光模块</w:t>
            </w:r>
          </w:p>
        </w:tc>
        <w:tc>
          <w:tcPr>
            <w:tcW w:w="890" w:type="dxa"/>
            <w:vAlign w:val="center"/>
          </w:tcPr>
          <w:p w14:paraId="40FF6AB2">
            <w:pPr>
              <w:spacing w:line="276" w:lineRule="auto"/>
              <w:jc w:val="center"/>
              <w:rPr>
                <w:rFonts w:ascii="宋体" w:hAnsi="宋体" w:eastAsia="宋体" w:cs="宋体"/>
                <w:bCs/>
                <w:szCs w:val="21"/>
              </w:rPr>
            </w:pPr>
          </w:p>
        </w:tc>
        <w:tc>
          <w:tcPr>
            <w:tcW w:w="508" w:type="dxa"/>
            <w:vAlign w:val="center"/>
          </w:tcPr>
          <w:p w14:paraId="068533DC">
            <w:pPr>
              <w:spacing w:line="276" w:lineRule="auto"/>
              <w:jc w:val="center"/>
              <w:rPr>
                <w:rFonts w:ascii="宋体" w:hAnsi="宋体" w:eastAsia="宋体" w:cs="宋体"/>
                <w:bCs/>
                <w:szCs w:val="21"/>
              </w:rPr>
            </w:pPr>
          </w:p>
        </w:tc>
        <w:tc>
          <w:tcPr>
            <w:tcW w:w="810" w:type="dxa"/>
            <w:vAlign w:val="center"/>
          </w:tcPr>
          <w:p w14:paraId="3EAFB26F">
            <w:pPr>
              <w:spacing w:line="276" w:lineRule="auto"/>
              <w:jc w:val="center"/>
              <w:rPr>
                <w:rFonts w:ascii="宋体" w:hAnsi="宋体" w:eastAsia="宋体" w:cs="宋体"/>
                <w:bCs/>
                <w:szCs w:val="21"/>
              </w:rPr>
            </w:pPr>
          </w:p>
        </w:tc>
        <w:tc>
          <w:tcPr>
            <w:tcW w:w="715" w:type="dxa"/>
            <w:vAlign w:val="center"/>
          </w:tcPr>
          <w:p w14:paraId="74E33C75">
            <w:pPr>
              <w:spacing w:line="276" w:lineRule="auto"/>
              <w:jc w:val="center"/>
              <w:rPr>
                <w:rFonts w:ascii="宋体" w:hAnsi="宋体" w:eastAsia="宋体" w:cs="宋体"/>
                <w:bCs/>
                <w:szCs w:val="21"/>
              </w:rPr>
            </w:pPr>
          </w:p>
        </w:tc>
        <w:tc>
          <w:tcPr>
            <w:tcW w:w="1160" w:type="dxa"/>
            <w:vAlign w:val="center"/>
          </w:tcPr>
          <w:p w14:paraId="10DD4675">
            <w:pPr>
              <w:spacing w:line="276" w:lineRule="auto"/>
              <w:jc w:val="center"/>
              <w:rPr>
                <w:rFonts w:ascii="宋体" w:hAnsi="宋体" w:eastAsia="宋体" w:cs="宋体"/>
                <w:bCs/>
                <w:szCs w:val="21"/>
              </w:rPr>
            </w:pPr>
          </w:p>
        </w:tc>
        <w:tc>
          <w:tcPr>
            <w:tcW w:w="917" w:type="dxa"/>
            <w:shd w:val="clear" w:color="auto" w:fill="auto"/>
            <w:vAlign w:val="center"/>
          </w:tcPr>
          <w:p w14:paraId="2DA92C7F">
            <w:pPr>
              <w:spacing w:line="276" w:lineRule="auto"/>
              <w:jc w:val="center"/>
              <w:rPr>
                <w:rFonts w:ascii="宋体" w:hAnsi="宋体" w:eastAsia="宋体" w:cs="宋体"/>
                <w:bCs/>
                <w:szCs w:val="21"/>
              </w:rPr>
            </w:pPr>
          </w:p>
        </w:tc>
        <w:tc>
          <w:tcPr>
            <w:tcW w:w="666" w:type="dxa"/>
            <w:shd w:val="clear" w:color="auto" w:fill="auto"/>
            <w:vAlign w:val="center"/>
          </w:tcPr>
          <w:p w14:paraId="4DBD074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w:t>
            </w:r>
          </w:p>
        </w:tc>
        <w:tc>
          <w:tcPr>
            <w:tcW w:w="550" w:type="dxa"/>
            <w:shd w:val="clear" w:color="auto" w:fill="auto"/>
            <w:vAlign w:val="center"/>
          </w:tcPr>
          <w:p w14:paraId="40F223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个</w:t>
            </w:r>
          </w:p>
        </w:tc>
        <w:tc>
          <w:tcPr>
            <w:tcW w:w="967" w:type="dxa"/>
            <w:vAlign w:val="center"/>
          </w:tcPr>
          <w:p w14:paraId="78A11377">
            <w:pPr>
              <w:spacing w:line="276" w:lineRule="auto"/>
              <w:jc w:val="center"/>
              <w:rPr>
                <w:rFonts w:ascii="宋体" w:hAnsi="宋体" w:eastAsia="宋体" w:cs="宋体"/>
                <w:bCs/>
                <w:szCs w:val="21"/>
              </w:rPr>
            </w:pPr>
          </w:p>
        </w:tc>
        <w:tc>
          <w:tcPr>
            <w:tcW w:w="983" w:type="dxa"/>
            <w:vAlign w:val="center"/>
          </w:tcPr>
          <w:p w14:paraId="3D2CE9C4">
            <w:pPr>
              <w:spacing w:line="276" w:lineRule="auto"/>
              <w:jc w:val="center"/>
              <w:rPr>
                <w:rFonts w:ascii="宋体" w:hAnsi="宋体" w:eastAsia="宋体" w:cs="宋体"/>
                <w:bCs/>
                <w:szCs w:val="21"/>
              </w:rPr>
            </w:pPr>
          </w:p>
        </w:tc>
      </w:tr>
      <w:tr w14:paraId="569FA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5D003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w:t>
            </w:r>
          </w:p>
        </w:tc>
        <w:tc>
          <w:tcPr>
            <w:tcW w:w="841" w:type="dxa"/>
            <w:vMerge w:val="continue"/>
          </w:tcPr>
          <w:p w14:paraId="2F91E4EA">
            <w:pPr>
              <w:spacing w:line="276" w:lineRule="auto"/>
              <w:jc w:val="center"/>
              <w:rPr>
                <w:rFonts w:ascii="宋体" w:hAnsi="宋体" w:eastAsia="宋体" w:cs="宋体"/>
                <w:bCs/>
                <w:szCs w:val="21"/>
              </w:rPr>
            </w:pPr>
          </w:p>
        </w:tc>
        <w:tc>
          <w:tcPr>
            <w:tcW w:w="1223" w:type="dxa"/>
            <w:shd w:val="clear" w:color="auto" w:fill="auto"/>
            <w:vAlign w:val="center"/>
          </w:tcPr>
          <w:p w14:paraId="5BD904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室外AP</w:t>
            </w:r>
          </w:p>
        </w:tc>
        <w:tc>
          <w:tcPr>
            <w:tcW w:w="890" w:type="dxa"/>
            <w:vAlign w:val="center"/>
          </w:tcPr>
          <w:p w14:paraId="0BF409EC">
            <w:pPr>
              <w:spacing w:line="276" w:lineRule="auto"/>
              <w:jc w:val="center"/>
              <w:rPr>
                <w:rFonts w:ascii="宋体" w:hAnsi="宋体" w:eastAsia="宋体" w:cs="宋体"/>
                <w:bCs/>
                <w:szCs w:val="21"/>
              </w:rPr>
            </w:pPr>
          </w:p>
        </w:tc>
        <w:tc>
          <w:tcPr>
            <w:tcW w:w="508" w:type="dxa"/>
            <w:vAlign w:val="center"/>
          </w:tcPr>
          <w:p w14:paraId="0090BC88">
            <w:pPr>
              <w:spacing w:line="276" w:lineRule="auto"/>
              <w:jc w:val="center"/>
              <w:rPr>
                <w:rFonts w:ascii="宋体" w:hAnsi="宋体" w:eastAsia="宋体" w:cs="宋体"/>
                <w:bCs/>
                <w:szCs w:val="21"/>
              </w:rPr>
            </w:pPr>
          </w:p>
        </w:tc>
        <w:tc>
          <w:tcPr>
            <w:tcW w:w="810" w:type="dxa"/>
            <w:vAlign w:val="center"/>
          </w:tcPr>
          <w:p w14:paraId="620DEF8C">
            <w:pPr>
              <w:spacing w:line="276" w:lineRule="auto"/>
              <w:jc w:val="center"/>
              <w:rPr>
                <w:rFonts w:ascii="宋体" w:hAnsi="宋体" w:eastAsia="宋体" w:cs="宋体"/>
                <w:bCs/>
                <w:szCs w:val="21"/>
              </w:rPr>
            </w:pPr>
          </w:p>
        </w:tc>
        <w:tc>
          <w:tcPr>
            <w:tcW w:w="715" w:type="dxa"/>
            <w:vAlign w:val="center"/>
          </w:tcPr>
          <w:p w14:paraId="3C60B626">
            <w:pPr>
              <w:spacing w:line="276" w:lineRule="auto"/>
              <w:jc w:val="center"/>
              <w:rPr>
                <w:rFonts w:ascii="宋体" w:hAnsi="宋体" w:eastAsia="宋体" w:cs="宋体"/>
                <w:bCs/>
                <w:szCs w:val="21"/>
              </w:rPr>
            </w:pPr>
          </w:p>
        </w:tc>
        <w:tc>
          <w:tcPr>
            <w:tcW w:w="1160" w:type="dxa"/>
            <w:vAlign w:val="center"/>
          </w:tcPr>
          <w:p w14:paraId="22C51336">
            <w:pPr>
              <w:spacing w:line="276" w:lineRule="auto"/>
              <w:jc w:val="center"/>
              <w:rPr>
                <w:rFonts w:ascii="宋体" w:hAnsi="宋体" w:eastAsia="宋体" w:cs="宋体"/>
                <w:bCs/>
                <w:szCs w:val="21"/>
              </w:rPr>
            </w:pPr>
          </w:p>
        </w:tc>
        <w:tc>
          <w:tcPr>
            <w:tcW w:w="917" w:type="dxa"/>
            <w:shd w:val="clear" w:color="auto" w:fill="auto"/>
            <w:vAlign w:val="center"/>
          </w:tcPr>
          <w:p w14:paraId="04960EC2">
            <w:pPr>
              <w:spacing w:line="276" w:lineRule="auto"/>
              <w:jc w:val="center"/>
              <w:rPr>
                <w:rFonts w:ascii="宋体" w:hAnsi="宋体" w:eastAsia="宋体" w:cs="宋体"/>
                <w:bCs/>
                <w:szCs w:val="21"/>
              </w:rPr>
            </w:pPr>
          </w:p>
        </w:tc>
        <w:tc>
          <w:tcPr>
            <w:tcW w:w="666" w:type="dxa"/>
            <w:shd w:val="clear" w:color="auto" w:fill="auto"/>
            <w:vAlign w:val="center"/>
          </w:tcPr>
          <w:p w14:paraId="3540D92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39</w:t>
            </w:r>
          </w:p>
        </w:tc>
        <w:tc>
          <w:tcPr>
            <w:tcW w:w="550" w:type="dxa"/>
            <w:shd w:val="clear" w:color="auto" w:fill="auto"/>
            <w:vAlign w:val="center"/>
          </w:tcPr>
          <w:p w14:paraId="6C43A3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08395F67">
            <w:pPr>
              <w:spacing w:line="276" w:lineRule="auto"/>
              <w:jc w:val="center"/>
              <w:rPr>
                <w:rFonts w:ascii="宋体" w:hAnsi="宋体" w:eastAsia="宋体" w:cs="宋体"/>
                <w:bCs/>
                <w:szCs w:val="21"/>
              </w:rPr>
            </w:pPr>
          </w:p>
        </w:tc>
        <w:tc>
          <w:tcPr>
            <w:tcW w:w="983" w:type="dxa"/>
            <w:vAlign w:val="center"/>
          </w:tcPr>
          <w:p w14:paraId="41B34054">
            <w:pPr>
              <w:spacing w:line="276" w:lineRule="auto"/>
              <w:jc w:val="center"/>
              <w:rPr>
                <w:rFonts w:ascii="宋体" w:hAnsi="宋体" w:eastAsia="宋体" w:cs="宋体"/>
                <w:bCs/>
                <w:szCs w:val="21"/>
              </w:rPr>
            </w:pPr>
          </w:p>
        </w:tc>
      </w:tr>
      <w:tr w14:paraId="50F39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BEF4F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61</w:t>
            </w:r>
          </w:p>
        </w:tc>
        <w:tc>
          <w:tcPr>
            <w:tcW w:w="841" w:type="dxa"/>
            <w:vMerge w:val="continue"/>
          </w:tcPr>
          <w:p w14:paraId="77DB62A9">
            <w:pPr>
              <w:spacing w:line="276" w:lineRule="auto"/>
              <w:jc w:val="center"/>
              <w:rPr>
                <w:rFonts w:ascii="宋体" w:hAnsi="宋体" w:eastAsia="宋体" w:cs="宋体"/>
                <w:bCs/>
                <w:szCs w:val="21"/>
              </w:rPr>
            </w:pPr>
          </w:p>
        </w:tc>
        <w:tc>
          <w:tcPr>
            <w:tcW w:w="1223" w:type="dxa"/>
            <w:shd w:val="clear" w:color="auto" w:fill="auto"/>
            <w:vAlign w:val="center"/>
          </w:tcPr>
          <w:p w14:paraId="1AE76A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工业交换机（8电+2光）</w:t>
            </w:r>
          </w:p>
        </w:tc>
        <w:tc>
          <w:tcPr>
            <w:tcW w:w="890" w:type="dxa"/>
            <w:vAlign w:val="center"/>
          </w:tcPr>
          <w:p w14:paraId="2ECAB441">
            <w:pPr>
              <w:spacing w:line="276" w:lineRule="auto"/>
              <w:jc w:val="center"/>
              <w:rPr>
                <w:rFonts w:ascii="宋体" w:hAnsi="宋体" w:eastAsia="宋体" w:cs="宋体"/>
                <w:bCs/>
                <w:szCs w:val="21"/>
              </w:rPr>
            </w:pPr>
          </w:p>
        </w:tc>
        <w:tc>
          <w:tcPr>
            <w:tcW w:w="508" w:type="dxa"/>
            <w:vAlign w:val="center"/>
          </w:tcPr>
          <w:p w14:paraId="5FDAEDBE">
            <w:pPr>
              <w:spacing w:line="276" w:lineRule="auto"/>
              <w:jc w:val="center"/>
              <w:rPr>
                <w:rFonts w:ascii="宋体" w:hAnsi="宋体" w:eastAsia="宋体" w:cs="宋体"/>
                <w:bCs/>
                <w:szCs w:val="21"/>
              </w:rPr>
            </w:pPr>
          </w:p>
        </w:tc>
        <w:tc>
          <w:tcPr>
            <w:tcW w:w="810" w:type="dxa"/>
            <w:vAlign w:val="center"/>
          </w:tcPr>
          <w:p w14:paraId="27357BF5">
            <w:pPr>
              <w:spacing w:line="276" w:lineRule="auto"/>
              <w:jc w:val="center"/>
              <w:rPr>
                <w:rFonts w:ascii="宋体" w:hAnsi="宋体" w:eastAsia="宋体" w:cs="宋体"/>
                <w:bCs/>
                <w:szCs w:val="21"/>
              </w:rPr>
            </w:pPr>
          </w:p>
        </w:tc>
        <w:tc>
          <w:tcPr>
            <w:tcW w:w="715" w:type="dxa"/>
            <w:vAlign w:val="center"/>
          </w:tcPr>
          <w:p w14:paraId="59348FFF">
            <w:pPr>
              <w:spacing w:line="276" w:lineRule="auto"/>
              <w:jc w:val="center"/>
              <w:rPr>
                <w:rFonts w:ascii="宋体" w:hAnsi="宋体" w:eastAsia="宋体" w:cs="宋体"/>
                <w:bCs/>
                <w:szCs w:val="21"/>
              </w:rPr>
            </w:pPr>
          </w:p>
        </w:tc>
        <w:tc>
          <w:tcPr>
            <w:tcW w:w="1160" w:type="dxa"/>
            <w:vAlign w:val="center"/>
          </w:tcPr>
          <w:p w14:paraId="7499757A">
            <w:pPr>
              <w:spacing w:line="276" w:lineRule="auto"/>
              <w:jc w:val="center"/>
              <w:rPr>
                <w:rFonts w:ascii="宋体" w:hAnsi="宋体" w:eastAsia="宋体" w:cs="宋体"/>
                <w:bCs/>
                <w:szCs w:val="21"/>
              </w:rPr>
            </w:pPr>
          </w:p>
        </w:tc>
        <w:tc>
          <w:tcPr>
            <w:tcW w:w="917" w:type="dxa"/>
            <w:shd w:val="clear" w:color="auto" w:fill="auto"/>
            <w:vAlign w:val="center"/>
          </w:tcPr>
          <w:p w14:paraId="1D8A4433">
            <w:pPr>
              <w:spacing w:line="276" w:lineRule="auto"/>
              <w:jc w:val="center"/>
              <w:rPr>
                <w:rFonts w:ascii="宋体" w:hAnsi="宋体" w:eastAsia="宋体" w:cs="宋体"/>
                <w:bCs/>
                <w:szCs w:val="21"/>
              </w:rPr>
            </w:pPr>
          </w:p>
        </w:tc>
        <w:tc>
          <w:tcPr>
            <w:tcW w:w="666" w:type="dxa"/>
            <w:shd w:val="clear" w:color="auto" w:fill="auto"/>
            <w:vAlign w:val="center"/>
          </w:tcPr>
          <w:p w14:paraId="54932BF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28</w:t>
            </w:r>
          </w:p>
        </w:tc>
        <w:tc>
          <w:tcPr>
            <w:tcW w:w="550" w:type="dxa"/>
            <w:shd w:val="clear" w:color="auto" w:fill="auto"/>
            <w:vAlign w:val="center"/>
          </w:tcPr>
          <w:p w14:paraId="1551BF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28459501">
            <w:pPr>
              <w:spacing w:line="276" w:lineRule="auto"/>
              <w:jc w:val="center"/>
              <w:rPr>
                <w:rFonts w:ascii="宋体" w:hAnsi="宋体" w:eastAsia="宋体" w:cs="宋体"/>
                <w:bCs/>
                <w:szCs w:val="21"/>
              </w:rPr>
            </w:pPr>
          </w:p>
        </w:tc>
        <w:tc>
          <w:tcPr>
            <w:tcW w:w="983" w:type="dxa"/>
            <w:vAlign w:val="center"/>
          </w:tcPr>
          <w:p w14:paraId="7DBA75EF">
            <w:pPr>
              <w:spacing w:line="276" w:lineRule="auto"/>
              <w:jc w:val="center"/>
              <w:rPr>
                <w:rFonts w:ascii="宋体" w:hAnsi="宋体" w:eastAsia="宋体" w:cs="宋体"/>
                <w:bCs/>
                <w:szCs w:val="21"/>
              </w:rPr>
            </w:pPr>
          </w:p>
        </w:tc>
      </w:tr>
      <w:tr w14:paraId="7122F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6CA815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62</w:t>
            </w:r>
          </w:p>
        </w:tc>
        <w:tc>
          <w:tcPr>
            <w:tcW w:w="841" w:type="dxa"/>
            <w:vMerge w:val="continue"/>
          </w:tcPr>
          <w:p w14:paraId="3FB1C2C1">
            <w:pPr>
              <w:spacing w:line="276" w:lineRule="auto"/>
              <w:jc w:val="center"/>
              <w:rPr>
                <w:rFonts w:ascii="宋体" w:hAnsi="宋体" w:eastAsia="宋体" w:cs="宋体"/>
                <w:bCs/>
                <w:szCs w:val="21"/>
              </w:rPr>
            </w:pPr>
          </w:p>
        </w:tc>
        <w:tc>
          <w:tcPr>
            <w:tcW w:w="1223" w:type="dxa"/>
            <w:shd w:val="clear" w:color="auto" w:fill="auto"/>
            <w:vAlign w:val="center"/>
          </w:tcPr>
          <w:p w14:paraId="5707B2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千兆光模块</w:t>
            </w:r>
          </w:p>
        </w:tc>
        <w:tc>
          <w:tcPr>
            <w:tcW w:w="890" w:type="dxa"/>
            <w:vAlign w:val="center"/>
          </w:tcPr>
          <w:p w14:paraId="330B3155">
            <w:pPr>
              <w:spacing w:line="276" w:lineRule="auto"/>
              <w:jc w:val="center"/>
              <w:rPr>
                <w:rFonts w:ascii="宋体" w:hAnsi="宋体" w:eastAsia="宋体" w:cs="宋体"/>
                <w:bCs/>
                <w:szCs w:val="21"/>
              </w:rPr>
            </w:pPr>
          </w:p>
        </w:tc>
        <w:tc>
          <w:tcPr>
            <w:tcW w:w="508" w:type="dxa"/>
            <w:vAlign w:val="center"/>
          </w:tcPr>
          <w:p w14:paraId="36243AD1">
            <w:pPr>
              <w:spacing w:line="276" w:lineRule="auto"/>
              <w:jc w:val="center"/>
              <w:rPr>
                <w:rFonts w:ascii="宋体" w:hAnsi="宋体" w:eastAsia="宋体" w:cs="宋体"/>
                <w:bCs/>
                <w:szCs w:val="21"/>
              </w:rPr>
            </w:pPr>
          </w:p>
        </w:tc>
        <w:tc>
          <w:tcPr>
            <w:tcW w:w="810" w:type="dxa"/>
            <w:vAlign w:val="center"/>
          </w:tcPr>
          <w:p w14:paraId="52DF46C7">
            <w:pPr>
              <w:spacing w:line="276" w:lineRule="auto"/>
              <w:jc w:val="center"/>
              <w:rPr>
                <w:rFonts w:ascii="宋体" w:hAnsi="宋体" w:eastAsia="宋体" w:cs="宋体"/>
                <w:bCs/>
                <w:szCs w:val="21"/>
              </w:rPr>
            </w:pPr>
          </w:p>
        </w:tc>
        <w:tc>
          <w:tcPr>
            <w:tcW w:w="715" w:type="dxa"/>
            <w:vAlign w:val="center"/>
          </w:tcPr>
          <w:p w14:paraId="6987C064">
            <w:pPr>
              <w:spacing w:line="276" w:lineRule="auto"/>
              <w:jc w:val="center"/>
              <w:rPr>
                <w:rFonts w:ascii="宋体" w:hAnsi="宋体" w:eastAsia="宋体" w:cs="宋体"/>
                <w:bCs/>
                <w:szCs w:val="21"/>
              </w:rPr>
            </w:pPr>
          </w:p>
        </w:tc>
        <w:tc>
          <w:tcPr>
            <w:tcW w:w="1160" w:type="dxa"/>
            <w:vAlign w:val="center"/>
          </w:tcPr>
          <w:p w14:paraId="35A825CE">
            <w:pPr>
              <w:spacing w:line="276" w:lineRule="auto"/>
              <w:jc w:val="center"/>
              <w:rPr>
                <w:rFonts w:ascii="宋体" w:hAnsi="宋体" w:eastAsia="宋体" w:cs="宋体"/>
                <w:bCs/>
                <w:szCs w:val="21"/>
              </w:rPr>
            </w:pPr>
          </w:p>
        </w:tc>
        <w:tc>
          <w:tcPr>
            <w:tcW w:w="917" w:type="dxa"/>
            <w:shd w:val="clear" w:color="auto" w:fill="auto"/>
            <w:vAlign w:val="center"/>
          </w:tcPr>
          <w:p w14:paraId="7BE43BE0">
            <w:pPr>
              <w:spacing w:line="276" w:lineRule="auto"/>
              <w:jc w:val="center"/>
              <w:rPr>
                <w:rFonts w:ascii="宋体" w:hAnsi="宋体" w:eastAsia="宋体" w:cs="宋体"/>
                <w:bCs/>
                <w:szCs w:val="21"/>
              </w:rPr>
            </w:pPr>
          </w:p>
        </w:tc>
        <w:tc>
          <w:tcPr>
            <w:tcW w:w="666" w:type="dxa"/>
            <w:shd w:val="clear" w:color="auto" w:fill="auto"/>
            <w:vAlign w:val="center"/>
          </w:tcPr>
          <w:p w14:paraId="403D6E6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56</w:t>
            </w:r>
          </w:p>
        </w:tc>
        <w:tc>
          <w:tcPr>
            <w:tcW w:w="550" w:type="dxa"/>
            <w:shd w:val="clear" w:color="auto" w:fill="auto"/>
            <w:vAlign w:val="center"/>
          </w:tcPr>
          <w:p w14:paraId="29A7DE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个</w:t>
            </w:r>
          </w:p>
        </w:tc>
        <w:tc>
          <w:tcPr>
            <w:tcW w:w="967" w:type="dxa"/>
            <w:vAlign w:val="center"/>
          </w:tcPr>
          <w:p w14:paraId="54C357C1">
            <w:pPr>
              <w:spacing w:line="276" w:lineRule="auto"/>
              <w:jc w:val="center"/>
              <w:rPr>
                <w:rFonts w:ascii="宋体" w:hAnsi="宋体" w:eastAsia="宋体" w:cs="宋体"/>
                <w:bCs/>
                <w:szCs w:val="21"/>
              </w:rPr>
            </w:pPr>
          </w:p>
        </w:tc>
        <w:tc>
          <w:tcPr>
            <w:tcW w:w="983" w:type="dxa"/>
            <w:vAlign w:val="center"/>
          </w:tcPr>
          <w:p w14:paraId="3B6C0965">
            <w:pPr>
              <w:spacing w:line="276" w:lineRule="auto"/>
              <w:jc w:val="center"/>
              <w:rPr>
                <w:rFonts w:ascii="宋体" w:hAnsi="宋体" w:eastAsia="宋体" w:cs="宋体"/>
                <w:bCs/>
                <w:szCs w:val="21"/>
              </w:rPr>
            </w:pPr>
          </w:p>
        </w:tc>
      </w:tr>
      <w:tr w14:paraId="69808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5B1978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63</w:t>
            </w:r>
          </w:p>
        </w:tc>
        <w:tc>
          <w:tcPr>
            <w:tcW w:w="841" w:type="dxa"/>
            <w:vMerge w:val="continue"/>
          </w:tcPr>
          <w:p w14:paraId="3643C8DB">
            <w:pPr>
              <w:spacing w:line="276" w:lineRule="auto"/>
              <w:jc w:val="center"/>
              <w:rPr>
                <w:rFonts w:ascii="宋体" w:hAnsi="宋体" w:eastAsia="宋体" w:cs="宋体"/>
                <w:bCs/>
                <w:szCs w:val="21"/>
              </w:rPr>
            </w:pPr>
          </w:p>
        </w:tc>
        <w:tc>
          <w:tcPr>
            <w:tcW w:w="1223" w:type="dxa"/>
            <w:shd w:val="clear" w:color="auto" w:fill="auto"/>
            <w:vAlign w:val="center"/>
          </w:tcPr>
          <w:p w14:paraId="0D804D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自动起降设施（无人机及机巢）</w:t>
            </w:r>
          </w:p>
        </w:tc>
        <w:tc>
          <w:tcPr>
            <w:tcW w:w="890" w:type="dxa"/>
            <w:vAlign w:val="center"/>
          </w:tcPr>
          <w:p w14:paraId="66ED09A3">
            <w:pPr>
              <w:spacing w:line="276" w:lineRule="auto"/>
              <w:jc w:val="center"/>
              <w:rPr>
                <w:rFonts w:ascii="宋体" w:hAnsi="宋体" w:eastAsia="宋体" w:cs="宋体"/>
                <w:bCs/>
                <w:szCs w:val="21"/>
              </w:rPr>
            </w:pPr>
          </w:p>
        </w:tc>
        <w:tc>
          <w:tcPr>
            <w:tcW w:w="508" w:type="dxa"/>
            <w:vAlign w:val="center"/>
          </w:tcPr>
          <w:p w14:paraId="4243784F">
            <w:pPr>
              <w:spacing w:line="276" w:lineRule="auto"/>
              <w:jc w:val="center"/>
              <w:rPr>
                <w:rFonts w:ascii="宋体" w:hAnsi="宋体" w:eastAsia="宋体" w:cs="宋体"/>
                <w:bCs/>
                <w:szCs w:val="21"/>
              </w:rPr>
            </w:pPr>
          </w:p>
        </w:tc>
        <w:tc>
          <w:tcPr>
            <w:tcW w:w="810" w:type="dxa"/>
            <w:vAlign w:val="center"/>
          </w:tcPr>
          <w:p w14:paraId="6DE76708">
            <w:pPr>
              <w:spacing w:line="276" w:lineRule="auto"/>
              <w:jc w:val="center"/>
              <w:rPr>
                <w:rFonts w:ascii="宋体" w:hAnsi="宋体" w:eastAsia="宋体" w:cs="宋体"/>
                <w:bCs/>
                <w:szCs w:val="21"/>
              </w:rPr>
            </w:pPr>
          </w:p>
        </w:tc>
        <w:tc>
          <w:tcPr>
            <w:tcW w:w="715" w:type="dxa"/>
            <w:vAlign w:val="center"/>
          </w:tcPr>
          <w:p w14:paraId="3B8485BF">
            <w:pPr>
              <w:spacing w:line="276" w:lineRule="auto"/>
              <w:jc w:val="center"/>
              <w:rPr>
                <w:rFonts w:ascii="宋体" w:hAnsi="宋体" w:eastAsia="宋体" w:cs="宋体"/>
                <w:bCs/>
                <w:szCs w:val="21"/>
              </w:rPr>
            </w:pPr>
          </w:p>
        </w:tc>
        <w:tc>
          <w:tcPr>
            <w:tcW w:w="1160" w:type="dxa"/>
            <w:vAlign w:val="center"/>
          </w:tcPr>
          <w:p w14:paraId="173D3D09">
            <w:pPr>
              <w:spacing w:line="276" w:lineRule="auto"/>
              <w:jc w:val="center"/>
              <w:rPr>
                <w:rFonts w:ascii="宋体" w:hAnsi="宋体" w:eastAsia="宋体" w:cs="宋体"/>
                <w:bCs/>
                <w:szCs w:val="21"/>
              </w:rPr>
            </w:pPr>
          </w:p>
        </w:tc>
        <w:tc>
          <w:tcPr>
            <w:tcW w:w="917" w:type="dxa"/>
            <w:shd w:val="clear" w:color="auto" w:fill="auto"/>
            <w:vAlign w:val="center"/>
          </w:tcPr>
          <w:p w14:paraId="50ADB886">
            <w:pPr>
              <w:spacing w:line="276" w:lineRule="auto"/>
              <w:jc w:val="center"/>
              <w:rPr>
                <w:rFonts w:ascii="宋体" w:hAnsi="宋体" w:eastAsia="宋体" w:cs="宋体"/>
                <w:bCs/>
                <w:szCs w:val="21"/>
              </w:rPr>
            </w:pPr>
          </w:p>
        </w:tc>
        <w:tc>
          <w:tcPr>
            <w:tcW w:w="666" w:type="dxa"/>
            <w:shd w:val="clear" w:color="auto" w:fill="auto"/>
            <w:vAlign w:val="center"/>
          </w:tcPr>
          <w:p w14:paraId="0FE43F3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550" w:type="dxa"/>
            <w:shd w:val="clear" w:color="auto" w:fill="auto"/>
            <w:vAlign w:val="center"/>
          </w:tcPr>
          <w:p w14:paraId="0A02E2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0B49908F">
            <w:pPr>
              <w:spacing w:line="276" w:lineRule="auto"/>
              <w:jc w:val="center"/>
              <w:rPr>
                <w:rFonts w:ascii="宋体" w:hAnsi="宋体" w:eastAsia="宋体" w:cs="宋体"/>
                <w:bCs/>
                <w:szCs w:val="21"/>
              </w:rPr>
            </w:pPr>
          </w:p>
        </w:tc>
        <w:tc>
          <w:tcPr>
            <w:tcW w:w="983" w:type="dxa"/>
            <w:vAlign w:val="center"/>
          </w:tcPr>
          <w:p w14:paraId="547F7DCD">
            <w:pPr>
              <w:spacing w:line="276" w:lineRule="auto"/>
              <w:jc w:val="center"/>
              <w:rPr>
                <w:rFonts w:ascii="宋体" w:hAnsi="宋体" w:eastAsia="宋体" w:cs="宋体"/>
                <w:bCs/>
                <w:szCs w:val="21"/>
              </w:rPr>
            </w:pPr>
          </w:p>
        </w:tc>
      </w:tr>
      <w:tr w14:paraId="1C471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127EC6F">
            <w:pPr>
              <w:snapToGrid w:val="0"/>
              <w:ind w:left="0" w:leftChars="0" w:right="0" w:rightChars="0" w:firstLine="0" w:firstLineChars="0"/>
              <w:jc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sz w:val="20"/>
                <w:szCs w:val="20"/>
                <w:u w:val="none"/>
                <w:lang w:val="en-US" w:eastAsia="zh-CN"/>
              </w:rPr>
              <w:t>/</w:t>
            </w:r>
          </w:p>
        </w:tc>
        <w:tc>
          <w:tcPr>
            <w:tcW w:w="841" w:type="dxa"/>
            <w:vMerge w:val="continue"/>
          </w:tcPr>
          <w:p w14:paraId="3D1518FF">
            <w:pPr>
              <w:spacing w:line="276" w:lineRule="auto"/>
              <w:jc w:val="center"/>
              <w:rPr>
                <w:rFonts w:ascii="宋体" w:hAnsi="宋体" w:eastAsia="宋体" w:cs="宋体"/>
                <w:bCs/>
                <w:szCs w:val="21"/>
              </w:rPr>
            </w:pPr>
          </w:p>
        </w:tc>
        <w:tc>
          <w:tcPr>
            <w:tcW w:w="9389" w:type="dxa"/>
            <w:gridSpan w:val="11"/>
            <w:vAlign w:val="center"/>
          </w:tcPr>
          <w:p w14:paraId="522C2911">
            <w:pPr>
              <w:spacing w:line="276" w:lineRule="auto"/>
              <w:jc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高点监控</w:t>
            </w:r>
          </w:p>
        </w:tc>
      </w:tr>
      <w:tr w14:paraId="2ADE7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89B79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64</w:t>
            </w:r>
          </w:p>
        </w:tc>
        <w:tc>
          <w:tcPr>
            <w:tcW w:w="841" w:type="dxa"/>
            <w:vMerge w:val="continue"/>
          </w:tcPr>
          <w:p w14:paraId="79A33B3D">
            <w:pPr>
              <w:spacing w:line="276" w:lineRule="auto"/>
              <w:jc w:val="center"/>
              <w:rPr>
                <w:rFonts w:ascii="宋体" w:hAnsi="宋体" w:eastAsia="宋体" w:cs="宋体"/>
                <w:bCs/>
                <w:szCs w:val="21"/>
              </w:rPr>
            </w:pPr>
          </w:p>
        </w:tc>
        <w:tc>
          <w:tcPr>
            <w:tcW w:w="1223" w:type="dxa"/>
            <w:shd w:val="clear" w:color="auto" w:fill="auto"/>
            <w:vAlign w:val="center"/>
          </w:tcPr>
          <w:p w14:paraId="0DFCB3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高点监控摄像机</w:t>
            </w:r>
          </w:p>
        </w:tc>
        <w:tc>
          <w:tcPr>
            <w:tcW w:w="890" w:type="dxa"/>
            <w:vAlign w:val="center"/>
          </w:tcPr>
          <w:p w14:paraId="61D400F6">
            <w:pPr>
              <w:spacing w:line="276" w:lineRule="auto"/>
              <w:jc w:val="center"/>
              <w:rPr>
                <w:rFonts w:ascii="宋体" w:hAnsi="宋体" w:eastAsia="宋体" w:cs="宋体"/>
                <w:bCs/>
                <w:szCs w:val="21"/>
              </w:rPr>
            </w:pPr>
          </w:p>
        </w:tc>
        <w:tc>
          <w:tcPr>
            <w:tcW w:w="508" w:type="dxa"/>
            <w:vAlign w:val="center"/>
          </w:tcPr>
          <w:p w14:paraId="6ABAA53E">
            <w:pPr>
              <w:spacing w:line="276" w:lineRule="auto"/>
              <w:jc w:val="center"/>
              <w:rPr>
                <w:rFonts w:ascii="宋体" w:hAnsi="宋体" w:eastAsia="宋体" w:cs="宋体"/>
                <w:bCs/>
                <w:szCs w:val="21"/>
              </w:rPr>
            </w:pPr>
          </w:p>
        </w:tc>
        <w:tc>
          <w:tcPr>
            <w:tcW w:w="810" w:type="dxa"/>
            <w:vAlign w:val="center"/>
          </w:tcPr>
          <w:p w14:paraId="621D8754">
            <w:pPr>
              <w:spacing w:line="276" w:lineRule="auto"/>
              <w:jc w:val="center"/>
              <w:rPr>
                <w:rFonts w:ascii="宋体" w:hAnsi="宋体" w:eastAsia="宋体" w:cs="宋体"/>
                <w:bCs/>
                <w:szCs w:val="21"/>
              </w:rPr>
            </w:pPr>
          </w:p>
        </w:tc>
        <w:tc>
          <w:tcPr>
            <w:tcW w:w="715" w:type="dxa"/>
            <w:vAlign w:val="center"/>
          </w:tcPr>
          <w:p w14:paraId="7FB4FBD2">
            <w:pPr>
              <w:spacing w:line="276" w:lineRule="auto"/>
              <w:jc w:val="center"/>
              <w:rPr>
                <w:rFonts w:ascii="宋体" w:hAnsi="宋体" w:eastAsia="宋体" w:cs="宋体"/>
                <w:bCs/>
                <w:szCs w:val="21"/>
              </w:rPr>
            </w:pPr>
          </w:p>
        </w:tc>
        <w:tc>
          <w:tcPr>
            <w:tcW w:w="1160" w:type="dxa"/>
            <w:vAlign w:val="center"/>
          </w:tcPr>
          <w:p w14:paraId="33D8E060">
            <w:pPr>
              <w:spacing w:line="276" w:lineRule="auto"/>
              <w:jc w:val="center"/>
              <w:rPr>
                <w:rFonts w:ascii="宋体" w:hAnsi="宋体" w:eastAsia="宋体" w:cs="宋体"/>
                <w:bCs/>
                <w:szCs w:val="21"/>
              </w:rPr>
            </w:pPr>
          </w:p>
        </w:tc>
        <w:tc>
          <w:tcPr>
            <w:tcW w:w="917" w:type="dxa"/>
            <w:shd w:val="clear" w:color="auto" w:fill="auto"/>
            <w:vAlign w:val="center"/>
          </w:tcPr>
          <w:p w14:paraId="5CE2597D">
            <w:pPr>
              <w:spacing w:line="276" w:lineRule="auto"/>
              <w:jc w:val="center"/>
              <w:rPr>
                <w:rFonts w:ascii="宋体" w:hAnsi="宋体" w:eastAsia="宋体" w:cs="宋体"/>
                <w:bCs/>
                <w:szCs w:val="21"/>
              </w:rPr>
            </w:pPr>
          </w:p>
        </w:tc>
        <w:tc>
          <w:tcPr>
            <w:tcW w:w="666" w:type="dxa"/>
            <w:shd w:val="clear" w:color="auto" w:fill="auto"/>
            <w:vAlign w:val="center"/>
          </w:tcPr>
          <w:p w14:paraId="000D88C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550" w:type="dxa"/>
            <w:shd w:val="clear" w:color="auto" w:fill="auto"/>
            <w:vAlign w:val="center"/>
          </w:tcPr>
          <w:p w14:paraId="1D0031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0D12899E">
            <w:pPr>
              <w:spacing w:line="276" w:lineRule="auto"/>
              <w:jc w:val="center"/>
              <w:rPr>
                <w:rFonts w:ascii="宋体" w:hAnsi="宋体" w:eastAsia="宋体" w:cs="宋体"/>
                <w:bCs/>
                <w:szCs w:val="21"/>
              </w:rPr>
            </w:pPr>
          </w:p>
        </w:tc>
        <w:tc>
          <w:tcPr>
            <w:tcW w:w="983" w:type="dxa"/>
            <w:vAlign w:val="center"/>
          </w:tcPr>
          <w:p w14:paraId="1C46362B">
            <w:pPr>
              <w:spacing w:line="276" w:lineRule="auto"/>
              <w:jc w:val="center"/>
              <w:rPr>
                <w:rFonts w:ascii="宋体" w:hAnsi="宋体" w:eastAsia="宋体" w:cs="宋体"/>
                <w:bCs/>
                <w:szCs w:val="21"/>
              </w:rPr>
            </w:pPr>
          </w:p>
        </w:tc>
      </w:tr>
      <w:tr w14:paraId="520FD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0C9C8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65</w:t>
            </w:r>
          </w:p>
        </w:tc>
        <w:tc>
          <w:tcPr>
            <w:tcW w:w="841" w:type="dxa"/>
            <w:vMerge w:val="continue"/>
          </w:tcPr>
          <w:p w14:paraId="60FF3053">
            <w:pPr>
              <w:spacing w:line="276" w:lineRule="auto"/>
              <w:jc w:val="center"/>
              <w:rPr>
                <w:rFonts w:ascii="宋体" w:hAnsi="宋体" w:eastAsia="宋体" w:cs="宋体"/>
                <w:bCs/>
                <w:szCs w:val="21"/>
              </w:rPr>
            </w:pPr>
          </w:p>
        </w:tc>
        <w:tc>
          <w:tcPr>
            <w:tcW w:w="1223" w:type="dxa"/>
            <w:shd w:val="clear" w:color="auto" w:fill="auto"/>
            <w:vAlign w:val="center"/>
          </w:tcPr>
          <w:p w14:paraId="069025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工业交换机（8电+2光）</w:t>
            </w:r>
          </w:p>
        </w:tc>
        <w:tc>
          <w:tcPr>
            <w:tcW w:w="890" w:type="dxa"/>
            <w:vAlign w:val="center"/>
          </w:tcPr>
          <w:p w14:paraId="4351C59C">
            <w:pPr>
              <w:spacing w:line="276" w:lineRule="auto"/>
              <w:jc w:val="center"/>
              <w:rPr>
                <w:rFonts w:ascii="宋体" w:hAnsi="宋体" w:eastAsia="宋体" w:cs="宋体"/>
                <w:bCs/>
                <w:szCs w:val="21"/>
              </w:rPr>
            </w:pPr>
          </w:p>
        </w:tc>
        <w:tc>
          <w:tcPr>
            <w:tcW w:w="508" w:type="dxa"/>
            <w:vAlign w:val="center"/>
          </w:tcPr>
          <w:p w14:paraId="132CB280">
            <w:pPr>
              <w:spacing w:line="276" w:lineRule="auto"/>
              <w:jc w:val="center"/>
              <w:rPr>
                <w:rFonts w:ascii="宋体" w:hAnsi="宋体" w:eastAsia="宋体" w:cs="宋体"/>
                <w:bCs/>
                <w:szCs w:val="21"/>
              </w:rPr>
            </w:pPr>
          </w:p>
        </w:tc>
        <w:tc>
          <w:tcPr>
            <w:tcW w:w="810" w:type="dxa"/>
            <w:vAlign w:val="center"/>
          </w:tcPr>
          <w:p w14:paraId="34C07B08">
            <w:pPr>
              <w:spacing w:line="276" w:lineRule="auto"/>
              <w:jc w:val="center"/>
              <w:rPr>
                <w:rFonts w:ascii="宋体" w:hAnsi="宋体" w:eastAsia="宋体" w:cs="宋体"/>
                <w:bCs/>
                <w:szCs w:val="21"/>
              </w:rPr>
            </w:pPr>
          </w:p>
        </w:tc>
        <w:tc>
          <w:tcPr>
            <w:tcW w:w="715" w:type="dxa"/>
            <w:vAlign w:val="center"/>
          </w:tcPr>
          <w:p w14:paraId="3DB556C4">
            <w:pPr>
              <w:spacing w:line="276" w:lineRule="auto"/>
              <w:jc w:val="center"/>
              <w:rPr>
                <w:rFonts w:ascii="宋体" w:hAnsi="宋体" w:eastAsia="宋体" w:cs="宋体"/>
                <w:bCs/>
                <w:szCs w:val="21"/>
              </w:rPr>
            </w:pPr>
          </w:p>
        </w:tc>
        <w:tc>
          <w:tcPr>
            <w:tcW w:w="1160" w:type="dxa"/>
            <w:vAlign w:val="center"/>
          </w:tcPr>
          <w:p w14:paraId="0ED73AF4">
            <w:pPr>
              <w:spacing w:line="276" w:lineRule="auto"/>
              <w:jc w:val="center"/>
              <w:rPr>
                <w:rFonts w:ascii="宋体" w:hAnsi="宋体" w:eastAsia="宋体" w:cs="宋体"/>
                <w:bCs/>
                <w:szCs w:val="21"/>
              </w:rPr>
            </w:pPr>
          </w:p>
        </w:tc>
        <w:tc>
          <w:tcPr>
            <w:tcW w:w="917" w:type="dxa"/>
            <w:shd w:val="clear" w:color="auto" w:fill="auto"/>
            <w:vAlign w:val="center"/>
          </w:tcPr>
          <w:p w14:paraId="7A16D038">
            <w:pPr>
              <w:spacing w:line="276" w:lineRule="auto"/>
              <w:jc w:val="center"/>
              <w:rPr>
                <w:rFonts w:ascii="宋体" w:hAnsi="宋体" w:eastAsia="宋体" w:cs="宋体"/>
                <w:bCs/>
                <w:szCs w:val="21"/>
              </w:rPr>
            </w:pPr>
          </w:p>
        </w:tc>
        <w:tc>
          <w:tcPr>
            <w:tcW w:w="666" w:type="dxa"/>
            <w:shd w:val="clear" w:color="auto" w:fill="auto"/>
            <w:vAlign w:val="center"/>
          </w:tcPr>
          <w:p w14:paraId="0476635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550" w:type="dxa"/>
            <w:shd w:val="clear" w:color="auto" w:fill="auto"/>
            <w:vAlign w:val="center"/>
          </w:tcPr>
          <w:p w14:paraId="5A08A2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4F7D0901">
            <w:pPr>
              <w:spacing w:line="276" w:lineRule="auto"/>
              <w:jc w:val="center"/>
              <w:rPr>
                <w:rFonts w:ascii="宋体" w:hAnsi="宋体" w:eastAsia="宋体" w:cs="宋体"/>
                <w:bCs/>
                <w:szCs w:val="21"/>
              </w:rPr>
            </w:pPr>
          </w:p>
        </w:tc>
        <w:tc>
          <w:tcPr>
            <w:tcW w:w="983" w:type="dxa"/>
            <w:vAlign w:val="center"/>
          </w:tcPr>
          <w:p w14:paraId="7FD5FBA1">
            <w:pPr>
              <w:spacing w:line="276" w:lineRule="auto"/>
              <w:jc w:val="center"/>
              <w:rPr>
                <w:rFonts w:ascii="宋体" w:hAnsi="宋体" w:eastAsia="宋体" w:cs="宋体"/>
                <w:bCs/>
                <w:szCs w:val="21"/>
              </w:rPr>
            </w:pPr>
          </w:p>
        </w:tc>
      </w:tr>
      <w:tr w14:paraId="5F296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1923B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66</w:t>
            </w:r>
          </w:p>
        </w:tc>
        <w:tc>
          <w:tcPr>
            <w:tcW w:w="841" w:type="dxa"/>
            <w:vMerge w:val="continue"/>
          </w:tcPr>
          <w:p w14:paraId="4056AF0C">
            <w:pPr>
              <w:spacing w:line="276" w:lineRule="auto"/>
              <w:jc w:val="center"/>
              <w:rPr>
                <w:rFonts w:ascii="宋体" w:hAnsi="宋体" w:eastAsia="宋体" w:cs="宋体"/>
                <w:bCs/>
                <w:szCs w:val="21"/>
              </w:rPr>
            </w:pPr>
          </w:p>
        </w:tc>
        <w:tc>
          <w:tcPr>
            <w:tcW w:w="1223" w:type="dxa"/>
            <w:shd w:val="clear" w:color="auto" w:fill="auto"/>
            <w:vAlign w:val="center"/>
          </w:tcPr>
          <w:p w14:paraId="12366C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千兆光模块</w:t>
            </w:r>
          </w:p>
        </w:tc>
        <w:tc>
          <w:tcPr>
            <w:tcW w:w="890" w:type="dxa"/>
            <w:vAlign w:val="center"/>
          </w:tcPr>
          <w:p w14:paraId="44AC9B65">
            <w:pPr>
              <w:spacing w:line="276" w:lineRule="auto"/>
              <w:jc w:val="center"/>
              <w:rPr>
                <w:rFonts w:ascii="宋体" w:hAnsi="宋体" w:eastAsia="宋体" w:cs="宋体"/>
                <w:bCs/>
                <w:szCs w:val="21"/>
              </w:rPr>
            </w:pPr>
          </w:p>
        </w:tc>
        <w:tc>
          <w:tcPr>
            <w:tcW w:w="508" w:type="dxa"/>
            <w:vAlign w:val="center"/>
          </w:tcPr>
          <w:p w14:paraId="153EC638">
            <w:pPr>
              <w:spacing w:line="276" w:lineRule="auto"/>
              <w:jc w:val="center"/>
              <w:rPr>
                <w:rFonts w:ascii="宋体" w:hAnsi="宋体" w:eastAsia="宋体" w:cs="宋体"/>
                <w:bCs/>
                <w:szCs w:val="21"/>
              </w:rPr>
            </w:pPr>
          </w:p>
        </w:tc>
        <w:tc>
          <w:tcPr>
            <w:tcW w:w="810" w:type="dxa"/>
            <w:vAlign w:val="center"/>
          </w:tcPr>
          <w:p w14:paraId="5CC758D2">
            <w:pPr>
              <w:spacing w:line="276" w:lineRule="auto"/>
              <w:jc w:val="center"/>
              <w:rPr>
                <w:rFonts w:ascii="宋体" w:hAnsi="宋体" w:eastAsia="宋体" w:cs="宋体"/>
                <w:bCs/>
                <w:szCs w:val="21"/>
              </w:rPr>
            </w:pPr>
          </w:p>
        </w:tc>
        <w:tc>
          <w:tcPr>
            <w:tcW w:w="715" w:type="dxa"/>
            <w:vAlign w:val="center"/>
          </w:tcPr>
          <w:p w14:paraId="10EAF95D">
            <w:pPr>
              <w:spacing w:line="276" w:lineRule="auto"/>
              <w:jc w:val="center"/>
              <w:rPr>
                <w:rFonts w:ascii="宋体" w:hAnsi="宋体" w:eastAsia="宋体" w:cs="宋体"/>
                <w:bCs/>
                <w:szCs w:val="21"/>
              </w:rPr>
            </w:pPr>
          </w:p>
        </w:tc>
        <w:tc>
          <w:tcPr>
            <w:tcW w:w="1160" w:type="dxa"/>
            <w:vAlign w:val="center"/>
          </w:tcPr>
          <w:p w14:paraId="11B90514">
            <w:pPr>
              <w:spacing w:line="276" w:lineRule="auto"/>
              <w:jc w:val="center"/>
              <w:rPr>
                <w:rFonts w:ascii="宋体" w:hAnsi="宋体" w:eastAsia="宋体" w:cs="宋体"/>
                <w:bCs/>
                <w:szCs w:val="21"/>
              </w:rPr>
            </w:pPr>
          </w:p>
        </w:tc>
        <w:tc>
          <w:tcPr>
            <w:tcW w:w="917" w:type="dxa"/>
            <w:shd w:val="clear" w:color="auto" w:fill="auto"/>
            <w:vAlign w:val="center"/>
          </w:tcPr>
          <w:p w14:paraId="4F4759DE">
            <w:pPr>
              <w:spacing w:line="276" w:lineRule="auto"/>
              <w:jc w:val="center"/>
              <w:rPr>
                <w:rFonts w:ascii="宋体" w:hAnsi="宋体" w:eastAsia="宋体" w:cs="宋体"/>
                <w:bCs/>
                <w:szCs w:val="21"/>
              </w:rPr>
            </w:pPr>
          </w:p>
        </w:tc>
        <w:tc>
          <w:tcPr>
            <w:tcW w:w="666" w:type="dxa"/>
            <w:shd w:val="clear" w:color="auto" w:fill="auto"/>
            <w:vAlign w:val="center"/>
          </w:tcPr>
          <w:p w14:paraId="5CC0A4E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550" w:type="dxa"/>
            <w:shd w:val="clear" w:color="auto" w:fill="auto"/>
            <w:vAlign w:val="center"/>
          </w:tcPr>
          <w:p w14:paraId="620559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个</w:t>
            </w:r>
          </w:p>
        </w:tc>
        <w:tc>
          <w:tcPr>
            <w:tcW w:w="967" w:type="dxa"/>
            <w:vAlign w:val="center"/>
          </w:tcPr>
          <w:p w14:paraId="09637A23">
            <w:pPr>
              <w:spacing w:line="276" w:lineRule="auto"/>
              <w:jc w:val="center"/>
              <w:rPr>
                <w:rFonts w:ascii="宋体" w:hAnsi="宋体" w:eastAsia="宋体" w:cs="宋体"/>
                <w:bCs/>
                <w:szCs w:val="21"/>
              </w:rPr>
            </w:pPr>
          </w:p>
        </w:tc>
        <w:tc>
          <w:tcPr>
            <w:tcW w:w="983" w:type="dxa"/>
            <w:vAlign w:val="center"/>
          </w:tcPr>
          <w:p w14:paraId="45B4D9A0">
            <w:pPr>
              <w:spacing w:line="276" w:lineRule="auto"/>
              <w:jc w:val="center"/>
              <w:rPr>
                <w:rFonts w:ascii="宋体" w:hAnsi="宋体" w:eastAsia="宋体" w:cs="宋体"/>
                <w:bCs/>
                <w:szCs w:val="21"/>
              </w:rPr>
            </w:pPr>
          </w:p>
        </w:tc>
      </w:tr>
      <w:tr w14:paraId="5B89F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655C9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67</w:t>
            </w:r>
          </w:p>
        </w:tc>
        <w:tc>
          <w:tcPr>
            <w:tcW w:w="841" w:type="dxa"/>
            <w:vMerge w:val="continue"/>
          </w:tcPr>
          <w:p w14:paraId="0EB3FE68">
            <w:pPr>
              <w:spacing w:line="276" w:lineRule="auto"/>
              <w:jc w:val="center"/>
              <w:rPr>
                <w:rFonts w:ascii="宋体" w:hAnsi="宋体" w:eastAsia="宋体" w:cs="宋体"/>
                <w:bCs/>
                <w:szCs w:val="21"/>
              </w:rPr>
            </w:pPr>
          </w:p>
        </w:tc>
        <w:tc>
          <w:tcPr>
            <w:tcW w:w="1223" w:type="dxa"/>
            <w:shd w:val="clear" w:color="auto" w:fill="auto"/>
            <w:vAlign w:val="center"/>
          </w:tcPr>
          <w:p w14:paraId="470A2D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二合一防雷器</w:t>
            </w:r>
          </w:p>
        </w:tc>
        <w:tc>
          <w:tcPr>
            <w:tcW w:w="890" w:type="dxa"/>
            <w:vAlign w:val="center"/>
          </w:tcPr>
          <w:p w14:paraId="34F69CF9">
            <w:pPr>
              <w:spacing w:line="276" w:lineRule="auto"/>
              <w:jc w:val="center"/>
              <w:rPr>
                <w:rFonts w:ascii="宋体" w:hAnsi="宋体" w:eastAsia="宋体" w:cs="宋体"/>
                <w:bCs/>
                <w:szCs w:val="21"/>
              </w:rPr>
            </w:pPr>
          </w:p>
        </w:tc>
        <w:tc>
          <w:tcPr>
            <w:tcW w:w="508" w:type="dxa"/>
            <w:vAlign w:val="center"/>
          </w:tcPr>
          <w:p w14:paraId="527B94F9">
            <w:pPr>
              <w:spacing w:line="276" w:lineRule="auto"/>
              <w:jc w:val="center"/>
              <w:rPr>
                <w:rFonts w:ascii="宋体" w:hAnsi="宋体" w:eastAsia="宋体" w:cs="宋体"/>
                <w:bCs/>
                <w:szCs w:val="21"/>
              </w:rPr>
            </w:pPr>
          </w:p>
        </w:tc>
        <w:tc>
          <w:tcPr>
            <w:tcW w:w="810" w:type="dxa"/>
            <w:vAlign w:val="center"/>
          </w:tcPr>
          <w:p w14:paraId="453C2177">
            <w:pPr>
              <w:spacing w:line="276" w:lineRule="auto"/>
              <w:jc w:val="center"/>
              <w:rPr>
                <w:rFonts w:ascii="宋体" w:hAnsi="宋体" w:eastAsia="宋体" w:cs="宋体"/>
                <w:bCs/>
                <w:szCs w:val="21"/>
              </w:rPr>
            </w:pPr>
          </w:p>
        </w:tc>
        <w:tc>
          <w:tcPr>
            <w:tcW w:w="715" w:type="dxa"/>
            <w:vAlign w:val="center"/>
          </w:tcPr>
          <w:p w14:paraId="3FF4F06F">
            <w:pPr>
              <w:spacing w:line="276" w:lineRule="auto"/>
              <w:jc w:val="center"/>
              <w:rPr>
                <w:rFonts w:ascii="宋体" w:hAnsi="宋体" w:eastAsia="宋体" w:cs="宋体"/>
                <w:bCs/>
                <w:szCs w:val="21"/>
              </w:rPr>
            </w:pPr>
          </w:p>
        </w:tc>
        <w:tc>
          <w:tcPr>
            <w:tcW w:w="1160" w:type="dxa"/>
            <w:vAlign w:val="center"/>
          </w:tcPr>
          <w:p w14:paraId="28CF2F31">
            <w:pPr>
              <w:spacing w:line="276" w:lineRule="auto"/>
              <w:jc w:val="center"/>
              <w:rPr>
                <w:rFonts w:ascii="宋体" w:hAnsi="宋体" w:eastAsia="宋体" w:cs="宋体"/>
                <w:bCs/>
                <w:szCs w:val="21"/>
              </w:rPr>
            </w:pPr>
          </w:p>
        </w:tc>
        <w:tc>
          <w:tcPr>
            <w:tcW w:w="917" w:type="dxa"/>
            <w:shd w:val="clear" w:color="auto" w:fill="auto"/>
            <w:vAlign w:val="center"/>
          </w:tcPr>
          <w:p w14:paraId="2B828E98">
            <w:pPr>
              <w:spacing w:line="276" w:lineRule="auto"/>
              <w:jc w:val="center"/>
              <w:rPr>
                <w:rFonts w:ascii="宋体" w:hAnsi="宋体" w:eastAsia="宋体" w:cs="宋体"/>
                <w:bCs/>
                <w:szCs w:val="21"/>
              </w:rPr>
            </w:pPr>
          </w:p>
        </w:tc>
        <w:tc>
          <w:tcPr>
            <w:tcW w:w="666" w:type="dxa"/>
            <w:shd w:val="clear" w:color="auto" w:fill="auto"/>
            <w:vAlign w:val="center"/>
          </w:tcPr>
          <w:p w14:paraId="4A184E8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550" w:type="dxa"/>
            <w:shd w:val="clear" w:color="auto" w:fill="auto"/>
            <w:vAlign w:val="center"/>
          </w:tcPr>
          <w:p w14:paraId="0643F3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个</w:t>
            </w:r>
          </w:p>
        </w:tc>
        <w:tc>
          <w:tcPr>
            <w:tcW w:w="967" w:type="dxa"/>
            <w:vAlign w:val="center"/>
          </w:tcPr>
          <w:p w14:paraId="518A53FA">
            <w:pPr>
              <w:spacing w:line="276" w:lineRule="auto"/>
              <w:jc w:val="center"/>
              <w:rPr>
                <w:rFonts w:ascii="宋体" w:hAnsi="宋体" w:eastAsia="宋体" w:cs="宋体"/>
                <w:bCs/>
                <w:szCs w:val="21"/>
              </w:rPr>
            </w:pPr>
          </w:p>
        </w:tc>
        <w:tc>
          <w:tcPr>
            <w:tcW w:w="983" w:type="dxa"/>
            <w:vAlign w:val="center"/>
          </w:tcPr>
          <w:p w14:paraId="7126C21A">
            <w:pPr>
              <w:spacing w:line="276" w:lineRule="auto"/>
              <w:jc w:val="center"/>
              <w:rPr>
                <w:rFonts w:ascii="宋体" w:hAnsi="宋体" w:eastAsia="宋体" w:cs="宋体"/>
                <w:bCs/>
                <w:szCs w:val="21"/>
              </w:rPr>
            </w:pPr>
          </w:p>
        </w:tc>
      </w:tr>
      <w:tr w14:paraId="6FF2A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88ECC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68</w:t>
            </w:r>
          </w:p>
        </w:tc>
        <w:tc>
          <w:tcPr>
            <w:tcW w:w="841" w:type="dxa"/>
            <w:vMerge w:val="continue"/>
          </w:tcPr>
          <w:p w14:paraId="1D91EF5E">
            <w:pPr>
              <w:spacing w:line="276" w:lineRule="auto"/>
              <w:jc w:val="center"/>
              <w:rPr>
                <w:rFonts w:ascii="宋体" w:hAnsi="宋体" w:eastAsia="宋体" w:cs="宋体"/>
                <w:bCs/>
                <w:szCs w:val="21"/>
              </w:rPr>
            </w:pPr>
          </w:p>
        </w:tc>
        <w:tc>
          <w:tcPr>
            <w:tcW w:w="1223" w:type="dxa"/>
            <w:shd w:val="clear" w:color="auto" w:fill="auto"/>
            <w:vAlign w:val="center"/>
          </w:tcPr>
          <w:p w14:paraId="32ADF3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挂杆箱</w:t>
            </w:r>
          </w:p>
        </w:tc>
        <w:tc>
          <w:tcPr>
            <w:tcW w:w="890" w:type="dxa"/>
            <w:vAlign w:val="center"/>
          </w:tcPr>
          <w:p w14:paraId="1BFAC41B">
            <w:pPr>
              <w:spacing w:line="276" w:lineRule="auto"/>
              <w:jc w:val="center"/>
              <w:rPr>
                <w:rFonts w:ascii="宋体" w:hAnsi="宋体" w:eastAsia="宋体" w:cs="宋体"/>
                <w:bCs/>
                <w:szCs w:val="21"/>
              </w:rPr>
            </w:pPr>
          </w:p>
        </w:tc>
        <w:tc>
          <w:tcPr>
            <w:tcW w:w="508" w:type="dxa"/>
            <w:vAlign w:val="center"/>
          </w:tcPr>
          <w:p w14:paraId="63D0B359">
            <w:pPr>
              <w:spacing w:line="276" w:lineRule="auto"/>
              <w:jc w:val="center"/>
              <w:rPr>
                <w:rFonts w:ascii="宋体" w:hAnsi="宋体" w:eastAsia="宋体" w:cs="宋体"/>
                <w:bCs/>
                <w:szCs w:val="21"/>
              </w:rPr>
            </w:pPr>
          </w:p>
        </w:tc>
        <w:tc>
          <w:tcPr>
            <w:tcW w:w="810" w:type="dxa"/>
            <w:vAlign w:val="center"/>
          </w:tcPr>
          <w:p w14:paraId="3D98FB37">
            <w:pPr>
              <w:spacing w:line="276" w:lineRule="auto"/>
              <w:jc w:val="center"/>
              <w:rPr>
                <w:rFonts w:ascii="宋体" w:hAnsi="宋体" w:eastAsia="宋体" w:cs="宋体"/>
                <w:bCs/>
                <w:szCs w:val="21"/>
              </w:rPr>
            </w:pPr>
          </w:p>
        </w:tc>
        <w:tc>
          <w:tcPr>
            <w:tcW w:w="715" w:type="dxa"/>
            <w:vAlign w:val="center"/>
          </w:tcPr>
          <w:p w14:paraId="56FADE0F">
            <w:pPr>
              <w:spacing w:line="276" w:lineRule="auto"/>
              <w:jc w:val="center"/>
              <w:rPr>
                <w:rFonts w:ascii="宋体" w:hAnsi="宋体" w:eastAsia="宋体" w:cs="宋体"/>
                <w:bCs/>
                <w:szCs w:val="21"/>
              </w:rPr>
            </w:pPr>
          </w:p>
        </w:tc>
        <w:tc>
          <w:tcPr>
            <w:tcW w:w="1160" w:type="dxa"/>
            <w:vAlign w:val="center"/>
          </w:tcPr>
          <w:p w14:paraId="613F066D">
            <w:pPr>
              <w:spacing w:line="276" w:lineRule="auto"/>
              <w:jc w:val="center"/>
              <w:rPr>
                <w:rFonts w:ascii="宋体" w:hAnsi="宋体" w:eastAsia="宋体" w:cs="宋体"/>
                <w:bCs/>
                <w:szCs w:val="21"/>
              </w:rPr>
            </w:pPr>
          </w:p>
        </w:tc>
        <w:tc>
          <w:tcPr>
            <w:tcW w:w="917" w:type="dxa"/>
            <w:shd w:val="clear" w:color="auto" w:fill="auto"/>
            <w:vAlign w:val="center"/>
          </w:tcPr>
          <w:p w14:paraId="5D9AADB8">
            <w:pPr>
              <w:spacing w:line="276" w:lineRule="auto"/>
              <w:jc w:val="center"/>
              <w:rPr>
                <w:rFonts w:ascii="宋体" w:hAnsi="宋体" w:eastAsia="宋体" w:cs="宋体"/>
                <w:bCs/>
                <w:szCs w:val="21"/>
              </w:rPr>
            </w:pPr>
          </w:p>
        </w:tc>
        <w:tc>
          <w:tcPr>
            <w:tcW w:w="666" w:type="dxa"/>
            <w:shd w:val="clear" w:color="auto" w:fill="auto"/>
            <w:vAlign w:val="center"/>
          </w:tcPr>
          <w:p w14:paraId="1C0CF61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550" w:type="dxa"/>
            <w:shd w:val="clear" w:color="auto" w:fill="auto"/>
            <w:vAlign w:val="center"/>
          </w:tcPr>
          <w:p w14:paraId="5D57F7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个</w:t>
            </w:r>
          </w:p>
        </w:tc>
        <w:tc>
          <w:tcPr>
            <w:tcW w:w="967" w:type="dxa"/>
            <w:vAlign w:val="center"/>
          </w:tcPr>
          <w:p w14:paraId="0F995E1E">
            <w:pPr>
              <w:spacing w:line="276" w:lineRule="auto"/>
              <w:jc w:val="center"/>
              <w:rPr>
                <w:rFonts w:ascii="宋体" w:hAnsi="宋体" w:eastAsia="宋体" w:cs="宋体"/>
                <w:bCs/>
                <w:szCs w:val="21"/>
              </w:rPr>
            </w:pPr>
          </w:p>
        </w:tc>
        <w:tc>
          <w:tcPr>
            <w:tcW w:w="983" w:type="dxa"/>
            <w:vAlign w:val="center"/>
          </w:tcPr>
          <w:p w14:paraId="45EBAAF9">
            <w:pPr>
              <w:spacing w:line="276" w:lineRule="auto"/>
              <w:jc w:val="center"/>
              <w:rPr>
                <w:rFonts w:ascii="宋体" w:hAnsi="宋体" w:eastAsia="宋体" w:cs="宋体"/>
                <w:bCs/>
                <w:szCs w:val="21"/>
              </w:rPr>
            </w:pPr>
          </w:p>
        </w:tc>
      </w:tr>
      <w:tr w14:paraId="4FAD3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A1036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t>（五）</w:t>
            </w:r>
          </w:p>
        </w:tc>
        <w:tc>
          <w:tcPr>
            <w:tcW w:w="841" w:type="dxa"/>
            <w:vMerge w:val="continue"/>
          </w:tcPr>
          <w:p w14:paraId="68782AA7">
            <w:pPr>
              <w:spacing w:line="276" w:lineRule="auto"/>
              <w:jc w:val="center"/>
              <w:rPr>
                <w:rFonts w:ascii="宋体" w:hAnsi="宋体" w:eastAsia="宋体" w:cs="宋体"/>
                <w:bCs/>
                <w:szCs w:val="21"/>
              </w:rPr>
            </w:pPr>
          </w:p>
        </w:tc>
        <w:tc>
          <w:tcPr>
            <w:tcW w:w="9389" w:type="dxa"/>
            <w:gridSpan w:val="11"/>
            <w:vAlign w:val="center"/>
          </w:tcPr>
          <w:p w14:paraId="74C2F597">
            <w:pPr>
              <w:spacing w:line="276" w:lineRule="auto"/>
              <w:jc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多功能智能杆设施</w:t>
            </w:r>
          </w:p>
        </w:tc>
      </w:tr>
      <w:tr w14:paraId="7A2D2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6167BA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b w:val="0"/>
                <w:bCs w:val="0"/>
                <w:i w:val="0"/>
                <w:iCs w:val="0"/>
                <w:color w:val="auto"/>
                <w:kern w:val="0"/>
                <w:sz w:val="20"/>
                <w:szCs w:val="20"/>
                <w:u w:val="none"/>
                <w:lang w:val="en-US" w:eastAsia="zh-CN" w:bidi="ar"/>
              </w:rPr>
              <w:t>69</w:t>
            </w:r>
          </w:p>
        </w:tc>
        <w:tc>
          <w:tcPr>
            <w:tcW w:w="841" w:type="dxa"/>
            <w:vMerge w:val="continue"/>
          </w:tcPr>
          <w:p w14:paraId="717679AC">
            <w:pPr>
              <w:spacing w:line="276" w:lineRule="auto"/>
              <w:jc w:val="center"/>
              <w:rPr>
                <w:rFonts w:ascii="宋体" w:hAnsi="宋体" w:eastAsia="宋体" w:cs="宋体"/>
                <w:bCs/>
                <w:color w:val="auto"/>
                <w:szCs w:val="21"/>
              </w:rPr>
            </w:pPr>
          </w:p>
        </w:tc>
        <w:tc>
          <w:tcPr>
            <w:tcW w:w="1223" w:type="dxa"/>
            <w:shd w:val="clear" w:color="auto" w:fill="auto"/>
            <w:vAlign w:val="center"/>
          </w:tcPr>
          <w:p w14:paraId="491B3E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b w:val="0"/>
                <w:bCs w:val="0"/>
                <w:i w:val="0"/>
                <w:iCs w:val="0"/>
                <w:color w:val="auto"/>
                <w:kern w:val="0"/>
                <w:sz w:val="20"/>
                <w:szCs w:val="20"/>
                <w:u w:val="none"/>
                <w:lang w:val="en-US" w:eastAsia="zh-CN" w:bidi="ar"/>
              </w:rPr>
              <w:t>多功能智能杆1（智慧路灯+车行信号灯）</w:t>
            </w:r>
          </w:p>
        </w:tc>
        <w:tc>
          <w:tcPr>
            <w:tcW w:w="890" w:type="dxa"/>
            <w:vAlign w:val="center"/>
          </w:tcPr>
          <w:p w14:paraId="6AD284F7">
            <w:pPr>
              <w:spacing w:line="276" w:lineRule="auto"/>
              <w:jc w:val="center"/>
              <w:rPr>
                <w:rFonts w:ascii="宋体" w:hAnsi="宋体" w:eastAsia="宋体" w:cs="宋体"/>
                <w:bCs/>
                <w:color w:val="auto"/>
                <w:szCs w:val="21"/>
              </w:rPr>
            </w:pPr>
          </w:p>
        </w:tc>
        <w:tc>
          <w:tcPr>
            <w:tcW w:w="508" w:type="dxa"/>
            <w:vAlign w:val="center"/>
          </w:tcPr>
          <w:p w14:paraId="4864B037">
            <w:pPr>
              <w:spacing w:line="276" w:lineRule="auto"/>
              <w:jc w:val="center"/>
              <w:rPr>
                <w:rFonts w:ascii="宋体" w:hAnsi="宋体" w:eastAsia="宋体" w:cs="宋体"/>
                <w:bCs/>
                <w:color w:val="auto"/>
                <w:szCs w:val="21"/>
              </w:rPr>
            </w:pPr>
          </w:p>
        </w:tc>
        <w:tc>
          <w:tcPr>
            <w:tcW w:w="810" w:type="dxa"/>
            <w:vAlign w:val="center"/>
          </w:tcPr>
          <w:p w14:paraId="7B69F696">
            <w:pPr>
              <w:spacing w:line="276" w:lineRule="auto"/>
              <w:jc w:val="center"/>
              <w:rPr>
                <w:rFonts w:ascii="宋体" w:hAnsi="宋体" w:eastAsia="宋体" w:cs="宋体"/>
                <w:bCs/>
                <w:color w:val="auto"/>
                <w:szCs w:val="21"/>
              </w:rPr>
            </w:pPr>
          </w:p>
        </w:tc>
        <w:tc>
          <w:tcPr>
            <w:tcW w:w="715" w:type="dxa"/>
            <w:vAlign w:val="center"/>
          </w:tcPr>
          <w:p w14:paraId="47D20193">
            <w:pPr>
              <w:spacing w:line="276" w:lineRule="auto"/>
              <w:jc w:val="center"/>
              <w:rPr>
                <w:rFonts w:ascii="宋体" w:hAnsi="宋体" w:eastAsia="宋体" w:cs="宋体"/>
                <w:bCs/>
                <w:color w:val="auto"/>
                <w:szCs w:val="21"/>
              </w:rPr>
            </w:pPr>
          </w:p>
        </w:tc>
        <w:tc>
          <w:tcPr>
            <w:tcW w:w="1160" w:type="dxa"/>
            <w:vAlign w:val="center"/>
          </w:tcPr>
          <w:p w14:paraId="0142F92C">
            <w:pPr>
              <w:spacing w:line="276" w:lineRule="auto"/>
              <w:jc w:val="center"/>
              <w:rPr>
                <w:rFonts w:ascii="宋体" w:hAnsi="宋体" w:eastAsia="宋体" w:cs="宋体"/>
                <w:bCs/>
                <w:color w:val="auto"/>
                <w:szCs w:val="21"/>
              </w:rPr>
            </w:pPr>
          </w:p>
        </w:tc>
        <w:tc>
          <w:tcPr>
            <w:tcW w:w="917" w:type="dxa"/>
            <w:shd w:val="clear" w:color="auto" w:fill="auto"/>
            <w:vAlign w:val="center"/>
          </w:tcPr>
          <w:p w14:paraId="047B5010">
            <w:pPr>
              <w:spacing w:line="276" w:lineRule="auto"/>
              <w:jc w:val="center"/>
              <w:rPr>
                <w:rFonts w:ascii="宋体" w:hAnsi="宋体" w:eastAsia="宋体" w:cs="宋体"/>
                <w:bCs/>
                <w:color w:val="auto"/>
                <w:szCs w:val="21"/>
              </w:rPr>
            </w:pPr>
          </w:p>
        </w:tc>
        <w:tc>
          <w:tcPr>
            <w:tcW w:w="666" w:type="dxa"/>
            <w:shd w:val="clear" w:color="auto" w:fill="auto"/>
            <w:vAlign w:val="center"/>
          </w:tcPr>
          <w:p w14:paraId="14118F4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b w:val="0"/>
                <w:bCs w:val="0"/>
                <w:i w:val="0"/>
                <w:iCs w:val="0"/>
                <w:color w:val="auto"/>
                <w:kern w:val="0"/>
                <w:sz w:val="20"/>
                <w:szCs w:val="20"/>
                <w:u w:val="none"/>
                <w:lang w:val="en-US" w:eastAsia="zh-CN" w:bidi="ar"/>
              </w:rPr>
              <w:t>4</w:t>
            </w:r>
          </w:p>
        </w:tc>
        <w:tc>
          <w:tcPr>
            <w:tcW w:w="550" w:type="dxa"/>
            <w:shd w:val="clear" w:color="auto" w:fill="auto"/>
            <w:vAlign w:val="center"/>
          </w:tcPr>
          <w:p w14:paraId="1F1DD9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b w:val="0"/>
                <w:bCs w:val="0"/>
                <w:i w:val="0"/>
                <w:iCs w:val="0"/>
                <w:color w:val="auto"/>
                <w:kern w:val="0"/>
                <w:sz w:val="20"/>
                <w:szCs w:val="20"/>
                <w:u w:val="none"/>
                <w:lang w:val="en-US" w:eastAsia="zh-CN" w:bidi="ar"/>
              </w:rPr>
              <w:t>杆</w:t>
            </w:r>
          </w:p>
        </w:tc>
        <w:tc>
          <w:tcPr>
            <w:tcW w:w="967" w:type="dxa"/>
            <w:vAlign w:val="center"/>
          </w:tcPr>
          <w:p w14:paraId="71DC7BC0">
            <w:pPr>
              <w:spacing w:line="276" w:lineRule="auto"/>
              <w:jc w:val="center"/>
              <w:rPr>
                <w:rFonts w:ascii="宋体" w:hAnsi="宋体" w:eastAsia="宋体" w:cs="宋体"/>
                <w:bCs/>
                <w:szCs w:val="21"/>
              </w:rPr>
            </w:pPr>
          </w:p>
        </w:tc>
        <w:tc>
          <w:tcPr>
            <w:tcW w:w="983" w:type="dxa"/>
            <w:vAlign w:val="center"/>
          </w:tcPr>
          <w:p w14:paraId="0408EBCC">
            <w:pPr>
              <w:spacing w:line="276" w:lineRule="auto"/>
              <w:jc w:val="center"/>
              <w:rPr>
                <w:rFonts w:ascii="宋体" w:hAnsi="宋体" w:eastAsia="宋体" w:cs="宋体"/>
                <w:bCs/>
                <w:szCs w:val="21"/>
              </w:rPr>
            </w:pPr>
          </w:p>
        </w:tc>
      </w:tr>
      <w:tr w14:paraId="6B109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6512CA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70</w:t>
            </w:r>
          </w:p>
        </w:tc>
        <w:tc>
          <w:tcPr>
            <w:tcW w:w="841" w:type="dxa"/>
            <w:vMerge w:val="continue"/>
          </w:tcPr>
          <w:p w14:paraId="31458EFB">
            <w:pPr>
              <w:spacing w:line="276" w:lineRule="auto"/>
              <w:jc w:val="center"/>
              <w:rPr>
                <w:rFonts w:ascii="宋体" w:hAnsi="宋体" w:eastAsia="宋体" w:cs="宋体"/>
                <w:bCs/>
                <w:szCs w:val="21"/>
              </w:rPr>
            </w:pPr>
          </w:p>
        </w:tc>
        <w:tc>
          <w:tcPr>
            <w:tcW w:w="1223" w:type="dxa"/>
            <w:shd w:val="clear" w:color="auto" w:fill="auto"/>
            <w:vAlign w:val="center"/>
          </w:tcPr>
          <w:p w14:paraId="6EC616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多功能智能杆2（智慧路灯+车行信号灯）</w:t>
            </w:r>
          </w:p>
        </w:tc>
        <w:tc>
          <w:tcPr>
            <w:tcW w:w="890" w:type="dxa"/>
            <w:vAlign w:val="center"/>
          </w:tcPr>
          <w:p w14:paraId="26B248E8">
            <w:pPr>
              <w:spacing w:line="276" w:lineRule="auto"/>
              <w:jc w:val="center"/>
              <w:rPr>
                <w:rFonts w:ascii="宋体" w:hAnsi="宋体" w:eastAsia="宋体" w:cs="宋体"/>
                <w:bCs/>
                <w:szCs w:val="21"/>
              </w:rPr>
            </w:pPr>
          </w:p>
        </w:tc>
        <w:tc>
          <w:tcPr>
            <w:tcW w:w="508" w:type="dxa"/>
            <w:vAlign w:val="center"/>
          </w:tcPr>
          <w:p w14:paraId="30458FDC">
            <w:pPr>
              <w:spacing w:line="276" w:lineRule="auto"/>
              <w:jc w:val="center"/>
              <w:rPr>
                <w:rFonts w:ascii="宋体" w:hAnsi="宋体" w:eastAsia="宋体" w:cs="宋体"/>
                <w:bCs/>
                <w:szCs w:val="21"/>
              </w:rPr>
            </w:pPr>
          </w:p>
        </w:tc>
        <w:tc>
          <w:tcPr>
            <w:tcW w:w="810" w:type="dxa"/>
            <w:vAlign w:val="center"/>
          </w:tcPr>
          <w:p w14:paraId="7305FEAC">
            <w:pPr>
              <w:spacing w:line="276" w:lineRule="auto"/>
              <w:jc w:val="center"/>
              <w:rPr>
                <w:rFonts w:ascii="宋体" w:hAnsi="宋体" w:eastAsia="宋体" w:cs="宋体"/>
                <w:bCs/>
                <w:szCs w:val="21"/>
              </w:rPr>
            </w:pPr>
          </w:p>
        </w:tc>
        <w:tc>
          <w:tcPr>
            <w:tcW w:w="715" w:type="dxa"/>
            <w:vAlign w:val="center"/>
          </w:tcPr>
          <w:p w14:paraId="00B4D5A9">
            <w:pPr>
              <w:spacing w:line="276" w:lineRule="auto"/>
              <w:jc w:val="center"/>
              <w:rPr>
                <w:rFonts w:ascii="宋体" w:hAnsi="宋体" w:eastAsia="宋体" w:cs="宋体"/>
                <w:bCs/>
                <w:szCs w:val="21"/>
              </w:rPr>
            </w:pPr>
          </w:p>
        </w:tc>
        <w:tc>
          <w:tcPr>
            <w:tcW w:w="1160" w:type="dxa"/>
            <w:vAlign w:val="center"/>
          </w:tcPr>
          <w:p w14:paraId="151FA206">
            <w:pPr>
              <w:spacing w:line="276" w:lineRule="auto"/>
              <w:jc w:val="center"/>
              <w:rPr>
                <w:rFonts w:ascii="宋体" w:hAnsi="宋体" w:eastAsia="宋体" w:cs="宋体"/>
                <w:bCs/>
                <w:szCs w:val="21"/>
              </w:rPr>
            </w:pPr>
          </w:p>
        </w:tc>
        <w:tc>
          <w:tcPr>
            <w:tcW w:w="917" w:type="dxa"/>
            <w:shd w:val="clear" w:color="auto" w:fill="auto"/>
            <w:vAlign w:val="center"/>
          </w:tcPr>
          <w:p w14:paraId="20B1554D">
            <w:pPr>
              <w:spacing w:line="276" w:lineRule="auto"/>
              <w:jc w:val="center"/>
              <w:rPr>
                <w:rFonts w:ascii="宋体" w:hAnsi="宋体" w:eastAsia="宋体" w:cs="宋体"/>
                <w:bCs/>
                <w:szCs w:val="21"/>
              </w:rPr>
            </w:pPr>
          </w:p>
        </w:tc>
        <w:tc>
          <w:tcPr>
            <w:tcW w:w="666" w:type="dxa"/>
            <w:shd w:val="clear" w:color="auto" w:fill="auto"/>
            <w:vAlign w:val="center"/>
          </w:tcPr>
          <w:p w14:paraId="6D14E65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550" w:type="dxa"/>
            <w:shd w:val="clear" w:color="auto" w:fill="auto"/>
            <w:vAlign w:val="center"/>
          </w:tcPr>
          <w:p w14:paraId="7BF33C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147E816F">
            <w:pPr>
              <w:spacing w:line="276" w:lineRule="auto"/>
              <w:jc w:val="center"/>
              <w:rPr>
                <w:rFonts w:ascii="宋体" w:hAnsi="宋体" w:eastAsia="宋体" w:cs="宋体"/>
                <w:bCs/>
                <w:szCs w:val="21"/>
              </w:rPr>
            </w:pPr>
          </w:p>
        </w:tc>
        <w:tc>
          <w:tcPr>
            <w:tcW w:w="983" w:type="dxa"/>
            <w:vAlign w:val="center"/>
          </w:tcPr>
          <w:p w14:paraId="0494B608">
            <w:pPr>
              <w:spacing w:line="276" w:lineRule="auto"/>
              <w:jc w:val="center"/>
              <w:rPr>
                <w:rFonts w:ascii="宋体" w:hAnsi="宋体" w:eastAsia="宋体" w:cs="宋体"/>
                <w:bCs/>
                <w:szCs w:val="21"/>
              </w:rPr>
            </w:pPr>
          </w:p>
        </w:tc>
      </w:tr>
      <w:tr w14:paraId="2A096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72FB4F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71</w:t>
            </w:r>
          </w:p>
        </w:tc>
        <w:tc>
          <w:tcPr>
            <w:tcW w:w="841" w:type="dxa"/>
            <w:vMerge w:val="continue"/>
          </w:tcPr>
          <w:p w14:paraId="0FB80175">
            <w:pPr>
              <w:spacing w:line="276" w:lineRule="auto"/>
              <w:jc w:val="center"/>
              <w:rPr>
                <w:rFonts w:ascii="宋体" w:hAnsi="宋体" w:eastAsia="宋体" w:cs="宋体"/>
                <w:bCs/>
                <w:szCs w:val="21"/>
              </w:rPr>
            </w:pPr>
          </w:p>
        </w:tc>
        <w:tc>
          <w:tcPr>
            <w:tcW w:w="1223" w:type="dxa"/>
            <w:shd w:val="clear" w:color="auto" w:fill="auto"/>
            <w:vAlign w:val="center"/>
          </w:tcPr>
          <w:p w14:paraId="659CCD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多功能智能杆3（智慧路灯+车行信号灯）</w:t>
            </w:r>
          </w:p>
        </w:tc>
        <w:tc>
          <w:tcPr>
            <w:tcW w:w="890" w:type="dxa"/>
            <w:vAlign w:val="center"/>
          </w:tcPr>
          <w:p w14:paraId="44CAD7DC">
            <w:pPr>
              <w:spacing w:line="276" w:lineRule="auto"/>
              <w:jc w:val="center"/>
              <w:rPr>
                <w:rFonts w:ascii="宋体" w:hAnsi="宋体" w:eastAsia="宋体" w:cs="宋体"/>
                <w:bCs/>
                <w:szCs w:val="21"/>
              </w:rPr>
            </w:pPr>
          </w:p>
        </w:tc>
        <w:tc>
          <w:tcPr>
            <w:tcW w:w="508" w:type="dxa"/>
            <w:vAlign w:val="center"/>
          </w:tcPr>
          <w:p w14:paraId="27786E17">
            <w:pPr>
              <w:spacing w:line="276" w:lineRule="auto"/>
              <w:jc w:val="center"/>
              <w:rPr>
                <w:rFonts w:ascii="宋体" w:hAnsi="宋体" w:eastAsia="宋体" w:cs="宋体"/>
                <w:bCs/>
                <w:szCs w:val="21"/>
              </w:rPr>
            </w:pPr>
          </w:p>
        </w:tc>
        <w:tc>
          <w:tcPr>
            <w:tcW w:w="810" w:type="dxa"/>
            <w:vAlign w:val="center"/>
          </w:tcPr>
          <w:p w14:paraId="5293F007">
            <w:pPr>
              <w:spacing w:line="276" w:lineRule="auto"/>
              <w:jc w:val="center"/>
              <w:rPr>
                <w:rFonts w:ascii="宋体" w:hAnsi="宋体" w:eastAsia="宋体" w:cs="宋体"/>
                <w:bCs/>
                <w:szCs w:val="21"/>
              </w:rPr>
            </w:pPr>
          </w:p>
        </w:tc>
        <w:tc>
          <w:tcPr>
            <w:tcW w:w="715" w:type="dxa"/>
            <w:vAlign w:val="center"/>
          </w:tcPr>
          <w:p w14:paraId="5E7E8B84">
            <w:pPr>
              <w:spacing w:line="276" w:lineRule="auto"/>
              <w:jc w:val="center"/>
              <w:rPr>
                <w:rFonts w:ascii="宋体" w:hAnsi="宋体" w:eastAsia="宋体" w:cs="宋体"/>
                <w:bCs/>
                <w:szCs w:val="21"/>
              </w:rPr>
            </w:pPr>
          </w:p>
        </w:tc>
        <w:tc>
          <w:tcPr>
            <w:tcW w:w="1160" w:type="dxa"/>
            <w:vAlign w:val="center"/>
          </w:tcPr>
          <w:p w14:paraId="66FBA217">
            <w:pPr>
              <w:spacing w:line="276" w:lineRule="auto"/>
              <w:jc w:val="center"/>
              <w:rPr>
                <w:rFonts w:ascii="宋体" w:hAnsi="宋体" w:eastAsia="宋体" w:cs="宋体"/>
                <w:bCs/>
                <w:szCs w:val="21"/>
              </w:rPr>
            </w:pPr>
          </w:p>
        </w:tc>
        <w:tc>
          <w:tcPr>
            <w:tcW w:w="917" w:type="dxa"/>
            <w:shd w:val="clear" w:color="auto" w:fill="auto"/>
            <w:vAlign w:val="center"/>
          </w:tcPr>
          <w:p w14:paraId="7139E339">
            <w:pPr>
              <w:spacing w:line="276" w:lineRule="auto"/>
              <w:jc w:val="center"/>
              <w:rPr>
                <w:rFonts w:ascii="宋体" w:hAnsi="宋体" w:eastAsia="宋体" w:cs="宋体"/>
                <w:bCs/>
                <w:szCs w:val="21"/>
              </w:rPr>
            </w:pPr>
          </w:p>
        </w:tc>
        <w:tc>
          <w:tcPr>
            <w:tcW w:w="666" w:type="dxa"/>
            <w:shd w:val="clear" w:color="auto" w:fill="auto"/>
            <w:vAlign w:val="center"/>
          </w:tcPr>
          <w:p w14:paraId="753F628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550" w:type="dxa"/>
            <w:shd w:val="clear" w:color="auto" w:fill="auto"/>
            <w:vAlign w:val="center"/>
          </w:tcPr>
          <w:p w14:paraId="6D6088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1A9BE44A">
            <w:pPr>
              <w:spacing w:line="276" w:lineRule="auto"/>
              <w:jc w:val="center"/>
              <w:rPr>
                <w:rFonts w:ascii="宋体" w:hAnsi="宋体" w:eastAsia="宋体" w:cs="宋体"/>
                <w:bCs/>
                <w:szCs w:val="21"/>
              </w:rPr>
            </w:pPr>
          </w:p>
        </w:tc>
        <w:tc>
          <w:tcPr>
            <w:tcW w:w="983" w:type="dxa"/>
            <w:vAlign w:val="center"/>
          </w:tcPr>
          <w:p w14:paraId="7288F510">
            <w:pPr>
              <w:spacing w:line="276" w:lineRule="auto"/>
              <w:jc w:val="center"/>
              <w:rPr>
                <w:rFonts w:ascii="宋体" w:hAnsi="宋体" w:eastAsia="宋体" w:cs="宋体"/>
                <w:bCs/>
                <w:szCs w:val="21"/>
              </w:rPr>
            </w:pPr>
          </w:p>
        </w:tc>
      </w:tr>
      <w:tr w14:paraId="6EEE0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6ACFC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72</w:t>
            </w:r>
          </w:p>
        </w:tc>
        <w:tc>
          <w:tcPr>
            <w:tcW w:w="841" w:type="dxa"/>
            <w:vMerge w:val="continue"/>
          </w:tcPr>
          <w:p w14:paraId="3FCFF98A">
            <w:pPr>
              <w:spacing w:line="276" w:lineRule="auto"/>
              <w:jc w:val="center"/>
              <w:rPr>
                <w:rFonts w:ascii="宋体" w:hAnsi="宋体" w:eastAsia="宋体" w:cs="宋体"/>
                <w:bCs/>
                <w:szCs w:val="21"/>
              </w:rPr>
            </w:pPr>
          </w:p>
        </w:tc>
        <w:tc>
          <w:tcPr>
            <w:tcW w:w="1223" w:type="dxa"/>
            <w:shd w:val="clear" w:color="auto" w:fill="auto"/>
            <w:vAlign w:val="center"/>
          </w:tcPr>
          <w:p w14:paraId="35F0EC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多功能智能杆4（智慧路灯+车行信号灯）</w:t>
            </w:r>
          </w:p>
        </w:tc>
        <w:tc>
          <w:tcPr>
            <w:tcW w:w="890" w:type="dxa"/>
            <w:vAlign w:val="center"/>
          </w:tcPr>
          <w:p w14:paraId="218EFBDA">
            <w:pPr>
              <w:spacing w:line="276" w:lineRule="auto"/>
              <w:jc w:val="center"/>
              <w:rPr>
                <w:rFonts w:ascii="宋体" w:hAnsi="宋体" w:eastAsia="宋体" w:cs="宋体"/>
                <w:bCs/>
                <w:szCs w:val="21"/>
              </w:rPr>
            </w:pPr>
          </w:p>
        </w:tc>
        <w:tc>
          <w:tcPr>
            <w:tcW w:w="508" w:type="dxa"/>
            <w:vAlign w:val="center"/>
          </w:tcPr>
          <w:p w14:paraId="151FEFA0">
            <w:pPr>
              <w:spacing w:line="276" w:lineRule="auto"/>
              <w:jc w:val="center"/>
              <w:rPr>
                <w:rFonts w:ascii="宋体" w:hAnsi="宋体" w:eastAsia="宋体" w:cs="宋体"/>
                <w:bCs/>
                <w:szCs w:val="21"/>
              </w:rPr>
            </w:pPr>
          </w:p>
        </w:tc>
        <w:tc>
          <w:tcPr>
            <w:tcW w:w="810" w:type="dxa"/>
            <w:vAlign w:val="center"/>
          </w:tcPr>
          <w:p w14:paraId="21C63A1C">
            <w:pPr>
              <w:spacing w:line="276" w:lineRule="auto"/>
              <w:jc w:val="center"/>
              <w:rPr>
                <w:rFonts w:ascii="宋体" w:hAnsi="宋体" w:eastAsia="宋体" w:cs="宋体"/>
                <w:bCs/>
                <w:szCs w:val="21"/>
              </w:rPr>
            </w:pPr>
          </w:p>
        </w:tc>
        <w:tc>
          <w:tcPr>
            <w:tcW w:w="715" w:type="dxa"/>
            <w:vAlign w:val="center"/>
          </w:tcPr>
          <w:p w14:paraId="26C8B606">
            <w:pPr>
              <w:spacing w:line="276" w:lineRule="auto"/>
              <w:jc w:val="center"/>
              <w:rPr>
                <w:rFonts w:ascii="宋体" w:hAnsi="宋体" w:eastAsia="宋体" w:cs="宋体"/>
                <w:bCs/>
                <w:szCs w:val="21"/>
              </w:rPr>
            </w:pPr>
          </w:p>
        </w:tc>
        <w:tc>
          <w:tcPr>
            <w:tcW w:w="1160" w:type="dxa"/>
            <w:vAlign w:val="center"/>
          </w:tcPr>
          <w:p w14:paraId="40ED53EB">
            <w:pPr>
              <w:spacing w:line="276" w:lineRule="auto"/>
              <w:jc w:val="center"/>
              <w:rPr>
                <w:rFonts w:ascii="宋体" w:hAnsi="宋体" w:eastAsia="宋体" w:cs="宋体"/>
                <w:bCs/>
                <w:szCs w:val="21"/>
              </w:rPr>
            </w:pPr>
          </w:p>
        </w:tc>
        <w:tc>
          <w:tcPr>
            <w:tcW w:w="917" w:type="dxa"/>
            <w:shd w:val="clear" w:color="auto" w:fill="auto"/>
            <w:vAlign w:val="center"/>
          </w:tcPr>
          <w:p w14:paraId="04633624">
            <w:pPr>
              <w:spacing w:line="276" w:lineRule="auto"/>
              <w:jc w:val="center"/>
              <w:rPr>
                <w:rFonts w:ascii="宋体" w:hAnsi="宋体" w:eastAsia="宋体" w:cs="宋体"/>
                <w:bCs/>
                <w:szCs w:val="21"/>
              </w:rPr>
            </w:pPr>
          </w:p>
        </w:tc>
        <w:tc>
          <w:tcPr>
            <w:tcW w:w="666" w:type="dxa"/>
            <w:shd w:val="clear" w:color="auto" w:fill="auto"/>
            <w:vAlign w:val="center"/>
          </w:tcPr>
          <w:p w14:paraId="1536FFB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550" w:type="dxa"/>
            <w:shd w:val="clear" w:color="auto" w:fill="auto"/>
            <w:vAlign w:val="center"/>
          </w:tcPr>
          <w:p w14:paraId="44D601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3EA11B8C">
            <w:pPr>
              <w:spacing w:line="276" w:lineRule="auto"/>
              <w:jc w:val="center"/>
              <w:rPr>
                <w:rFonts w:ascii="宋体" w:hAnsi="宋体" w:eastAsia="宋体" w:cs="宋体"/>
                <w:bCs/>
                <w:szCs w:val="21"/>
              </w:rPr>
            </w:pPr>
          </w:p>
        </w:tc>
        <w:tc>
          <w:tcPr>
            <w:tcW w:w="983" w:type="dxa"/>
            <w:vAlign w:val="center"/>
          </w:tcPr>
          <w:p w14:paraId="4FB90C0C">
            <w:pPr>
              <w:spacing w:line="276" w:lineRule="auto"/>
              <w:jc w:val="center"/>
              <w:rPr>
                <w:rFonts w:ascii="宋体" w:hAnsi="宋体" w:eastAsia="宋体" w:cs="宋体"/>
                <w:bCs/>
                <w:szCs w:val="21"/>
              </w:rPr>
            </w:pPr>
          </w:p>
        </w:tc>
      </w:tr>
      <w:tr w14:paraId="68D35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25333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73</w:t>
            </w:r>
          </w:p>
        </w:tc>
        <w:tc>
          <w:tcPr>
            <w:tcW w:w="841" w:type="dxa"/>
            <w:vMerge w:val="continue"/>
          </w:tcPr>
          <w:p w14:paraId="613059E4">
            <w:pPr>
              <w:spacing w:line="276" w:lineRule="auto"/>
              <w:jc w:val="center"/>
              <w:rPr>
                <w:rFonts w:ascii="宋体" w:hAnsi="宋体" w:eastAsia="宋体" w:cs="宋体"/>
                <w:bCs/>
                <w:szCs w:val="21"/>
              </w:rPr>
            </w:pPr>
          </w:p>
        </w:tc>
        <w:tc>
          <w:tcPr>
            <w:tcW w:w="1223" w:type="dxa"/>
            <w:shd w:val="clear" w:color="auto" w:fill="auto"/>
            <w:vAlign w:val="center"/>
          </w:tcPr>
          <w:p w14:paraId="41564E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多功能智能杆5（智慧路灯+车行信号灯）</w:t>
            </w:r>
          </w:p>
        </w:tc>
        <w:tc>
          <w:tcPr>
            <w:tcW w:w="890" w:type="dxa"/>
            <w:vAlign w:val="center"/>
          </w:tcPr>
          <w:p w14:paraId="6AAD9712">
            <w:pPr>
              <w:spacing w:line="276" w:lineRule="auto"/>
              <w:jc w:val="center"/>
              <w:rPr>
                <w:rFonts w:ascii="宋体" w:hAnsi="宋体" w:eastAsia="宋体" w:cs="宋体"/>
                <w:bCs/>
                <w:szCs w:val="21"/>
              </w:rPr>
            </w:pPr>
          </w:p>
        </w:tc>
        <w:tc>
          <w:tcPr>
            <w:tcW w:w="508" w:type="dxa"/>
            <w:vAlign w:val="center"/>
          </w:tcPr>
          <w:p w14:paraId="6606CA65">
            <w:pPr>
              <w:spacing w:line="276" w:lineRule="auto"/>
              <w:jc w:val="center"/>
              <w:rPr>
                <w:rFonts w:ascii="宋体" w:hAnsi="宋体" w:eastAsia="宋体" w:cs="宋体"/>
                <w:bCs/>
                <w:szCs w:val="21"/>
              </w:rPr>
            </w:pPr>
          </w:p>
        </w:tc>
        <w:tc>
          <w:tcPr>
            <w:tcW w:w="810" w:type="dxa"/>
            <w:vAlign w:val="center"/>
          </w:tcPr>
          <w:p w14:paraId="6DC21CFE">
            <w:pPr>
              <w:spacing w:line="276" w:lineRule="auto"/>
              <w:jc w:val="center"/>
              <w:rPr>
                <w:rFonts w:ascii="宋体" w:hAnsi="宋体" w:eastAsia="宋体" w:cs="宋体"/>
                <w:bCs/>
                <w:szCs w:val="21"/>
              </w:rPr>
            </w:pPr>
          </w:p>
        </w:tc>
        <w:tc>
          <w:tcPr>
            <w:tcW w:w="715" w:type="dxa"/>
            <w:vAlign w:val="center"/>
          </w:tcPr>
          <w:p w14:paraId="3560A404">
            <w:pPr>
              <w:spacing w:line="276" w:lineRule="auto"/>
              <w:jc w:val="center"/>
              <w:rPr>
                <w:rFonts w:ascii="宋体" w:hAnsi="宋体" w:eastAsia="宋体" w:cs="宋体"/>
                <w:bCs/>
                <w:szCs w:val="21"/>
              </w:rPr>
            </w:pPr>
          </w:p>
        </w:tc>
        <w:tc>
          <w:tcPr>
            <w:tcW w:w="1160" w:type="dxa"/>
            <w:vAlign w:val="center"/>
          </w:tcPr>
          <w:p w14:paraId="7A371323">
            <w:pPr>
              <w:spacing w:line="276" w:lineRule="auto"/>
              <w:jc w:val="center"/>
              <w:rPr>
                <w:rFonts w:ascii="宋体" w:hAnsi="宋体" w:eastAsia="宋体" w:cs="宋体"/>
                <w:bCs/>
                <w:szCs w:val="21"/>
              </w:rPr>
            </w:pPr>
          </w:p>
        </w:tc>
        <w:tc>
          <w:tcPr>
            <w:tcW w:w="917" w:type="dxa"/>
            <w:shd w:val="clear" w:color="auto" w:fill="auto"/>
            <w:vAlign w:val="center"/>
          </w:tcPr>
          <w:p w14:paraId="71EAD997">
            <w:pPr>
              <w:spacing w:line="276" w:lineRule="auto"/>
              <w:jc w:val="center"/>
              <w:rPr>
                <w:rFonts w:ascii="宋体" w:hAnsi="宋体" w:eastAsia="宋体" w:cs="宋体"/>
                <w:bCs/>
                <w:szCs w:val="21"/>
              </w:rPr>
            </w:pPr>
          </w:p>
        </w:tc>
        <w:tc>
          <w:tcPr>
            <w:tcW w:w="666" w:type="dxa"/>
            <w:shd w:val="clear" w:color="auto" w:fill="auto"/>
            <w:vAlign w:val="center"/>
          </w:tcPr>
          <w:p w14:paraId="083A2AF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550" w:type="dxa"/>
            <w:shd w:val="clear" w:color="auto" w:fill="auto"/>
            <w:vAlign w:val="center"/>
          </w:tcPr>
          <w:p w14:paraId="3C4B67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184DC59F">
            <w:pPr>
              <w:spacing w:line="276" w:lineRule="auto"/>
              <w:jc w:val="center"/>
              <w:rPr>
                <w:rFonts w:ascii="宋体" w:hAnsi="宋体" w:eastAsia="宋体" w:cs="宋体"/>
                <w:bCs/>
                <w:szCs w:val="21"/>
              </w:rPr>
            </w:pPr>
          </w:p>
        </w:tc>
        <w:tc>
          <w:tcPr>
            <w:tcW w:w="983" w:type="dxa"/>
            <w:vAlign w:val="center"/>
          </w:tcPr>
          <w:p w14:paraId="51408CCF">
            <w:pPr>
              <w:spacing w:line="276" w:lineRule="auto"/>
              <w:jc w:val="center"/>
              <w:rPr>
                <w:rFonts w:ascii="宋体" w:hAnsi="宋体" w:eastAsia="宋体" w:cs="宋体"/>
                <w:bCs/>
                <w:szCs w:val="21"/>
              </w:rPr>
            </w:pPr>
          </w:p>
        </w:tc>
      </w:tr>
      <w:tr w14:paraId="0CB00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6589FD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74</w:t>
            </w:r>
          </w:p>
        </w:tc>
        <w:tc>
          <w:tcPr>
            <w:tcW w:w="841" w:type="dxa"/>
            <w:vMerge w:val="continue"/>
          </w:tcPr>
          <w:p w14:paraId="77B4C71E">
            <w:pPr>
              <w:spacing w:line="276" w:lineRule="auto"/>
              <w:jc w:val="center"/>
              <w:rPr>
                <w:rFonts w:ascii="宋体" w:hAnsi="宋体" w:eastAsia="宋体" w:cs="宋体"/>
                <w:bCs/>
                <w:szCs w:val="21"/>
              </w:rPr>
            </w:pPr>
          </w:p>
        </w:tc>
        <w:tc>
          <w:tcPr>
            <w:tcW w:w="1223" w:type="dxa"/>
            <w:shd w:val="clear" w:color="auto" w:fill="auto"/>
            <w:vAlign w:val="center"/>
          </w:tcPr>
          <w:p w14:paraId="34FAC1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多功能智能杆6（智慧路灯+车行信号灯）</w:t>
            </w:r>
          </w:p>
        </w:tc>
        <w:tc>
          <w:tcPr>
            <w:tcW w:w="890" w:type="dxa"/>
            <w:vAlign w:val="center"/>
          </w:tcPr>
          <w:p w14:paraId="7A9644BE">
            <w:pPr>
              <w:spacing w:line="276" w:lineRule="auto"/>
              <w:jc w:val="center"/>
              <w:rPr>
                <w:rFonts w:ascii="宋体" w:hAnsi="宋体" w:eastAsia="宋体" w:cs="宋体"/>
                <w:bCs/>
                <w:szCs w:val="21"/>
              </w:rPr>
            </w:pPr>
          </w:p>
        </w:tc>
        <w:tc>
          <w:tcPr>
            <w:tcW w:w="508" w:type="dxa"/>
            <w:vAlign w:val="center"/>
          </w:tcPr>
          <w:p w14:paraId="5F730D68">
            <w:pPr>
              <w:spacing w:line="276" w:lineRule="auto"/>
              <w:jc w:val="center"/>
              <w:rPr>
                <w:rFonts w:ascii="宋体" w:hAnsi="宋体" w:eastAsia="宋体" w:cs="宋体"/>
                <w:bCs/>
                <w:szCs w:val="21"/>
              </w:rPr>
            </w:pPr>
          </w:p>
        </w:tc>
        <w:tc>
          <w:tcPr>
            <w:tcW w:w="810" w:type="dxa"/>
            <w:vAlign w:val="center"/>
          </w:tcPr>
          <w:p w14:paraId="3ABA6FB5">
            <w:pPr>
              <w:spacing w:line="276" w:lineRule="auto"/>
              <w:jc w:val="center"/>
              <w:rPr>
                <w:rFonts w:ascii="宋体" w:hAnsi="宋体" w:eastAsia="宋体" w:cs="宋体"/>
                <w:bCs/>
                <w:szCs w:val="21"/>
              </w:rPr>
            </w:pPr>
          </w:p>
        </w:tc>
        <w:tc>
          <w:tcPr>
            <w:tcW w:w="715" w:type="dxa"/>
            <w:vAlign w:val="center"/>
          </w:tcPr>
          <w:p w14:paraId="68DF75D8">
            <w:pPr>
              <w:spacing w:line="276" w:lineRule="auto"/>
              <w:jc w:val="center"/>
              <w:rPr>
                <w:rFonts w:ascii="宋体" w:hAnsi="宋体" w:eastAsia="宋体" w:cs="宋体"/>
                <w:bCs/>
                <w:szCs w:val="21"/>
              </w:rPr>
            </w:pPr>
          </w:p>
        </w:tc>
        <w:tc>
          <w:tcPr>
            <w:tcW w:w="1160" w:type="dxa"/>
            <w:vAlign w:val="center"/>
          </w:tcPr>
          <w:p w14:paraId="140B9BB8">
            <w:pPr>
              <w:spacing w:line="276" w:lineRule="auto"/>
              <w:jc w:val="center"/>
              <w:rPr>
                <w:rFonts w:ascii="宋体" w:hAnsi="宋体" w:eastAsia="宋体" w:cs="宋体"/>
                <w:bCs/>
                <w:szCs w:val="21"/>
              </w:rPr>
            </w:pPr>
          </w:p>
        </w:tc>
        <w:tc>
          <w:tcPr>
            <w:tcW w:w="917" w:type="dxa"/>
            <w:shd w:val="clear" w:color="auto" w:fill="auto"/>
            <w:vAlign w:val="center"/>
          </w:tcPr>
          <w:p w14:paraId="3CB65C0E">
            <w:pPr>
              <w:spacing w:line="276" w:lineRule="auto"/>
              <w:jc w:val="center"/>
              <w:rPr>
                <w:rFonts w:ascii="宋体" w:hAnsi="宋体" w:eastAsia="宋体" w:cs="宋体"/>
                <w:bCs/>
                <w:szCs w:val="21"/>
              </w:rPr>
            </w:pPr>
          </w:p>
        </w:tc>
        <w:tc>
          <w:tcPr>
            <w:tcW w:w="666" w:type="dxa"/>
            <w:shd w:val="clear" w:color="auto" w:fill="auto"/>
            <w:vAlign w:val="center"/>
          </w:tcPr>
          <w:p w14:paraId="050DC44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3F0BDA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7E8BDC44">
            <w:pPr>
              <w:spacing w:line="276" w:lineRule="auto"/>
              <w:jc w:val="center"/>
              <w:rPr>
                <w:rFonts w:ascii="宋体" w:hAnsi="宋体" w:eastAsia="宋体" w:cs="宋体"/>
                <w:bCs/>
                <w:szCs w:val="21"/>
              </w:rPr>
            </w:pPr>
          </w:p>
        </w:tc>
        <w:tc>
          <w:tcPr>
            <w:tcW w:w="983" w:type="dxa"/>
            <w:vAlign w:val="center"/>
          </w:tcPr>
          <w:p w14:paraId="1DAB3CBC">
            <w:pPr>
              <w:spacing w:line="276" w:lineRule="auto"/>
              <w:jc w:val="center"/>
              <w:rPr>
                <w:rFonts w:ascii="宋体" w:hAnsi="宋体" w:eastAsia="宋体" w:cs="宋体"/>
                <w:bCs/>
                <w:szCs w:val="21"/>
              </w:rPr>
            </w:pPr>
          </w:p>
        </w:tc>
      </w:tr>
      <w:tr w14:paraId="3C176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5987AF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75</w:t>
            </w:r>
          </w:p>
        </w:tc>
        <w:tc>
          <w:tcPr>
            <w:tcW w:w="841" w:type="dxa"/>
            <w:vMerge w:val="continue"/>
          </w:tcPr>
          <w:p w14:paraId="4BE2C604">
            <w:pPr>
              <w:spacing w:line="276" w:lineRule="auto"/>
              <w:jc w:val="center"/>
              <w:rPr>
                <w:rFonts w:ascii="宋体" w:hAnsi="宋体" w:eastAsia="宋体" w:cs="宋体"/>
                <w:bCs/>
                <w:szCs w:val="21"/>
              </w:rPr>
            </w:pPr>
          </w:p>
        </w:tc>
        <w:tc>
          <w:tcPr>
            <w:tcW w:w="1223" w:type="dxa"/>
            <w:shd w:val="clear" w:color="auto" w:fill="auto"/>
            <w:vAlign w:val="center"/>
          </w:tcPr>
          <w:p w14:paraId="4808E7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多功能智能杆7（智慧路灯+车行信号灯）</w:t>
            </w:r>
          </w:p>
        </w:tc>
        <w:tc>
          <w:tcPr>
            <w:tcW w:w="890" w:type="dxa"/>
            <w:vAlign w:val="center"/>
          </w:tcPr>
          <w:p w14:paraId="217AEC93">
            <w:pPr>
              <w:spacing w:line="276" w:lineRule="auto"/>
              <w:jc w:val="center"/>
              <w:rPr>
                <w:rFonts w:ascii="宋体" w:hAnsi="宋体" w:eastAsia="宋体" w:cs="宋体"/>
                <w:bCs/>
                <w:szCs w:val="21"/>
              </w:rPr>
            </w:pPr>
          </w:p>
        </w:tc>
        <w:tc>
          <w:tcPr>
            <w:tcW w:w="508" w:type="dxa"/>
            <w:vAlign w:val="center"/>
          </w:tcPr>
          <w:p w14:paraId="13003B05">
            <w:pPr>
              <w:spacing w:line="276" w:lineRule="auto"/>
              <w:jc w:val="center"/>
              <w:rPr>
                <w:rFonts w:ascii="宋体" w:hAnsi="宋体" w:eastAsia="宋体" w:cs="宋体"/>
                <w:bCs/>
                <w:szCs w:val="21"/>
              </w:rPr>
            </w:pPr>
          </w:p>
        </w:tc>
        <w:tc>
          <w:tcPr>
            <w:tcW w:w="810" w:type="dxa"/>
            <w:vAlign w:val="center"/>
          </w:tcPr>
          <w:p w14:paraId="687FDC80">
            <w:pPr>
              <w:spacing w:line="276" w:lineRule="auto"/>
              <w:jc w:val="center"/>
              <w:rPr>
                <w:rFonts w:ascii="宋体" w:hAnsi="宋体" w:eastAsia="宋体" w:cs="宋体"/>
                <w:bCs/>
                <w:szCs w:val="21"/>
              </w:rPr>
            </w:pPr>
          </w:p>
        </w:tc>
        <w:tc>
          <w:tcPr>
            <w:tcW w:w="715" w:type="dxa"/>
            <w:vAlign w:val="center"/>
          </w:tcPr>
          <w:p w14:paraId="1F84888C">
            <w:pPr>
              <w:spacing w:line="276" w:lineRule="auto"/>
              <w:jc w:val="center"/>
              <w:rPr>
                <w:rFonts w:ascii="宋体" w:hAnsi="宋体" w:eastAsia="宋体" w:cs="宋体"/>
                <w:bCs/>
                <w:szCs w:val="21"/>
              </w:rPr>
            </w:pPr>
          </w:p>
        </w:tc>
        <w:tc>
          <w:tcPr>
            <w:tcW w:w="1160" w:type="dxa"/>
            <w:vAlign w:val="center"/>
          </w:tcPr>
          <w:p w14:paraId="57CA276C">
            <w:pPr>
              <w:spacing w:line="276" w:lineRule="auto"/>
              <w:jc w:val="center"/>
              <w:rPr>
                <w:rFonts w:ascii="宋体" w:hAnsi="宋体" w:eastAsia="宋体" w:cs="宋体"/>
                <w:bCs/>
                <w:szCs w:val="21"/>
              </w:rPr>
            </w:pPr>
          </w:p>
        </w:tc>
        <w:tc>
          <w:tcPr>
            <w:tcW w:w="917" w:type="dxa"/>
            <w:shd w:val="clear" w:color="auto" w:fill="auto"/>
            <w:vAlign w:val="center"/>
          </w:tcPr>
          <w:p w14:paraId="623E9106">
            <w:pPr>
              <w:spacing w:line="276" w:lineRule="auto"/>
              <w:jc w:val="center"/>
              <w:rPr>
                <w:rFonts w:ascii="宋体" w:hAnsi="宋体" w:eastAsia="宋体" w:cs="宋体"/>
                <w:bCs/>
                <w:szCs w:val="21"/>
              </w:rPr>
            </w:pPr>
          </w:p>
        </w:tc>
        <w:tc>
          <w:tcPr>
            <w:tcW w:w="666" w:type="dxa"/>
            <w:shd w:val="clear" w:color="auto" w:fill="auto"/>
            <w:vAlign w:val="center"/>
          </w:tcPr>
          <w:p w14:paraId="705805C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550" w:type="dxa"/>
            <w:shd w:val="clear" w:color="auto" w:fill="auto"/>
            <w:vAlign w:val="center"/>
          </w:tcPr>
          <w:p w14:paraId="7CC427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66A87F11">
            <w:pPr>
              <w:spacing w:line="276" w:lineRule="auto"/>
              <w:jc w:val="center"/>
              <w:rPr>
                <w:rFonts w:ascii="宋体" w:hAnsi="宋体" w:eastAsia="宋体" w:cs="宋体"/>
                <w:bCs/>
                <w:szCs w:val="21"/>
              </w:rPr>
            </w:pPr>
          </w:p>
        </w:tc>
        <w:tc>
          <w:tcPr>
            <w:tcW w:w="983" w:type="dxa"/>
            <w:vAlign w:val="center"/>
          </w:tcPr>
          <w:p w14:paraId="5E727CCD">
            <w:pPr>
              <w:spacing w:line="276" w:lineRule="auto"/>
              <w:jc w:val="center"/>
              <w:rPr>
                <w:rFonts w:ascii="宋体" w:hAnsi="宋体" w:eastAsia="宋体" w:cs="宋体"/>
                <w:bCs/>
                <w:szCs w:val="21"/>
              </w:rPr>
            </w:pPr>
          </w:p>
        </w:tc>
      </w:tr>
      <w:tr w14:paraId="4C685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29727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76</w:t>
            </w:r>
          </w:p>
        </w:tc>
        <w:tc>
          <w:tcPr>
            <w:tcW w:w="841" w:type="dxa"/>
            <w:vMerge w:val="continue"/>
          </w:tcPr>
          <w:p w14:paraId="07963467">
            <w:pPr>
              <w:spacing w:line="276" w:lineRule="auto"/>
              <w:jc w:val="center"/>
              <w:rPr>
                <w:rFonts w:ascii="宋体" w:hAnsi="宋体" w:eastAsia="宋体" w:cs="宋体"/>
                <w:bCs/>
                <w:szCs w:val="21"/>
              </w:rPr>
            </w:pPr>
          </w:p>
        </w:tc>
        <w:tc>
          <w:tcPr>
            <w:tcW w:w="1223" w:type="dxa"/>
            <w:shd w:val="clear" w:color="auto" w:fill="auto"/>
            <w:vAlign w:val="center"/>
          </w:tcPr>
          <w:p w14:paraId="47FC6A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多功能智能杆8（智慧路灯+车行信号灯）</w:t>
            </w:r>
          </w:p>
        </w:tc>
        <w:tc>
          <w:tcPr>
            <w:tcW w:w="890" w:type="dxa"/>
            <w:vAlign w:val="center"/>
          </w:tcPr>
          <w:p w14:paraId="4BA614CE">
            <w:pPr>
              <w:spacing w:line="276" w:lineRule="auto"/>
              <w:jc w:val="center"/>
              <w:rPr>
                <w:rFonts w:ascii="宋体" w:hAnsi="宋体" w:eastAsia="宋体" w:cs="宋体"/>
                <w:bCs/>
                <w:szCs w:val="21"/>
              </w:rPr>
            </w:pPr>
          </w:p>
        </w:tc>
        <w:tc>
          <w:tcPr>
            <w:tcW w:w="508" w:type="dxa"/>
            <w:vAlign w:val="center"/>
          </w:tcPr>
          <w:p w14:paraId="6AAFE08F">
            <w:pPr>
              <w:spacing w:line="276" w:lineRule="auto"/>
              <w:jc w:val="center"/>
              <w:rPr>
                <w:rFonts w:ascii="宋体" w:hAnsi="宋体" w:eastAsia="宋体" w:cs="宋体"/>
                <w:bCs/>
                <w:szCs w:val="21"/>
              </w:rPr>
            </w:pPr>
          </w:p>
        </w:tc>
        <w:tc>
          <w:tcPr>
            <w:tcW w:w="810" w:type="dxa"/>
            <w:vAlign w:val="center"/>
          </w:tcPr>
          <w:p w14:paraId="26196AA0">
            <w:pPr>
              <w:spacing w:line="276" w:lineRule="auto"/>
              <w:jc w:val="center"/>
              <w:rPr>
                <w:rFonts w:ascii="宋体" w:hAnsi="宋体" w:eastAsia="宋体" w:cs="宋体"/>
                <w:bCs/>
                <w:szCs w:val="21"/>
              </w:rPr>
            </w:pPr>
          </w:p>
        </w:tc>
        <w:tc>
          <w:tcPr>
            <w:tcW w:w="715" w:type="dxa"/>
            <w:vAlign w:val="center"/>
          </w:tcPr>
          <w:p w14:paraId="0FA41253">
            <w:pPr>
              <w:spacing w:line="276" w:lineRule="auto"/>
              <w:jc w:val="center"/>
              <w:rPr>
                <w:rFonts w:ascii="宋体" w:hAnsi="宋体" w:eastAsia="宋体" w:cs="宋体"/>
                <w:bCs/>
                <w:szCs w:val="21"/>
              </w:rPr>
            </w:pPr>
          </w:p>
        </w:tc>
        <w:tc>
          <w:tcPr>
            <w:tcW w:w="1160" w:type="dxa"/>
            <w:vAlign w:val="center"/>
          </w:tcPr>
          <w:p w14:paraId="43B272C2">
            <w:pPr>
              <w:spacing w:line="276" w:lineRule="auto"/>
              <w:jc w:val="center"/>
              <w:rPr>
                <w:rFonts w:ascii="宋体" w:hAnsi="宋体" w:eastAsia="宋体" w:cs="宋体"/>
                <w:bCs/>
                <w:szCs w:val="21"/>
              </w:rPr>
            </w:pPr>
          </w:p>
        </w:tc>
        <w:tc>
          <w:tcPr>
            <w:tcW w:w="917" w:type="dxa"/>
            <w:shd w:val="clear" w:color="auto" w:fill="auto"/>
            <w:vAlign w:val="center"/>
          </w:tcPr>
          <w:p w14:paraId="56E7FC8C">
            <w:pPr>
              <w:spacing w:line="276" w:lineRule="auto"/>
              <w:jc w:val="center"/>
              <w:rPr>
                <w:rFonts w:ascii="宋体" w:hAnsi="宋体" w:eastAsia="宋体" w:cs="宋体"/>
                <w:bCs/>
                <w:szCs w:val="21"/>
              </w:rPr>
            </w:pPr>
          </w:p>
        </w:tc>
        <w:tc>
          <w:tcPr>
            <w:tcW w:w="666" w:type="dxa"/>
            <w:shd w:val="clear" w:color="auto" w:fill="auto"/>
            <w:vAlign w:val="center"/>
          </w:tcPr>
          <w:p w14:paraId="0AA2E5F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550" w:type="dxa"/>
            <w:shd w:val="clear" w:color="auto" w:fill="auto"/>
            <w:vAlign w:val="center"/>
          </w:tcPr>
          <w:p w14:paraId="7F621E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613589F0">
            <w:pPr>
              <w:spacing w:line="276" w:lineRule="auto"/>
              <w:jc w:val="center"/>
              <w:rPr>
                <w:rFonts w:ascii="宋体" w:hAnsi="宋体" w:eastAsia="宋体" w:cs="宋体"/>
                <w:bCs/>
                <w:szCs w:val="21"/>
              </w:rPr>
            </w:pPr>
          </w:p>
        </w:tc>
        <w:tc>
          <w:tcPr>
            <w:tcW w:w="983" w:type="dxa"/>
            <w:vAlign w:val="center"/>
          </w:tcPr>
          <w:p w14:paraId="0EC033CB">
            <w:pPr>
              <w:spacing w:line="276" w:lineRule="auto"/>
              <w:jc w:val="center"/>
              <w:rPr>
                <w:rFonts w:ascii="宋体" w:hAnsi="宋体" w:eastAsia="宋体" w:cs="宋体"/>
                <w:bCs/>
                <w:szCs w:val="21"/>
              </w:rPr>
            </w:pPr>
          </w:p>
        </w:tc>
      </w:tr>
      <w:tr w14:paraId="64304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5AB0FC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77</w:t>
            </w:r>
          </w:p>
        </w:tc>
        <w:tc>
          <w:tcPr>
            <w:tcW w:w="841" w:type="dxa"/>
            <w:vMerge w:val="continue"/>
          </w:tcPr>
          <w:p w14:paraId="19DDD0DA">
            <w:pPr>
              <w:spacing w:line="276" w:lineRule="auto"/>
              <w:jc w:val="center"/>
              <w:rPr>
                <w:rFonts w:ascii="宋体" w:hAnsi="宋体" w:eastAsia="宋体" w:cs="宋体"/>
                <w:bCs/>
                <w:szCs w:val="21"/>
              </w:rPr>
            </w:pPr>
          </w:p>
        </w:tc>
        <w:tc>
          <w:tcPr>
            <w:tcW w:w="1223" w:type="dxa"/>
            <w:shd w:val="clear" w:color="auto" w:fill="auto"/>
            <w:vAlign w:val="center"/>
          </w:tcPr>
          <w:p w14:paraId="56B40A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多功能智能杆9（智慧路灯+车行信号灯）</w:t>
            </w:r>
          </w:p>
        </w:tc>
        <w:tc>
          <w:tcPr>
            <w:tcW w:w="890" w:type="dxa"/>
            <w:vAlign w:val="center"/>
          </w:tcPr>
          <w:p w14:paraId="67838C32">
            <w:pPr>
              <w:spacing w:line="276" w:lineRule="auto"/>
              <w:jc w:val="center"/>
              <w:rPr>
                <w:rFonts w:ascii="宋体" w:hAnsi="宋体" w:eastAsia="宋体" w:cs="宋体"/>
                <w:bCs/>
                <w:szCs w:val="21"/>
              </w:rPr>
            </w:pPr>
          </w:p>
        </w:tc>
        <w:tc>
          <w:tcPr>
            <w:tcW w:w="508" w:type="dxa"/>
            <w:vAlign w:val="center"/>
          </w:tcPr>
          <w:p w14:paraId="7B5E4732">
            <w:pPr>
              <w:spacing w:line="276" w:lineRule="auto"/>
              <w:jc w:val="center"/>
              <w:rPr>
                <w:rFonts w:ascii="宋体" w:hAnsi="宋体" w:eastAsia="宋体" w:cs="宋体"/>
                <w:bCs/>
                <w:szCs w:val="21"/>
              </w:rPr>
            </w:pPr>
          </w:p>
        </w:tc>
        <w:tc>
          <w:tcPr>
            <w:tcW w:w="810" w:type="dxa"/>
            <w:vAlign w:val="center"/>
          </w:tcPr>
          <w:p w14:paraId="54C2EC93">
            <w:pPr>
              <w:spacing w:line="276" w:lineRule="auto"/>
              <w:jc w:val="center"/>
              <w:rPr>
                <w:rFonts w:ascii="宋体" w:hAnsi="宋体" w:eastAsia="宋体" w:cs="宋体"/>
                <w:bCs/>
                <w:szCs w:val="21"/>
              </w:rPr>
            </w:pPr>
          </w:p>
        </w:tc>
        <w:tc>
          <w:tcPr>
            <w:tcW w:w="715" w:type="dxa"/>
            <w:vAlign w:val="center"/>
          </w:tcPr>
          <w:p w14:paraId="6C04BFAC">
            <w:pPr>
              <w:spacing w:line="276" w:lineRule="auto"/>
              <w:jc w:val="center"/>
              <w:rPr>
                <w:rFonts w:ascii="宋体" w:hAnsi="宋体" w:eastAsia="宋体" w:cs="宋体"/>
                <w:bCs/>
                <w:szCs w:val="21"/>
              </w:rPr>
            </w:pPr>
          </w:p>
        </w:tc>
        <w:tc>
          <w:tcPr>
            <w:tcW w:w="1160" w:type="dxa"/>
            <w:vAlign w:val="center"/>
          </w:tcPr>
          <w:p w14:paraId="7546BAD5">
            <w:pPr>
              <w:spacing w:line="276" w:lineRule="auto"/>
              <w:jc w:val="center"/>
              <w:rPr>
                <w:rFonts w:ascii="宋体" w:hAnsi="宋体" w:eastAsia="宋体" w:cs="宋体"/>
                <w:bCs/>
                <w:szCs w:val="21"/>
              </w:rPr>
            </w:pPr>
          </w:p>
        </w:tc>
        <w:tc>
          <w:tcPr>
            <w:tcW w:w="917" w:type="dxa"/>
            <w:shd w:val="clear" w:color="auto" w:fill="auto"/>
            <w:vAlign w:val="center"/>
          </w:tcPr>
          <w:p w14:paraId="21FAB060">
            <w:pPr>
              <w:spacing w:line="276" w:lineRule="auto"/>
              <w:jc w:val="center"/>
              <w:rPr>
                <w:rFonts w:ascii="宋体" w:hAnsi="宋体" w:eastAsia="宋体" w:cs="宋体"/>
                <w:bCs/>
                <w:szCs w:val="21"/>
              </w:rPr>
            </w:pPr>
          </w:p>
        </w:tc>
        <w:tc>
          <w:tcPr>
            <w:tcW w:w="666" w:type="dxa"/>
            <w:shd w:val="clear" w:color="auto" w:fill="auto"/>
            <w:vAlign w:val="center"/>
          </w:tcPr>
          <w:p w14:paraId="338607E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550" w:type="dxa"/>
            <w:shd w:val="clear" w:color="auto" w:fill="auto"/>
            <w:vAlign w:val="center"/>
          </w:tcPr>
          <w:p w14:paraId="65A5AB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1B243C73">
            <w:pPr>
              <w:spacing w:line="276" w:lineRule="auto"/>
              <w:jc w:val="center"/>
              <w:rPr>
                <w:rFonts w:ascii="宋体" w:hAnsi="宋体" w:eastAsia="宋体" w:cs="宋体"/>
                <w:bCs/>
                <w:szCs w:val="21"/>
              </w:rPr>
            </w:pPr>
          </w:p>
        </w:tc>
        <w:tc>
          <w:tcPr>
            <w:tcW w:w="983" w:type="dxa"/>
            <w:vAlign w:val="center"/>
          </w:tcPr>
          <w:p w14:paraId="54650755">
            <w:pPr>
              <w:spacing w:line="276" w:lineRule="auto"/>
              <w:jc w:val="center"/>
              <w:rPr>
                <w:rFonts w:ascii="宋体" w:hAnsi="宋体" w:eastAsia="宋体" w:cs="宋体"/>
                <w:bCs/>
                <w:szCs w:val="21"/>
              </w:rPr>
            </w:pPr>
          </w:p>
        </w:tc>
      </w:tr>
      <w:tr w14:paraId="52740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B8FCC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78</w:t>
            </w:r>
          </w:p>
        </w:tc>
        <w:tc>
          <w:tcPr>
            <w:tcW w:w="841" w:type="dxa"/>
            <w:vMerge w:val="continue"/>
          </w:tcPr>
          <w:p w14:paraId="47FFFE6B">
            <w:pPr>
              <w:spacing w:line="276" w:lineRule="auto"/>
              <w:jc w:val="center"/>
              <w:rPr>
                <w:rFonts w:ascii="宋体" w:hAnsi="宋体" w:eastAsia="宋体" w:cs="宋体"/>
                <w:bCs/>
                <w:szCs w:val="21"/>
              </w:rPr>
            </w:pPr>
          </w:p>
        </w:tc>
        <w:tc>
          <w:tcPr>
            <w:tcW w:w="1223" w:type="dxa"/>
            <w:shd w:val="clear" w:color="auto" w:fill="auto"/>
            <w:vAlign w:val="center"/>
          </w:tcPr>
          <w:p w14:paraId="6FFFEF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多功能智能杆12（智慧路灯+电子警察）</w:t>
            </w:r>
          </w:p>
        </w:tc>
        <w:tc>
          <w:tcPr>
            <w:tcW w:w="890" w:type="dxa"/>
            <w:vAlign w:val="center"/>
          </w:tcPr>
          <w:p w14:paraId="01DE863A">
            <w:pPr>
              <w:spacing w:line="276" w:lineRule="auto"/>
              <w:jc w:val="center"/>
              <w:rPr>
                <w:rFonts w:ascii="宋体" w:hAnsi="宋体" w:eastAsia="宋体" w:cs="宋体"/>
                <w:bCs/>
                <w:szCs w:val="21"/>
              </w:rPr>
            </w:pPr>
          </w:p>
        </w:tc>
        <w:tc>
          <w:tcPr>
            <w:tcW w:w="508" w:type="dxa"/>
            <w:vAlign w:val="center"/>
          </w:tcPr>
          <w:p w14:paraId="413C5898">
            <w:pPr>
              <w:spacing w:line="276" w:lineRule="auto"/>
              <w:jc w:val="center"/>
              <w:rPr>
                <w:rFonts w:ascii="宋体" w:hAnsi="宋体" w:eastAsia="宋体" w:cs="宋体"/>
                <w:bCs/>
                <w:szCs w:val="21"/>
              </w:rPr>
            </w:pPr>
          </w:p>
        </w:tc>
        <w:tc>
          <w:tcPr>
            <w:tcW w:w="810" w:type="dxa"/>
            <w:vAlign w:val="center"/>
          </w:tcPr>
          <w:p w14:paraId="7FACC481">
            <w:pPr>
              <w:spacing w:line="276" w:lineRule="auto"/>
              <w:jc w:val="center"/>
              <w:rPr>
                <w:rFonts w:ascii="宋体" w:hAnsi="宋体" w:eastAsia="宋体" w:cs="宋体"/>
                <w:bCs/>
                <w:szCs w:val="21"/>
              </w:rPr>
            </w:pPr>
          </w:p>
        </w:tc>
        <w:tc>
          <w:tcPr>
            <w:tcW w:w="715" w:type="dxa"/>
            <w:vAlign w:val="center"/>
          </w:tcPr>
          <w:p w14:paraId="6C246722">
            <w:pPr>
              <w:spacing w:line="276" w:lineRule="auto"/>
              <w:jc w:val="center"/>
              <w:rPr>
                <w:rFonts w:ascii="宋体" w:hAnsi="宋体" w:eastAsia="宋体" w:cs="宋体"/>
                <w:bCs/>
                <w:szCs w:val="21"/>
              </w:rPr>
            </w:pPr>
          </w:p>
        </w:tc>
        <w:tc>
          <w:tcPr>
            <w:tcW w:w="1160" w:type="dxa"/>
            <w:vAlign w:val="center"/>
          </w:tcPr>
          <w:p w14:paraId="3015B8DB">
            <w:pPr>
              <w:spacing w:line="276" w:lineRule="auto"/>
              <w:jc w:val="center"/>
              <w:rPr>
                <w:rFonts w:ascii="宋体" w:hAnsi="宋体" w:eastAsia="宋体" w:cs="宋体"/>
                <w:bCs/>
                <w:szCs w:val="21"/>
              </w:rPr>
            </w:pPr>
          </w:p>
        </w:tc>
        <w:tc>
          <w:tcPr>
            <w:tcW w:w="917" w:type="dxa"/>
            <w:shd w:val="clear" w:color="auto" w:fill="auto"/>
            <w:vAlign w:val="center"/>
          </w:tcPr>
          <w:p w14:paraId="1E01A89A">
            <w:pPr>
              <w:spacing w:line="276" w:lineRule="auto"/>
              <w:jc w:val="center"/>
              <w:rPr>
                <w:rFonts w:ascii="宋体" w:hAnsi="宋体" w:eastAsia="宋体" w:cs="宋体"/>
                <w:bCs/>
                <w:szCs w:val="21"/>
              </w:rPr>
            </w:pPr>
          </w:p>
        </w:tc>
        <w:tc>
          <w:tcPr>
            <w:tcW w:w="666" w:type="dxa"/>
            <w:shd w:val="clear" w:color="auto" w:fill="auto"/>
            <w:vAlign w:val="center"/>
          </w:tcPr>
          <w:p w14:paraId="35408CA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12F972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7DD273D4">
            <w:pPr>
              <w:spacing w:line="276" w:lineRule="auto"/>
              <w:jc w:val="center"/>
              <w:rPr>
                <w:rFonts w:ascii="宋体" w:hAnsi="宋体" w:eastAsia="宋体" w:cs="宋体"/>
                <w:bCs/>
                <w:szCs w:val="21"/>
              </w:rPr>
            </w:pPr>
          </w:p>
        </w:tc>
        <w:tc>
          <w:tcPr>
            <w:tcW w:w="983" w:type="dxa"/>
            <w:vAlign w:val="center"/>
          </w:tcPr>
          <w:p w14:paraId="6791103B">
            <w:pPr>
              <w:spacing w:line="276" w:lineRule="auto"/>
              <w:jc w:val="center"/>
              <w:rPr>
                <w:rFonts w:ascii="宋体" w:hAnsi="宋体" w:eastAsia="宋体" w:cs="宋体"/>
                <w:bCs/>
                <w:szCs w:val="21"/>
              </w:rPr>
            </w:pPr>
          </w:p>
        </w:tc>
      </w:tr>
      <w:tr w14:paraId="19A2F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6C265F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79</w:t>
            </w:r>
          </w:p>
        </w:tc>
        <w:tc>
          <w:tcPr>
            <w:tcW w:w="841" w:type="dxa"/>
            <w:vMerge w:val="continue"/>
          </w:tcPr>
          <w:p w14:paraId="74735050">
            <w:pPr>
              <w:spacing w:line="276" w:lineRule="auto"/>
              <w:jc w:val="center"/>
              <w:rPr>
                <w:rFonts w:ascii="宋体" w:hAnsi="宋体" w:eastAsia="宋体" w:cs="宋体"/>
                <w:bCs/>
                <w:szCs w:val="21"/>
              </w:rPr>
            </w:pPr>
          </w:p>
        </w:tc>
        <w:tc>
          <w:tcPr>
            <w:tcW w:w="1223" w:type="dxa"/>
            <w:shd w:val="clear" w:color="auto" w:fill="auto"/>
            <w:vAlign w:val="center"/>
          </w:tcPr>
          <w:p w14:paraId="39B9ED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多功能智能杆13（智慧路灯+电子警察）</w:t>
            </w:r>
          </w:p>
        </w:tc>
        <w:tc>
          <w:tcPr>
            <w:tcW w:w="890" w:type="dxa"/>
            <w:vAlign w:val="center"/>
          </w:tcPr>
          <w:p w14:paraId="4260D1B9">
            <w:pPr>
              <w:spacing w:line="276" w:lineRule="auto"/>
              <w:jc w:val="center"/>
              <w:rPr>
                <w:rFonts w:ascii="宋体" w:hAnsi="宋体" w:eastAsia="宋体" w:cs="宋体"/>
                <w:bCs/>
                <w:szCs w:val="21"/>
              </w:rPr>
            </w:pPr>
          </w:p>
        </w:tc>
        <w:tc>
          <w:tcPr>
            <w:tcW w:w="508" w:type="dxa"/>
            <w:vAlign w:val="center"/>
          </w:tcPr>
          <w:p w14:paraId="7BD3E0C5">
            <w:pPr>
              <w:spacing w:line="276" w:lineRule="auto"/>
              <w:jc w:val="center"/>
              <w:rPr>
                <w:rFonts w:ascii="宋体" w:hAnsi="宋体" w:eastAsia="宋体" w:cs="宋体"/>
                <w:bCs/>
                <w:szCs w:val="21"/>
              </w:rPr>
            </w:pPr>
          </w:p>
        </w:tc>
        <w:tc>
          <w:tcPr>
            <w:tcW w:w="810" w:type="dxa"/>
            <w:vAlign w:val="center"/>
          </w:tcPr>
          <w:p w14:paraId="055788DE">
            <w:pPr>
              <w:spacing w:line="276" w:lineRule="auto"/>
              <w:jc w:val="center"/>
              <w:rPr>
                <w:rFonts w:ascii="宋体" w:hAnsi="宋体" w:eastAsia="宋体" w:cs="宋体"/>
                <w:bCs/>
                <w:szCs w:val="21"/>
              </w:rPr>
            </w:pPr>
          </w:p>
        </w:tc>
        <w:tc>
          <w:tcPr>
            <w:tcW w:w="715" w:type="dxa"/>
            <w:vAlign w:val="center"/>
          </w:tcPr>
          <w:p w14:paraId="62DCFF7C">
            <w:pPr>
              <w:spacing w:line="276" w:lineRule="auto"/>
              <w:jc w:val="center"/>
              <w:rPr>
                <w:rFonts w:ascii="宋体" w:hAnsi="宋体" w:eastAsia="宋体" w:cs="宋体"/>
                <w:bCs/>
                <w:szCs w:val="21"/>
              </w:rPr>
            </w:pPr>
          </w:p>
        </w:tc>
        <w:tc>
          <w:tcPr>
            <w:tcW w:w="1160" w:type="dxa"/>
            <w:vAlign w:val="center"/>
          </w:tcPr>
          <w:p w14:paraId="39549C89">
            <w:pPr>
              <w:spacing w:line="276" w:lineRule="auto"/>
              <w:jc w:val="center"/>
              <w:rPr>
                <w:rFonts w:ascii="宋体" w:hAnsi="宋体" w:eastAsia="宋体" w:cs="宋体"/>
                <w:bCs/>
                <w:szCs w:val="21"/>
              </w:rPr>
            </w:pPr>
          </w:p>
        </w:tc>
        <w:tc>
          <w:tcPr>
            <w:tcW w:w="917" w:type="dxa"/>
            <w:shd w:val="clear" w:color="auto" w:fill="auto"/>
            <w:vAlign w:val="center"/>
          </w:tcPr>
          <w:p w14:paraId="629D6A85">
            <w:pPr>
              <w:spacing w:line="276" w:lineRule="auto"/>
              <w:jc w:val="center"/>
              <w:rPr>
                <w:rFonts w:ascii="宋体" w:hAnsi="宋体" w:eastAsia="宋体" w:cs="宋体"/>
                <w:bCs/>
                <w:szCs w:val="21"/>
              </w:rPr>
            </w:pPr>
          </w:p>
        </w:tc>
        <w:tc>
          <w:tcPr>
            <w:tcW w:w="666" w:type="dxa"/>
            <w:shd w:val="clear" w:color="auto" w:fill="auto"/>
            <w:vAlign w:val="center"/>
          </w:tcPr>
          <w:p w14:paraId="6ED916B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w:t>
            </w:r>
          </w:p>
        </w:tc>
        <w:tc>
          <w:tcPr>
            <w:tcW w:w="550" w:type="dxa"/>
            <w:shd w:val="clear" w:color="auto" w:fill="auto"/>
            <w:vAlign w:val="center"/>
          </w:tcPr>
          <w:p w14:paraId="45716B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01B1A276">
            <w:pPr>
              <w:spacing w:line="276" w:lineRule="auto"/>
              <w:jc w:val="center"/>
              <w:rPr>
                <w:rFonts w:ascii="宋体" w:hAnsi="宋体" w:eastAsia="宋体" w:cs="宋体"/>
                <w:bCs/>
                <w:szCs w:val="21"/>
              </w:rPr>
            </w:pPr>
          </w:p>
        </w:tc>
        <w:tc>
          <w:tcPr>
            <w:tcW w:w="983" w:type="dxa"/>
            <w:vAlign w:val="center"/>
          </w:tcPr>
          <w:p w14:paraId="74CDFE4B">
            <w:pPr>
              <w:spacing w:line="276" w:lineRule="auto"/>
              <w:jc w:val="center"/>
              <w:rPr>
                <w:rFonts w:ascii="宋体" w:hAnsi="宋体" w:eastAsia="宋体" w:cs="宋体"/>
                <w:bCs/>
                <w:szCs w:val="21"/>
              </w:rPr>
            </w:pPr>
          </w:p>
        </w:tc>
      </w:tr>
      <w:tr w14:paraId="5CE13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705801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80</w:t>
            </w:r>
          </w:p>
        </w:tc>
        <w:tc>
          <w:tcPr>
            <w:tcW w:w="841" w:type="dxa"/>
            <w:vMerge w:val="continue"/>
          </w:tcPr>
          <w:p w14:paraId="6CBEEFD8">
            <w:pPr>
              <w:spacing w:line="276" w:lineRule="auto"/>
              <w:jc w:val="center"/>
              <w:rPr>
                <w:rFonts w:ascii="宋体" w:hAnsi="宋体" w:eastAsia="宋体" w:cs="宋体"/>
                <w:bCs/>
                <w:szCs w:val="21"/>
              </w:rPr>
            </w:pPr>
          </w:p>
        </w:tc>
        <w:tc>
          <w:tcPr>
            <w:tcW w:w="1223" w:type="dxa"/>
            <w:shd w:val="clear" w:color="auto" w:fill="auto"/>
            <w:vAlign w:val="center"/>
          </w:tcPr>
          <w:p w14:paraId="09ADD7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多功能智能杆14（智慧路灯+电子警察）</w:t>
            </w:r>
          </w:p>
        </w:tc>
        <w:tc>
          <w:tcPr>
            <w:tcW w:w="890" w:type="dxa"/>
            <w:vAlign w:val="center"/>
          </w:tcPr>
          <w:p w14:paraId="23E37CD0">
            <w:pPr>
              <w:spacing w:line="276" w:lineRule="auto"/>
              <w:jc w:val="center"/>
              <w:rPr>
                <w:rFonts w:ascii="宋体" w:hAnsi="宋体" w:eastAsia="宋体" w:cs="宋体"/>
                <w:bCs/>
                <w:szCs w:val="21"/>
              </w:rPr>
            </w:pPr>
          </w:p>
        </w:tc>
        <w:tc>
          <w:tcPr>
            <w:tcW w:w="508" w:type="dxa"/>
            <w:vAlign w:val="center"/>
          </w:tcPr>
          <w:p w14:paraId="3A40266D">
            <w:pPr>
              <w:spacing w:line="276" w:lineRule="auto"/>
              <w:jc w:val="center"/>
              <w:rPr>
                <w:rFonts w:ascii="宋体" w:hAnsi="宋体" w:eastAsia="宋体" w:cs="宋体"/>
                <w:bCs/>
                <w:szCs w:val="21"/>
              </w:rPr>
            </w:pPr>
          </w:p>
        </w:tc>
        <w:tc>
          <w:tcPr>
            <w:tcW w:w="810" w:type="dxa"/>
            <w:vAlign w:val="center"/>
          </w:tcPr>
          <w:p w14:paraId="26BD5B73">
            <w:pPr>
              <w:spacing w:line="276" w:lineRule="auto"/>
              <w:jc w:val="center"/>
              <w:rPr>
                <w:rFonts w:ascii="宋体" w:hAnsi="宋体" w:eastAsia="宋体" w:cs="宋体"/>
                <w:bCs/>
                <w:szCs w:val="21"/>
              </w:rPr>
            </w:pPr>
          </w:p>
        </w:tc>
        <w:tc>
          <w:tcPr>
            <w:tcW w:w="715" w:type="dxa"/>
            <w:vAlign w:val="center"/>
          </w:tcPr>
          <w:p w14:paraId="3F2DC4B8">
            <w:pPr>
              <w:spacing w:line="276" w:lineRule="auto"/>
              <w:jc w:val="center"/>
              <w:rPr>
                <w:rFonts w:ascii="宋体" w:hAnsi="宋体" w:eastAsia="宋体" w:cs="宋体"/>
                <w:bCs/>
                <w:szCs w:val="21"/>
              </w:rPr>
            </w:pPr>
          </w:p>
        </w:tc>
        <w:tc>
          <w:tcPr>
            <w:tcW w:w="1160" w:type="dxa"/>
            <w:vAlign w:val="center"/>
          </w:tcPr>
          <w:p w14:paraId="61531650">
            <w:pPr>
              <w:spacing w:line="276" w:lineRule="auto"/>
              <w:jc w:val="center"/>
              <w:rPr>
                <w:rFonts w:ascii="宋体" w:hAnsi="宋体" w:eastAsia="宋体" w:cs="宋体"/>
                <w:bCs/>
                <w:szCs w:val="21"/>
              </w:rPr>
            </w:pPr>
          </w:p>
        </w:tc>
        <w:tc>
          <w:tcPr>
            <w:tcW w:w="917" w:type="dxa"/>
            <w:shd w:val="clear" w:color="auto" w:fill="auto"/>
            <w:vAlign w:val="center"/>
          </w:tcPr>
          <w:p w14:paraId="25217B1A">
            <w:pPr>
              <w:spacing w:line="276" w:lineRule="auto"/>
              <w:jc w:val="center"/>
              <w:rPr>
                <w:rFonts w:ascii="宋体" w:hAnsi="宋体" w:eastAsia="宋体" w:cs="宋体"/>
                <w:bCs/>
                <w:szCs w:val="21"/>
              </w:rPr>
            </w:pPr>
          </w:p>
        </w:tc>
        <w:tc>
          <w:tcPr>
            <w:tcW w:w="666" w:type="dxa"/>
            <w:shd w:val="clear" w:color="auto" w:fill="auto"/>
            <w:vAlign w:val="center"/>
          </w:tcPr>
          <w:p w14:paraId="65374D6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550" w:type="dxa"/>
            <w:shd w:val="clear" w:color="auto" w:fill="auto"/>
            <w:vAlign w:val="center"/>
          </w:tcPr>
          <w:p w14:paraId="3C77C0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66E2D21A">
            <w:pPr>
              <w:spacing w:line="276" w:lineRule="auto"/>
              <w:jc w:val="center"/>
              <w:rPr>
                <w:rFonts w:ascii="宋体" w:hAnsi="宋体" w:eastAsia="宋体" w:cs="宋体"/>
                <w:bCs/>
                <w:szCs w:val="21"/>
              </w:rPr>
            </w:pPr>
          </w:p>
        </w:tc>
        <w:tc>
          <w:tcPr>
            <w:tcW w:w="983" w:type="dxa"/>
            <w:vAlign w:val="center"/>
          </w:tcPr>
          <w:p w14:paraId="0DFEA771">
            <w:pPr>
              <w:spacing w:line="276" w:lineRule="auto"/>
              <w:jc w:val="center"/>
              <w:rPr>
                <w:rFonts w:ascii="宋体" w:hAnsi="宋体" w:eastAsia="宋体" w:cs="宋体"/>
                <w:bCs/>
                <w:szCs w:val="21"/>
              </w:rPr>
            </w:pPr>
          </w:p>
        </w:tc>
      </w:tr>
      <w:tr w14:paraId="3DCCA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9DF18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81</w:t>
            </w:r>
          </w:p>
        </w:tc>
        <w:tc>
          <w:tcPr>
            <w:tcW w:w="841" w:type="dxa"/>
            <w:vMerge w:val="continue"/>
          </w:tcPr>
          <w:p w14:paraId="20A63262">
            <w:pPr>
              <w:spacing w:line="276" w:lineRule="auto"/>
              <w:jc w:val="center"/>
              <w:rPr>
                <w:rFonts w:ascii="宋体" w:hAnsi="宋体" w:eastAsia="宋体" w:cs="宋体"/>
                <w:bCs/>
                <w:szCs w:val="21"/>
              </w:rPr>
            </w:pPr>
          </w:p>
        </w:tc>
        <w:tc>
          <w:tcPr>
            <w:tcW w:w="1223" w:type="dxa"/>
            <w:shd w:val="clear" w:color="auto" w:fill="auto"/>
            <w:vAlign w:val="center"/>
          </w:tcPr>
          <w:p w14:paraId="3A7FDD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多功能智能杆15（智慧路灯+电子警察）</w:t>
            </w:r>
          </w:p>
        </w:tc>
        <w:tc>
          <w:tcPr>
            <w:tcW w:w="890" w:type="dxa"/>
            <w:vAlign w:val="center"/>
          </w:tcPr>
          <w:p w14:paraId="0488BB83">
            <w:pPr>
              <w:spacing w:line="276" w:lineRule="auto"/>
              <w:jc w:val="center"/>
              <w:rPr>
                <w:rFonts w:ascii="宋体" w:hAnsi="宋体" w:eastAsia="宋体" w:cs="宋体"/>
                <w:bCs/>
                <w:szCs w:val="21"/>
              </w:rPr>
            </w:pPr>
          </w:p>
        </w:tc>
        <w:tc>
          <w:tcPr>
            <w:tcW w:w="508" w:type="dxa"/>
            <w:vAlign w:val="center"/>
          </w:tcPr>
          <w:p w14:paraId="70A987EA">
            <w:pPr>
              <w:spacing w:line="276" w:lineRule="auto"/>
              <w:jc w:val="center"/>
              <w:rPr>
                <w:rFonts w:ascii="宋体" w:hAnsi="宋体" w:eastAsia="宋体" w:cs="宋体"/>
                <w:bCs/>
                <w:szCs w:val="21"/>
              </w:rPr>
            </w:pPr>
          </w:p>
        </w:tc>
        <w:tc>
          <w:tcPr>
            <w:tcW w:w="810" w:type="dxa"/>
            <w:vAlign w:val="center"/>
          </w:tcPr>
          <w:p w14:paraId="3791CDEF">
            <w:pPr>
              <w:spacing w:line="276" w:lineRule="auto"/>
              <w:jc w:val="center"/>
              <w:rPr>
                <w:rFonts w:ascii="宋体" w:hAnsi="宋体" w:eastAsia="宋体" w:cs="宋体"/>
                <w:bCs/>
                <w:szCs w:val="21"/>
              </w:rPr>
            </w:pPr>
          </w:p>
        </w:tc>
        <w:tc>
          <w:tcPr>
            <w:tcW w:w="715" w:type="dxa"/>
            <w:vAlign w:val="center"/>
          </w:tcPr>
          <w:p w14:paraId="3CAFF9D6">
            <w:pPr>
              <w:spacing w:line="276" w:lineRule="auto"/>
              <w:jc w:val="center"/>
              <w:rPr>
                <w:rFonts w:ascii="宋体" w:hAnsi="宋体" w:eastAsia="宋体" w:cs="宋体"/>
                <w:bCs/>
                <w:szCs w:val="21"/>
              </w:rPr>
            </w:pPr>
          </w:p>
        </w:tc>
        <w:tc>
          <w:tcPr>
            <w:tcW w:w="1160" w:type="dxa"/>
            <w:vAlign w:val="center"/>
          </w:tcPr>
          <w:p w14:paraId="5503D404">
            <w:pPr>
              <w:spacing w:line="276" w:lineRule="auto"/>
              <w:jc w:val="center"/>
              <w:rPr>
                <w:rFonts w:ascii="宋体" w:hAnsi="宋体" w:eastAsia="宋体" w:cs="宋体"/>
                <w:bCs/>
                <w:szCs w:val="21"/>
              </w:rPr>
            </w:pPr>
          </w:p>
        </w:tc>
        <w:tc>
          <w:tcPr>
            <w:tcW w:w="917" w:type="dxa"/>
            <w:shd w:val="clear" w:color="auto" w:fill="auto"/>
            <w:vAlign w:val="center"/>
          </w:tcPr>
          <w:p w14:paraId="23F8F5E3">
            <w:pPr>
              <w:spacing w:line="276" w:lineRule="auto"/>
              <w:jc w:val="center"/>
              <w:rPr>
                <w:rFonts w:ascii="宋体" w:hAnsi="宋体" w:eastAsia="宋体" w:cs="宋体"/>
                <w:bCs/>
                <w:szCs w:val="21"/>
              </w:rPr>
            </w:pPr>
          </w:p>
        </w:tc>
        <w:tc>
          <w:tcPr>
            <w:tcW w:w="666" w:type="dxa"/>
            <w:shd w:val="clear" w:color="auto" w:fill="auto"/>
            <w:vAlign w:val="center"/>
          </w:tcPr>
          <w:p w14:paraId="64DDA5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550" w:type="dxa"/>
            <w:shd w:val="clear" w:color="auto" w:fill="auto"/>
            <w:vAlign w:val="center"/>
          </w:tcPr>
          <w:p w14:paraId="46D0BE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235DBC41">
            <w:pPr>
              <w:spacing w:line="276" w:lineRule="auto"/>
              <w:jc w:val="center"/>
              <w:rPr>
                <w:rFonts w:ascii="宋体" w:hAnsi="宋体" w:eastAsia="宋体" w:cs="宋体"/>
                <w:bCs/>
                <w:szCs w:val="21"/>
              </w:rPr>
            </w:pPr>
          </w:p>
        </w:tc>
        <w:tc>
          <w:tcPr>
            <w:tcW w:w="983" w:type="dxa"/>
            <w:vAlign w:val="center"/>
          </w:tcPr>
          <w:p w14:paraId="34F1B642">
            <w:pPr>
              <w:spacing w:line="276" w:lineRule="auto"/>
              <w:jc w:val="center"/>
              <w:rPr>
                <w:rFonts w:ascii="宋体" w:hAnsi="宋体" w:eastAsia="宋体" w:cs="宋体"/>
                <w:bCs/>
                <w:szCs w:val="21"/>
              </w:rPr>
            </w:pPr>
          </w:p>
        </w:tc>
      </w:tr>
      <w:tr w14:paraId="3ED56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000FF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82</w:t>
            </w:r>
          </w:p>
        </w:tc>
        <w:tc>
          <w:tcPr>
            <w:tcW w:w="841" w:type="dxa"/>
            <w:vMerge w:val="continue"/>
          </w:tcPr>
          <w:p w14:paraId="1357D9B8">
            <w:pPr>
              <w:spacing w:line="276" w:lineRule="auto"/>
              <w:jc w:val="center"/>
              <w:rPr>
                <w:rFonts w:ascii="宋体" w:hAnsi="宋体" w:eastAsia="宋体" w:cs="宋体"/>
                <w:bCs/>
                <w:szCs w:val="21"/>
              </w:rPr>
            </w:pPr>
          </w:p>
        </w:tc>
        <w:tc>
          <w:tcPr>
            <w:tcW w:w="1223" w:type="dxa"/>
            <w:shd w:val="clear" w:color="auto" w:fill="auto"/>
            <w:vAlign w:val="center"/>
          </w:tcPr>
          <w:p w14:paraId="43E755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多功能智能杆16（智慧路灯+电子警察）</w:t>
            </w:r>
          </w:p>
        </w:tc>
        <w:tc>
          <w:tcPr>
            <w:tcW w:w="890" w:type="dxa"/>
            <w:vAlign w:val="center"/>
          </w:tcPr>
          <w:p w14:paraId="21F88DA2">
            <w:pPr>
              <w:spacing w:line="276" w:lineRule="auto"/>
              <w:jc w:val="center"/>
              <w:rPr>
                <w:rFonts w:ascii="宋体" w:hAnsi="宋体" w:eastAsia="宋体" w:cs="宋体"/>
                <w:bCs/>
                <w:szCs w:val="21"/>
              </w:rPr>
            </w:pPr>
          </w:p>
        </w:tc>
        <w:tc>
          <w:tcPr>
            <w:tcW w:w="508" w:type="dxa"/>
            <w:vAlign w:val="center"/>
          </w:tcPr>
          <w:p w14:paraId="4523EAEE">
            <w:pPr>
              <w:spacing w:line="276" w:lineRule="auto"/>
              <w:jc w:val="center"/>
              <w:rPr>
                <w:rFonts w:ascii="宋体" w:hAnsi="宋体" w:eastAsia="宋体" w:cs="宋体"/>
                <w:bCs/>
                <w:szCs w:val="21"/>
              </w:rPr>
            </w:pPr>
          </w:p>
        </w:tc>
        <w:tc>
          <w:tcPr>
            <w:tcW w:w="810" w:type="dxa"/>
            <w:vAlign w:val="center"/>
          </w:tcPr>
          <w:p w14:paraId="7E344DB3">
            <w:pPr>
              <w:spacing w:line="276" w:lineRule="auto"/>
              <w:jc w:val="center"/>
              <w:rPr>
                <w:rFonts w:ascii="宋体" w:hAnsi="宋体" w:eastAsia="宋体" w:cs="宋体"/>
                <w:bCs/>
                <w:szCs w:val="21"/>
              </w:rPr>
            </w:pPr>
          </w:p>
        </w:tc>
        <w:tc>
          <w:tcPr>
            <w:tcW w:w="715" w:type="dxa"/>
            <w:vAlign w:val="center"/>
          </w:tcPr>
          <w:p w14:paraId="5DD58BCB">
            <w:pPr>
              <w:spacing w:line="276" w:lineRule="auto"/>
              <w:jc w:val="center"/>
              <w:rPr>
                <w:rFonts w:ascii="宋体" w:hAnsi="宋体" w:eastAsia="宋体" w:cs="宋体"/>
                <w:bCs/>
                <w:szCs w:val="21"/>
              </w:rPr>
            </w:pPr>
          </w:p>
        </w:tc>
        <w:tc>
          <w:tcPr>
            <w:tcW w:w="1160" w:type="dxa"/>
            <w:vAlign w:val="center"/>
          </w:tcPr>
          <w:p w14:paraId="45BC8AF0">
            <w:pPr>
              <w:spacing w:line="276" w:lineRule="auto"/>
              <w:jc w:val="center"/>
              <w:rPr>
                <w:rFonts w:ascii="宋体" w:hAnsi="宋体" w:eastAsia="宋体" w:cs="宋体"/>
                <w:bCs/>
                <w:szCs w:val="21"/>
              </w:rPr>
            </w:pPr>
          </w:p>
        </w:tc>
        <w:tc>
          <w:tcPr>
            <w:tcW w:w="917" w:type="dxa"/>
            <w:shd w:val="clear" w:color="auto" w:fill="auto"/>
            <w:vAlign w:val="center"/>
          </w:tcPr>
          <w:p w14:paraId="04E9D861">
            <w:pPr>
              <w:spacing w:line="276" w:lineRule="auto"/>
              <w:jc w:val="center"/>
              <w:rPr>
                <w:rFonts w:ascii="宋体" w:hAnsi="宋体" w:eastAsia="宋体" w:cs="宋体"/>
                <w:bCs/>
                <w:szCs w:val="21"/>
              </w:rPr>
            </w:pPr>
          </w:p>
        </w:tc>
        <w:tc>
          <w:tcPr>
            <w:tcW w:w="666" w:type="dxa"/>
            <w:shd w:val="clear" w:color="auto" w:fill="auto"/>
            <w:vAlign w:val="center"/>
          </w:tcPr>
          <w:p w14:paraId="2C07179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550" w:type="dxa"/>
            <w:shd w:val="clear" w:color="auto" w:fill="auto"/>
            <w:vAlign w:val="center"/>
          </w:tcPr>
          <w:p w14:paraId="2B54C7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375FD5C8">
            <w:pPr>
              <w:spacing w:line="276" w:lineRule="auto"/>
              <w:jc w:val="center"/>
              <w:rPr>
                <w:rFonts w:ascii="宋体" w:hAnsi="宋体" w:eastAsia="宋体" w:cs="宋体"/>
                <w:bCs/>
                <w:szCs w:val="21"/>
              </w:rPr>
            </w:pPr>
          </w:p>
        </w:tc>
        <w:tc>
          <w:tcPr>
            <w:tcW w:w="983" w:type="dxa"/>
            <w:vAlign w:val="center"/>
          </w:tcPr>
          <w:p w14:paraId="6FEC5994">
            <w:pPr>
              <w:spacing w:line="276" w:lineRule="auto"/>
              <w:jc w:val="center"/>
              <w:rPr>
                <w:rFonts w:ascii="宋体" w:hAnsi="宋体" w:eastAsia="宋体" w:cs="宋体"/>
                <w:bCs/>
                <w:szCs w:val="21"/>
              </w:rPr>
            </w:pPr>
          </w:p>
        </w:tc>
      </w:tr>
      <w:tr w14:paraId="1801B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418DB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83</w:t>
            </w:r>
          </w:p>
        </w:tc>
        <w:tc>
          <w:tcPr>
            <w:tcW w:w="841" w:type="dxa"/>
            <w:vMerge w:val="continue"/>
          </w:tcPr>
          <w:p w14:paraId="17792289">
            <w:pPr>
              <w:spacing w:line="276" w:lineRule="auto"/>
              <w:jc w:val="center"/>
              <w:rPr>
                <w:rFonts w:ascii="宋体" w:hAnsi="宋体" w:eastAsia="宋体" w:cs="宋体"/>
                <w:bCs/>
                <w:szCs w:val="21"/>
              </w:rPr>
            </w:pPr>
          </w:p>
        </w:tc>
        <w:tc>
          <w:tcPr>
            <w:tcW w:w="1223" w:type="dxa"/>
            <w:shd w:val="clear" w:color="auto" w:fill="auto"/>
            <w:vAlign w:val="center"/>
          </w:tcPr>
          <w:p w14:paraId="3C9E04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多功能智能杆17（智慧路灯+电子警察）</w:t>
            </w:r>
          </w:p>
        </w:tc>
        <w:tc>
          <w:tcPr>
            <w:tcW w:w="890" w:type="dxa"/>
            <w:vAlign w:val="center"/>
          </w:tcPr>
          <w:p w14:paraId="07CE2145">
            <w:pPr>
              <w:spacing w:line="276" w:lineRule="auto"/>
              <w:jc w:val="center"/>
              <w:rPr>
                <w:rFonts w:ascii="宋体" w:hAnsi="宋体" w:eastAsia="宋体" w:cs="宋体"/>
                <w:bCs/>
                <w:szCs w:val="21"/>
              </w:rPr>
            </w:pPr>
          </w:p>
        </w:tc>
        <w:tc>
          <w:tcPr>
            <w:tcW w:w="508" w:type="dxa"/>
            <w:vAlign w:val="center"/>
          </w:tcPr>
          <w:p w14:paraId="42DBB9D2">
            <w:pPr>
              <w:spacing w:line="276" w:lineRule="auto"/>
              <w:jc w:val="center"/>
              <w:rPr>
                <w:rFonts w:ascii="宋体" w:hAnsi="宋体" w:eastAsia="宋体" w:cs="宋体"/>
                <w:bCs/>
                <w:szCs w:val="21"/>
              </w:rPr>
            </w:pPr>
          </w:p>
        </w:tc>
        <w:tc>
          <w:tcPr>
            <w:tcW w:w="810" w:type="dxa"/>
            <w:vAlign w:val="center"/>
          </w:tcPr>
          <w:p w14:paraId="2E7BA5EB">
            <w:pPr>
              <w:spacing w:line="276" w:lineRule="auto"/>
              <w:jc w:val="center"/>
              <w:rPr>
                <w:rFonts w:ascii="宋体" w:hAnsi="宋体" w:eastAsia="宋体" w:cs="宋体"/>
                <w:bCs/>
                <w:szCs w:val="21"/>
              </w:rPr>
            </w:pPr>
          </w:p>
        </w:tc>
        <w:tc>
          <w:tcPr>
            <w:tcW w:w="715" w:type="dxa"/>
            <w:vAlign w:val="center"/>
          </w:tcPr>
          <w:p w14:paraId="0C582F4A">
            <w:pPr>
              <w:spacing w:line="276" w:lineRule="auto"/>
              <w:jc w:val="center"/>
              <w:rPr>
                <w:rFonts w:ascii="宋体" w:hAnsi="宋体" w:eastAsia="宋体" w:cs="宋体"/>
                <w:bCs/>
                <w:szCs w:val="21"/>
              </w:rPr>
            </w:pPr>
          </w:p>
        </w:tc>
        <w:tc>
          <w:tcPr>
            <w:tcW w:w="1160" w:type="dxa"/>
            <w:vAlign w:val="center"/>
          </w:tcPr>
          <w:p w14:paraId="7F442799">
            <w:pPr>
              <w:spacing w:line="276" w:lineRule="auto"/>
              <w:jc w:val="center"/>
              <w:rPr>
                <w:rFonts w:ascii="宋体" w:hAnsi="宋体" w:eastAsia="宋体" w:cs="宋体"/>
                <w:bCs/>
                <w:szCs w:val="21"/>
              </w:rPr>
            </w:pPr>
          </w:p>
        </w:tc>
        <w:tc>
          <w:tcPr>
            <w:tcW w:w="917" w:type="dxa"/>
            <w:shd w:val="clear" w:color="auto" w:fill="auto"/>
            <w:vAlign w:val="center"/>
          </w:tcPr>
          <w:p w14:paraId="217932D3">
            <w:pPr>
              <w:spacing w:line="276" w:lineRule="auto"/>
              <w:jc w:val="center"/>
              <w:rPr>
                <w:rFonts w:ascii="宋体" w:hAnsi="宋体" w:eastAsia="宋体" w:cs="宋体"/>
                <w:bCs/>
                <w:szCs w:val="21"/>
              </w:rPr>
            </w:pPr>
          </w:p>
        </w:tc>
        <w:tc>
          <w:tcPr>
            <w:tcW w:w="666" w:type="dxa"/>
            <w:shd w:val="clear" w:color="auto" w:fill="auto"/>
            <w:vAlign w:val="center"/>
          </w:tcPr>
          <w:p w14:paraId="34C4523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37F209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0545C0E8">
            <w:pPr>
              <w:spacing w:line="276" w:lineRule="auto"/>
              <w:jc w:val="center"/>
              <w:rPr>
                <w:rFonts w:ascii="宋体" w:hAnsi="宋体" w:eastAsia="宋体" w:cs="宋体"/>
                <w:bCs/>
                <w:szCs w:val="21"/>
              </w:rPr>
            </w:pPr>
          </w:p>
        </w:tc>
        <w:tc>
          <w:tcPr>
            <w:tcW w:w="983" w:type="dxa"/>
            <w:vAlign w:val="center"/>
          </w:tcPr>
          <w:p w14:paraId="7965EAAA">
            <w:pPr>
              <w:spacing w:line="276" w:lineRule="auto"/>
              <w:jc w:val="center"/>
              <w:rPr>
                <w:rFonts w:ascii="宋体" w:hAnsi="宋体" w:eastAsia="宋体" w:cs="宋体"/>
                <w:bCs/>
                <w:szCs w:val="21"/>
              </w:rPr>
            </w:pPr>
          </w:p>
        </w:tc>
      </w:tr>
      <w:tr w14:paraId="6253C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7AC70C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84</w:t>
            </w:r>
          </w:p>
        </w:tc>
        <w:tc>
          <w:tcPr>
            <w:tcW w:w="841" w:type="dxa"/>
            <w:vMerge w:val="continue"/>
          </w:tcPr>
          <w:p w14:paraId="56F805C7">
            <w:pPr>
              <w:spacing w:line="276" w:lineRule="auto"/>
              <w:jc w:val="center"/>
              <w:rPr>
                <w:rFonts w:ascii="宋体" w:hAnsi="宋体" w:eastAsia="宋体" w:cs="宋体"/>
                <w:bCs/>
                <w:szCs w:val="21"/>
              </w:rPr>
            </w:pPr>
          </w:p>
        </w:tc>
        <w:tc>
          <w:tcPr>
            <w:tcW w:w="1223" w:type="dxa"/>
            <w:shd w:val="clear" w:color="auto" w:fill="auto"/>
            <w:vAlign w:val="center"/>
          </w:tcPr>
          <w:p w14:paraId="5C497A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多功能智能杆18（智慧路灯+电子警察）</w:t>
            </w:r>
          </w:p>
        </w:tc>
        <w:tc>
          <w:tcPr>
            <w:tcW w:w="890" w:type="dxa"/>
            <w:vAlign w:val="center"/>
          </w:tcPr>
          <w:p w14:paraId="52F0D946">
            <w:pPr>
              <w:spacing w:line="276" w:lineRule="auto"/>
              <w:jc w:val="center"/>
              <w:rPr>
                <w:rFonts w:ascii="宋体" w:hAnsi="宋体" w:eastAsia="宋体" w:cs="宋体"/>
                <w:bCs/>
                <w:szCs w:val="21"/>
              </w:rPr>
            </w:pPr>
          </w:p>
        </w:tc>
        <w:tc>
          <w:tcPr>
            <w:tcW w:w="508" w:type="dxa"/>
            <w:vAlign w:val="center"/>
          </w:tcPr>
          <w:p w14:paraId="40A4C14D">
            <w:pPr>
              <w:spacing w:line="276" w:lineRule="auto"/>
              <w:jc w:val="center"/>
              <w:rPr>
                <w:rFonts w:ascii="宋体" w:hAnsi="宋体" w:eastAsia="宋体" w:cs="宋体"/>
                <w:bCs/>
                <w:szCs w:val="21"/>
              </w:rPr>
            </w:pPr>
          </w:p>
        </w:tc>
        <w:tc>
          <w:tcPr>
            <w:tcW w:w="810" w:type="dxa"/>
            <w:vAlign w:val="center"/>
          </w:tcPr>
          <w:p w14:paraId="40BD417C">
            <w:pPr>
              <w:spacing w:line="276" w:lineRule="auto"/>
              <w:jc w:val="center"/>
              <w:rPr>
                <w:rFonts w:ascii="宋体" w:hAnsi="宋体" w:eastAsia="宋体" w:cs="宋体"/>
                <w:bCs/>
                <w:szCs w:val="21"/>
              </w:rPr>
            </w:pPr>
          </w:p>
        </w:tc>
        <w:tc>
          <w:tcPr>
            <w:tcW w:w="715" w:type="dxa"/>
            <w:vAlign w:val="center"/>
          </w:tcPr>
          <w:p w14:paraId="20BBBB22">
            <w:pPr>
              <w:spacing w:line="276" w:lineRule="auto"/>
              <w:jc w:val="center"/>
              <w:rPr>
                <w:rFonts w:ascii="宋体" w:hAnsi="宋体" w:eastAsia="宋体" w:cs="宋体"/>
                <w:bCs/>
                <w:szCs w:val="21"/>
              </w:rPr>
            </w:pPr>
          </w:p>
        </w:tc>
        <w:tc>
          <w:tcPr>
            <w:tcW w:w="1160" w:type="dxa"/>
            <w:vAlign w:val="center"/>
          </w:tcPr>
          <w:p w14:paraId="323DF6B1">
            <w:pPr>
              <w:spacing w:line="276" w:lineRule="auto"/>
              <w:jc w:val="center"/>
              <w:rPr>
                <w:rFonts w:ascii="宋体" w:hAnsi="宋体" w:eastAsia="宋体" w:cs="宋体"/>
                <w:bCs/>
                <w:szCs w:val="21"/>
              </w:rPr>
            </w:pPr>
          </w:p>
        </w:tc>
        <w:tc>
          <w:tcPr>
            <w:tcW w:w="917" w:type="dxa"/>
            <w:shd w:val="clear" w:color="auto" w:fill="auto"/>
            <w:vAlign w:val="center"/>
          </w:tcPr>
          <w:p w14:paraId="5F7AF8E8">
            <w:pPr>
              <w:spacing w:line="276" w:lineRule="auto"/>
              <w:jc w:val="center"/>
              <w:rPr>
                <w:rFonts w:ascii="宋体" w:hAnsi="宋体" w:eastAsia="宋体" w:cs="宋体"/>
                <w:bCs/>
                <w:szCs w:val="21"/>
              </w:rPr>
            </w:pPr>
          </w:p>
        </w:tc>
        <w:tc>
          <w:tcPr>
            <w:tcW w:w="666" w:type="dxa"/>
            <w:shd w:val="clear" w:color="auto" w:fill="auto"/>
            <w:vAlign w:val="center"/>
          </w:tcPr>
          <w:p w14:paraId="152F468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061B03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09CB3280">
            <w:pPr>
              <w:spacing w:line="276" w:lineRule="auto"/>
              <w:jc w:val="center"/>
              <w:rPr>
                <w:rFonts w:ascii="宋体" w:hAnsi="宋体" w:eastAsia="宋体" w:cs="宋体"/>
                <w:bCs/>
                <w:szCs w:val="21"/>
              </w:rPr>
            </w:pPr>
          </w:p>
        </w:tc>
        <w:tc>
          <w:tcPr>
            <w:tcW w:w="983" w:type="dxa"/>
            <w:vAlign w:val="center"/>
          </w:tcPr>
          <w:p w14:paraId="7E7EEE8E">
            <w:pPr>
              <w:spacing w:line="276" w:lineRule="auto"/>
              <w:jc w:val="center"/>
              <w:rPr>
                <w:rFonts w:ascii="宋体" w:hAnsi="宋体" w:eastAsia="宋体" w:cs="宋体"/>
                <w:bCs/>
                <w:szCs w:val="21"/>
              </w:rPr>
            </w:pPr>
          </w:p>
        </w:tc>
      </w:tr>
      <w:tr w14:paraId="3C2D9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2108C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85</w:t>
            </w:r>
          </w:p>
        </w:tc>
        <w:tc>
          <w:tcPr>
            <w:tcW w:w="841" w:type="dxa"/>
            <w:vMerge w:val="continue"/>
          </w:tcPr>
          <w:p w14:paraId="27A4713C">
            <w:pPr>
              <w:spacing w:line="276" w:lineRule="auto"/>
              <w:jc w:val="center"/>
              <w:rPr>
                <w:rFonts w:ascii="宋体" w:hAnsi="宋体" w:eastAsia="宋体" w:cs="宋体"/>
                <w:bCs/>
                <w:szCs w:val="21"/>
              </w:rPr>
            </w:pPr>
          </w:p>
        </w:tc>
        <w:tc>
          <w:tcPr>
            <w:tcW w:w="1223" w:type="dxa"/>
            <w:shd w:val="clear" w:color="auto" w:fill="auto"/>
            <w:vAlign w:val="center"/>
          </w:tcPr>
          <w:p w14:paraId="54A4E5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多功能智能杆19（电子警察）</w:t>
            </w:r>
          </w:p>
        </w:tc>
        <w:tc>
          <w:tcPr>
            <w:tcW w:w="890" w:type="dxa"/>
            <w:vAlign w:val="center"/>
          </w:tcPr>
          <w:p w14:paraId="1F48FF49">
            <w:pPr>
              <w:spacing w:line="276" w:lineRule="auto"/>
              <w:jc w:val="center"/>
              <w:rPr>
                <w:rFonts w:ascii="宋体" w:hAnsi="宋体" w:eastAsia="宋体" w:cs="宋体"/>
                <w:bCs/>
                <w:szCs w:val="21"/>
              </w:rPr>
            </w:pPr>
          </w:p>
        </w:tc>
        <w:tc>
          <w:tcPr>
            <w:tcW w:w="508" w:type="dxa"/>
            <w:vAlign w:val="center"/>
          </w:tcPr>
          <w:p w14:paraId="5D6BDBDF">
            <w:pPr>
              <w:spacing w:line="276" w:lineRule="auto"/>
              <w:jc w:val="center"/>
              <w:rPr>
                <w:rFonts w:ascii="宋体" w:hAnsi="宋体" w:eastAsia="宋体" w:cs="宋体"/>
                <w:bCs/>
                <w:szCs w:val="21"/>
              </w:rPr>
            </w:pPr>
          </w:p>
        </w:tc>
        <w:tc>
          <w:tcPr>
            <w:tcW w:w="810" w:type="dxa"/>
            <w:vAlign w:val="center"/>
          </w:tcPr>
          <w:p w14:paraId="7CB66D89">
            <w:pPr>
              <w:spacing w:line="276" w:lineRule="auto"/>
              <w:jc w:val="center"/>
              <w:rPr>
                <w:rFonts w:ascii="宋体" w:hAnsi="宋体" w:eastAsia="宋体" w:cs="宋体"/>
                <w:bCs/>
                <w:szCs w:val="21"/>
              </w:rPr>
            </w:pPr>
          </w:p>
        </w:tc>
        <w:tc>
          <w:tcPr>
            <w:tcW w:w="715" w:type="dxa"/>
            <w:vAlign w:val="center"/>
          </w:tcPr>
          <w:p w14:paraId="3EEFE5F0">
            <w:pPr>
              <w:spacing w:line="276" w:lineRule="auto"/>
              <w:jc w:val="center"/>
              <w:rPr>
                <w:rFonts w:ascii="宋体" w:hAnsi="宋体" w:eastAsia="宋体" w:cs="宋体"/>
                <w:bCs/>
                <w:szCs w:val="21"/>
              </w:rPr>
            </w:pPr>
          </w:p>
        </w:tc>
        <w:tc>
          <w:tcPr>
            <w:tcW w:w="1160" w:type="dxa"/>
            <w:vAlign w:val="center"/>
          </w:tcPr>
          <w:p w14:paraId="46E17187">
            <w:pPr>
              <w:spacing w:line="276" w:lineRule="auto"/>
              <w:jc w:val="center"/>
              <w:rPr>
                <w:rFonts w:ascii="宋体" w:hAnsi="宋体" w:eastAsia="宋体" w:cs="宋体"/>
                <w:bCs/>
                <w:szCs w:val="21"/>
              </w:rPr>
            </w:pPr>
          </w:p>
        </w:tc>
        <w:tc>
          <w:tcPr>
            <w:tcW w:w="917" w:type="dxa"/>
            <w:shd w:val="clear" w:color="auto" w:fill="auto"/>
            <w:vAlign w:val="center"/>
          </w:tcPr>
          <w:p w14:paraId="45FFD3E1">
            <w:pPr>
              <w:spacing w:line="276" w:lineRule="auto"/>
              <w:jc w:val="center"/>
              <w:rPr>
                <w:rFonts w:ascii="宋体" w:hAnsi="宋体" w:eastAsia="宋体" w:cs="宋体"/>
                <w:bCs/>
                <w:szCs w:val="21"/>
              </w:rPr>
            </w:pPr>
          </w:p>
        </w:tc>
        <w:tc>
          <w:tcPr>
            <w:tcW w:w="666" w:type="dxa"/>
            <w:shd w:val="clear" w:color="auto" w:fill="auto"/>
            <w:vAlign w:val="center"/>
          </w:tcPr>
          <w:p w14:paraId="72D6A38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0D286D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12F4E9FC">
            <w:pPr>
              <w:spacing w:line="276" w:lineRule="auto"/>
              <w:jc w:val="center"/>
              <w:rPr>
                <w:rFonts w:ascii="宋体" w:hAnsi="宋体" w:eastAsia="宋体" w:cs="宋体"/>
                <w:bCs/>
                <w:szCs w:val="21"/>
              </w:rPr>
            </w:pPr>
          </w:p>
        </w:tc>
        <w:tc>
          <w:tcPr>
            <w:tcW w:w="983" w:type="dxa"/>
            <w:vAlign w:val="center"/>
          </w:tcPr>
          <w:p w14:paraId="384918BB">
            <w:pPr>
              <w:spacing w:line="276" w:lineRule="auto"/>
              <w:jc w:val="center"/>
              <w:rPr>
                <w:rFonts w:ascii="宋体" w:hAnsi="宋体" w:eastAsia="宋体" w:cs="宋体"/>
                <w:bCs/>
                <w:szCs w:val="21"/>
              </w:rPr>
            </w:pPr>
          </w:p>
        </w:tc>
      </w:tr>
      <w:tr w14:paraId="0ECCB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2AAED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86</w:t>
            </w:r>
          </w:p>
        </w:tc>
        <w:tc>
          <w:tcPr>
            <w:tcW w:w="841" w:type="dxa"/>
            <w:vMerge w:val="continue"/>
          </w:tcPr>
          <w:p w14:paraId="44F0F37D">
            <w:pPr>
              <w:spacing w:line="276" w:lineRule="auto"/>
              <w:jc w:val="center"/>
              <w:rPr>
                <w:rFonts w:ascii="宋体" w:hAnsi="宋体" w:eastAsia="宋体" w:cs="宋体"/>
                <w:bCs/>
                <w:szCs w:val="21"/>
              </w:rPr>
            </w:pPr>
          </w:p>
        </w:tc>
        <w:tc>
          <w:tcPr>
            <w:tcW w:w="1223" w:type="dxa"/>
            <w:shd w:val="clear" w:color="auto" w:fill="auto"/>
            <w:vAlign w:val="center"/>
          </w:tcPr>
          <w:p w14:paraId="0B59A7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多功能智能杆20（电子警察）</w:t>
            </w:r>
          </w:p>
        </w:tc>
        <w:tc>
          <w:tcPr>
            <w:tcW w:w="890" w:type="dxa"/>
            <w:vAlign w:val="center"/>
          </w:tcPr>
          <w:p w14:paraId="6F088D90">
            <w:pPr>
              <w:spacing w:line="276" w:lineRule="auto"/>
              <w:jc w:val="center"/>
              <w:rPr>
                <w:rFonts w:ascii="宋体" w:hAnsi="宋体" w:eastAsia="宋体" w:cs="宋体"/>
                <w:bCs/>
                <w:szCs w:val="21"/>
              </w:rPr>
            </w:pPr>
          </w:p>
        </w:tc>
        <w:tc>
          <w:tcPr>
            <w:tcW w:w="508" w:type="dxa"/>
            <w:vAlign w:val="center"/>
          </w:tcPr>
          <w:p w14:paraId="65DAA448">
            <w:pPr>
              <w:spacing w:line="276" w:lineRule="auto"/>
              <w:jc w:val="center"/>
              <w:rPr>
                <w:rFonts w:ascii="宋体" w:hAnsi="宋体" w:eastAsia="宋体" w:cs="宋体"/>
                <w:bCs/>
                <w:szCs w:val="21"/>
              </w:rPr>
            </w:pPr>
          </w:p>
        </w:tc>
        <w:tc>
          <w:tcPr>
            <w:tcW w:w="810" w:type="dxa"/>
            <w:vAlign w:val="center"/>
          </w:tcPr>
          <w:p w14:paraId="13A1846E">
            <w:pPr>
              <w:spacing w:line="276" w:lineRule="auto"/>
              <w:jc w:val="center"/>
              <w:rPr>
                <w:rFonts w:ascii="宋体" w:hAnsi="宋体" w:eastAsia="宋体" w:cs="宋体"/>
                <w:bCs/>
                <w:szCs w:val="21"/>
              </w:rPr>
            </w:pPr>
          </w:p>
        </w:tc>
        <w:tc>
          <w:tcPr>
            <w:tcW w:w="715" w:type="dxa"/>
            <w:vAlign w:val="center"/>
          </w:tcPr>
          <w:p w14:paraId="6306846E">
            <w:pPr>
              <w:spacing w:line="276" w:lineRule="auto"/>
              <w:jc w:val="center"/>
              <w:rPr>
                <w:rFonts w:ascii="宋体" w:hAnsi="宋体" w:eastAsia="宋体" w:cs="宋体"/>
                <w:bCs/>
                <w:szCs w:val="21"/>
              </w:rPr>
            </w:pPr>
          </w:p>
        </w:tc>
        <w:tc>
          <w:tcPr>
            <w:tcW w:w="1160" w:type="dxa"/>
            <w:vAlign w:val="center"/>
          </w:tcPr>
          <w:p w14:paraId="2C83EA14">
            <w:pPr>
              <w:spacing w:line="276" w:lineRule="auto"/>
              <w:jc w:val="center"/>
              <w:rPr>
                <w:rFonts w:ascii="宋体" w:hAnsi="宋体" w:eastAsia="宋体" w:cs="宋体"/>
                <w:bCs/>
                <w:szCs w:val="21"/>
              </w:rPr>
            </w:pPr>
          </w:p>
        </w:tc>
        <w:tc>
          <w:tcPr>
            <w:tcW w:w="917" w:type="dxa"/>
            <w:shd w:val="clear" w:color="auto" w:fill="auto"/>
            <w:vAlign w:val="center"/>
          </w:tcPr>
          <w:p w14:paraId="491CC41E">
            <w:pPr>
              <w:spacing w:line="276" w:lineRule="auto"/>
              <w:jc w:val="center"/>
              <w:rPr>
                <w:rFonts w:ascii="宋体" w:hAnsi="宋体" w:eastAsia="宋体" w:cs="宋体"/>
                <w:bCs/>
                <w:szCs w:val="21"/>
              </w:rPr>
            </w:pPr>
          </w:p>
        </w:tc>
        <w:tc>
          <w:tcPr>
            <w:tcW w:w="666" w:type="dxa"/>
            <w:shd w:val="clear" w:color="auto" w:fill="auto"/>
            <w:vAlign w:val="center"/>
          </w:tcPr>
          <w:p w14:paraId="47901F8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w:t>
            </w:r>
          </w:p>
        </w:tc>
        <w:tc>
          <w:tcPr>
            <w:tcW w:w="550" w:type="dxa"/>
            <w:shd w:val="clear" w:color="auto" w:fill="auto"/>
            <w:vAlign w:val="center"/>
          </w:tcPr>
          <w:p w14:paraId="3BA292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1630E714">
            <w:pPr>
              <w:spacing w:line="276" w:lineRule="auto"/>
              <w:jc w:val="center"/>
              <w:rPr>
                <w:rFonts w:ascii="宋体" w:hAnsi="宋体" w:eastAsia="宋体" w:cs="宋体"/>
                <w:bCs/>
                <w:szCs w:val="21"/>
              </w:rPr>
            </w:pPr>
          </w:p>
        </w:tc>
        <w:tc>
          <w:tcPr>
            <w:tcW w:w="983" w:type="dxa"/>
            <w:vAlign w:val="center"/>
          </w:tcPr>
          <w:p w14:paraId="2D4750EC">
            <w:pPr>
              <w:spacing w:line="276" w:lineRule="auto"/>
              <w:jc w:val="center"/>
              <w:rPr>
                <w:rFonts w:ascii="宋体" w:hAnsi="宋体" w:eastAsia="宋体" w:cs="宋体"/>
                <w:bCs/>
                <w:szCs w:val="21"/>
              </w:rPr>
            </w:pPr>
          </w:p>
        </w:tc>
      </w:tr>
      <w:tr w14:paraId="600C0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F97F1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87</w:t>
            </w:r>
          </w:p>
        </w:tc>
        <w:tc>
          <w:tcPr>
            <w:tcW w:w="841" w:type="dxa"/>
            <w:vMerge w:val="continue"/>
          </w:tcPr>
          <w:p w14:paraId="54FDDC9A">
            <w:pPr>
              <w:spacing w:line="276" w:lineRule="auto"/>
              <w:jc w:val="center"/>
              <w:rPr>
                <w:rFonts w:ascii="宋体" w:hAnsi="宋体" w:eastAsia="宋体" w:cs="宋体"/>
                <w:bCs/>
                <w:szCs w:val="21"/>
              </w:rPr>
            </w:pPr>
          </w:p>
        </w:tc>
        <w:tc>
          <w:tcPr>
            <w:tcW w:w="1223" w:type="dxa"/>
            <w:shd w:val="clear" w:color="auto" w:fill="auto"/>
            <w:vAlign w:val="center"/>
          </w:tcPr>
          <w:p w14:paraId="08EFB1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多功能智能杆21（电子警察）</w:t>
            </w:r>
          </w:p>
        </w:tc>
        <w:tc>
          <w:tcPr>
            <w:tcW w:w="890" w:type="dxa"/>
            <w:vAlign w:val="center"/>
          </w:tcPr>
          <w:p w14:paraId="1CDF8D04">
            <w:pPr>
              <w:spacing w:line="276" w:lineRule="auto"/>
              <w:jc w:val="center"/>
              <w:rPr>
                <w:rFonts w:ascii="宋体" w:hAnsi="宋体" w:eastAsia="宋体" w:cs="宋体"/>
                <w:bCs/>
                <w:szCs w:val="21"/>
              </w:rPr>
            </w:pPr>
          </w:p>
        </w:tc>
        <w:tc>
          <w:tcPr>
            <w:tcW w:w="508" w:type="dxa"/>
            <w:vAlign w:val="center"/>
          </w:tcPr>
          <w:p w14:paraId="47B6FE96">
            <w:pPr>
              <w:spacing w:line="276" w:lineRule="auto"/>
              <w:jc w:val="center"/>
              <w:rPr>
                <w:rFonts w:ascii="宋体" w:hAnsi="宋体" w:eastAsia="宋体" w:cs="宋体"/>
                <w:bCs/>
                <w:szCs w:val="21"/>
              </w:rPr>
            </w:pPr>
          </w:p>
        </w:tc>
        <w:tc>
          <w:tcPr>
            <w:tcW w:w="810" w:type="dxa"/>
            <w:vAlign w:val="center"/>
          </w:tcPr>
          <w:p w14:paraId="524352D4">
            <w:pPr>
              <w:spacing w:line="276" w:lineRule="auto"/>
              <w:jc w:val="center"/>
              <w:rPr>
                <w:rFonts w:ascii="宋体" w:hAnsi="宋体" w:eastAsia="宋体" w:cs="宋体"/>
                <w:bCs/>
                <w:szCs w:val="21"/>
              </w:rPr>
            </w:pPr>
          </w:p>
        </w:tc>
        <w:tc>
          <w:tcPr>
            <w:tcW w:w="715" w:type="dxa"/>
            <w:vAlign w:val="center"/>
          </w:tcPr>
          <w:p w14:paraId="58BCC641">
            <w:pPr>
              <w:spacing w:line="276" w:lineRule="auto"/>
              <w:jc w:val="center"/>
              <w:rPr>
                <w:rFonts w:ascii="宋体" w:hAnsi="宋体" w:eastAsia="宋体" w:cs="宋体"/>
                <w:bCs/>
                <w:szCs w:val="21"/>
              </w:rPr>
            </w:pPr>
          </w:p>
        </w:tc>
        <w:tc>
          <w:tcPr>
            <w:tcW w:w="1160" w:type="dxa"/>
            <w:vAlign w:val="center"/>
          </w:tcPr>
          <w:p w14:paraId="02C0307C">
            <w:pPr>
              <w:spacing w:line="276" w:lineRule="auto"/>
              <w:jc w:val="center"/>
              <w:rPr>
                <w:rFonts w:ascii="宋体" w:hAnsi="宋体" w:eastAsia="宋体" w:cs="宋体"/>
                <w:bCs/>
                <w:szCs w:val="21"/>
              </w:rPr>
            </w:pPr>
          </w:p>
        </w:tc>
        <w:tc>
          <w:tcPr>
            <w:tcW w:w="917" w:type="dxa"/>
            <w:shd w:val="clear" w:color="auto" w:fill="auto"/>
            <w:vAlign w:val="center"/>
          </w:tcPr>
          <w:p w14:paraId="614DB0DA">
            <w:pPr>
              <w:spacing w:line="276" w:lineRule="auto"/>
              <w:jc w:val="center"/>
              <w:rPr>
                <w:rFonts w:ascii="宋体" w:hAnsi="宋体" w:eastAsia="宋体" w:cs="宋体"/>
                <w:bCs/>
                <w:szCs w:val="21"/>
              </w:rPr>
            </w:pPr>
          </w:p>
        </w:tc>
        <w:tc>
          <w:tcPr>
            <w:tcW w:w="666" w:type="dxa"/>
            <w:shd w:val="clear" w:color="auto" w:fill="auto"/>
            <w:vAlign w:val="center"/>
          </w:tcPr>
          <w:p w14:paraId="73B69DF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550" w:type="dxa"/>
            <w:shd w:val="clear" w:color="auto" w:fill="auto"/>
            <w:vAlign w:val="center"/>
          </w:tcPr>
          <w:p w14:paraId="3F75EF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0FCF8871">
            <w:pPr>
              <w:spacing w:line="276" w:lineRule="auto"/>
              <w:jc w:val="center"/>
              <w:rPr>
                <w:rFonts w:ascii="宋体" w:hAnsi="宋体" w:eastAsia="宋体" w:cs="宋体"/>
                <w:bCs/>
                <w:szCs w:val="21"/>
              </w:rPr>
            </w:pPr>
          </w:p>
        </w:tc>
        <w:tc>
          <w:tcPr>
            <w:tcW w:w="983" w:type="dxa"/>
            <w:vAlign w:val="center"/>
          </w:tcPr>
          <w:p w14:paraId="4B828C62">
            <w:pPr>
              <w:spacing w:line="276" w:lineRule="auto"/>
              <w:jc w:val="center"/>
              <w:rPr>
                <w:rFonts w:ascii="宋体" w:hAnsi="宋体" w:eastAsia="宋体" w:cs="宋体"/>
                <w:bCs/>
                <w:szCs w:val="21"/>
              </w:rPr>
            </w:pPr>
          </w:p>
        </w:tc>
      </w:tr>
      <w:tr w14:paraId="482A0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4D56E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88</w:t>
            </w:r>
          </w:p>
        </w:tc>
        <w:tc>
          <w:tcPr>
            <w:tcW w:w="841" w:type="dxa"/>
            <w:vMerge w:val="continue"/>
          </w:tcPr>
          <w:p w14:paraId="36E7864F">
            <w:pPr>
              <w:spacing w:line="276" w:lineRule="auto"/>
              <w:jc w:val="center"/>
              <w:rPr>
                <w:rFonts w:ascii="宋体" w:hAnsi="宋体" w:eastAsia="宋体" w:cs="宋体"/>
                <w:bCs/>
                <w:szCs w:val="21"/>
              </w:rPr>
            </w:pPr>
          </w:p>
        </w:tc>
        <w:tc>
          <w:tcPr>
            <w:tcW w:w="1223" w:type="dxa"/>
            <w:shd w:val="clear" w:color="auto" w:fill="auto"/>
            <w:vAlign w:val="center"/>
          </w:tcPr>
          <w:p w14:paraId="795FA4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多功能智能杆22（电子警察）</w:t>
            </w:r>
          </w:p>
        </w:tc>
        <w:tc>
          <w:tcPr>
            <w:tcW w:w="890" w:type="dxa"/>
            <w:vAlign w:val="center"/>
          </w:tcPr>
          <w:p w14:paraId="58A0F8F2">
            <w:pPr>
              <w:spacing w:line="276" w:lineRule="auto"/>
              <w:jc w:val="center"/>
              <w:rPr>
                <w:rFonts w:ascii="宋体" w:hAnsi="宋体" w:eastAsia="宋体" w:cs="宋体"/>
                <w:bCs/>
                <w:szCs w:val="21"/>
              </w:rPr>
            </w:pPr>
          </w:p>
        </w:tc>
        <w:tc>
          <w:tcPr>
            <w:tcW w:w="508" w:type="dxa"/>
            <w:vAlign w:val="center"/>
          </w:tcPr>
          <w:p w14:paraId="331FC1FC">
            <w:pPr>
              <w:spacing w:line="276" w:lineRule="auto"/>
              <w:jc w:val="center"/>
              <w:rPr>
                <w:rFonts w:ascii="宋体" w:hAnsi="宋体" w:eastAsia="宋体" w:cs="宋体"/>
                <w:bCs/>
                <w:szCs w:val="21"/>
              </w:rPr>
            </w:pPr>
          </w:p>
        </w:tc>
        <w:tc>
          <w:tcPr>
            <w:tcW w:w="810" w:type="dxa"/>
            <w:vAlign w:val="center"/>
          </w:tcPr>
          <w:p w14:paraId="67F7A54E">
            <w:pPr>
              <w:spacing w:line="276" w:lineRule="auto"/>
              <w:jc w:val="center"/>
              <w:rPr>
                <w:rFonts w:ascii="宋体" w:hAnsi="宋体" w:eastAsia="宋体" w:cs="宋体"/>
                <w:bCs/>
                <w:szCs w:val="21"/>
              </w:rPr>
            </w:pPr>
          </w:p>
        </w:tc>
        <w:tc>
          <w:tcPr>
            <w:tcW w:w="715" w:type="dxa"/>
            <w:vAlign w:val="center"/>
          </w:tcPr>
          <w:p w14:paraId="26A959B8">
            <w:pPr>
              <w:spacing w:line="276" w:lineRule="auto"/>
              <w:jc w:val="center"/>
              <w:rPr>
                <w:rFonts w:ascii="宋体" w:hAnsi="宋体" w:eastAsia="宋体" w:cs="宋体"/>
                <w:bCs/>
                <w:szCs w:val="21"/>
              </w:rPr>
            </w:pPr>
          </w:p>
        </w:tc>
        <w:tc>
          <w:tcPr>
            <w:tcW w:w="1160" w:type="dxa"/>
            <w:vAlign w:val="center"/>
          </w:tcPr>
          <w:p w14:paraId="46E0A81D">
            <w:pPr>
              <w:spacing w:line="276" w:lineRule="auto"/>
              <w:jc w:val="center"/>
              <w:rPr>
                <w:rFonts w:ascii="宋体" w:hAnsi="宋体" w:eastAsia="宋体" w:cs="宋体"/>
                <w:bCs/>
                <w:szCs w:val="21"/>
              </w:rPr>
            </w:pPr>
          </w:p>
        </w:tc>
        <w:tc>
          <w:tcPr>
            <w:tcW w:w="917" w:type="dxa"/>
            <w:shd w:val="clear" w:color="auto" w:fill="auto"/>
            <w:vAlign w:val="center"/>
          </w:tcPr>
          <w:p w14:paraId="24D5EE94">
            <w:pPr>
              <w:spacing w:line="276" w:lineRule="auto"/>
              <w:jc w:val="center"/>
              <w:rPr>
                <w:rFonts w:ascii="宋体" w:hAnsi="宋体" w:eastAsia="宋体" w:cs="宋体"/>
                <w:bCs/>
                <w:szCs w:val="21"/>
              </w:rPr>
            </w:pPr>
          </w:p>
        </w:tc>
        <w:tc>
          <w:tcPr>
            <w:tcW w:w="666" w:type="dxa"/>
            <w:shd w:val="clear" w:color="auto" w:fill="auto"/>
            <w:vAlign w:val="center"/>
          </w:tcPr>
          <w:p w14:paraId="68CDD37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550" w:type="dxa"/>
            <w:shd w:val="clear" w:color="auto" w:fill="auto"/>
            <w:vAlign w:val="center"/>
          </w:tcPr>
          <w:p w14:paraId="5FE86C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38A30230">
            <w:pPr>
              <w:spacing w:line="276" w:lineRule="auto"/>
              <w:jc w:val="center"/>
              <w:rPr>
                <w:rFonts w:ascii="宋体" w:hAnsi="宋体" w:eastAsia="宋体" w:cs="宋体"/>
                <w:bCs/>
                <w:szCs w:val="21"/>
              </w:rPr>
            </w:pPr>
          </w:p>
        </w:tc>
        <w:tc>
          <w:tcPr>
            <w:tcW w:w="983" w:type="dxa"/>
            <w:vAlign w:val="center"/>
          </w:tcPr>
          <w:p w14:paraId="7C956D5D">
            <w:pPr>
              <w:spacing w:line="276" w:lineRule="auto"/>
              <w:jc w:val="center"/>
              <w:rPr>
                <w:rFonts w:ascii="宋体" w:hAnsi="宋体" w:eastAsia="宋体" w:cs="宋体"/>
                <w:bCs/>
                <w:szCs w:val="21"/>
              </w:rPr>
            </w:pPr>
          </w:p>
        </w:tc>
      </w:tr>
      <w:tr w14:paraId="42605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679DC2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89</w:t>
            </w:r>
          </w:p>
        </w:tc>
        <w:tc>
          <w:tcPr>
            <w:tcW w:w="841" w:type="dxa"/>
            <w:vMerge w:val="continue"/>
          </w:tcPr>
          <w:p w14:paraId="19FC63E0">
            <w:pPr>
              <w:spacing w:line="276" w:lineRule="auto"/>
              <w:jc w:val="center"/>
              <w:rPr>
                <w:rFonts w:ascii="宋体" w:hAnsi="宋体" w:eastAsia="宋体" w:cs="宋体"/>
                <w:bCs/>
                <w:szCs w:val="21"/>
              </w:rPr>
            </w:pPr>
          </w:p>
        </w:tc>
        <w:tc>
          <w:tcPr>
            <w:tcW w:w="1223" w:type="dxa"/>
            <w:shd w:val="clear" w:color="auto" w:fill="auto"/>
            <w:vAlign w:val="center"/>
          </w:tcPr>
          <w:p w14:paraId="12A2BE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多功能智能杆23（电子警察）</w:t>
            </w:r>
          </w:p>
        </w:tc>
        <w:tc>
          <w:tcPr>
            <w:tcW w:w="890" w:type="dxa"/>
            <w:vAlign w:val="center"/>
          </w:tcPr>
          <w:p w14:paraId="4FA37181">
            <w:pPr>
              <w:spacing w:line="276" w:lineRule="auto"/>
              <w:jc w:val="center"/>
              <w:rPr>
                <w:rFonts w:ascii="宋体" w:hAnsi="宋体" w:eastAsia="宋体" w:cs="宋体"/>
                <w:bCs/>
                <w:szCs w:val="21"/>
              </w:rPr>
            </w:pPr>
          </w:p>
        </w:tc>
        <w:tc>
          <w:tcPr>
            <w:tcW w:w="508" w:type="dxa"/>
            <w:vAlign w:val="center"/>
          </w:tcPr>
          <w:p w14:paraId="0057042A">
            <w:pPr>
              <w:spacing w:line="276" w:lineRule="auto"/>
              <w:jc w:val="center"/>
              <w:rPr>
                <w:rFonts w:ascii="宋体" w:hAnsi="宋体" w:eastAsia="宋体" w:cs="宋体"/>
                <w:bCs/>
                <w:szCs w:val="21"/>
              </w:rPr>
            </w:pPr>
          </w:p>
        </w:tc>
        <w:tc>
          <w:tcPr>
            <w:tcW w:w="810" w:type="dxa"/>
            <w:vAlign w:val="center"/>
          </w:tcPr>
          <w:p w14:paraId="25750165">
            <w:pPr>
              <w:spacing w:line="276" w:lineRule="auto"/>
              <w:jc w:val="center"/>
              <w:rPr>
                <w:rFonts w:ascii="宋体" w:hAnsi="宋体" w:eastAsia="宋体" w:cs="宋体"/>
                <w:bCs/>
                <w:szCs w:val="21"/>
              </w:rPr>
            </w:pPr>
          </w:p>
        </w:tc>
        <w:tc>
          <w:tcPr>
            <w:tcW w:w="715" w:type="dxa"/>
            <w:vAlign w:val="center"/>
          </w:tcPr>
          <w:p w14:paraId="2577FC2B">
            <w:pPr>
              <w:spacing w:line="276" w:lineRule="auto"/>
              <w:jc w:val="center"/>
              <w:rPr>
                <w:rFonts w:ascii="宋体" w:hAnsi="宋体" w:eastAsia="宋体" w:cs="宋体"/>
                <w:bCs/>
                <w:szCs w:val="21"/>
              </w:rPr>
            </w:pPr>
          </w:p>
        </w:tc>
        <w:tc>
          <w:tcPr>
            <w:tcW w:w="1160" w:type="dxa"/>
            <w:vAlign w:val="center"/>
          </w:tcPr>
          <w:p w14:paraId="5EE2845B">
            <w:pPr>
              <w:spacing w:line="276" w:lineRule="auto"/>
              <w:jc w:val="center"/>
              <w:rPr>
                <w:rFonts w:ascii="宋体" w:hAnsi="宋体" w:eastAsia="宋体" w:cs="宋体"/>
                <w:bCs/>
                <w:szCs w:val="21"/>
              </w:rPr>
            </w:pPr>
          </w:p>
        </w:tc>
        <w:tc>
          <w:tcPr>
            <w:tcW w:w="917" w:type="dxa"/>
            <w:shd w:val="clear" w:color="auto" w:fill="auto"/>
            <w:vAlign w:val="center"/>
          </w:tcPr>
          <w:p w14:paraId="22BAC450">
            <w:pPr>
              <w:spacing w:line="276" w:lineRule="auto"/>
              <w:jc w:val="center"/>
              <w:rPr>
                <w:rFonts w:ascii="宋体" w:hAnsi="宋体" w:eastAsia="宋体" w:cs="宋体"/>
                <w:bCs/>
                <w:szCs w:val="21"/>
              </w:rPr>
            </w:pPr>
          </w:p>
        </w:tc>
        <w:tc>
          <w:tcPr>
            <w:tcW w:w="666" w:type="dxa"/>
            <w:shd w:val="clear" w:color="auto" w:fill="auto"/>
            <w:vAlign w:val="center"/>
          </w:tcPr>
          <w:p w14:paraId="1D07BCF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550" w:type="dxa"/>
            <w:shd w:val="clear" w:color="auto" w:fill="auto"/>
            <w:vAlign w:val="center"/>
          </w:tcPr>
          <w:p w14:paraId="7E00EE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44EB9C1A">
            <w:pPr>
              <w:spacing w:line="276" w:lineRule="auto"/>
              <w:jc w:val="center"/>
              <w:rPr>
                <w:rFonts w:ascii="宋体" w:hAnsi="宋体" w:eastAsia="宋体" w:cs="宋体"/>
                <w:bCs/>
                <w:szCs w:val="21"/>
              </w:rPr>
            </w:pPr>
          </w:p>
        </w:tc>
        <w:tc>
          <w:tcPr>
            <w:tcW w:w="983" w:type="dxa"/>
            <w:vAlign w:val="center"/>
          </w:tcPr>
          <w:p w14:paraId="639A2E0F">
            <w:pPr>
              <w:spacing w:line="276" w:lineRule="auto"/>
              <w:jc w:val="center"/>
              <w:rPr>
                <w:rFonts w:ascii="宋体" w:hAnsi="宋体" w:eastAsia="宋体" w:cs="宋体"/>
                <w:bCs/>
                <w:szCs w:val="21"/>
              </w:rPr>
            </w:pPr>
          </w:p>
        </w:tc>
      </w:tr>
      <w:tr w14:paraId="469E0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C9DF1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841" w:type="dxa"/>
            <w:vMerge w:val="continue"/>
          </w:tcPr>
          <w:p w14:paraId="1592A977">
            <w:pPr>
              <w:spacing w:line="276" w:lineRule="auto"/>
              <w:jc w:val="center"/>
              <w:rPr>
                <w:rFonts w:ascii="宋体" w:hAnsi="宋体" w:eastAsia="宋体" w:cs="宋体"/>
                <w:bCs/>
                <w:szCs w:val="21"/>
              </w:rPr>
            </w:pPr>
          </w:p>
        </w:tc>
        <w:tc>
          <w:tcPr>
            <w:tcW w:w="1223" w:type="dxa"/>
            <w:shd w:val="clear" w:color="auto" w:fill="auto"/>
            <w:vAlign w:val="center"/>
          </w:tcPr>
          <w:p w14:paraId="515EB1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多功能智能杆24（电子警察）</w:t>
            </w:r>
          </w:p>
        </w:tc>
        <w:tc>
          <w:tcPr>
            <w:tcW w:w="890" w:type="dxa"/>
            <w:vAlign w:val="center"/>
          </w:tcPr>
          <w:p w14:paraId="18A0B8CF">
            <w:pPr>
              <w:spacing w:line="276" w:lineRule="auto"/>
              <w:jc w:val="center"/>
              <w:rPr>
                <w:rFonts w:ascii="宋体" w:hAnsi="宋体" w:eastAsia="宋体" w:cs="宋体"/>
                <w:bCs/>
                <w:szCs w:val="21"/>
              </w:rPr>
            </w:pPr>
          </w:p>
        </w:tc>
        <w:tc>
          <w:tcPr>
            <w:tcW w:w="508" w:type="dxa"/>
            <w:vAlign w:val="center"/>
          </w:tcPr>
          <w:p w14:paraId="3EC91887">
            <w:pPr>
              <w:spacing w:line="276" w:lineRule="auto"/>
              <w:jc w:val="center"/>
              <w:rPr>
                <w:rFonts w:ascii="宋体" w:hAnsi="宋体" w:eastAsia="宋体" w:cs="宋体"/>
                <w:bCs/>
                <w:szCs w:val="21"/>
              </w:rPr>
            </w:pPr>
          </w:p>
        </w:tc>
        <w:tc>
          <w:tcPr>
            <w:tcW w:w="810" w:type="dxa"/>
            <w:vAlign w:val="center"/>
          </w:tcPr>
          <w:p w14:paraId="1A05A704">
            <w:pPr>
              <w:spacing w:line="276" w:lineRule="auto"/>
              <w:jc w:val="center"/>
              <w:rPr>
                <w:rFonts w:ascii="宋体" w:hAnsi="宋体" w:eastAsia="宋体" w:cs="宋体"/>
                <w:bCs/>
                <w:szCs w:val="21"/>
              </w:rPr>
            </w:pPr>
          </w:p>
        </w:tc>
        <w:tc>
          <w:tcPr>
            <w:tcW w:w="715" w:type="dxa"/>
            <w:vAlign w:val="center"/>
          </w:tcPr>
          <w:p w14:paraId="72560856">
            <w:pPr>
              <w:spacing w:line="276" w:lineRule="auto"/>
              <w:jc w:val="center"/>
              <w:rPr>
                <w:rFonts w:ascii="宋体" w:hAnsi="宋体" w:eastAsia="宋体" w:cs="宋体"/>
                <w:bCs/>
                <w:szCs w:val="21"/>
              </w:rPr>
            </w:pPr>
          </w:p>
        </w:tc>
        <w:tc>
          <w:tcPr>
            <w:tcW w:w="1160" w:type="dxa"/>
            <w:vAlign w:val="center"/>
          </w:tcPr>
          <w:p w14:paraId="277252FE">
            <w:pPr>
              <w:spacing w:line="276" w:lineRule="auto"/>
              <w:jc w:val="center"/>
              <w:rPr>
                <w:rFonts w:ascii="宋体" w:hAnsi="宋体" w:eastAsia="宋体" w:cs="宋体"/>
                <w:bCs/>
                <w:szCs w:val="21"/>
              </w:rPr>
            </w:pPr>
          </w:p>
        </w:tc>
        <w:tc>
          <w:tcPr>
            <w:tcW w:w="917" w:type="dxa"/>
            <w:shd w:val="clear" w:color="auto" w:fill="auto"/>
            <w:vAlign w:val="center"/>
          </w:tcPr>
          <w:p w14:paraId="484A27AF">
            <w:pPr>
              <w:spacing w:line="276" w:lineRule="auto"/>
              <w:jc w:val="center"/>
              <w:rPr>
                <w:rFonts w:ascii="宋体" w:hAnsi="宋体" w:eastAsia="宋体" w:cs="宋体"/>
                <w:bCs/>
                <w:szCs w:val="21"/>
              </w:rPr>
            </w:pPr>
          </w:p>
        </w:tc>
        <w:tc>
          <w:tcPr>
            <w:tcW w:w="666" w:type="dxa"/>
            <w:shd w:val="clear" w:color="auto" w:fill="auto"/>
            <w:vAlign w:val="center"/>
          </w:tcPr>
          <w:p w14:paraId="715E320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w:t>
            </w:r>
          </w:p>
        </w:tc>
        <w:tc>
          <w:tcPr>
            <w:tcW w:w="550" w:type="dxa"/>
            <w:shd w:val="clear" w:color="auto" w:fill="auto"/>
            <w:vAlign w:val="center"/>
          </w:tcPr>
          <w:p w14:paraId="7C3845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71A430F5">
            <w:pPr>
              <w:spacing w:line="276" w:lineRule="auto"/>
              <w:jc w:val="center"/>
              <w:rPr>
                <w:rFonts w:ascii="宋体" w:hAnsi="宋体" w:eastAsia="宋体" w:cs="宋体"/>
                <w:bCs/>
                <w:szCs w:val="21"/>
              </w:rPr>
            </w:pPr>
          </w:p>
        </w:tc>
        <w:tc>
          <w:tcPr>
            <w:tcW w:w="983" w:type="dxa"/>
            <w:vAlign w:val="center"/>
          </w:tcPr>
          <w:p w14:paraId="236BDF64">
            <w:pPr>
              <w:spacing w:line="276" w:lineRule="auto"/>
              <w:jc w:val="center"/>
              <w:rPr>
                <w:rFonts w:ascii="宋体" w:hAnsi="宋体" w:eastAsia="宋体" w:cs="宋体"/>
                <w:bCs/>
                <w:szCs w:val="21"/>
              </w:rPr>
            </w:pPr>
          </w:p>
        </w:tc>
      </w:tr>
      <w:tr w14:paraId="484B8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5C5C9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91</w:t>
            </w:r>
          </w:p>
        </w:tc>
        <w:tc>
          <w:tcPr>
            <w:tcW w:w="841" w:type="dxa"/>
            <w:vMerge w:val="continue"/>
          </w:tcPr>
          <w:p w14:paraId="03B7CD7B">
            <w:pPr>
              <w:spacing w:line="276" w:lineRule="auto"/>
              <w:jc w:val="center"/>
              <w:rPr>
                <w:rFonts w:ascii="宋体" w:hAnsi="宋体" w:eastAsia="宋体" w:cs="宋体"/>
                <w:bCs/>
                <w:szCs w:val="21"/>
              </w:rPr>
            </w:pPr>
          </w:p>
        </w:tc>
        <w:tc>
          <w:tcPr>
            <w:tcW w:w="1223" w:type="dxa"/>
            <w:shd w:val="clear" w:color="auto" w:fill="auto"/>
            <w:vAlign w:val="center"/>
          </w:tcPr>
          <w:p w14:paraId="290373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多功能智能杆26（车行信号灯）</w:t>
            </w:r>
          </w:p>
        </w:tc>
        <w:tc>
          <w:tcPr>
            <w:tcW w:w="890" w:type="dxa"/>
            <w:vAlign w:val="center"/>
          </w:tcPr>
          <w:p w14:paraId="53CF9314">
            <w:pPr>
              <w:spacing w:line="276" w:lineRule="auto"/>
              <w:jc w:val="center"/>
              <w:rPr>
                <w:rFonts w:ascii="宋体" w:hAnsi="宋体" w:eastAsia="宋体" w:cs="宋体"/>
                <w:bCs/>
                <w:szCs w:val="21"/>
              </w:rPr>
            </w:pPr>
          </w:p>
        </w:tc>
        <w:tc>
          <w:tcPr>
            <w:tcW w:w="508" w:type="dxa"/>
            <w:vAlign w:val="center"/>
          </w:tcPr>
          <w:p w14:paraId="5EB08B5E">
            <w:pPr>
              <w:spacing w:line="276" w:lineRule="auto"/>
              <w:jc w:val="center"/>
              <w:rPr>
                <w:rFonts w:ascii="宋体" w:hAnsi="宋体" w:eastAsia="宋体" w:cs="宋体"/>
                <w:bCs/>
                <w:szCs w:val="21"/>
              </w:rPr>
            </w:pPr>
          </w:p>
        </w:tc>
        <w:tc>
          <w:tcPr>
            <w:tcW w:w="810" w:type="dxa"/>
            <w:vAlign w:val="center"/>
          </w:tcPr>
          <w:p w14:paraId="6FD17915">
            <w:pPr>
              <w:spacing w:line="276" w:lineRule="auto"/>
              <w:jc w:val="center"/>
              <w:rPr>
                <w:rFonts w:ascii="宋体" w:hAnsi="宋体" w:eastAsia="宋体" w:cs="宋体"/>
                <w:bCs/>
                <w:szCs w:val="21"/>
              </w:rPr>
            </w:pPr>
          </w:p>
        </w:tc>
        <w:tc>
          <w:tcPr>
            <w:tcW w:w="715" w:type="dxa"/>
            <w:vAlign w:val="center"/>
          </w:tcPr>
          <w:p w14:paraId="16CB9BCC">
            <w:pPr>
              <w:spacing w:line="276" w:lineRule="auto"/>
              <w:jc w:val="center"/>
              <w:rPr>
                <w:rFonts w:ascii="宋体" w:hAnsi="宋体" w:eastAsia="宋体" w:cs="宋体"/>
                <w:bCs/>
                <w:szCs w:val="21"/>
              </w:rPr>
            </w:pPr>
          </w:p>
        </w:tc>
        <w:tc>
          <w:tcPr>
            <w:tcW w:w="1160" w:type="dxa"/>
            <w:vAlign w:val="center"/>
          </w:tcPr>
          <w:p w14:paraId="6C27E75D">
            <w:pPr>
              <w:spacing w:line="276" w:lineRule="auto"/>
              <w:jc w:val="center"/>
              <w:rPr>
                <w:rFonts w:ascii="宋体" w:hAnsi="宋体" w:eastAsia="宋体" w:cs="宋体"/>
                <w:bCs/>
                <w:szCs w:val="21"/>
              </w:rPr>
            </w:pPr>
          </w:p>
        </w:tc>
        <w:tc>
          <w:tcPr>
            <w:tcW w:w="917" w:type="dxa"/>
            <w:shd w:val="clear" w:color="auto" w:fill="auto"/>
            <w:vAlign w:val="center"/>
          </w:tcPr>
          <w:p w14:paraId="39869028">
            <w:pPr>
              <w:spacing w:line="276" w:lineRule="auto"/>
              <w:jc w:val="center"/>
              <w:rPr>
                <w:rFonts w:ascii="宋体" w:hAnsi="宋体" w:eastAsia="宋体" w:cs="宋体"/>
                <w:bCs/>
                <w:szCs w:val="21"/>
              </w:rPr>
            </w:pPr>
          </w:p>
        </w:tc>
        <w:tc>
          <w:tcPr>
            <w:tcW w:w="666" w:type="dxa"/>
            <w:shd w:val="clear" w:color="auto" w:fill="auto"/>
            <w:vAlign w:val="center"/>
          </w:tcPr>
          <w:p w14:paraId="4DBB9B3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395478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26678ADC">
            <w:pPr>
              <w:spacing w:line="276" w:lineRule="auto"/>
              <w:jc w:val="center"/>
              <w:rPr>
                <w:rFonts w:ascii="宋体" w:hAnsi="宋体" w:eastAsia="宋体" w:cs="宋体"/>
                <w:bCs/>
                <w:szCs w:val="21"/>
              </w:rPr>
            </w:pPr>
          </w:p>
        </w:tc>
        <w:tc>
          <w:tcPr>
            <w:tcW w:w="983" w:type="dxa"/>
            <w:vAlign w:val="center"/>
          </w:tcPr>
          <w:p w14:paraId="743BB622">
            <w:pPr>
              <w:spacing w:line="276" w:lineRule="auto"/>
              <w:jc w:val="center"/>
              <w:rPr>
                <w:rFonts w:ascii="宋体" w:hAnsi="宋体" w:eastAsia="宋体" w:cs="宋体"/>
                <w:bCs/>
                <w:szCs w:val="21"/>
              </w:rPr>
            </w:pPr>
          </w:p>
        </w:tc>
      </w:tr>
      <w:tr w14:paraId="33A7A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72911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92</w:t>
            </w:r>
          </w:p>
        </w:tc>
        <w:tc>
          <w:tcPr>
            <w:tcW w:w="841" w:type="dxa"/>
            <w:vMerge w:val="continue"/>
          </w:tcPr>
          <w:p w14:paraId="4AF1F00D">
            <w:pPr>
              <w:spacing w:line="276" w:lineRule="auto"/>
              <w:jc w:val="center"/>
              <w:rPr>
                <w:rFonts w:ascii="宋体" w:hAnsi="宋体" w:eastAsia="宋体" w:cs="宋体"/>
                <w:bCs/>
                <w:szCs w:val="21"/>
              </w:rPr>
            </w:pPr>
          </w:p>
        </w:tc>
        <w:tc>
          <w:tcPr>
            <w:tcW w:w="1223" w:type="dxa"/>
            <w:shd w:val="clear" w:color="auto" w:fill="auto"/>
            <w:vAlign w:val="center"/>
          </w:tcPr>
          <w:p w14:paraId="3A7890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多功能智能杆27（车行信号灯）</w:t>
            </w:r>
          </w:p>
        </w:tc>
        <w:tc>
          <w:tcPr>
            <w:tcW w:w="890" w:type="dxa"/>
            <w:vAlign w:val="center"/>
          </w:tcPr>
          <w:p w14:paraId="72BC1E80">
            <w:pPr>
              <w:spacing w:line="276" w:lineRule="auto"/>
              <w:jc w:val="center"/>
              <w:rPr>
                <w:rFonts w:ascii="宋体" w:hAnsi="宋体" w:eastAsia="宋体" w:cs="宋体"/>
                <w:bCs/>
                <w:szCs w:val="21"/>
              </w:rPr>
            </w:pPr>
          </w:p>
        </w:tc>
        <w:tc>
          <w:tcPr>
            <w:tcW w:w="508" w:type="dxa"/>
            <w:vAlign w:val="center"/>
          </w:tcPr>
          <w:p w14:paraId="36CF37BE">
            <w:pPr>
              <w:spacing w:line="276" w:lineRule="auto"/>
              <w:jc w:val="center"/>
              <w:rPr>
                <w:rFonts w:ascii="宋体" w:hAnsi="宋体" w:eastAsia="宋体" w:cs="宋体"/>
                <w:bCs/>
                <w:szCs w:val="21"/>
              </w:rPr>
            </w:pPr>
          </w:p>
        </w:tc>
        <w:tc>
          <w:tcPr>
            <w:tcW w:w="810" w:type="dxa"/>
            <w:vAlign w:val="center"/>
          </w:tcPr>
          <w:p w14:paraId="731722C1">
            <w:pPr>
              <w:spacing w:line="276" w:lineRule="auto"/>
              <w:jc w:val="center"/>
              <w:rPr>
                <w:rFonts w:ascii="宋体" w:hAnsi="宋体" w:eastAsia="宋体" w:cs="宋体"/>
                <w:bCs/>
                <w:szCs w:val="21"/>
              </w:rPr>
            </w:pPr>
          </w:p>
        </w:tc>
        <w:tc>
          <w:tcPr>
            <w:tcW w:w="715" w:type="dxa"/>
            <w:vAlign w:val="center"/>
          </w:tcPr>
          <w:p w14:paraId="73F66C06">
            <w:pPr>
              <w:spacing w:line="276" w:lineRule="auto"/>
              <w:jc w:val="center"/>
              <w:rPr>
                <w:rFonts w:ascii="宋体" w:hAnsi="宋体" w:eastAsia="宋体" w:cs="宋体"/>
                <w:bCs/>
                <w:szCs w:val="21"/>
              </w:rPr>
            </w:pPr>
          </w:p>
        </w:tc>
        <w:tc>
          <w:tcPr>
            <w:tcW w:w="1160" w:type="dxa"/>
            <w:vAlign w:val="center"/>
          </w:tcPr>
          <w:p w14:paraId="458BB5D9">
            <w:pPr>
              <w:spacing w:line="276" w:lineRule="auto"/>
              <w:jc w:val="center"/>
              <w:rPr>
                <w:rFonts w:ascii="宋体" w:hAnsi="宋体" w:eastAsia="宋体" w:cs="宋体"/>
                <w:bCs/>
                <w:szCs w:val="21"/>
              </w:rPr>
            </w:pPr>
          </w:p>
        </w:tc>
        <w:tc>
          <w:tcPr>
            <w:tcW w:w="917" w:type="dxa"/>
            <w:shd w:val="clear" w:color="auto" w:fill="auto"/>
            <w:vAlign w:val="center"/>
          </w:tcPr>
          <w:p w14:paraId="5BC40B67">
            <w:pPr>
              <w:spacing w:line="276" w:lineRule="auto"/>
              <w:jc w:val="center"/>
              <w:rPr>
                <w:rFonts w:ascii="宋体" w:hAnsi="宋体" w:eastAsia="宋体" w:cs="宋体"/>
                <w:bCs/>
                <w:szCs w:val="21"/>
              </w:rPr>
            </w:pPr>
          </w:p>
        </w:tc>
        <w:tc>
          <w:tcPr>
            <w:tcW w:w="666" w:type="dxa"/>
            <w:shd w:val="clear" w:color="auto" w:fill="auto"/>
            <w:vAlign w:val="center"/>
          </w:tcPr>
          <w:p w14:paraId="0845A7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550" w:type="dxa"/>
            <w:shd w:val="clear" w:color="auto" w:fill="auto"/>
            <w:vAlign w:val="center"/>
          </w:tcPr>
          <w:p w14:paraId="318910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71F5F0FB">
            <w:pPr>
              <w:spacing w:line="276" w:lineRule="auto"/>
              <w:jc w:val="center"/>
              <w:rPr>
                <w:rFonts w:ascii="宋体" w:hAnsi="宋体" w:eastAsia="宋体" w:cs="宋体"/>
                <w:bCs/>
                <w:szCs w:val="21"/>
              </w:rPr>
            </w:pPr>
          </w:p>
        </w:tc>
        <w:tc>
          <w:tcPr>
            <w:tcW w:w="983" w:type="dxa"/>
            <w:vAlign w:val="center"/>
          </w:tcPr>
          <w:p w14:paraId="34F74213">
            <w:pPr>
              <w:spacing w:line="276" w:lineRule="auto"/>
              <w:jc w:val="center"/>
              <w:rPr>
                <w:rFonts w:ascii="宋体" w:hAnsi="宋体" w:eastAsia="宋体" w:cs="宋体"/>
                <w:bCs/>
                <w:szCs w:val="21"/>
              </w:rPr>
            </w:pPr>
          </w:p>
        </w:tc>
      </w:tr>
      <w:tr w14:paraId="389A8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63D073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93</w:t>
            </w:r>
          </w:p>
        </w:tc>
        <w:tc>
          <w:tcPr>
            <w:tcW w:w="841" w:type="dxa"/>
            <w:vMerge w:val="continue"/>
          </w:tcPr>
          <w:p w14:paraId="197D848D">
            <w:pPr>
              <w:spacing w:line="276" w:lineRule="auto"/>
              <w:jc w:val="center"/>
              <w:rPr>
                <w:rFonts w:ascii="宋体" w:hAnsi="宋体" w:eastAsia="宋体" w:cs="宋体"/>
                <w:bCs/>
                <w:szCs w:val="21"/>
              </w:rPr>
            </w:pPr>
          </w:p>
        </w:tc>
        <w:tc>
          <w:tcPr>
            <w:tcW w:w="1223" w:type="dxa"/>
            <w:shd w:val="clear" w:color="auto" w:fill="auto"/>
            <w:vAlign w:val="center"/>
          </w:tcPr>
          <w:p w14:paraId="03D874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多功能智能杆28（车行信号灯）</w:t>
            </w:r>
          </w:p>
        </w:tc>
        <w:tc>
          <w:tcPr>
            <w:tcW w:w="890" w:type="dxa"/>
            <w:vAlign w:val="center"/>
          </w:tcPr>
          <w:p w14:paraId="415FCA3F">
            <w:pPr>
              <w:spacing w:line="276" w:lineRule="auto"/>
              <w:jc w:val="center"/>
              <w:rPr>
                <w:rFonts w:ascii="宋体" w:hAnsi="宋体" w:eastAsia="宋体" w:cs="宋体"/>
                <w:bCs/>
                <w:szCs w:val="21"/>
              </w:rPr>
            </w:pPr>
          </w:p>
        </w:tc>
        <w:tc>
          <w:tcPr>
            <w:tcW w:w="508" w:type="dxa"/>
            <w:vAlign w:val="center"/>
          </w:tcPr>
          <w:p w14:paraId="1F76A2DC">
            <w:pPr>
              <w:spacing w:line="276" w:lineRule="auto"/>
              <w:jc w:val="center"/>
              <w:rPr>
                <w:rFonts w:ascii="宋体" w:hAnsi="宋体" w:eastAsia="宋体" w:cs="宋体"/>
                <w:bCs/>
                <w:szCs w:val="21"/>
              </w:rPr>
            </w:pPr>
          </w:p>
        </w:tc>
        <w:tc>
          <w:tcPr>
            <w:tcW w:w="810" w:type="dxa"/>
            <w:vAlign w:val="center"/>
          </w:tcPr>
          <w:p w14:paraId="51CF001A">
            <w:pPr>
              <w:spacing w:line="276" w:lineRule="auto"/>
              <w:jc w:val="center"/>
              <w:rPr>
                <w:rFonts w:ascii="宋体" w:hAnsi="宋体" w:eastAsia="宋体" w:cs="宋体"/>
                <w:bCs/>
                <w:szCs w:val="21"/>
              </w:rPr>
            </w:pPr>
          </w:p>
        </w:tc>
        <w:tc>
          <w:tcPr>
            <w:tcW w:w="715" w:type="dxa"/>
            <w:vAlign w:val="center"/>
          </w:tcPr>
          <w:p w14:paraId="584F3AAC">
            <w:pPr>
              <w:spacing w:line="276" w:lineRule="auto"/>
              <w:jc w:val="center"/>
              <w:rPr>
                <w:rFonts w:ascii="宋体" w:hAnsi="宋体" w:eastAsia="宋体" w:cs="宋体"/>
                <w:bCs/>
                <w:szCs w:val="21"/>
              </w:rPr>
            </w:pPr>
          </w:p>
        </w:tc>
        <w:tc>
          <w:tcPr>
            <w:tcW w:w="1160" w:type="dxa"/>
            <w:vAlign w:val="center"/>
          </w:tcPr>
          <w:p w14:paraId="414C7409">
            <w:pPr>
              <w:spacing w:line="276" w:lineRule="auto"/>
              <w:jc w:val="center"/>
              <w:rPr>
                <w:rFonts w:ascii="宋体" w:hAnsi="宋体" w:eastAsia="宋体" w:cs="宋体"/>
                <w:bCs/>
                <w:szCs w:val="21"/>
              </w:rPr>
            </w:pPr>
          </w:p>
        </w:tc>
        <w:tc>
          <w:tcPr>
            <w:tcW w:w="917" w:type="dxa"/>
            <w:shd w:val="clear" w:color="auto" w:fill="auto"/>
            <w:vAlign w:val="center"/>
          </w:tcPr>
          <w:p w14:paraId="50DE0816">
            <w:pPr>
              <w:spacing w:line="276" w:lineRule="auto"/>
              <w:jc w:val="center"/>
              <w:rPr>
                <w:rFonts w:ascii="宋体" w:hAnsi="宋体" w:eastAsia="宋体" w:cs="宋体"/>
                <w:bCs/>
                <w:szCs w:val="21"/>
              </w:rPr>
            </w:pPr>
          </w:p>
        </w:tc>
        <w:tc>
          <w:tcPr>
            <w:tcW w:w="666" w:type="dxa"/>
            <w:shd w:val="clear" w:color="auto" w:fill="auto"/>
            <w:vAlign w:val="center"/>
          </w:tcPr>
          <w:p w14:paraId="0D79BB1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w:t>
            </w:r>
          </w:p>
        </w:tc>
        <w:tc>
          <w:tcPr>
            <w:tcW w:w="550" w:type="dxa"/>
            <w:shd w:val="clear" w:color="auto" w:fill="auto"/>
            <w:vAlign w:val="center"/>
          </w:tcPr>
          <w:p w14:paraId="00280A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48FDDAF2">
            <w:pPr>
              <w:spacing w:line="276" w:lineRule="auto"/>
              <w:jc w:val="center"/>
              <w:rPr>
                <w:rFonts w:ascii="宋体" w:hAnsi="宋体" w:eastAsia="宋体" w:cs="宋体"/>
                <w:bCs/>
                <w:szCs w:val="21"/>
              </w:rPr>
            </w:pPr>
          </w:p>
        </w:tc>
        <w:tc>
          <w:tcPr>
            <w:tcW w:w="983" w:type="dxa"/>
            <w:vAlign w:val="center"/>
          </w:tcPr>
          <w:p w14:paraId="105DACEC">
            <w:pPr>
              <w:spacing w:line="276" w:lineRule="auto"/>
              <w:jc w:val="center"/>
              <w:rPr>
                <w:rFonts w:ascii="宋体" w:hAnsi="宋体" w:eastAsia="宋体" w:cs="宋体"/>
                <w:bCs/>
                <w:szCs w:val="21"/>
              </w:rPr>
            </w:pPr>
          </w:p>
        </w:tc>
      </w:tr>
      <w:tr w14:paraId="1260A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F915B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94</w:t>
            </w:r>
          </w:p>
        </w:tc>
        <w:tc>
          <w:tcPr>
            <w:tcW w:w="841" w:type="dxa"/>
            <w:vMerge w:val="continue"/>
          </w:tcPr>
          <w:p w14:paraId="681F54BA">
            <w:pPr>
              <w:spacing w:line="276" w:lineRule="auto"/>
              <w:jc w:val="center"/>
              <w:rPr>
                <w:rFonts w:ascii="宋体" w:hAnsi="宋体" w:eastAsia="宋体" w:cs="宋体"/>
                <w:bCs/>
                <w:szCs w:val="21"/>
              </w:rPr>
            </w:pPr>
          </w:p>
        </w:tc>
        <w:tc>
          <w:tcPr>
            <w:tcW w:w="1223" w:type="dxa"/>
            <w:shd w:val="clear" w:color="auto" w:fill="auto"/>
            <w:vAlign w:val="center"/>
          </w:tcPr>
          <w:p w14:paraId="6FE542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多功能智能杆29（车行信号灯）</w:t>
            </w:r>
          </w:p>
        </w:tc>
        <w:tc>
          <w:tcPr>
            <w:tcW w:w="890" w:type="dxa"/>
            <w:vAlign w:val="center"/>
          </w:tcPr>
          <w:p w14:paraId="66F5F285">
            <w:pPr>
              <w:spacing w:line="276" w:lineRule="auto"/>
              <w:jc w:val="center"/>
              <w:rPr>
                <w:rFonts w:ascii="宋体" w:hAnsi="宋体" w:eastAsia="宋体" w:cs="宋体"/>
                <w:bCs/>
                <w:szCs w:val="21"/>
              </w:rPr>
            </w:pPr>
          </w:p>
        </w:tc>
        <w:tc>
          <w:tcPr>
            <w:tcW w:w="508" w:type="dxa"/>
            <w:vAlign w:val="center"/>
          </w:tcPr>
          <w:p w14:paraId="41BD61DE">
            <w:pPr>
              <w:spacing w:line="276" w:lineRule="auto"/>
              <w:jc w:val="center"/>
              <w:rPr>
                <w:rFonts w:ascii="宋体" w:hAnsi="宋体" w:eastAsia="宋体" w:cs="宋体"/>
                <w:bCs/>
                <w:szCs w:val="21"/>
              </w:rPr>
            </w:pPr>
          </w:p>
        </w:tc>
        <w:tc>
          <w:tcPr>
            <w:tcW w:w="810" w:type="dxa"/>
            <w:vAlign w:val="center"/>
          </w:tcPr>
          <w:p w14:paraId="429C79A5">
            <w:pPr>
              <w:spacing w:line="276" w:lineRule="auto"/>
              <w:jc w:val="center"/>
              <w:rPr>
                <w:rFonts w:ascii="宋体" w:hAnsi="宋体" w:eastAsia="宋体" w:cs="宋体"/>
                <w:bCs/>
                <w:szCs w:val="21"/>
              </w:rPr>
            </w:pPr>
          </w:p>
        </w:tc>
        <w:tc>
          <w:tcPr>
            <w:tcW w:w="715" w:type="dxa"/>
            <w:vAlign w:val="center"/>
          </w:tcPr>
          <w:p w14:paraId="085BD41B">
            <w:pPr>
              <w:spacing w:line="276" w:lineRule="auto"/>
              <w:jc w:val="center"/>
              <w:rPr>
                <w:rFonts w:ascii="宋体" w:hAnsi="宋体" w:eastAsia="宋体" w:cs="宋体"/>
                <w:bCs/>
                <w:szCs w:val="21"/>
              </w:rPr>
            </w:pPr>
          </w:p>
        </w:tc>
        <w:tc>
          <w:tcPr>
            <w:tcW w:w="1160" w:type="dxa"/>
            <w:vAlign w:val="center"/>
          </w:tcPr>
          <w:p w14:paraId="55451ED6">
            <w:pPr>
              <w:spacing w:line="276" w:lineRule="auto"/>
              <w:jc w:val="center"/>
              <w:rPr>
                <w:rFonts w:ascii="宋体" w:hAnsi="宋体" w:eastAsia="宋体" w:cs="宋体"/>
                <w:bCs/>
                <w:szCs w:val="21"/>
              </w:rPr>
            </w:pPr>
          </w:p>
        </w:tc>
        <w:tc>
          <w:tcPr>
            <w:tcW w:w="917" w:type="dxa"/>
            <w:shd w:val="clear" w:color="auto" w:fill="auto"/>
            <w:vAlign w:val="center"/>
          </w:tcPr>
          <w:p w14:paraId="6AEC3985">
            <w:pPr>
              <w:spacing w:line="276" w:lineRule="auto"/>
              <w:jc w:val="center"/>
              <w:rPr>
                <w:rFonts w:ascii="宋体" w:hAnsi="宋体" w:eastAsia="宋体" w:cs="宋体"/>
                <w:bCs/>
                <w:szCs w:val="21"/>
              </w:rPr>
            </w:pPr>
          </w:p>
        </w:tc>
        <w:tc>
          <w:tcPr>
            <w:tcW w:w="666" w:type="dxa"/>
            <w:shd w:val="clear" w:color="auto" w:fill="auto"/>
            <w:vAlign w:val="center"/>
          </w:tcPr>
          <w:p w14:paraId="26156F7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w:t>
            </w:r>
          </w:p>
        </w:tc>
        <w:tc>
          <w:tcPr>
            <w:tcW w:w="550" w:type="dxa"/>
            <w:shd w:val="clear" w:color="auto" w:fill="auto"/>
            <w:vAlign w:val="center"/>
          </w:tcPr>
          <w:p w14:paraId="0DDD8C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67C0D4CC">
            <w:pPr>
              <w:spacing w:line="276" w:lineRule="auto"/>
              <w:jc w:val="center"/>
              <w:rPr>
                <w:rFonts w:ascii="宋体" w:hAnsi="宋体" w:eastAsia="宋体" w:cs="宋体"/>
                <w:bCs/>
                <w:szCs w:val="21"/>
              </w:rPr>
            </w:pPr>
          </w:p>
        </w:tc>
        <w:tc>
          <w:tcPr>
            <w:tcW w:w="983" w:type="dxa"/>
            <w:vAlign w:val="center"/>
          </w:tcPr>
          <w:p w14:paraId="7FA4ACD5">
            <w:pPr>
              <w:spacing w:line="276" w:lineRule="auto"/>
              <w:jc w:val="center"/>
              <w:rPr>
                <w:rFonts w:ascii="宋体" w:hAnsi="宋体" w:eastAsia="宋体" w:cs="宋体"/>
                <w:bCs/>
                <w:szCs w:val="21"/>
              </w:rPr>
            </w:pPr>
          </w:p>
        </w:tc>
      </w:tr>
      <w:tr w14:paraId="43A0F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F4032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95</w:t>
            </w:r>
          </w:p>
        </w:tc>
        <w:tc>
          <w:tcPr>
            <w:tcW w:w="841" w:type="dxa"/>
            <w:vMerge w:val="continue"/>
          </w:tcPr>
          <w:p w14:paraId="666E363A">
            <w:pPr>
              <w:spacing w:line="276" w:lineRule="auto"/>
              <w:jc w:val="center"/>
              <w:rPr>
                <w:rFonts w:ascii="宋体" w:hAnsi="宋体" w:eastAsia="宋体" w:cs="宋体"/>
                <w:bCs/>
                <w:szCs w:val="21"/>
              </w:rPr>
            </w:pPr>
          </w:p>
        </w:tc>
        <w:tc>
          <w:tcPr>
            <w:tcW w:w="1223" w:type="dxa"/>
            <w:shd w:val="clear" w:color="auto" w:fill="auto"/>
            <w:vAlign w:val="center"/>
          </w:tcPr>
          <w:p w14:paraId="33277C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多功能智能杆30（车行信号灯）</w:t>
            </w:r>
          </w:p>
        </w:tc>
        <w:tc>
          <w:tcPr>
            <w:tcW w:w="890" w:type="dxa"/>
            <w:vAlign w:val="center"/>
          </w:tcPr>
          <w:p w14:paraId="3C1F81D3">
            <w:pPr>
              <w:spacing w:line="276" w:lineRule="auto"/>
              <w:jc w:val="center"/>
              <w:rPr>
                <w:rFonts w:ascii="宋体" w:hAnsi="宋体" w:eastAsia="宋体" w:cs="宋体"/>
                <w:bCs/>
                <w:szCs w:val="21"/>
              </w:rPr>
            </w:pPr>
          </w:p>
        </w:tc>
        <w:tc>
          <w:tcPr>
            <w:tcW w:w="508" w:type="dxa"/>
            <w:vAlign w:val="center"/>
          </w:tcPr>
          <w:p w14:paraId="68521853">
            <w:pPr>
              <w:spacing w:line="276" w:lineRule="auto"/>
              <w:jc w:val="center"/>
              <w:rPr>
                <w:rFonts w:ascii="宋体" w:hAnsi="宋体" w:eastAsia="宋体" w:cs="宋体"/>
                <w:bCs/>
                <w:szCs w:val="21"/>
              </w:rPr>
            </w:pPr>
          </w:p>
        </w:tc>
        <w:tc>
          <w:tcPr>
            <w:tcW w:w="810" w:type="dxa"/>
            <w:vAlign w:val="center"/>
          </w:tcPr>
          <w:p w14:paraId="67878CA3">
            <w:pPr>
              <w:spacing w:line="276" w:lineRule="auto"/>
              <w:jc w:val="center"/>
              <w:rPr>
                <w:rFonts w:ascii="宋体" w:hAnsi="宋体" w:eastAsia="宋体" w:cs="宋体"/>
                <w:bCs/>
                <w:szCs w:val="21"/>
              </w:rPr>
            </w:pPr>
          </w:p>
        </w:tc>
        <w:tc>
          <w:tcPr>
            <w:tcW w:w="715" w:type="dxa"/>
            <w:vAlign w:val="center"/>
          </w:tcPr>
          <w:p w14:paraId="426B4056">
            <w:pPr>
              <w:spacing w:line="276" w:lineRule="auto"/>
              <w:jc w:val="center"/>
              <w:rPr>
                <w:rFonts w:ascii="宋体" w:hAnsi="宋体" w:eastAsia="宋体" w:cs="宋体"/>
                <w:bCs/>
                <w:szCs w:val="21"/>
              </w:rPr>
            </w:pPr>
          </w:p>
        </w:tc>
        <w:tc>
          <w:tcPr>
            <w:tcW w:w="1160" w:type="dxa"/>
            <w:vAlign w:val="center"/>
          </w:tcPr>
          <w:p w14:paraId="32CA5618">
            <w:pPr>
              <w:spacing w:line="276" w:lineRule="auto"/>
              <w:jc w:val="center"/>
              <w:rPr>
                <w:rFonts w:ascii="宋体" w:hAnsi="宋体" w:eastAsia="宋体" w:cs="宋体"/>
                <w:bCs/>
                <w:szCs w:val="21"/>
              </w:rPr>
            </w:pPr>
          </w:p>
        </w:tc>
        <w:tc>
          <w:tcPr>
            <w:tcW w:w="917" w:type="dxa"/>
            <w:shd w:val="clear" w:color="auto" w:fill="auto"/>
            <w:vAlign w:val="center"/>
          </w:tcPr>
          <w:p w14:paraId="6535809E">
            <w:pPr>
              <w:spacing w:line="276" w:lineRule="auto"/>
              <w:jc w:val="center"/>
              <w:rPr>
                <w:rFonts w:ascii="宋体" w:hAnsi="宋体" w:eastAsia="宋体" w:cs="宋体"/>
                <w:bCs/>
                <w:szCs w:val="21"/>
              </w:rPr>
            </w:pPr>
          </w:p>
        </w:tc>
        <w:tc>
          <w:tcPr>
            <w:tcW w:w="666" w:type="dxa"/>
            <w:shd w:val="clear" w:color="auto" w:fill="auto"/>
            <w:vAlign w:val="center"/>
          </w:tcPr>
          <w:p w14:paraId="12AA506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550" w:type="dxa"/>
            <w:shd w:val="clear" w:color="auto" w:fill="auto"/>
            <w:vAlign w:val="center"/>
          </w:tcPr>
          <w:p w14:paraId="149E03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76BFD6D3">
            <w:pPr>
              <w:spacing w:line="276" w:lineRule="auto"/>
              <w:jc w:val="center"/>
              <w:rPr>
                <w:rFonts w:ascii="宋体" w:hAnsi="宋体" w:eastAsia="宋体" w:cs="宋体"/>
                <w:bCs/>
                <w:szCs w:val="21"/>
              </w:rPr>
            </w:pPr>
          </w:p>
        </w:tc>
        <w:tc>
          <w:tcPr>
            <w:tcW w:w="983" w:type="dxa"/>
            <w:vAlign w:val="center"/>
          </w:tcPr>
          <w:p w14:paraId="278D61D1">
            <w:pPr>
              <w:spacing w:line="276" w:lineRule="auto"/>
              <w:jc w:val="center"/>
              <w:rPr>
                <w:rFonts w:ascii="宋体" w:hAnsi="宋体" w:eastAsia="宋体" w:cs="宋体"/>
                <w:bCs/>
                <w:szCs w:val="21"/>
              </w:rPr>
            </w:pPr>
          </w:p>
        </w:tc>
      </w:tr>
      <w:tr w14:paraId="27E0F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05348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96</w:t>
            </w:r>
          </w:p>
        </w:tc>
        <w:tc>
          <w:tcPr>
            <w:tcW w:w="841" w:type="dxa"/>
            <w:vMerge w:val="continue"/>
          </w:tcPr>
          <w:p w14:paraId="05614233">
            <w:pPr>
              <w:spacing w:line="276" w:lineRule="auto"/>
              <w:jc w:val="center"/>
              <w:rPr>
                <w:rFonts w:ascii="宋体" w:hAnsi="宋体" w:eastAsia="宋体" w:cs="宋体"/>
                <w:bCs/>
                <w:szCs w:val="21"/>
              </w:rPr>
            </w:pPr>
          </w:p>
        </w:tc>
        <w:tc>
          <w:tcPr>
            <w:tcW w:w="1223" w:type="dxa"/>
            <w:shd w:val="clear" w:color="auto" w:fill="auto"/>
            <w:vAlign w:val="center"/>
          </w:tcPr>
          <w:p w14:paraId="4684DA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多功能智能杆31（车行信号灯）</w:t>
            </w:r>
          </w:p>
        </w:tc>
        <w:tc>
          <w:tcPr>
            <w:tcW w:w="890" w:type="dxa"/>
            <w:vAlign w:val="center"/>
          </w:tcPr>
          <w:p w14:paraId="3E8FBBD5">
            <w:pPr>
              <w:spacing w:line="276" w:lineRule="auto"/>
              <w:jc w:val="center"/>
              <w:rPr>
                <w:rFonts w:ascii="宋体" w:hAnsi="宋体" w:eastAsia="宋体" w:cs="宋体"/>
                <w:bCs/>
                <w:szCs w:val="21"/>
              </w:rPr>
            </w:pPr>
          </w:p>
        </w:tc>
        <w:tc>
          <w:tcPr>
            <w:tcW w:w="508" w:type="dxa"/>
            <w:vAlign w:val="center"/>
          </w:tcPr>
          <w:p w14:paraId="3232B890">
            <w:pPr>
              <w:spacing w:line="276" w:lineRule="auto"/>
              <w:jc w:val="center"/>
              <w:rPr>
                <w:rFonts w:ascii="宋体" w:hAnsi="宋体" w:eastAsia="宋体" w:cs="宋体"/>
                <w:bCs/>
                <w:szCs w:val="21"/>
              </w:rPr>
            </w:pPr>
          </w:p>
        </w:tc>
        <w:tc>
          <w:tcPr>
            <w:tcW w:w="810" w:type="dxa"/>
            <w:vAlign w:val="center"/>
          </w:tcPr>
          <w:p w14:paraId="599ED515">
            <w:pPr>
              <w:spacing w:line="276" w:lineRule="auto"/>
              <w:jc w:val="center"/>
              <w:rPr>
                <w:rFonts w:ascii="宋体" w:hAnsi="宋体" w:eastAsia="宋体" w:cs="宋体"/>
                <w:bCs/>
                <w:szCs w:val="21"/>
              </w:rPr>
            </w:pPr>
          </w:p>
        </w:tc>
        <w:tc>
          <w:tcPr>
            <w:tcW w:w="715" w:type="dxa"/>
            <w:vAlign w:val="center"/>
          </w:tcPr>
          <w:p w14:paraId="7ACAC9BE">
            <w:pPr>
              <w:spacing w:line="276" w:lineRule="auto"/>
              <w:jc w:val="center"/>
              <w:rPr>
                <w:rFonts w:ascii="宋体" w:hAnsi="宋体" w:eastAsia="宋体" w:cs="宋体"/>
                <w:bCs/>
                <w:szCs w:val="21"/>
              </w:rPr>
            </w:pPr>
          </w:p>
        </w:tc>
        <w:tc>
          <w:tcPr>
            <w:tcW w:w="1160" w:type="dxa"/>
            <w:vAlign w:val="center"/>
          </w:tcPr>
          <w:p w14:paraId="34B0ABDE">
            <w:pPr>
              <w:spacing w:line="276" w:lineRule="auto"/>
              <w:jc w:val="center"/>
              <w:rPr>
                <w:rFonts w:ascii="宋体" w:hAnsi="宋体" w:eastAsia="宋体" w:cs="宋体"/>
                <w:bCs/>
                <w:szCs w:val="21"/>
              </w:rPr>
            </w:pPr>
          </w:p>
        </w:tc>
        <w:tc>
          <w:tcPr>
            <w:tcW w:w="917" w:type="dxa"/>
            <w:shd w:val="clear" w:color="auto" w:fill="auto"/>
            <w:vAlign w:val="center"/>
          </w:tcPr>
          <w:p w14:paraId="7F427CBD">
            <w:pPr>
              <w:spacing w:line="276" w:lineRule="auto"/>
              <w:jc w:val="center"/>
              <w:rPr>
                <w:rFonts w:ascii="宋体" w:hAnsi="宋体" w:eastAsia="宋体" w:cs="宋体"/>
                <w:bCs/>
                <w:szCs w:val="21"/>
              </w:rPr>
            </w:pPr>
          </w:p>
        </w:tc>
        <w:tc>
          <w:tcPr>
            <w:tcW w:w="666" w:type="dxa"/>
            <w:shd w:val="clear" w:color="auto" w:fill="auto"/>
            <w:vAlign w:val="center"/>
          </w:tcPr>
          <w:p w14:paraId="32C3340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550" w:type="dxa"/>
            <w:shd w:val="clear" w:color="auto" w:fill="auto"/>
            <w:vAlign w:val="center"/>
          </w:tcPr>
          <w:p w14:paraId="7A7B72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1FE248CE">
            <w:pPr>
              <w:spacing w:line="276" w:lineRule="auto"/>
              <w:jc w:val="center"/>
              <w:rPr>
                <w:rFonts w:ascii="宋体" w:hAnsi="宋体" w:eastAsia="宋体" w:cs="宋体"/>
                <w:bCs/>
                <w:szCs w:val="21"/>
              </w:rPr>
            </w:pPr>
          </w:p>
        </w:tc>
        <w:tc>
          <w:tcPr>
            <w:tcW w:w="983" w:type="dxa"/>
            <w:vAlign w:val="center"/>
          </w:tcPr>
          <w:p w14:paraId="684B5BEB">
            <w:pPr>
              <w:spacing w:line="276" w:lineRule="auto"/>
              <w:jc w:val="center"/>
              <w:rPr>
                <w:rFonts w:ascii="宋体" w:hAnsi="宋体" w:eastAsia="宋体" w:cs="宋体"/>
                <w:bCs/>
                <w:szCs w:val="21"/>
              </w:rPr>
            </w:pPr>
          </w:p>
        </w:tc>
      </w:tr>
      <w:tr w14:paraId="009AB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5F0829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97</w:t>
            </w:r>
          </w:p>
        </w:tc>
        <w:tc>
          <w:tcPr>
            <w:tcW w:w="841" w:type="dxa"/>
            <w:vMerge w:val="continue"/>
          </w:tcPr>
          <w:p w14:paraId="28A8E5C7">
            <w:pPr>
              <w:spacing w:line="276" w:lineRule="auto"/>
              <w:jc w:val="center"/>
              <w:rPr>
                <w:rFonts w:ascii="宋体" w:hAnsi="宋体" w:eastAsia="宋体" w:cs="宋体"/>
                <w:bCs/>
                <w:szCs w:val="21"/>
              </w:rPr>
            </w:pPr>
          </w:p>
        </w:tc>
        <w:tc>
          <w:tcPr>
            <w:tcW w:w="1223" w:type="dxa"/>
            <w:shd w:val="clear" w:color="auto" w:fill="auto"/>
            <w:vAlign w:val="center"/>
          </w:tcPr>
          <w:p w14:paraId="391179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多功能智能杆32</w:t>
            </w:r>
          </w:p>
        </w:tc>
        <w:tc>
          <w:tcPr>
            <w:tcW w:w="890" w:type="dxa"/>
            <w:vAlign w:val="center"/>
          </w:tcPr>
          <w:p w14:paraId="45B655F2">
            <w:pPr>
              <w:spacing w:line="276" w:lineRule="auto"/>
              <w:jc w:val="center"/>
              <w:rPr>
                <w:rFonts w:ascii="宋体" w:hAnsi="宋体" w:eastAsia="宋体" w:cs="宋体"/>
                <w:bCs/>
                <w:szCs w:val="21"/>
              </w:rPr>
            </w:pPr>
          </w:p>
        </w:tc>
        <w:tc>
          <w:tcPr>
            <w:tcW w:w="508" w:type="dxa"/>
            <w:vAlign w:val="center"/>
          </w:tcPr>
          <w:p w14:paraId="10710D70">
            <w:pPr>
              <w:spacing w:line="276" w:lineRule="auto"/>
              <w:jc w:val="center"/>
              <w:rPr>
                <w:rFonts w:ascii="宋体" w:hAnsi="宋体" w:eastAsia="宋体" w:cs="宋体"/>
                <w:bCs/>
                <w:szCs w:val="21"/>
              </w:rPr>
            </w:pPr>
          </w:p>
        </w:tc>
        <w:tc>
          <w:tcPr>
            <w:tcW w:w="810" w:type="dxa"/>
            <w:vAlign w:val="center"/>
          </w:tcPr>
          <w:p w14:paraId="6DA4D4D3">
            <w:pPr>
              <w:spacing w:line="276" w:lineRule="auto"/>
              <w:jc w:val="center"/>
              <w:rPr>
                <w:rFonts w:ascii="宋体" w:hAnsi="宋体" w:eastAsia="宋体" w:cs="宋体"/>
                <w:bCs/>
                <w:szCs w:val="21"/>
              </w:rPr>
            </w:pPr>
          </w:p>
        </w:tc>
        <w:tc>
          <w:tcPr>
            <w:tcW w:w="715" w:type="dxa"/>
            <w:vAlign w:val="center"/>
          </w:tcPr>
          <w:p w14:paraId="37C4B05A">
            <w:pPr>
              <w:spacing w:line="276" w:lineRule="auto"/>
              <w:jc w:val="center"/>
              <w:rPr>
                <w:rFonts w:ascii="宋体" w:hAnsi="宋体" w:eastAsia="宋体" w:cs="宋体"/>
                <w:bCs/>
                <w:szCs w:val="21"/>
              </w:rPr>
            </w:pPr>
          </w:p>
        </w:tc>
        <w:tc>
          <w:tcPr>
            <w:tcW w:w="1160" w:type="dxa"/>
            <w:vAlign w:val="center"/>
          </w:tcPr>
          <w:p w14:paraId="653D524A">
            <w:pPr>
              <w:spacing w:line="276" w:lineRule="auto"/>
              <w:jc w:val="center"/>
              <w:rPr>
                <w:rFonts w:ascii="宋体" w:hAnsi="宋体" w:eastAsia="宋体" w:cs="宋体"/>
                <w:bCs/>
                <w:szCs w:val="21"/>
              </w:rPr>
            </w:pPr>
          </w:p>
        </w:tc>
        <w:tc>
          <w:tcPr>
            <w:tcW w:w="917" w:type="dxa"/>
            <w:shd w:val="clear" w:color="auto" w:fill="auto"/>
            <w:vAlign w:val="center"/>
          </w:tcPr>
          <w:p w14:paraId="17BB11C7">
            <w:pPr>
              <w:spacing w:line="276" w:lineRule="auto"/>
              <w:jc w:val="center"/>
              <w:rPr>
                <w:rFonts w:ascii="宋体" w:hAnsi="宋体" w:eastAsia="宋体" w:cs="宋体"/>
                <w:bCs/>
                <w:szCs w:val="21"/>
              </w:rPr>
            </w:pPr>
          </w:p>
        </w:tc>
        <w:tc>
          <w:tcPr>
            <w:tcW w:w="666" w:type="dxa"/>
            <w:shd w:val="clear" w:color="auto" w:fill="auto"/>
            <w:vAlign w:val="center"/>
          </w:tcPr>
          <w:p w14:paraId="1C0269C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550" w:type="dxa"/>
            <w:shd w:val="clear" w:color="auto" w:fill="auto"/>
            <w:vAlign w:val="center"/>
          </w:tcPr>
          <w:p w14:paraId="15858C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4F254D71">
            <w:pPr>
              <w:spacing w:line="276" w:lineRule="auto"/>
              <w:jc w:val="center"/>
              <w:rPr>
                <w:rFonts w:ascii="宋体" w:hAnsi="宋体" w:eastAsia="宋体" w:cs="宋体"/>
                <w:bCs/>
                <w:szCs w:val="21"/>
              </w:rPr>
            </w:pPr>
          </w:p>
        </w:tc>
        <w:tc>
          <w:tcPr>
            <w:tcW w:w="983" w:type="dxa"/>
            <w:vAlign w:val="center"/>
          </w:tcPr>
          <w:p w14:paraId="04E16DFD">
            <w:pPr>
              <w:spacing w:line="276" w:lineRule="auto"/>
              <w:jc w:val="center"/>
              <w:rPr>
                <w:rFonts w:ascii="宋体" w:hAnsi="宋体" w:eastAsia="宋体" w:cs="宋体"/>
                <w:bCs/>
                <w:szCs w:val="21"/>
              </w:rPr>
            </w:pPr>
          </w:p>
        </w:tc>
      </w:tr>
      <w:tr w14:paraId="10B9E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AF504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98</w:t>
            </w:r>
          </w:p>
        </w:tc>
        <w:tc>
          <w:tcPr>
            <w:tcW w:w="841" w:type="dxa"/>
            <w:vMerge w:val="continue"/>
          </w:tcPr>
          <w:p w14:paraId="30D86C7D">
            <w:pPr>
              <w:spacing w:line="276" w:lineRule="auto"/>
              <w:jc w:val="center"/>
              <w:rPr>
                <w:rFonts w:ascii="宋体" w:hAnsi="宋体" w:eastAsia="宋体" w:cs="宋体"/>
                <w:bCs/>
                <w:szCs w:val="21"/>
              </w:rPr>
            </w:pPr>
          </w:p>
        </w:tc>
        <w:tc>
          <w:tcPr>
            <w:tcW w:w="1223" w:type="dxa"/>
            <w:shd w:val="clear" w:color="auto" w:fill="auto"/>
            <w:vAlign w:val="center"/>
          </w:tcPr>
          <w:p w14:paraId="424C3F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多功能智能杆33</w:t>
            </w:r>
          </w:p>
        </w:tc>
        <w:tc>
          <w:tcPr>
            <w:tcW w:w="890" w:type="dxa"/>
            <w:vAlign w:val="center"/>
          </w:tcPr>
          <w:p w14:paraId="386A7FEC">
            <w:pPr>
              <w:spacing w:line="276" w:lineRule="auto"/>
              <w:jc w:val="center"/>
              <w:rPr>
                <w:rFonts w:ascii="宋体" w:hAnsi="宋体" w:eastAsia="宋体" w:cs="宋体"/>
                <w:bCs/>
                <w:szCs w:val="21"/>
              </w:rPr>
            </w:pPr>
          </w:p>
        </w:tc>
        <w:tc>
          <w:tcPr>
            <w:tcW w:w="508" w:type="dxa"/>
            <w:vAlign w:val="center"/>
          </w:tcPr>
          <w:p w14:paraId="5FBFDF3B">
            <w:pPr>
              <w:spacing w:line="276" w:lineRule="auto"/>
              <w:jc w:val="center"/>
              <w:rPr>
                <w:rFonts w:ascii="宋体" w:hAnsi="宋体" w:eastAsia="宋体" w:cs="宋体"/>
                <w:bCs/>
                <w:szCs w:val="21"/>
              </w:rPr>
            </w:pPr>
          </w:p>
        </w:tc>
        <w:tc>
          <w:tcPr>
            <w:tcW w:w="810" w:type="dxa"/>
            <w:vAlign w:val="center"/>
          </w:tcPr>
          <w:p w14:paraId="1426E938">
            <w:pPr>
              <w:spacing w:line="276" w:lineRule="auto"/>
              <w:jc w:val="center"/>
              <w:rPr>
                <w:rFonts w:ascii="宋体" w:hAnsi="宋体" w:eastAsia="宋体" w:cs="宋体"/>
                <w:bCs/>
                <w:szCs w:val="21"/>
              </w:rPr>
            </w:pPr>
          </w:p>
        </w:tc>
        <w:tc>
          <w:tcPr>
            <w:tcW w:w="715" w:type="dxa"/>
            <w:vAlign w:val="center"/>
          </w:tcPr>
          <w:p w14:paraId="76E72F55">
            <w:pPr>
              <w:spacing w:line="276" w:lineRule="auto"/>
              <w:jc w:val="center"/>
              <w:rPr>
                <w:rFonts w:ascii="宋体" w:hAnsi="宋体" w:eastAsia="宋体" w:cs="宋体"/>
                <w:bCs/>
                <w:szCs w:val="21"/>
              </w:rPr>
            </w:pPr>
          </w:p>
        </w:tc>
        <w:tc>
          <w:tcPr>
            <w:tcW w:w="1160" w:type="dxa"/>
            <w:vAlign w:val="center"/>
          </w:tcPr>
          <w:p w14:paraId="5BAA3C37">
            <w:pPr>
              <w:spacing w:line="276" w:lineRule="auto"/>
              <w:jc w:val="center"/>
              <w:rPr>
                <w:rFonts w:ascii="宋体" w:hAnsi="宋体" w:eastAsia="宋体" w:cs="宋体"/>
                <w:bCs/>
                <w:szCs w:val="21"/>
              </w:rPr>
            </w:pPr>
          </w:p>
        </w:tc>
        <w:tc>
          <w:tcPr>
            <w:tcW w:w="917" w:type="dxa"/>
            <w:shd w:val="clear" w:color="auto" w:fill="auto"/>
            <w:vAlign w:val="center"/>
          </w:tcPr>
          <w:p w14:paraId="2F69F150">
            <w:pPr>
              <w:spacing w:line="276" w:lineRule="auto"/>
              <w:jc w:val="center"/>
              <w:rPr>
                <w:rFonts w:ascii="宋体" w:hAnsi="宋体" w:eastAsia="宋体" w:cs="宋体"/>
                <w:bCs/>
                <w:szCs w:val="21"/>
              </w:rPr>
            </w:pPr>
          </w:p>
        </w:tc>
        <w:tc>
          <w:tcPr>
            <w:tcW w:w="666" w:type="dxa"/>
            <w:shd w:val="clear" w:color="auto" w:fill="auto"/>
            <w:vAlign w:val="center"/>
          </w:tcPr>
          <w:p w14:paraId="0A97162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66</w:t>
            </w:r>
          </w:p>
        </w:tc>
        <w:tc>
          <w:tcPr>
            <w:tcW w:w="550" w:type="dxa"/>
            <w:shd w:val="clear" w:color="auto" w:fill="auto"/>
            <w:vAlign w:val="center"/>
          </w:tcPr>
          <w:p w14:paraId="51C0AC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5DEBCE35">
            <w:pPr>
              <w:spacing w:line="276" w:lineRule="auto"/>
              <w:jc w:val="center"/>
              <w:rPr>
                <w:rFonts w:ascii="宋体" w:hAnsi="宋体" w:eastAsia="宋体" w:cs="宋体"/>
                <w:bCs/>
                <w:szCs w:val="21"/>
              </w:rPr>
            </w:pPr>
          </w:p>
        </w:tc>
        <w:tc>
          <w:tcPr>
            <w:tcW w:w="983" w:type="dxa"/>
            <w:vAlign w:val="center"/>
          </w:tcPr>
          <w:p w14:paraId="1BFE0BF4">
            <w:pPr>
              <w:spacing w:line="276" w:lineRule="auto"/>
              <w:jc w:val="center"/>
              <w:rPr>
                <w:rFonts w:ascii="宋体" w:hAnsi="宋体" w:eastAsia="宋体" w:cs="宋体"/>
                <w:bCs/>
                <w:szCs w:val="21"/>
              </w:rPr>
            </w:pPr>
          </w:p>
        </w:tc>
      </w:tr>
      <w:tr w14:paraId="6C793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E4DBA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99</w:t>
            </w:r>
          </w:p>
        </w:tc>
        <w:tc>
          <w:tcPr>
            <w:tcW w:w="841" w:type="dxa"/>
            <w:vMerge w:val="continue"/>
          </w:tcPr>
          <w:p w14:paraId="31FFB3CC">
            <w:pPr>
              <w:spacing w:line="276" w:lineRule="auto"/>
              <w:jc w:val="center"/>
              <w:rPr>
                <w:rFonts w:ascii="宋体" w:hAnsi="宋体" w:eastAsia="宋体" w:cs="宋体"/>
                <w:bCs/>
                <w:szCs w:val="21"/>
              </w:rPr>
            </w:pPr>
          </w:p>
        </w:tc>
        <w:tc>
          <w:tcPr>
            <w:tcW w:w="1223" w:type="dxa"/>
            <w:shd w:val="clear" w:color="auto" w:fill="auto"/>
            <w:vAlign w:val="center"/>
          </w:tcPr>
          <w:p w14:paraId="322E00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多功能智能杆34</w:t>
            </w:r>
          </w:p>
        </w:tc>
        <w:tc>
          <w:tcPr>
            <w:tcW w:w="890" w:type="dxa"/>
            <w:vAlign w:val="center"/>
          </w:tcPr>
          <w:p w14:paraId="3ABD6725">
            <w:pPr>
              <w:spacing w:line="276" w:lineRule="auto"/>
              <w:jc w:val="center"/>
              <w:rPr>
                <w:rFonts w:ascii="宋体" w:hAnsi="宋体" w:eastAsia="宋体" w:cs="宋体"/>
                <w:bCs/>
                <w:szCs w:val="21"/>
              </w:rPr>
            </w:pPr>
          </w:p>
        </w:tc>
        <w:tc>
          <w:tcPr>
            <w:tcW w:w="508" w:type="dxa"/>
            <w:vAlign w:val="center"/>
          </w:tcPr>
          <w:p w14:paraId="2F1D96AE">
            <w:pPr>
              <w:spacing w:line="276" w:lineRule="auto"/>
              <w:jc w:val="center"/>
              <w:rPr>
                <w:rFonts w:ascii="宋体" w:hAnsi="宋体" w:eastAsia="宋体" w:cs="宋体"/>
                <w:bCs/>
                <w:szCs w:val="21"/>
              </w:rPr>
            </w:pPr>
          </w:p>
        </w:tc>
        <w:tc>
          <w:tcPr>
            <w:tcW w:w="810" w:type="dxa"/>
            <w:vAlign w:val="center"/>
          </w:tcPr>
          <w:p w14:paraId="1A2E863A">
            <w:pPr>
              <w:spacing w:line="276" w:lineRule="auto"/>
              <w:jc w:val="center"/>
              <w:rPr>
                <w:rFonts w:ascii="宋体" w:hAnsi="宋体" w:eastAsia="宋体" w:cs="宋体"/>
                <w:bCs/>
                <w:szCs w:val="21"/>
              </w:rPr>
            </w:pPr>
          </w:p>
        </w:tc>
        <w:tc>
          <w:tcPr>
            <w:tcW w:w="715" w:type="dxa"/>
            <w:vAlign w:val="center"/>
          </w:tcPr>
          <w:p w14:paraId="3E53B945">
            <w:pPr>
              <w:spacing w:line="276" w:lineRule="auto"/>
              <w:jc w:val="center"/>
              <w:rPr>
                <w:rFonts w:ascii="宋体" w:hAnsi="宋体" w:eastAsia="宋体" w:cs="宋体"/>
                <w:bCs/>
                <w:szCs w:val="21"/>
              </w:rPr>
            </w:pPr>
          </w:p>
        </w:tc>
        <w:tc>
          <w:tcPr>
            <w:tcW w:w="1160" w:type="dxa"/>
            <w:vAlign w:val="center"/>
          </w:tcPr>
          <w:p w14:paraId="46B29950">
            <w:pPr>
              <w:spacing w:line="276" w:lineRule="auto"/>
              <w:jc w:val="center"/>
              <w:rPr>
                <w:rFonts w:ascii="宋体" w:hAnsi="宋体" w:eastAsia="宋体" w:cs="宋体"/>
                <w:bCs/>
                <w:szCs w:val="21"/>
              </w:rPr>
            </w:pPr>
          </w:p>
        </w:tc>
        <w:tc>
          <w:tcPr>
            <w:tcW w:w="917" w:type="dxa"/>
            <w:shd w:val="clear" w:color="auto" w:fill="auto"/>
            <w:vAlign w:val="center"/>
          </w:tcPr>
          <w:p w14:paraId="6E3B2629">
            <w:pPr>
              <w:spacing w:line="276" w:lineRule="auto"/>
              <w:jc w:val="center"/>
              <w:rPr>
                <w:rFonts w:ascii="宋体" w:hAnsi="宋体" w:eastAsia="宋体" w:cs="宋体"/>
                <w:bCs/>
                <w:szCs w:val="21"/>
              </w:rPr>
            </w:pPr>
          </w:p>
        </w:tc>
        <w:tc>
          <w:tcPr>
            <w:tcW w:w="666" w:type="dxa"/>
            <w:shd w:val="clear" w:color="auto" w:fill="auto"/>
            <w:vAlign w:val="center"/>
          </w:tcPr>
          <w:p w14:paraId="4B4490B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550" w:type="dxa"/>
            <w:shd w:val="clear" w:color="auto" w:fill="auto"/>
            <w:vAlign w:val="center"/>
          </w:tcPr>
          <w:p w14:paraId="168EE2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4EF72680">
            <w:pPr>
              <w:spacing w:line="276" w:lineRule="auto"/>
              <w:jc w:val="center"/>
              <w:rPr>
                <w:rFonts w:ascii="宋体" w:hAnsi="宋体" w:eastAsia="宋体" w:cs="宋体"/>
                <w:bCs/>
                <w:szCs w:val="21"/>
              </w:rPr>
            </w:pPr>
          </w:p>
        </w:tc>
        <w:tc>
          <w:tcPr>
            <w:tcW w:w="983" w:type="dxa"/>
            <w:vAlign w:val="center"/>
          </w:tcPr>
          <w:p w14:paraId="40BDE64E">
            <w:pPr>
              <w:spacing w:line="276" w:lineRule="auto"/>
              <w:jc w:val="center"/>
              <w:rPr>
                <w:rFonts w:ascii="宋体" w:hAnsi="宋体" w:eastAsia="宋体" w:cs="宋体"/>
                <w:bCs/>
                <w:szCs w:val="21"/>
              </w:rPr>
            </w:pPr>
          </w:p>
        </w:tc>
      </w:tr>
      <w:tr w14:paraId="70BFE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ECAA6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100</w:t>
            </w:r>
          </w:p>
        </w:tc>
        <w:tc>
          <w:tcPr>
            <w:tcW w:w="841" w:type="dxa"/>
            <w:vMerge w:val="continue"/>
          </w:tcPr>
          <w:p w14:paraId="23533B73">
            <w:pPr>
              <w:spacing w:line="276" w:lineRule="auto"/>
              <w:jc w:val="center"/>
              <w:rPr>
                <w:rFonts w:ascii="宋体" w:hAnsi="宋体" w:eastAsia="宋体" w:cs="宋体"/>
                <w:bCs/>
                <w:szCs w:val="21"/>
              </w:rPr>
            </w:pPr>
          </w:p>
        </w:tc>
        <w:tc>
          <w:tcPr>
            <w:tcW w:w="1223" w:type="dxa"/>
            <w:shd w:val="clear" w:color="auto" w:fill="auto"/>
            <w:vAlign w:val="center"/>
          </w:tcPr>
          <w:p w14:paraId="786E84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多功能智能杆35</w:t>
            </w:r>
          </w:p>
        </w:tc>
        <w:tc>
          <w:tcPr>
            <w:tcW w:w="890" w:type="dxa"/>
            <w:vAlign w:val="center"/>
          </w:tcPr>
          <w:p w14:paraId="671572D5">
            <w:pPr>
              <w:spacing w:line="276" w:lineRule="auto"/>
              <w:jc w:val="center"/>
              <w:rPr>
                <w:rFonts w:ascii="宋体" w:hAnsi="宋体" w:eastAsia="宋体" w:cs="宋体"/>
                <w:bCs/>
                <w:szCs w:val="21"/>
              </w:rPr>
            </w:pPr>
          </w:p>
        </w:tc>
        <w:tc>
          <w:tcPr>
            <w:tcW w:w="508" w:type="dxa"/>
            <w:vAlign w:val="center"/>
          </w:tcPr>
          <w:p w14:paraId="0079DF6D">
            <w:pPr>
              <w:spacing w:line="276" w:lineRule="auto"/>
              <w:jc w:val="center"/>
              <w:rPr>
                <w:rFonts w:ascii="宋体" w:hAnsi="宋体" w:eastAsia="宋体" w:cs="宋体"/>
                <w:bCs/>
                <w:szCs w:val="21"/>
              </w:rPr>
            </w:pPr>
          </w:p>
        </w:tc>
        <w:tc>
          <w:tcPr>
            <w:tcW w:w="810" w:type="dxa"/>
            <w:vAlign w:val="center"/>
          </w:tcPr>
          <w:p w14:paraId="5B7719C9">
            <w:pPr>
              <w:spacing w:line="276" w:lineRule="auto"/>
              <w:jc w:val="center"/>
              <w:rPr>
                <w:rFonts w:ascii="宋体" w:hAnsi="宋体" w:eastAsia="宋体" w:cs="宋体"/>
                <w:bCs/>
                <w:szCs w:val="21"/>
              </w:rPr>
            </w:pPr>
          </w:p>
        </w:tc>
        <w:tc>
          <w:tcPr>
            <w:tcW w:w="715" w:type="dxa"/>
            <w:vAlign w:val="center"/>
          </w:tcPr>
          <w:p w14:paraId="0FADC9D3">
            <w:pPr>
              <w:spacing w:line="276" w:lineRule="auto"/>
              <w:jc w:val="center"/>
              <w:rPr>
                <w:rFonts w:ascii="宋体" w:hAnsi="宋体" w:eastAsia="宋体" w:cs="宋体"/>
                <w:bCs/>
                <w:szCs w:val="21"/>
              </w:rPr>
            </w:pPr>
          </w:p>
        </w:tc>
        <w:tc>
          <w:tcPr>
            <w:tcW w:w="1160" w:type="dxa"/>
            <w:vAlign w:val="center"/>
          </w:tcPr>
          <w:p w14:paraId="5C259A0C">
            <w:pPr>
              <w:spacing w:line="276" w:lineRule="auto"/>
              <w:jc w:val="center"/>
              <w:rPr>
                <w:rFonts w:ascii="宋体" w:hAnsi="宋体" w:eastAsia="宋体" w:cs="宋体"/>
                <w:bCs/>
                <w:szCs w:val="21"/>
              </w:rPr>
            </w:pPr>
          </w:p>
        </w:tc>
        <w:tc>
          <w:tcPr>
            <w:tcW w:w="917" w:type="dxa"/>
            <w:shd w:val="clear" w:color="auto" w:fill="auto"/>
            <w:vAlign w:val="center"/>
          </w:tcPr>
          <w:p w14:paraId="73797F3A">
            <w:pPr>
              <w:spacing w:line="276" w:lineRule="auto"/>
              <w:jc w:val="center"/>
              <w:rPr>
                <w:rFonts w:ascii="宋体" w:hAnsi="宋体" w:eastAsia="宋体" w:cs="宋体"/>
                <w:bCs/>
                <w:szCs w:val="21"/>
              </w:rPr>
            </w:pPr>
          </w:p>
        </w:tc>
        <w:tc>
          <w:tcPr>
            <w:tcW w:w="666" w:type="dxa"/>
            <w:shd w:val="clear" w:color="auto" w:fill="auto"/>
            <w:vAlign w:val="center"/>
          </w:tcPr>
          <w:p w14:paraId="5CB6606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550" w:type="dxa"/>
            <w:shd w:val="clear" w:color="auto" w:fill="auto"/>
            <w:vAlign w:val="center"/>
          </w:tcPr>
          <w:p w14:paraId="12366D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74516A84">
            <w:pPr>
              <w:spacing w:line="276" w:lineRule="auto"/>
              <w:jc w:val="center"/>
              <w:rPr>
                <w:rFonts w:ascii="宋体" w:hAnsi="宋体" w:eastAsia="宋体" w:cs="宋体"/>
                <w:bCs/>
                <w:szCs w:val="21"/>
              </w:rPr>
            </w:pPr>
          </w:p>
        </w:tc>
        <w:tc>
          <w:tcPr>
            <w:tcW w:w="983" w:type="dxa"/>
            <w:vAlign w:val="center"/>
          </w:tcPr>
          <w:p w14:paraId="500DC486">
            <w:pPr>
              <w:spacing w:line="276" w:lineRule="auto"/>
              <w:jc w:val="center"/>
              <w:rPr>
                <w:rFonts w:ascii="宋体" w:hAnsi="宋体" w:eastAsia="宋体" w:cs="宋体"/>
                <w:bCs/>
                <w:szCs w:val="21"/>
              </w:rPr>
            </w:pPr>
          </w:p>
        </w:tc>
      </w:tr>
      <w:tr w14:paraId="3E23A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190AB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101</w:t>
            </w:r>
          </w:p>
        </w:tc>
        <w:tc>
          <w:tcPr>
            <w:tcW w:w="841" w:type="dxa"/>
            <w:vMerge w:val="continue"/>
          </w:tcPr>
          <w:p w14:paraId="3971EAA4">
            <w:pPr>
              <w:spacing w:line="276" w:lineRule="auto"/>
              <w:jc w:val="center"/>
              <w:rPr>
                <w:rFonts w:ascii="宋体" w:hAnsi="宋体" w:eastAsia="宋体" w:cs="宋体"/>
                <w:bCs/>
                <w:szCs w:val="21"/>
              </w:rPr>
            </w:pPr>
          </w:p>
        </w:tc>
        <w:tc>
          <w:tcPr>
            <w:tcW w:w="1223" w:type="dxa"/>
            <w:shd w:val="clear" w:color="auto" w:fill="auto"/>
            <w:vAlign w:val="center"/>
          </w:tcPr>
          <w:p w14:paraId="7FA656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多功能智能杆36</w:t>
            </w:r>
          </w:p>
        </w:tc>
        <w:tc>
          <w:tcPr>
            <w:tcW w:w="890" w:type="dxa"/>
            <w:vAlign w:val="center"/>
          </w:tcPr>
          <w:p w14:paraId="22928725">
            <w:pPr>
              <w:spacing w:line="276" w:lineRule="auto"/>
              <w:jc w:val="center"/>
              <w:rPr>
                <w:rFonts w:ascii="宋体" w:hAnsi="宋体" w:eastAsia="宋体" w:cs="宋体"/>
                <w:bCs/>
                <w:szCs w:val="21"/>
              </w:rPr>
            </w:pPr>
          </w:p>
        </w:tc>
        <w:tc>
          <w:tcPr>
            <w:tcW w:w="508" w:type="dxa"/>
            <w:vAlign w:val="center"/>
          </w:tcPr>
          <w:p w14:paraId="7635B8DA">
            <w:pPr>
              <w:spacing w:line="276" w:lineRule="auto"/>
              <w:jc w:val="center"/>
              <w:rPr>
                <w:rFonts w:ascii="宋体" w:hAnsi="宋体" w:eastAsia="宋体" w:cs="宋体"/>
                <w:bCs/>
                <w:szCs w:val="21"/>
              </w:rPr>
            </w:pPr>
          </w:p>
        </w:tc>
        <w:tc>
          <w:tcPr>
            <w:tcW w:w="810" w:type="dxa"/>
            <w:vAlign w:val="center"/>
          </w:tcPr>
          <w:p w14:paraId="6BBD39D7">
            <w:pPr>
              <w:spacing w:line="276" w:lineRule="auto"/>
              <w:jc w:val="center"/>
              <w:rPr>
                <w:rFonts w:ascii="宋体" w:hAnsi="宋体" w:eastAsia="宋体" w:cs="宋体"/>
                <w:bCs/>
                <w:szCs w:val="21"/>
              </w:rPr>
            </w:pPr>
          </w:p>
        </w:tc>
        <w:tc>
          <w:tcPr>
            <w:tcW w:w="715" w:type="dxa"/>
            <w:vAlign w:val="center"/>
          </w:tcPr>
          <w:p w14:paraId="71D52697">
            <w:pPr>
              <w:spacing w:line="276" w:lineRule="auto"/>
              <w:jc w:val="center"/>
              <w:rPr>
                <w:rFonts w:ascii="宋体" w:hAnsi="宋体" w:eastAsia="宋体" w:cs="宋体"/>
                <w:bCs/>
                <w:szCs w:val="21"/>
              </w:rPr>
            </w:pPr>
          </w:p>
        </w:tc>
        <w:tc>
          <w:tcPr>
            <w:tcW w:w="1160" w:type="dxa"/>
            <w:vAlign w:val="center"/>
          </w:tcPr>
          <w:p w14:paraId="1177B8A0">
            <w:pPr>
              <w:spacing w:line="276" w:lineRule="auto"/>
              <w:jc w:val="center"/>
              <w:rPr>
                <w:rFonts w:ascii="宋体" w:hAnsi="宋体" w:eastAsia="宋体" w:cs="宋体"/>
                <w:bCs/>
                <w:szCs w:val="21"/>
              </w:rPr>
            </w:pPr>
          </w:p>
        </w:tc>
        <w:tc>
          <w:tcPr>
            <w:tcW w:w="917" w:type="dxa"/>
            <w:shd w:val="clear" w:color="auto" w:fill="auto"/>
            <w:vAlign w:val="center"/>
          </w:tcPr>
          <w:p w14:paraId="6F677CFF">
            <w:pPr>
              <w:spacing w:line="276" w:lineRule="auto"/>
              <w:jc w:val="center"/>
              <w:rPr>
                <w:rFonts w:ascii="宋体" w:hAnsi="宋体" w:eastAsia="宋体" w:cs="宋体"/>
                <w:bCs/>
                <w:szCs w:val="21"/>
              </w:rPr>
            </w:pPr>
          </w:p>
        </w:tc>
        <w:tc>
          <w:tcPr>
            <w:tcW w:w="666" w:type="dxa"/>
            <w:shd w:val="clear" w:color="auto" w:fill="auto"/>
            <w:vAlign w:val="center"/>
          </w:tcPr>
          <w:p w14:paraId="573FD14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550" w:type="dxa"/>
            <w:shd w:val="clear" w:color="auto" w:fill="auto"/>
            <w:vAlign w:val="center"/>
          </w:tcPr>
          <w:p w14:paraId="2C59C4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08335DBE">
            <w:pPr>
              <w:spacing w:line="276" w:lineRule="auto"/>
              <w:jc w:val="center"/>
              <w:rPr>
                <w:rFonts w:ascii="宋体" w:hAnsi="宋体" w:eastAsia="宋体" w:cs="宋体"/>
                <w:bCs/>
                <w:szCs w:val="21"/>
              </w:rPr>
            </w:pPr>
          </w:p>
        </w:tc>
        <w:tc>
          <w:tcPr>
            <w:tcW w:w="983" w:type="dxa"/>
            <w:vAlign w:val="center"/>
          </w:tcPr>
          <w:p w14:paraId="2C2B6ED9">
            <w:pPr>
              <w:spacing w:line="276" w:lineRule="auto"/>
              <w:jc w:val="center"/>
              <w:rPr>
                <w:rFonts w:ascii="宋体" w:hAnsi="宋体" w:eastAsia="宋体" w:cs="宋体"/>
                <w:bCs/>
                <w:szCs w:val="21"/>
              </w:rPr>
            </w:pPr>
          </w:p>
        </w:tc>
      </w:tr>
      <w:tr w14:paraId="0B033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BBC0F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102</w:t>
            </w:r>
          </w:p>
        </w:tc>
        <w:tc>
          <w:tcPr>
            <w:tcW w:w="841" w:type="dxa"/>
            <w:vMerge w:val="continue"/>
          </w:tcPr>
          <w:p w14:paraId="60134569">
            <w:pPr>
              <w:spacing w:line="276" w:lineRule="auto"/>
              <w:jc w:val="center"/>
              <w:rPr>
                <w:rFonts w:ascii="宋体" w:hAnsi="宋体" w:eastAsia="宋体" w:cs="宋体"/>
                <w:bCs/>
                <w:szCs w:val="21"/>
              </w:rPr>
            </w:pPr>
          </w:p>
        </w:tc>
        <w:tc>
          <w:tcPr>
            <w:tcW w:w="1223" w:type="dxa"/>
            <w:shd w:val="clear" w:color="auto" w:fill="auto"/>
            <w:vAlign w:val="center"/>
          </w:tcPr>
          <w:p w14:paraId="065B35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多功能智能杆37</w:t>
            </w:r>
          </w:p>
        </w:tc>
        <w:tc>
          <w:tcPr>
            <w:tcW w:w="890" w:type="dxa"/>
            <w:vAlign w:val="center"/>
          </w:tcPr>
          <w:p w14:paraId="1E62B921">
            <w:pPr>
              <w:spacing w:line="276" w:lineRule="auto"/>
              <w:jc w:val="center"/>
              <w:rPr>
                <w:rFonts w:ascii="宋体" w:hAnsi="宋体" w:eastAsia="宋体" w:cs="宋体"/>
                <w:bCs/>
                <w:szCs w:val="21"/>
              </w:rPr>
            </w:pPr>
          </w:p>
        </w:tc>
        <w:tc>
          <w:tcPr>
            <w:tcW w:w="508" w:type="dxa"/>
            <w:vAlign w:val="center"/>
          </w:tcPr>
          <w:p w14:paraId="72C85F6B">
            <w:pPr>
              <w:spacing w:line="276" w:lineRule="auto"/>
              <w:jc w:val="center"/>
              <w:rPr>
                <w:rFonts w:ascii="宋体" w:hAnsi="宋体" w:eastAsia="宋体" w:cs="宋体"/>
                <w:bCs/>
                <w:szCs w:val="21"/>
              </w:rPr>
            </w:pPr>
          </w:p>
        </w:tc>
        <w:tc>
          <w:tcPr>
            <w:tcW w:w="810" w:type="dxa"/>
            <w:vAlign w:val="center"/>
          </w:tcPr>
          <w:p w14:paraId="0AFBBBD5">
            <w:pPr>
              <w:spacing w:line="276" w:lineRule="auto"/>
              <w:jc w:val="center"/>
              <w:rPr>
                <w:rFonts w:ascii="宋体" w:hAnsi="宋体" w:eastAsia="宋体" w:cs="宋体"/>
                <w:bCs/>
                <w:szCs w:val="21"/>
              </w:rPr>
            </w:pPr>
          </w:p>
        </w:tc>
        <w:tc>
          <w:tcPr>
            <w:tcW w:w="715" w:type="dxa"/>
            <w:vAlign w:val="center"/>
          </w:tcPr>
          <w:p w14:paraId="1C1CCDBE">
            <w:pPr>
              <w:spacing w:line="276" w:lineRule="auto"/>
              <w:jc w:val="center"/>
              <w:rPr>
                <w:rFonts w:ascii="宋体" w:hAnsi="宋体" w:eastAsia="宋体" w:cs="宋体"/>
                <w:bCs/>
                <w:szCs w:val="21"/>
              </w:rPr>
            </w:pPr>
          </w:p>
        </w:tc>
        <w:tc>
          <w:tcPr>
            <w:tcW w:w="1160" w:type="dxa"/>
            <w:vAlign w:val="center"/>
          </w:tcPr>
          <w:p w14:paraId="2EBF532D">
            <w:pPr>
              <w:spacing w:line="276" w:lineRule="auto"/>
              <w:jc w:val="center"/>
              <w:rPr>
                <w:rFonts w:ascii="宋体" w:hAnsi="宋体" w:eastAsia="宋体" w:cs="宋体"/>
                <w:bCs/>
                <w:szCs w:val="21"/>
              </w:rPr>
            </w:pPr>
          </w:p>
        </w:tc>
        <w:tc>
          <w:tcPr>
            <w:tcW w:w="917" w:type="dxa"/>
            <w:shd w:val="clear" w:color="auto" w:fill="auto"/>
            <w:vAlign w:val="center"/>
          </w:tcPr>
          <w:p w14:paraId="1C19503C">
            <w:pPr>
              <w:spacing w:line="276" w:lineRule="auto"/>
              <w:jc w:val="center"/>
              <w:rPr>
                <w:rFonts w:ascii="宋体" w:hAnsi="宋体" w:eastAsia="宋体" w:cs="宋体"/>
                <w:bCs/>
                <w:szCs w:val="21"/>
              </w:rPr>
            </w:pPr>
          </w:p>
        </w:tc>
        <w:tc>
          <w:tcPr>
            <w:tcW w:w="666" w:type="dxa"/>
            <w:shd w:val="clear" w:color="auto" w:fill="auto"/>
            <w:vAlign w:val="center"/>
          </w:tcPr>
          <w:p w14:paraId="054BA70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124BC3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558442CC">
            <w:pPr>
              <w:spacing w:line="276" w:lineRule="auto"/>
              <w:jc w:val="center"/>
              <w:rPr>
                <w:rFonts w:ascii="宋体" w:hAnsi="宋体" w:eastAsia="宋体" w:cs="宋体"/>
                <w:bCs/>
                <w:szCs w:val="21"/>
              </w:rPr>
            </w:pPr>
          </w:p>
        </w:tc>
        <w:tc>
          <w:tcPr>
            <w:tcW w:w="983" w:type="dxa"/>
            <w:vAlign w:val="center"/>
          </w:tcPr>
          <w:p w14:paraId="2EA440B7">
            <w:pPr>
              <w:spacing w:line="276" w:lineRule="auto"/>
              <w:jc w:val="center"/>
              <w:rPr>
                <w:rFonts w:ascii="宋体" w:hAnsi="宋体" w:eastAsia="宋体" w:cs="宋体"/>
                <w:bCs/>
                <w:szCs w:val="21"/>
              </w:rPr>
            </w:pPr>
          </w:p>
        </w:tc>
      </w:tr>
      <w:tr w14:paraId="55F4D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D5DA6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103</w:t>
            </w:r>
          </w:p>
        </w:tc>
        <w:tc>
          <w:tcPr>
            <w:tcW w:w="841" w:type="dxa"/>
            <w:vMerge w:val="continue"/>
          </w:tcPr>
          <w:p w14:paraId="3187304E">
            <w:pPr>
              <w:spacing w:line="276" w:lineRule="auto"/>
              <w:jc w:val="center"/>
              <w:rPr>
                <w:rFonts w:ascii="宋体" w:hAnsi="宋体" w:eastAsia="宋体" w:cs="宋体"/>
                <w:bCs/>
                <w:szCs w:val="21"/>
              </w:rPr>
            </w:pPr>
          </w:p>
        </w:tc>
        <w:tc>
          <w:tcPr>
            <w:tcW w:w="1223" w:type="dxa"/>
            <w:shd w:val="clear" w:color="auto" w:fill="auto"/>
            <w:vAlign w:val="center"/>
          </w:tcPr>
          <w:p w14:paraId="4B7B67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照明杆38</w:t>
            </w:r>
          </w:p>
        </w:tc>
        <w:tc>
          <w:tcPr>
            <w:tcW w:w="890" w:type="dxa"/>
            <w:vAlign w:val="center"/>
          </w:tcPr>
          <w:p w14:paraId="45F02827">
            <w:pPr>
              <w:spacing w:line="276" w:lineRule="auto"/>
              <w:jc w:val="center"/>
              <w:rPr>
                <w:rFonts w:ascii="宋体" w:hAnsi="宋体" w:eastAsia="宋体" w:cs="宋体"/>
                <w:bCs/>
                <w:szCs w:val="21"/>
              </w:rPr>
            </w:pPr>
          </w:p>
        </w:tc>
        <w:tc>
          <w:tcPr>
            <w:tcW w:w="508" w:type="dxa"/>
            <w:vAlign w:val="center"/>
          </w:tcPr>
          <w:p w14:paraId="6A0C4009">
            <w:pPr>
              <w:spacing w:line="276" w:lineRule="auto"/>
              <w:jc w:val="center"/>
              <w:rPr>
                <w:rFonts w:ascii="宋体" w:hAnsi="宋体" w:eastAsia="宋体" w:cs="宋体"/>
                <w:bCs/>
                <w:szCs w:val="21"/>
              </w:rPr>
            </w:pPr>
          </w:p>
        </w:tc>
        <w:tc>
          <w:tcPr>
            <w:tcW w:w="810" w:type="dxa"/>
            <w:vAlign w:val="center"/>
          </w:tcPr>
          <w:p w14:paraId="7C2B9650">
            <w:pPr>
              <w:spacing w:line="276" w:lineRule="auto"/>
              <w:jc w:val="center"/>
              <w:rPr>
                <w:rFonts w:ascii="宋体" w:hAnsi="宋体" w:eastAsia="宋体" w:cs="宋体"/>
                <w:bCs/>
                <w:szCs w:val="21"/>
              </w:rPr>
            </w:pPr>
          </w:p>
        </w:tc>
        <w:tc>
          <w:tcPr>
            <w:tcW w:w="715" w:type="dxa"/>
            <w:vAlign w:val="center"/>
          </w:tcPr>
          <w:p w14:paraId="7B6B58C2">
            <w:pPr>
              <w:spacing w:line="276" w:lineRule="auto"/>
              <w:jc w:val="center"/>
              <w:rPr>
                <w:rFonts w:ascii="宋体" w:hAnsi="宋体" w:eastAsia="宋体" w:cs="宋体"/>
                <w:bCs/>
                <w:szCs w:val="21"/>
              </w:rPr>
            </w:pPr>
          </w:p>
        </w:tc>
        <w:tc>
          <w:tcPr>
            <w:tcW w:w="1160" w:type="dxa"/>
            <w:vAlign w:val="center"/>
          </w:tcPr>
          <w:p w14:paraId="028E05D1">
            <w:pPr>
              <w:spacing w:line="276" w:lineRule="auto"/>
              <w:jc w:val="center"/>
              <w:rPr>
                <w:rFonts w:ascii="宋体" w:hAnsi="宋体" w:eastAsia="宋体" w:cs="宋体"/>
                <w:bCs/>
                <w:szCs w:val="21"/>
              </w:rPr>
            </w:pPr>
          </w:p>
        </w:tc>
        <w:tc>
          <w:tcPr>
            <w:tcW w:w="917" w:type="dxa"/>
            <w:shd w:val="clear" w:color="auto" w:fill="auto"/>
            <w:vAlign w:val="center"/>
          </w:tcPr>
          <w:p w14:paraId="212C7B7C">
            <w:pPr>
              <w:spacing w:line="276" w:lineRule="auto"/>
              <w:jc w:val="center"/>
              <w:rPr>
                <w:rFonts w:ascii="宋体" w:hAnsi="宋体" w:eastAsia="宋体" w:cs="宋体"/>
                <w:bCs/>
                <w:szCs w:val="21"/>
              </w:rPr>
            </w:pPr>
          </w:p>
        </w:tc>
        <w:tc>
          <w:tcPr>
            <w:tcW w:w="666" w:type="dxa"/>
            <w:shd w:val="clear" w:color="auto" w:fill="auto"/>
            <w:vAlign w:val="center"/>
          </w:tcPr>
          <w:p w14:paraId="0B76C8E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550" w:type="dxa"/>
            <w:shd w:val="clear" w:color="auto" w:fill="auto"/>
            <w:vAlign w:val="center"/>
          </w:tcPr>
          <w:p w14:paraId="48F8AB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62A753C8">
            <w:pPr>
              <w:spacing w:line="276" w:lineRule="auto"/>
              <w:jc w:val="center"/>
              <w:rPr>
                <w:rFonts w:ascii="宋体" w:hAnsi="宋体" w:eastAsia="宋体" w:cs="宋体"/>
                <w:bCs/>
                <w:szCs w:val="21"/>
              </w:rPr>
            </w:pPr>
          </w:p>
        </w:tc>
        <w:tc>
          <w:tcPr>
            <w:tcW w:w="983" w:type="dxa"/>
            <w:vAlign w:val="center"/>
          </w:tcPr>
          <w:p w14:paraId="7EB34857">
            <w:pPr>
              <w:spacing w:line="276" w:lineRule="auto"/>
              <w:jc w:val="center"/>
              <w:rPr>
                <w:rFonts w:ascii="宋体" w:hAnsi="宋体" w:eastAsia="宋体" w:cs="宋体"/>
                <w:bCs/>
                <w:szCs w:val="21"/>
              </w:rPr>
            </w:pPr>
          </w:p>
        </w:tc>
      </w:tr>
      <w:tr w14:paraId="745A2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A3CE9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104</w:t>
            </w:r>
          </w:p>
        </w:tc>
        <w:tc>
          <w:tcPr>
            <w:tcW w:w="841" w:type="dxa"/>
            <w:vMerge w:val="continue"/>
          </w:tcPr>
          <w:p w14:paraId="76BF2308">
            <w:pPr>
              <w:spacing w:line="276" w:lineRule="auto"/>
              <w:jc w:val="center"/>
              <w:rPr>
                <w:rFonts w:ascii="宋体" w:hAnsi="宋体" w:eastAsia="宋体" w:cs="宋体"/>
                <w:bCs/>
                <w:szCs w:val="21"/>
              </w:rPr>
            </w:pPr>
          </w:p>
        </w:tc>
        <w:tc>
          <w:tcPr>
            <w:tcW w:w="1223" w:type="dxa"/>
            <w:shd w:val="clear" w:color="auto" w:fill="auto"/>
            <w:vAlign w:val="center"/>
          </w:tcPr>
          <w:p w14:paraId="1B1FC9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照明杆39</w:t>
            </w:r>
          </w:p>
        </w:tc>
        <w:tc>
          <w:tcPr>
            <w:tcW w:w="890" w:type="dxa"/>
            <w:vAlign w:val="center"/>
          </w:tcPr>
          <w:p w14:paraId="26AAE1CA">
            <w:pPr>
              <w:spacing w:line="276" w:lineRule="auto"/>
              <w:jc w:val="center"/>
              <w:rPr>
                <w:rFonts w:ascii="宋体" w:hAnsi="宋体" w:eastAsia="宋体" w:cs="宋体"/>
                <w:bCs/>
                <w:szCs w:val="21"/>
              </w:rPr>
            </w:pPr>
          </w:p>
        </w:tc>
        <w:tc>
          <w:tcPr>
            <w:tcW w:w="508" w:type="dxa"/>
            <w:vAlign w:val="center"/>
          </w:tcPr>
          <w:p w14:paraId="5EB9ED0F">
            <w:pPr>
              <w:spacing w:line="276" w:lineRule="auto"/>
              <w:jc w:val="center"/>
              <w:rPr>
                <w:rFonts w:ascii="宋体" w:hAnsi="宋体" w:eastAsia="宋体" w:cs="宋体"/>
                <w:bCs/>
                <w:szCs w:val="21"/>
              </w:rPr>
            </w:pPr>
          </w:p>
        </w:tc>
        <w:tc>
          <w:tcPr>
            <w:tcW w:w="810" w:type="dxa"/>
            <w:vAlign w:val="center"/>
          </w:tcPr>
          <w:p w14:paraId="24ABE440">
            <w:pPr>
              <w:spacing w:line="276" w:lineRule="auto"/>
              <w:jc w:val="center"/>
              <w:rPr>
                <w:rFonts w:ascii="宋体" w:hAnsi="宋体" w:eastAsia="宋体" w:cs="宋体"/>
                <w:bCs/>
                <w:szCs w:val="21"/>
              </w:rPr>
            </w:pPr>
          </w:p>
        </w:tc>
        <w:tc>
          <w:tcPr>
            <w:tcW w:w="715" w:type="dxa"/>
            <w:vAlign w:val="center"/>
          </w:tcPr>
          <w:p w14:paraId="1BAEF06E">
            <w:pPr>
              <w:spacing w:line="276" w:lineRule="auto"/>
              <w:jc w:val="center"/>
              <w:rPr>
                <w:rFonts w:ascii="宋体" w:hAnsi="宋体" w:eastAsia="宋体" w:cs="宋体"/>
                <w:bCs/>
                <w:szCs w:val="21"/>
              </w:rPr>
            </w:pPr>
          </w:p>
        </w:tc>
        <w:tc>
          <w:tcPr>
            <w:tcW w:w="1160" w:type="dxa"/>
            <w:vAlign w:val="center"/>
          </w:tcPr>
          <w:p w14:paraId="4FCCBF6A">
            <w:pPr>
              <w:spacing w:line="276" w:lineRule="auto"/>
              <w:jc w:val="center"/>
              <w:rPr>
                <w:rFonts w:ascii="宋体" w:hAnsi="宋体" w:eastAsia="宋体" w:cs="宋体"/>
                <w:bCs/>
                <w:szCs w:val="21"/>
              </w:rPr>
            </w:pPr>
          </w:p>
        </w:tc>
        <w:tc>
          <w:tcPr>
            <w:tcW w:w="917" w:type="dxa"/>
            <w:shd w:val="clear" w:color="auto" w:fill="auto"/>
            <w:vAlign w:val="center"/>
          </w:tcPr>
          <w:p w14:paraId="3AA3F28D">
            <w:pPr>
              <w:spacing w:line="276" w:lineRule="auto"/>
              <w:jc w:val="center"/>
              <w:rPr>
                <w:rFonts w:ascii="宋体" w:hAnsi="宋体" w:eastAsia="宋体" w:cs="宋体"/>
                <w:bCs/>
                <w:szCs w:val="21"/>
              </w:rPr>
            </w:pPr>
          </w:p>
        </w:tc>
        <w:tc>
          <w:tcPr>
            <w:tcW w:w="666" w:type="dxa"/>
            <w:shd w:val="clear" w:color="auto" w:fill="auto"/>
            <w:vAlign w:val="center"/>
          </w:tcPr>
          <w:p w14:paraId="1DD7990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271</w:t>
            </w:r>
          </w:p>
        </w:tc>
        <w:tc>
          <w:tcPr>
            <w:tcW w:w="550" w:type="dxa"/>
            <w:shd w:val="clear" w:color="auto" w:fill="auto"/>
            <w:vAlign w:val="center"/>
          </w:tcPr>
          <w:p w14:paraId="2BC3D3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01A15407">
            <w:pPr>
              <w:spacing w:line="276" w:lineRule="auto"/>
              <w:jc w:val="center"/>
              <w:rPr>
                <w:rFonts w:ascii="宋体" w:hAnsi="宋体" w:eastAsia="宋体" w:cs="宋体"/>
                <w:bCs/>
                <w:szCs w:val="21"/>
              </w:rPr>
            </w:pPr>
          </w:p>
        </w:tc>
        <w:tc>
          <w:tcPr>
            <w:tcW w:w="983" w:type="dxa"/>
            <w:vAlign w:val="center"/>
          </w:tcPr>
          <w:p w14:paraId="05900523">
            <w:pPr>
              <w:spacing w:line="276" w:lineRule="auto"/>
              <w:jc w:val="center"/>
              <w:rPr>
                <w:rFonts w:ascii="宋体" w:hAnsi="宋体" w:eastAsia="宋体" w:cs="宋体"/>
                <w:bCs/>
                <w:szCs w:val="21"/>
              </w:rPr>
            </w:pPr>
          </w:p>
        </w:tc>
      </w:tr>
      <w:tr w14:paraId="3FB8C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37344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105</w:t>
            </w:r>
          </w:p>
        </w:tc>
        <w:tc>
          <w:tcPr>
            <w:tcW w:w="841" w:type="dxa"/>
            <w:vMerge w:val="continue"/>
          </w:tcPr>
          <w:p w14:paraId="6B91A6A3">
            <w:pPr>
              <w:spacing w:line="276" w:lineRule="auto"/>
              <w:jc w:val="center"/>
              <w:rPr>
                <w:rFonts w:ascii="宋体" w:hAnsi="宋体" w:eastAsia="宋体" w:cs="宋体"/>
                <w:bCs/>
                <w:szCs w:val="21"/>
              </w:rPr>
            </w:pPr>
          </w:p>
        </w:tc>
        <w:tc>
          <w:tcPr>
            <w:tcW w:w="1223" w:type="dxa"/>
            <w:shd w:val="clear" w:color="auto" w:fill="auto"/>
            <w:vAlign w:val="center"/>
          </w:tcPr>
          <w:p w14:paraId="72BBA5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照明杆40</w:t>
            </w:r>
          </w:p>
        </w:tc>
        <w:tc>
          <w:tcPr>
            <w:tcW w:w="890" w:type="dxa"/>
            <w:vAlign w:val="center"/>
          </w:tcPr>
          <w:p w14:paraId="69751A7B">
            <w:pPr>
              <w:spacing w:line="276" w:lineRule="auto"/>
              <w:jc w:val="center"/>
              <w:rPr>
                <w:rFonts w:ascii="宋体" w:hAnsi="宋体" w:eastAsia="宋体" w:cs="宋体"/>
                <w:bCs/>
                <w:szCs w:val="21"/>
              </w:rPr>
            </w:pPr>
          </w:p>
        </w:tc>
        <w:tc>
          <w:tcPr>
            <w:tcW w:w="508" w:type="dxa"/>
            <w:vAlign w:val="center"/>
          </w:tcPr>
          <w:p w14:paraId="4C9B4B00">
            <w:pPr>
              <w:spacing w:line="276" w:lineRule="auto"/>
              <w:jc w:val="center"/>
              <w:rPr>
                <w:rFonts w:ascii="宋体" w:hAnsi="宋体" w:eastAsia="宋体" w:cs="宋体"/>
                <w:bCs/>
                <w:szCs w:val="21"/>
              </w:rPr>
            </w:pPr>
          </w:p>
        </w:tc>
        <w:tc>
          <w:tcPr>
            <w:tcW w:w="810" w:type="dxa"/>
            <w:vAlign w:val="center"/>
          </w:tcPr>
          <w:p w14:paraId="13C54AD3">
            <w:pPr>
              <w:spacing w:line="276" w:lineRule="auto"/>
              <w:jc w:val="center"/>
              <w:rPr>
                <w:rFonts w:ascii="宋体" w:hAnsi="宋体" w:eastAsia="宋体" w:cs="宋体"/>
                <w:bCs/>
                <w:szCs w:val="21"/>
              </w:rPr>
            </w:pPr>
          </w:p>
        </w:tc>
        <w:tc>
          <w:tcPr>
            <w:tcW w:w="715" w:type="dxa"/>
            <w:vAlign w:val="center"/>
          </w:tcPr>
          <w:p w14:paraId="6433FB03">
            <w:pPr>
              <w:spacing w:line="276" w:lineRule="auto"/>
              <w:jc w:val="center"/>
              <w:rPr>
                <w:rFonts w:ascii="宋体" w:hAnsi="宋体" w:eastAsia="宋体" w:cs="宋体"/>
                <w:bCs/>
                <w:szCs w:val="21"/>
              </w:rPr>
            </w:pPr>
          </w:p>
        </w:tc>
        <w:tc>
          <w:tcPr>
            <w:tcW w:w="1160" w:type="dxa"/>
            <w:vAlign w:val="center"/>
          </w:tcPr>
          <w:p w14:paraId="500B9EF0">
            <w:pPr>
              <w:spacing w:line="276" w:lineRule="auto"/>
              <w:jc w:val="center"/>
              <w:rPr>
                <w:rFonts w:ascii="宋体" w:hAnsi="宋体" w:eastAsia="宋体" w:cs="宋体"/>
                <w:bCs/>
                <w:szCs w:val="21"/>
              </w:rPr>
            </w:pPr>
          </w:p>
        </w:tc>
        <w:tc>
          <w:tcPr>
            <w:tcW w:w="917" w:type="dxa"/>
            <w:shd w:val="clear" w:color="auto" w:fill="auto"/>
            <w:vAlign w:val="center"/>
          </w:tcPr>
          <w:p w14:paraId="58BE3446">
            <w:pPr>
              <w:spacing w:line="276" w:lineRule="auto"/>
              <w:jc w:val="center"/>
              <w:rPr>
                <w:rFonts w:ascii="宋体" w:hAnsi="宋体" w:eastAsia="宋体" w:cs="宋体"/>
                <w:bCs/>
                <w:szCs w:val="21"/>
              </w:rPr>
            </w:pPr>
          </w:p>
        </w:tc>
        <w:tc>
          <w:tcPr>
            <w:tcW w:w="666" w:type="dxa"/>
            <w:shd w:val="clear" w:color="auto" w:fill="auto"/>
            <w:vAlign w:val="center"/>
          </w:tcPr>
          <w:p w14:paraId="6314934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550" w:type="dxa"/>
            <w:shd w:val="clear" w:color="auto" w:fill="auto"/>
            <w:vAlign w:val="center"/>
          </w:tcPr>
          <w:p w14:paraId="38FE71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7DE96E87">
            <w:pPr>
              <w:spacing w:line="276" w:lineRule="auto"/>
              <w:jc w:val="center"/>
              <w:rPr>
                <w:rFonts w:ascii="宋体" w:hAnsi="宋体" w:eastAsia="宋体" w:cs="宋体"/>
                <w:bCs/>
                <w:szCs w:val="21"/>
              </w:rPr>
            </w:pPr>
          </w:p>
        </w:tc>
        <w:tc>
          <w:tcPr>
            <w:tcW w:w="983" w:type="dxa"/>
            <w:vAlign w:val="center"/>
          </w:tcPr>
          <w:p w14:paraId="3D073721">
            <w:pPr>
              <w:spacing w:line="276" w:lineRule="auto"/>
              <w:jc w:val="center"/>
              <w:rPr>
                <w:rFonts w:ascii="宋体" w:hAnsi="宋体" w:eastAsia="宋体" w:cs="宋体"/>
                <w:bCs/>
                <w:szCs w:val="21"/>
              </w:rPr>
            </w:pPr>
          </w:p>
        </w:tc>
      </w:tr>
      <w:tr w14:paraId="2E41F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B027C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106</w:t>
            </w:r>
          </w:p>
        </w:tc>
        <w:tc>
          <w:tcPr>
            <w:tcW w:w="841" w:type="dxa"/>
            <w:vMerge w:val="continue"/>
          </w:tcPr>
          <w:p w14:paraId="41EBE2C9">
            <w:pPr>
              <w:spacing w:line="276" w:lineRule="auto"/>
              <w:jc w:val="center"/>
              <w:rPr>
                <w:rFonts w:ascii="宋体" w:hAnsi="宋体" w:eastAsia="宋体" w:cs="宋体"/>
                <w:bCs/>
                <w:szCs w:val="21"/>
              </w:rPr>
            </w:pPr>
          </w:p>
        </w:tc>
        <w:tc>
          <w:tcPr>
            <w:tcW w:w="1223" w:type="dxa"/>
            <w:shd w:val="clear" w:color="auto" w:fill="auto"/>
            <w:vAlign w:val="center"/>
          </w:tcPr>
          <w:p w14:paraId="740B38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照明杆41</w:t>
            </w:r>
          </w:p>
        </w:tc>
        <w:tc>
          <w:tcPr>
            <w:tcW w:w="890" w:type="dxa"/>
            <w:vAlign w:val="center"/>
          </w:tcPr>
          <w:p w14:paraId="0A496040">
            <w:pPr>
              <w:spacing w:line="276" w:lineRule="auto"/>
              <w:jc w:val="center"/>
              <w:rPr>
                <w:rFonts w:ascii="宋体" w:hAnsi="宋体" w:eastAsia="宋体" w:cs="宋体"/>
                <w:bCs/>
                <w:szCs w:val="21"/>
              </w:rPr>
            </w:pPr>
          </w:p>
        </w:tc>
        <w:tc>
          <w:tcPr>
            <w:tcW w:w="508" w:type="dxa"/>
            <w:vAlign w:val="center"/>
          </w:tcPr>
          <w:p w14:paraId="4A2E88A1">
            <w:pPr>
              <w:spacing w:line="276" w:lineRule="auto"/>
              <w:jc w:val="center"/>
              <w:rPr>
                <w:rFonts w:ascii="宋体" w:hAnsi="宋体" w:eastAsia="宋体" w:cs="宋体"/>
                <w:bCs/>
                <w:szCs w:val="21"/>
              </w:rPr>
            </w:pPr>
          </w:p>
        </w:tc>
        <w:tc>
          <w:tcPr>
            <w:tcW w:w="810" w:type="dxa"/>
            <w:vAlign w:val="center"/>
          </w:tcPr>
          <w:p w14:paraId="0F0759ED">
            <w:pPr>
              <w:spacing w:line="276" w:lineRule="auto"/>
              <w:jc w:val="center"/>
              <w:rPr>
                <w:rFonts w:ascii="宋体" w:hAnsi="宋体" w:eastAsia="宋体" w:cs="宋体"/>
                <w:bCs/>
                <w:szCs w:val="21"/>
              </w:rPr>
            </w:pPr>
          </w:p>
        </w:tc>
        <w:tc>
          <w:tcPr>
            <w:tcW w:w="715" w:type="dxa"/>
            <w:vAlign w:val="center"/>
          </w:tcPr>
          <w:p w14:paraId="0CF0EBBA">
            <w:pPr>
              <w:spacing w:line="276" w:lineRule="auto"/>
              <w:jc w:val="center"/>
              <w:rPr>
                <w:rFonts w:ascii="宋体" w:hAnsi="宋体" w:eastAsia="宋体" w:cs="宋体"/>
                <w:bCs/>
                <w:szCs w:val="21"/>
              </w:rPr>
            </w:pPr>
          </w:p>
        </w:tc>
        <w:tc>
          <w:tcPr>
            <w:tcW w:w="1160" w:type="dxa"/>
            <w:vAlign w:val="center"/>
          </w:tcPr>
          <w:p w14:paraId="6C1A04E1">
            <w:pPr>
              <w:spacing w:line="276" w:lineRule="auto"/>
              <w:jc w:val="center"/>
              <w:rPr>
                <w:rFonts w:ascii="宋体" w:hAnsi="宋体" w:eastAsia="宋体" w:cs="宋体"/>
                <w:bCs/>
                <w:szCs w:val="21"/>
              </w:rPr>
            </w:pPr>
          </w:p>
        </w:tc>
        <w:tc>
          <w:tcPr>
            <w:tcW w:w="917" w:type="dxa"/>
            <w:shd w:val="clear" w:color="auto" w:fill="auto"/>
            <w:vAlign w:val="center"/>
          </w:tcPr>
          <w:p w14:paraId="0E39520A">
            <w:pPr>
              <w:spacing w:line="276" w:lineRule="auto"/>
              <w:jc w:val="center"/>
              <w:rPr>
                <w:rFonts w:ascii="宋体" w:hAnsi="宋体" w:eastAsia="宋体" w:cs="宋体"/>
                <w:bCs/>
                <w:szCs w:val="21"/>
              </w:rPr>
            </w:pPr>
          </w:p>
        </w:tc>
        <w:tc>
          <w:tcPr>
            <w:tcW w:w="666" w:type="dxa"/>
            <w:shd w:val="clear" w:color="auto" w:fill="auto"/>
            <w:vAlign w:val="center"/>
          </w:tcPr>
          <w:p w14:paraId="79B1E1C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40</w:t>
            </w:r>
          </w:p>
        </w:tc>
        <w:tc>
          <w:tcPr>
            <w:tcW w:w="550" w:type="dxa"/>
            <w:shd w:val="clear" w:color="auto" w:fill="auto"/>
            <w:vAlign w:val="center"/>
          </w:tcPr>
          <w:p w14:paraId="09271B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294524AF">
            <w:pPr>
              <w:spacing w:line="276" w:lineRule="auto"/>
              <w:jc w:val="center"/>
              <w:rPr>
                <w:rFonts w:ascii="宋体" w:hAnsi="宋体" w:eastAsia="宋体" w:cs="宋体"/>
                <w:bCs/>
                <w:szCs w:val="21"/>
              </w:rPr>
            </w:pPr>
          </w:p>
        </w:tc>
        <w:tc>
          <w:tcPr>
            <w:tcW w:w="983" w:type="dxa"/>
            <w:vAlign w:val="center"/>
          </w:tcPr>
          <w:p w14:paraId="700A48AE">
            <w:pPr>
              <w:spacing w:line="276" w:lineRule="auto"/>
              <w:jc w:val="center"/>
              <w:rPr>
                <w:rFonts w:ascii="宋体" w:hAnsi="宋体" w:eastAsia="宋体" w:cs="宋体"/>
                <w:bCs/>
                <w:szCs w:val="21"/>
              </w:rPr>
            </w:pPr>
          </w:p>
        </w:tc>
      </w:tr>
      <w:tr w14:paraId="31AAF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52F687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w:t>
            </w:r>
          </w:p>
        </w:tc>
        <w:tc>
          <w:tcPr>
            <w:tcW w:w="841" w:type="dxa"/>
            <w:vMerge w:val="continue"/>
          </w:tcPr>
          <w:p w14:paraId="573627E8">
            <w:pPr>
              <w:spacing w:line="276" w:lineRule="auto"/>
              <w:jc w:val="center"/>
              <w:rPr>
                <w:rFonts w:ascii="宋体" w:hAnsi="宋体" w:eastAsia="宋体" w:cs="宋体"/>
                <w:bCs/>
                <w:szCs w:val="21"/>
              </w:rPr>
            </w:pPr>
          </w:p>
        </w:tc>
        <w:tc>
          <w:tcPr>
            <w:tcW w:w="1223" w:type="dxa"/>
            <w:shd w:val="clear" w:color="auto" w:fill="auto"/>
            <w:vAlign w:val="center"/>
          </w:tcPr>
          <w:p w14:paraId="674601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照明杆42</w:t>
            </w:r>
          </w:p>
        </w:tc>
        <w:tc>
          <w:tcPr>
            <w:tcW w:w="890" w:type="dxa"/>
            <w:vAlign w:val="center"/>
          </w:tcPr>
          <w:p w14:paraId="3DF4C621">
            <w:pPr>
              <w:spacing w:line="276" w:lineRule="auto"/>
              <w:jc w:val="center"/>
              <w:rPr>
                <w:rFonts w:ascii="宋体" w:hAnsi="宋体" w:eastAsia="宋体" w:cs="宋体"/>
                <w:bCs/>
                <w:szCs w:val="21"/>
              </w:rPr>
            </w:pPr>
          </w:p>
        </w:tc>
        <w:tc>
          <w:tcPr>
            <w:tcW w:w="508" w:type="dxa"/>
            <w:vAlign w:val="center"/>
          </w:tcPr>
          <w:p w14:paraId="4075D6C8">
            <w:pPr>
              <w:spacing w:line="276" w:lineRule="auto"/>
              <w:jc w:val="center"/>
              <w:rPr>
                <w:rFonts w:ascii="宋体" w:hAnsi="宋体" w:eastAsia="宋体" w:cs="宋体"/>
                <w:bCs/>
                <w:szCs w:val="21"/>
              </w:rPr>
            </w:pPr>
          </w:p>
        </w:tc>
        <w:tc>
          <w:tcPr>
            <w:tcW w:w="810" w:type="dxa"/>
            <w:vAlign w:val="center"/>
          </w:tcPr>
          <w:p w14:paraId="38977FAD">
            <w:pPr>
              <w:spacing w:line="276" w:lineRule="auto"/>
              <w:jc w:val="center"/>
              <w:rPr>
                <w:rFonts w:ascii="宋体" w:hAnsi="宋体" w:eastAsia="宋体" w:cs="宋体"/>
                <w:bCs/>
                <w:szCs w:val="21"/>
              </w:rPr>
            </w:pPr>
          </w:p>
        </w:tc>
        <w:tc>
          <w:tcPr>
            <w:tcW w:w="715" w:type="dxa"/>
            <w:vAlign w:val="center"/>
          </w:tcPr>
          <w:p w14:paraId="59F112B7">
            <w:pPr>
              <w:spacing w:line="276" w:lineRule="auto"/>
              <w:jc w:val="center"/>
              <w:rPr>
                <w:rFonts w:ascii="宋体" w:hAnsi="宋体" w:eastAsia="宋体" w:cs="宋体"/>
                <w:bCs/>
                <w:szCs w:val="21"/>
              </w:rPr>
            </w:pPr>
          </w:p>
        </w:tc>
        <w:tc>
          <w:tcPr>
            <w:tcW w:w="1160" w:type="dxa"/>
            <w:vAlign w:val="center"/>
          </w:tcPr>
          <w:p w14:paraId="13CEC82D">
            <w:pPr>
              <w:spacing w:line="276" w:lineRule="auto"/>
              <w:jc w:val="center"/>
              <w:rPr>
                <w:rFonts w:ascii="宋体" w:hAnsi="宋体" w:eastAsia="宋体" w:cs="宋体"/>
                <w:bCs/>
                <w:szCs w:val="21"/>
              </w:rPr>
            </w:pPr>
          </w:p>
        </w:tc>
        <w:tc>
          <w:tcPr>
            <w:tcW w:w="917" w:type="dxa"/>
            <w:shd w:val="clear" w:color="auto" w:fill="auto"/>
            <w:vAlign w:val="center"/>
          </w:tcPr>
          <w:p w14:paraId="60E35C6D">
            <w:pPr>
              <w:spacing w:line="276" w:lineRule="auto"/>
              <w:jc w:val="center"/>
              <w:rPr>
                <w:rFonts w:ascii="宋体" w:hAnsi="宋体" w:eastAsia="宋体" w:cs="宋体"/>
                <w:bCs/>
                <w:szCs w:val="21"/>
              </w:rPr>
            </w:pPr>
          </w:p>
        </w:tc>
        <w:tc>
          <w:tcPr>
            <w:tcW w:w="666" w:type="dxa"/>
            <w:shd w:val="clear" w:color="auto" w:fill="auto"/>
            <w:vAlign w:val="center"/>
          </w:tcPr>
          <w:p w14:paraId="5076834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57</w:t>
            </w:r>
          </w:p>
        </w:tc>
        <w:tc>
          <w:tcPr>
            <w:tcW w:w="550" w:type="dxa"/>
            <w:shd w:val="clear" w:color="auto" w:fill="auto"/>
            <w:vAlign w:val="center"/>
          </w:tcPr>
          <w:p w14:paraId="3A0355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1B4E6613">
            <w:pPr>
              <w:spacing w:line="276" w:lineRule="auto"/>
              <w:jc w:val="center"/>
              <w:rPr>
                <w:rFonts w:ascii="宋体" w:hAnsi="宋体" w:eastAsia="宋体" w:cs="宋体"/>
                <w:bCs/>
                <w:szCs w:val="21"/>
              </w:rPr>
            </w:pPr>
          </w:p>
        </w:tc>
        <w:tc>
          <w:tcPr>
            <w:tcW w:w="983" w:type="dxa"/>
            <w:vAlign w:val="center"/>
          </w:tcPr>
          <w:p w14:paraId="321DE558">
            <w:pPr>
              <w:spacing w:line="276" w:lineRule="auto"/>
              <w:jc w:val="center"/>
              <w:rPr>
                <w:rFonts w:ascii="宋体" w:hAnsi="宋体" w:eastAsia="宋体" w:cs="宋体"/>
                <w:bCs/>
                <w:szCs w:val="21"/>
              </w:rPr>
            </w:pPr>
          </w:p>
        </w:tc>
      </w:tr>
      <w:tr w14:paraId="4C9C0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B5BA3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841" w:type="dxa"/>
            <w:vMerge w:val="continue"/>
          </w:tcPr>
          <w:p w14:paraId="25DE81C2">
            <w:pPr>
              <w:spacing w:line="276" w:lineRule="auto"/>
              <w:jc w:val="center"/>
              <w:rPr>
                <w:rFonts w:ascii="宋体" w:hAnsi="宋体" w:eastAsia="宋体" w:cs="宋体"/>
                <w:bCs/>
                <w:szCs w:val="21"/>
              </w:rPr>
            </w:pPr>
          </w:p>
        </w:tc>
        <w:tc>
          <w:tcPr>
            <w:tcW w:w="1223" w:type="dxa"/>
            <w:shd w:val="clear" w:color="auto" w:fill="auto"/>
            <w:vAlign w:val="center"/>
          </w:tcPr>
          <w:p w14:paraId="3103D4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照明杆43</w:t>
            </w:r>
          </w:p>
        </w:tc>
        <w:tc>
          <w:tcPr>
            <w:tcW w:w="890" w:type="dxa"/>
            <w:vAlign w:val="center"/>
          </w:tcPr>
          <w:p w14:paraId="62B77908">
            <w:pPr>
              <w:spacing w:line="276" w:lineRule="auto"/>
              <w:jc w:val="center"/>
              <w:rPr>
                <w:rFonts w:ascii="宋体" w:hAnsi="宋体" w:eastAsia="宋体" w:cs="宋体"/>
                <w:bCs/>
                <w:szCs w:val="21"/>
              </w:rPr>
            </w:pPr>
          </w:p>
        </w:tc>
        <w:tc>
          <w:tcPr>
            <w:tcW w:w="508" w:type="dxa"/>
            <w:vAlign w:val="center"/>
          </w:tcPr>
          <w:p w14:paraId="213BF26A">
            <w:pPr>
              <w:spacing w:line="276" w:lineRule="auto"/>
              <w:jc w:val="center"/>
              <w:rPr>
                <w:rFonts w:ascii="宋体" w:hAnsi="宋体" w:eastAsia="宋体" w:cs="宋体"/>
                <w:bCs/>
                <w:szCs w:val="21"/>
              </w:rPr>
            </w:pPr>
          </w:p>
        </w:tc>
        <w:tc>
          <w:tcPr>
            <w:tcW w:w="810" w:type="dxa"/>
            <w:vAlign w:val="center"/>
          </w:tcPr>
          <w:p w14:paraId="2DD565A8">
            <w:pPr>
              <w:spacing w:line="276" w:lineRule="auto"/>
              <w:jc w:val="center"/>
              <w:rPr>
                <w:rFonts w:ascii="宋体" w:hAnsi="宋体" w:eastAsia="宋体" w:cs="宋体"/>
                <w:bCs/>
                <w:szCs w:val="21"/>
              </w:rPr>
            </w:pPr>
          </w:p>
        </w:tc>
        <w:tc>
          <w:tcPr>
            <w:tcW w:w="715" w:type="dxa"/>
            <w:vAlign w:val="center"/>
          </w:tcPr>
          <w:p w14:paraId="381EE2D2">
            <w:pPr>
              <w:spacing w:line="276" w:lineRule="auto"/>
              <w:jc w:val="center"/>
              <w:rPr>
                <w:rFonts w:ascii="宋体" w:hAnsi="宋体" w:eastAsia="宋体" w:cs="宋体"/>
                <w:bCs/>
                <w:szCs w:val="21"/>
              </w:rPr>
            </w:pPr>
          </w:p>
        </w:tc>
        <w:tc>
          <w:tcPr>
            <w:tcW w:w="1160" w:type="dxa"/>
            <w:vAlign w:val="center"/>
          </w:tcPr>
          <w:p w14:paraId="33823777">
            <w:pPr>
              <w:spacing w:line="276" w:lineRule="auto"/>
              <w:jc w:val="center"/>
              <w:rPr>
                <w:rFonts w:ascii="宋体" w:hAnsi="宋体" w:eastAsia="宋体" w:cs="宋体"/>
                <w:bCs/>
                <w:szCs w:val="21"/>
              </w:rPr>
            </w:pPr>
          </w:p>
        </w:tc>
        <w:tc>
          <w:tcPr>
            <w:tcW w:w="917" w:type="dxa"/>
            <w:shd w:val="clear" w:color="auto" w:fill="auto"/>
            <w:vAlign w:val="center"/>
          </w:tcPr>
          <w:p w14:paraId="74356A51">
            <w:pPr>
              <w:spacing w:line="276" w:lineRule="auto"/>
              <w:jc w:val="center"/>
              <w:rPr>
                <w:rFonts w:ascii="宋体" w:hAnsi="宋体" w:eastAsia="宋体" w:cs="宋体"/>
                <w:bCs/>
                <w:szCs w:val="21"/>
              </w:rPr>
            </w:pPr>
          </w:p>
        </w:tc>
        <w:tc>
          <w:tcPr>
            <w:tcW w:w="666" w:type="dxa"/>
            <w:shd w:val="clear" w:color="auto" w:fill="auto"/>
            <w:vAlign w:val="center"/>
          </w:tcPr>
          <w:p w14:paraId="63BA328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550" w:type="dxa"/>
            <w:shd w:val="clear" w:color="auto" w:fill="auto"/>
            <w:vAlign w:val="center"/>
          </w:tcPr>
          <w:p w14:paraId="2AE1DD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杆</w:t>
            </w:r>
          </w:p>
        </w:tc>
        <w:tc>
          <w:tcPr>
            <w:tcW w:w="967" w:type="dxa"/>
            <w:vAlign w:val="center"/>
          </w:tcPr>
          <w:p w14:paraId="06E6838A">
            <w:pPr>
              <w:spacing w:line="276" w:lineRule="auto"/>
              <w:jc w:val="center"/>
              <w:rPr>
                <w:rFonts w:ascii="宋体" w:hAnsi="宋体" w:eastAsia="宋体" w:cs="宋体"/>
                <w:bCs/>
                <w:szCs w:val="21"/>
              </w:rPr>
            </w:pPr>
          </w:p>
        </w:tc>
        <w:tc>
          <w:tcPr>
            <w:tcW w:w="983" w:type="dxa"/>
            <w:vAlign w:val="center"/>
          </w:tcPr>
          <w:p w14:paraId="7A55F9F2">
            <w:pPr>
              <w:spacing w:line="276" w:lineRule="auto"/>
              <w:jc w:val="center"/>
              <w:rPr>
                <w:rFonts w:ascii="宋体" w:hAnsi="宋体" w:eastAsia="宋体" w:cs="宋体"/>
                <w:bCs/>
                <w:szCs w:val="21"/>
              </w:rPr>
            </w:pPr>
          </w:p>
        </w:tc>
      </w:tr>
      <w:tr w14:paraId="1CC27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48375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t>（六）</w:t>
            </w:r>
          </w:p>
        </w:tc>
        <w:tc>
          <w:tcPr>
            <w:tcW w:w="841" w:type="dxa"/>
            <w:vMerge w:val="continue"/>
          </w:tcPr>
          <w:p w14:paraId="3A81AEC8">
            <w:pPr>
              <w:spacing w:line="276" w:lineRule="auto"/>
              <w:jc w:val="center"/>
              <w:rPr>
                <w:rFonts w:ascii="宋体" w:hAnsi="宋体" w:eastAsia="宋体" w:cs="宋体"/>
                <w:bCs/>
                <w:szCs w:val="21"/>
              </w:rPr>
            </w:pPr>
          </w:p>
        </w:tc>
        <w:tc>
          <w:tcPr>
            <w:tcW w:w="9389" w:type="dxa"/>
            <w:gridSpan w:val="11"/>
            <w:vAlign w:val="center"/>
          </w:tcPr>
          <w:p w14:paraId="3746724C">
            <w:pPr>
              <w:spacing w:line="276" w:lineRule="auto"/>
              <w:jc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智驾服务设施</w:t>
            </w:r>
          </w:p>
        </w:tc>
      </w:tr>
      <w:tr w14:paraId="520BD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7BDCA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109</w:t>
            </w:r>
          </w:p>
        </w:tc>
        <w:tc>
          <w:tcPr>
            <w:tcW w:w="841" w:type="dxa"/>
            <w:vMerge w:val="continue"/>
          </w:tcPr>
          <w:p w14:paraId="4D8852C2">
            <w:pPr>
              <w:spacing w:line="276" w:lineRule="auto"/>
              <w:jc w:val="center"/>
              <w:rPr>
                <w:rFonts w:ascii="宋体" w:hAnsi="宋体" w:eastAsia="宋体" w:cs="宋体"/>
                <w:bCs/>
                <w:szCs w:val="21"/>
              </w:rPr>
            </w:pPr>
          </w:p>
        </w:tc>
        <w:tc>
          <w:tcPr>
            <w:tcW w:w="1223" w:type="dxa"/>
            <w:shd w:val="clear" w:color="auto" w:fill="auto"/>
            <w:vAlign w:val="center"/>
          </w:tcPr>
          <w:p w14:paraId="472847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全息路口边缘单元</w:t>
            </w:r>
          </w:p>
        </w:tc>
        <w:tc>
          <w:tcPr>
            <w:tcW w:w="890" w:type="dxa"/>
            <w:vAlign w:val="center"/>
          </w:tcPr>
          <w:p w14:paraId="1C3F2F6D">
            <w:pPr>
              <w:spacing w:line="276" w:lineRule="auto"/>
              <w:jc w:val="center"/>
              <w:rPr>
                <w:rFonts w:ascii="宋体" w:hAnsi="宋体" w:eastAsia="宋体" w:cs="宋体"/>
                <w:bCs/>
                <w:szCs w:val="21"/>
              </w:rPr>
            </w:pPr>
          </w:p>
        </w:tc>
        <w:tc>
          <w:tcPr>
            <w:tcW w:w="508" w:type="dxa"/>
            <w:vAlign w:val="center"/>
          </w:tcPr>
          <w:p w14:paraId="40A47402">
            <w:pPr>
              <w:spacing w:line="276" w:lineRule="auto"/>
              <w:jc w:val="center"/>
              <w:rPr>
                <w:rFonts w:ascii="宋体" w:hAnsi="宋体" w:eastAsia="宋体" w:cs="宋体"/>
                <w:bCs/>
                <w:szCs w:val="21"/>
              </w:rPr>
            </w:pPr>
          </w:p>
        </w:tc>
        <w:tc>
          <w:tcPr>
            <w:tcW w:w="810" w:type="dxa"/>
            <w:vAlign w:val="center"/>
          </w:tcPr>
          <w:p w14:paraId="385FBC38">
            <w:pPr>
              <w:spacing w:line="276" w:lineRule="auto"/>
              <w:jc w:val="center"/>
              <w:rPr>
                <w:rFonts w:ascii="宋体" w:hAnsi="宋体" w:eastAsia="宋体" w:cs="宋体"/>
                <w:bCs/>
                <w:szCs w:val="21"/>
              </w:rPr>
            </w:pPr>
          </w:p>
        </w:tc>
        <w:tc>
          <w:tcPr>
            <w:tcW w:w="715" w:type="dxa"/>
            <w:vAlign w:val="center"/>
          </w:tcPr>
          <w:p w14:paraId="10E4E319">
            <w:pPr>
              <w:spacing w:line="276" w:lineRule="auto"/>
              <w:jc w:val="center"/>
              <w:rPr>
                <w:rFonts w:ascii="宋体" w:hAnsi="宋体" w:eastAsia="宋体" w:cs="宋体"/>
                <w:bCs/>
                <w:szCs w:val="21"/>
              </w:rPr>
            </w:pPr>
          </w:p>
        </w:tc>
        <w:tc>
          <w:tcPr>
            <w:tcW w:w="1160" w:type="dxa"/>
            <w:vAlign w:val="center"/>
          </w:tcPr>
          <w:p w14:paraId="6ABFBC8A">
            <w:pPr>
              <w:spacing w:line="276" w:lineRule="auto"/>
              <w:jc w:val="center"/>
              <w:rPr>
                <w:rFonts w:ascii="宋体" w:hAnsi="宋体" w:eastAsia="宋体" w:cs="宋体"/>
                <w:bCs/>
                <w:szCs w:val="21"/>
              </w:rPr>
            </w:pPr>
          </w:p>
        </w:tc>
        <w:tc>
          <w:tcPr>
            <w:tcW w:w="917" w:type="dxa"/>
            <w:shd w:val="clear" w:color="auto" w:fill="auto"/>
            <w:vAlign w:val="center"/>
          </w:tcPr>
          <w:p w14:paraId="55F1A279">
            <w:pPr>
              <w:spacing w:line="276" w:lineRule="auto"/>
              <w:jc w:val="center"/>
              <w:rPr>
                <w:rFonts w:ascii="宋体" w:hAnsi="宋体" w:eastAsia="宋体" w:cs="宋体"/>
                <w:bCs/>
                <w:szCs w:val="21"/>
              </w:rPr>
            </w:pPr>
          </w:p>
        </w:tc>
        <w:tc>
          <w:tcPr>
            <w:tcW w:w="666" w:type="dxa"/>
            <w:shd w:val="clear" w:color="auto" w:fill="auto"/>
            <w:vAlign w:val="center"/>
          </w:tcPr>
          <w:p w14:paraId="3FCDEA7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550" w:type="dxa"/>
            <w:shd w:val="clear" w:color="auto" w:fill="auto"/>
            <w:vAlign w:val="center"/>
          </w:tcPr>
          <w:p w14:paraId="1BF93B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20579EE7">
            <w:pPr>
              <w:spacing w:line="276" w:lineRule="auto"/>
              <w:jc w:val="center"/>
              <w:rPr>
                <w:rFonts w:ascii="宋体" w:hAnsi="宋体" w:eastAsia="宋体" w:cs="宋体"/>
                <w:bCs/>
                <w:szCs w:val="21"/>
              </w:rPr>
            </w:pPr>
          </w:p>
        </w:tc>
        <w:tc>
          <w:tcPr>
            <w:tcW w:w="983" w:type="dxa"/>
            <w:vAlign w:val="center"/>
          </w:tcPr>
          <w:p w14:paraId="1977B4E1">
            <w:pPr>
              <w:spacing w:line="276" w:lineRule="auto"/>
              <w:jc w:val="center"/>
              <w:rPr>
                <w:rFonts w:ascii="宋体" w:hAnsi="宋体" w:eastAsia="宋体" w:cs="宋体"/>
                <w:bCs/>
                <w:szCs w:val="21"/>
              </w:rPr>
            </w:pPr>
          </w:p>
        </w:tc>
      </w:tr>
      <w:tr w14:paraId="1382D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B2FCA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110</w:t>
            </w:r>
          </w:p>
        </w:tc>
        <w:tc>
          <w:tcPr>
            <w:tcW w:w="841" w:type="dxa"/>
            <w:vMerge w:val="continue"/>
          </w:tcPr>
          <w:p w14:paraId="44019919">
            <w:pPr>
              <w:spacing w:line="276" w:lineRule="auto"/>
              <w:jc w:val="center"/>
              <w:rPr>
                <w:rFonts w:ascii="宋体" w:hAnsi="宋体" w:eastAsia="宋体" w:cs="宋体"/>
                <w:bCs/>
                <w:szCs w:val="21"/>
              </w:rPr>
            </w:pPr>
          </w:p>
        </w:tc>
        <w:tc>
          <w:tcPr>
            <w:tcW w:w="1223" w:type="dxa"/>
            <w:shd w:val="clear" w:color="auto" w:fill="auto"/>
            <w:vAlign w:val="center"/>
          </w:tcPr>
          <w:p w14:paraId="61B3A2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低时延枪式相机</w:t>
            </w:r>
          </w:p>
        </w:tc>
        <w:tc>
          <w:tcPr>
            <w:tcW w:w="890" w:type="dxa"/>
            <w:vAlign w:val="center"/>
          </w:tcPr>
          <w:p w14:paraId="4F55530E">
            <w:pPr>
              <w:spacing w:line="276" w:lineRule="auto"/>
              <w:jc w:val="center"/>
              <w:rPr>
                <w:rFonts w:ascii="宋体" w:hAnsi="宋体" w:eastAsia="宋体" w:cs="宋体"/>
                <w:bCs/>
                <w:szCs w:val="21"/>
              </w:rPr>
            </w:pPr>
          </w:p>
        </w:tc>
        <w:tc>
          <w:tcPr>
            <w:tcW w:w="508" w:type="dxa"/>
            <w:vAlign w:val="center"/>
          </w:tcPr>
          <w:p w14:paraId="4039E8E0">
            <w:pPr>
              <w:spacing w:line="276" w:lineRule="auto"/>
              <w:jc w:val="center"/>
              <w:rPr>
                <w:rFonts w:ascii="宋体" w:hAnsi="宋体" w:eastAsia="宋体" w:cs="宋体"/>
                <w:bCs/>
                <w:szCs w:val="21"/>
              </w:rPr>
            </w:pPr>
          </w:p>
        </w:tc>
        <w:tc>
          <w:tcPr>
            <w:tcW w:w="810" w:type="dxa"/>
            <w:vAlign w:val="center"/>
          </w:tcPr>
          <w:p w14:paraId="6C264A76">
            <w:pPr>
              <w:spacing w:line="276" w:lineRule="auto"/>
              <w:jc w:val="center"/>
              <w:rPr>
                <w:rFonts w:ascii="宋体" w:hAnsi="宋体" w:eastAsia="宋体" w:cs="宋体"/>
                <w:bCs/>
                <w:szCs w:val="21"/>
              </w:rPr>
            </w:pPr>
          </w:p>
        </w:tc>
        <w:tc>
          <w:tcPr>
            <w:tcW w:w="715" w:type="dxa"/>
            <w:vAlign w:val="center"/>
          </w:tcPr>
          <w:p w14:paraId="20788702">
            <w:pPr>
              <w:spacing w:line="276" w:lineRule="auto"/>
              <w:jc w:val="center"/>
              <w:rPr>
                <w:rFonts w:ascii="宋体" w:hAnsi="宋体" w:eastAsia="宋体" w:cs="宋体"/>
                <w:bCs/>
                <w:szCs w:val="21"/>
              </w:rPr>
            </w:pPr>
          </w:p>
        </w:tc>
        <w:tc>
          <w:tcPr>
            <w:tcW w:w="1160" w:type="dxa"/>
            <w:vAlign w:val="center"/>
          </w:tcPr>
          <w:p w14:paraId="2E793167">
            <w:pPr>
              <w:spacing w:line="276" w:lineRule="auto"/>
              <w:jc w:val="center"/>
              <w:rPr>
                <w:rFonts w:ascii="宋体" w:hAnsi="宋体" w:eastAsia="宋体" w:cs="宋体"/>
                <w:bCs/>
                <w:szCs w:val="21"/>
              </w:rPr>
            </w:pPr>
          </w:p>
        </w:tc>
        <w:tc>
          <w:tcPr>
            <w:tcW w:w="917" w:type="dxa"/>
            <w:shd w:val="clear" w:color="auto" w:fill="auto"/>
            <w:vAlign w:val="center"/>
          </w:tcPr>
          <w:p w14:paraId="68383C37">
            <w:pPr>
              <w:spacing w:line="276" w:lineRule="auto"/>
              <w:jc w:val="center"/>
              <w:rPr>
                <w:rFonts w:ascii="宋体" w:hAnsi="宋体" w:eastAsia="宋体" w:cs="宋体"/>
                <w:bCs/>
                <w:szCs w:val="21"/>
              </w:rPr>
            </w:pPr>
          </w:p>
        </w:tc>
        <w:tc>
          <w:tcPr>
            <w:tcW w:w="666" w:type="dxa"/>
            <w:shd w:val="clear" w:color="auto" w:fill="auto"/>
            <w:vAlign w:val="center"/>
          </w:tcPr>
          <w:p w14:paraId="04EA6D8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550" w:type="dxa"/>
            <w:shd w:val="clear" w:color="auto" w:fill="auto"/>
            <w:vAlign w:val="center"/>
          </w:tcPr>
          <w:p w14:paraId="1BF5BE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4B38FC60">
            <w:pPr>
              <w:spacing w:line="276" w:lineRule="auto"/>
              <w:jc w:val="center"/>
              <w:rPr>
                <w:rFonts w:ascii="宋体" w:hAnsi="宋体" w:eastAsia="宋体" w:cs="宋体"/>
                <w:bCs/>
                <w:szCs w:val="21"/>
              </w:rPr>
            </w:pPr>
          </w:p>
        </w:tc>
        <w:tc>
          <w:tcPr>
            <w:tcW w:w="983" w:type="dxa"/>
            <w:vAlign w:val="center"/>
          </w:tcPr>
          <w:p w14:paraId="2B4B306B">
            <w:pPr>
              <w:spacing w:line="276" w:lineRule="auto"/>
              <w:jc w:val="center"/>
              <w:rPr>
                <w:rFonts w:ascii="宋体" w:hAnsi="宋体" w:eastAsia="宋体" w:cs="宋体"/>
                <w:bCs/>
                <w:szCs w:val="21"/>
              </w:rPr>
            </w:pPr>
          </w:p>
        </w:tc>
      </w:tr>
      <w:tr w14:paraId="437ED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2CE79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111</w:t>
            </w:r>
          </w:p>
        </w:tc>
        <w:tc>
          <w:tcPr>
            <w:tcW w:w="841" w:type="dxa"/>
            <w:vMerge w:val="continue"/>
          </w:tcPr>
          <w:p w14:paraId="576A827A">
            <w:pPr>
              <w:spacing w:line="276" w:lineRule="auto"/>
              <w:jc w:val="center"/>
              <w:rPr>
                <w:rFonts w:ascii="宋体" w:hAnsi="宋体" w:eastAsia="宋体" w:cs="宋体"/>
                <w:bCs/>
                <w:szCs w:val="21"/>
              </w:rPr>
            </w:pPr>
          </w:p>
        </w:tc>
        <w:tc>
          <w:tcPr>
            <w:tcW w:w="1223" w:type="dxa"/>
            <w:shd w:val="clear" w:color="auto" w:fill="auto"/>
            <w:vAlign w:val="center"/>
          </w:tcPr>
          <w:p w14:paraId="2434E9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低时延鱼眼相机</w:t>
            </w:r>
          </w:p>
        </w:tc>
        <w:tc>
          <w:tcPr>
            <w:tcW w:w="890" w:type="dxa"/>
            <w:vAlign w:val="center"/>
          </w:tcPr>
          <w:p w14:paraId="708599E4">
            <w:pPr>
              <w:spacing w:line="276" w:lineRule="auto"/>
              <w:jc w:val="center"/>
              <w:rPr>
                <w:rFonts w:ascii="宋体" w:hAnsi="宋体" w:eastAsia="宋体" w:cs="宋体"/>
                <w:bCs/>
                <w:szCs w:val="21"/>
              </w:rPr>
            </w:pPr>
          </w:p>
        </w:tc>
        <w:tc>
          <w:tcPr>
            <w:tcW w:w="508" w:type="dxa"/>
            <w:vAlign w:val="center"/>
          </w:tcPr>
          <w:p w14:paraId="21235432">
            <w:pPr>
              <w:spacing w:line="276" w:lineRule="auto"/>
              <w:jc w:val="center"/>
              <w:rPr>
                <w:rFonts w:ascii="宋体" w:hAnsi="宋体" w:eastAsia="宋体" w:cs="宋体"/>
                <w:bCs/>
                <w:szCs w:val="21"/>
              </w:rPr>
            </w:pPr>
          </w:p>
        </w:tc>
        <w:tc>
          <w:tcPr>
            <w:tcW w:w="810" w:type="dxa"/>
            <w:vAlign w:val="center"/>
          </w:tcPr>
          <w:p w14:paraId="222DA716">
            <w:pPr>
              <w:spacing w:line="276" w:lineRule="auto"/>
              <w:jc w:val="center"/>
              <w:rPr>
                <w:rFonts w:ascii="宋体" w:hAnsi="宋体" w:eastAsia="宋体" w:cs="宋体"/>
                <w:bCs/>
                <w:szCs w:val="21"/>
              </w:rPr>
            </w:pPr>
          </w:p>
        </w:tc>
        <w:tc>
          <w:tcPr>
            <w:tcW w:w="715" w:type="dxa"/>
            <w:vAlign w:val="center"/>
          </w:tcPr>
          <w:p w14:paraId="4587A4AB">
            <w:pPr>
              <w:spacing w:line="276" w:lineRule="auto"/>
              <w:jc w:val="center"/>
              <w:rPr>
                <w:rFonts w:ascii="宋体" w:hAnsi="宋体" w:eastAsia="宋体" w:cs="宋体"/>
                <w:bCs/>
                <w:szCs w:val="21"/>
              </w:rPr>
            </w:pPr>
          </w:p>
        </w:tc>
        <w:tc>
          <w:tcPr>
            <w:tcW w:w="1160" w:type="dxa"/>
            <w:vAlign w:val="center"/>
          </w:tcPr>
          <w:p w14:paraId="14B4E97A">
            <w:pPr>
              <w:spacing w:line="276" w:lineRule="auto"/>
              <w:jc w:val="center"/>
              <w:rPr>
                <w:rFonts w:ascii="宋体" w:hAnsi="宋体" w:eastAsia="宋体" w:cs="宋体"/>
                <w:bCs/>
                <w:szCs w:val="21"/>
              </w:rPr>
            </w:pPr>
          </w:p>
        </w:tc>
        <w:tc>
          <w:tcPr>
            <w:tcW w:w="917" w:type="dxa"/>
            <w:shd w:val="clear" w:color="auto" w:fill="auto"/>
            <w:vAlign w:val="center"/>
          </w:tcPr>
          <w:p w14:paraId="6B875354">
            <w:pPr>
              <w:spacing w:line="276" w:lineRule="auto"/>
              <w:jc w:val="center"/>
              <w:rPr>
                <w:rFonts w:ascii="宋体" w:hAnsi="宋体" w:eastAsia="宋体" w:cs="宋体"/>
                <w:bCs/>
                <w:szCs w:val="21"/>
              </w:rPr>
            </w:pPr>
          </w:p>
        </w:tc>
        <w:tc>
          <w:tcPr>
            <w:tcW w:w="666" w:type="dxa"/>
            <w:shd w:val="clear" w:color="auto" w:fill="auto"/>
            <w:vAlign w:val="center"/>
          </w:tcPr>
          <w:p w14:paraId="20E235B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39</w:t>
            </w:r>
          </w:p>
        </w:tc>
        <w:tc>
          <w:tcPr>
            <w:tcW w:w="550" w:type="dxa"/>
            <w:shd w:val="clear" w:color="auto" w:fill="auto"/>
            <w:vAlign w:val="center"/>
          </w:tcPr>
          <w:p w14:paraId="3C4B23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04F8CD02">
            <w:pPr>
              <w:spacing w:line="276" w:lineRule="auto"/>
              <w:jc w:val="center"/>
              <w:rPr>
                <w:rFonts w:ascii="宋体" w:hAnsi="宋体" w:eastAsia="宋体" w:cs="宋体"/>
                <w:bCs/>
                <w:szCs w:val="21"/>
              </w:rPr>
            </w:pPr>
          </w:p>
        </w:tc>
        <w:tc>
          <w:tcPr>
            <w:tcW w:w="983" w:type="dxa"/>
            <w:vAlign w:val="center"/>
          </w:tcPr>
          <w:p w14:paraId="6F0893EE">
            <w:pPr>
              <w:spacing w:line="276" w:lineRule="auto"/>
              <w:jc w:val="center"/>
              <w:rPr>
                <w:rFonts w:ascii="宋体" w:hAnsi="宋体" w:eastAsia="宋体" w:cs="宋体"/>
                <w:bCs/>
                <w:szCs w:val="21"/>
              </w:rPr>
            </w:pPr>
          </w:p>
        </w:tc>
      </w:tr>
      <w:tr w14:paraId="71010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AD14D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112</w:t>
            </w:r>
          </w:p>
        </w:tc>
        <w:tc>
          <w:tcPr>
            <w:tcW w:w="841" w:type="dxa"/>
            <w:vMerge w:val="continue"/>
          </w:tcPr>
          <w:p w14:paraId="0A9EE860">
            <w:pPr>
              <w:spacing w:line="276" w:lineRule="auto"/>
              <w:jc w:val="center"/>
              <w:rPr>
                <w:rFonts w:ascii="宋体" w:hAnsi="宋体" w:eastAsia="宋体" w:cs="宋体"/>
                <w:bCs/>
                <w:szCs w:val="21"/>
              </w:rPr>
            </w:pPr>
          </w:p>
        </w:tc>
        <w:tc>
          <w:tcPr>
            <w:tcW w:w="1223" w:type="dxa"/>
            <w:shd w:val="clear" w:color="auto" w:fill="auto"/>
            <w:vAlign w:val="center"/>
          </w:tcPr>
          <w:p w14:paraId="7C069E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全息路口感知设备</w:t>
            </w:r>
          </w:p>
        </w:tc>
        <w:tc>
          <w:tcPr>
            <w:tcW w:w="890" w:type="dxa"/>
            <w:vAlign w:val="center"/>
          </w:tcPr>
          <w:p w14:paraId="4905E9AB">
            <w:pPr>
              <w:spacing w:line="276" w:lineRule="auto"/>
              <w:jc w:val="center"/>
              <w:rPr>
                <w:rFonts w:ascii="宋体" w:hAnsi="宋体" w:eastAsia="宋体" w:cs="宋体"/>
                <w:bCs/>
                <w:szCs w:val="21"/>
              </w:rPr>
            </w:pPr>
          </w:p>
        </w:tc>
        <w:tc>
          <w:tcPr>
            <w:tcW w:w="508" w:type="dxa"/>
            <w:vAlign w:val="center"/>
          </w:tcPr>
          <w:p w14:paraId="6A3DBED5">
            <w:pPr>
              <w:spacing w:line="276" w:lineRule="auto"/>
              <w:jc w:val="center"/>
              <w:rPr>
                <w:rFonts w:ascii="宋体" w:hAnsi="宋体" w:eastAsia="宋体" w:cs="宋体"/>
                <w:bCs/>
                <w:szCs w:val="21"/>
              </w:rPr>
            </w:pPr>
          </w:p>
        </w:tc>
        <w:tc>
          <w:tcPr>
            <w:tcW w:w="810" w:type="dxa"/>
            <w:vAlign w:val="center"/>
          </w:tcPr>
          <w:p w14:paraId="6C98B9B5">
            <w:pPr>
              <w:spacing w:line="276" w:lineRule="auto"/>
              <w:jc w:val="center"/>
              <w:rPr>
                <w:rFonts w:ascii="宋体" w:hAnsi="宋体" w:eastAsia="宋体" w:cs="宋体"/>
                <w:bCs/>
                <w:szCs w:val="21"/>
              </w:rPr>
            </w:pPr>
          </w:p>
        </w:tc>
        <w:tc>
          <w:tcPr>
            <w:tcW w:w="715" w:type="dxa"/>
            <w:vAlign w:val="center"/>
          </w:tcPr>
          <w:p w14:paraId="281E2CC0">
            <w:pPr>
              <w:spacing w:line="276" w:lineRule="auto"/>
              <w:jc w:val="center"/>
              <w:rPr>
                <w:rFonts w:ascii="宋体" w:hAnsi="宋体" w:eastAsia="宋体" w:cs="宋体"/>
                <w:bCs/>
                <w:szCs w:val="21"/>
              </w:rPr>
            </w:pPr>
          </w:p>
        </w:tc>
        <w:tc>
          <w:tcPr>
            <w:tcW w:w="1160" w:type="dxa"/>
            <w:vAlign w:val="center"/>
          </w:tcPr>
          <w:p w14:paraId="30C20DD1">
            <w:pPr>
              <w:spacing w:line="276" w:lineRule="auto"/>
              <w:jc w:val="center"/>
              <w:rPr>
                <w:rFonts w:ascii="宋体" w:hAnsi="宋体" w:eastAsia="宋体" w:cs="宋体"/>
                <w:bCs/>
                <w:szCs w:val="21"/>
              </w:rPr>
            </w:pPr>
          </w:p>
        </w:tc>
        <w:tc>
          <w:tcPr>
            <w:tcW w:w="917" w:type="dxa"/>
            <w:shd w:val="clear" w:color="auto" w:fill="auto"/>
            <w:vAlign w:val="center"/>
          </w:tcPr>
          <w:p w14:paraId="0BC0C7C7">
            <w:pPr>
              <w:spacing w:line="276" w:lineRule="auto"/>
              <w:jc w:val="center"/>
              <w:rPr>
                <w:rFonts w:ascii="宋体" w:hAnsi="宋体" w:eastAsia="宋体" w:cs="宋体"/>
                <w:bCs/>
                <w:szCs w:val="21"/>
              </w:rPr>
            </w:pPr>
          </w:p>
        </w:tc>
        <w:tc>
          <w:tcPr>
            <w:tcW w:w="666" w:type="dxa"/>
            <w:shd w:val="clear" w:color="auto" w:fill="auto"/>
            <w:vAlign w:val="center"/>
          </w:tcPr>
          <w:p w14:paraId="6CB903E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39</w:t>
            </w:r>
          </w:p>
        </w:tc>
        <w:tc>
          <w:tcPr>
            <w:tcW w:w="550" w:type="dxa"/>
            <w:shd w:val="clear" w:color="auto" w:fill="auto"/>
            <w:vAlign w:val="center"/>
          </w:tcPr>
          <w:p w14:paraId="0F58F4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17DFD9B5">
            <w:pPr>
              <w:spacing w:line="276" w:lineRule="auto"/>
              <w:jc w:val="center"/>
              <w:rPr>
                <w:rFonts w:ascii="宋体" w:hAnsi="宋体" w:eastAsia="宋体" w:cs="宋体"/>
                <w:bCs/>
                <w:szCs w:val="21"/>
              </w:rPr>
            </w:pPr>
          </w:p>
        </w:tc>
        <w:tc>
          <w:tcPr>
            <w:tcW w:w="983" w:type="dxa"/>
            <w:vAlign w:val="center"/>
          </w:tcPr>
          <w:p w14:paraId="25C25292">
            <w:pPr>
              <w:spacing w:line="276" w:lineRule="auto"/>
              <w:jc w:val="center"/>
              <w:rPr>
                <w:rFonts w:ascii="宋体" w:hAnsi="宋体" w:eastAsia="宋体" w:cs="宋体"/>
                <w:bCs/>
                <w:szCs w:val="21"/>
              </w:rPr>
            </w:pPr>
          </w:p>
        </w:tc>
      </w:tr>
      <w:tr w14:paraId="1D311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07246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113</w:t>
            </w:r>
          </w:p>
        </w:tc>
        <w:tc>
          <w:tcPr>
            <w:tcW w:w="841" w:type="dxa"/>
            <w:vMerge w:val="continue"/>
          </w:tcPr>
          <w:p w14:paraId="5125FDEF">
            <w:pPr>
              <w:spacing w:line="276" w:lineRule="auto"/>
              <w:jc w:val="center"/>
              <w:rPr>
                <w:rFonts w:ascii="宋体" w:hAnsi="宋体" w:eastAsia="宋体" w:cs="宋体"/>
                <w:bCs/>
                <w:szCs w:val="21"/>
              </w:rPr>
            </w:pPr>
          </w:p>
        </w:tc>
        <w:tc>
          <w:tcPr>
            <w:tcW w:w="1223" w:type="dxa"/>
            <w:shd w:val="clear" w:color="auto" w:fill="auto"/>
            <w:vAlign w:val="center"/>
          </w:tcPr>
          <w:p w14:paraId="2DEF75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挂杆箱</w:t>
            </w:r>
          </w:p>
        </w:tc>
        <w:tc>
          <w:tcPr>
            <w:tcW w:w="890" w:type="dxa"/>
            <w:vAlign w:val="center"/>
          </w:tcPr>
          <w:p w14:paraId="3CE4E21A">
            <w:pPr>
              <w:spacing w:line="276" w:lineRule="auto"/>
              <w:jc w:val="center"/>
              <w:rPr>
                <w:rFonts w:ascii="宋体" w:hAnsi="宋体" w:eastAsia="宋体" w:cs="宋体"/>
                <w:bCs/>
                <w:szCs w:val="21"/>
              </w:rPr>
            </w:pPr>
          </w:p>
        </w:tc>
        <w:tc>
          <w:tcPr>
            <w:tcW w:w="508" w:type="dxa"/>
            <w:vAlign w:val="center"/>
          </w:tcPr>
          <w:p w14:paraId="2425A8AB">
            <w:pPr>
              <w:spacing w:line="276" w:lineRule="auto"/>
              <w:jc w:val="center"/>
              <w:rPr>
                <w:rFonts w:ascii="宋体" w:hAnsi="宋体" w:eastAsia="宋体" w:cs="宋体"/>
                <w:bCs/>
                <w:szCs w:val="21"/>
              </w:rPr>
            </w:pPr>
          </w:p>
        </w:tc>
        <w:tc>
          <w:tcPr>
            <w:tcW w:w="810" w:type="dxa"/>
            <w:vAlign w:val="center"/>
          </w:tcPr>
          <w:p w14:paraId="73E799CB">
            <w:pPr>
              <w:spacing w:line="276" w:lineRule="auto"/>
              <w:jc w:val="center"/>
              <w:rPr>
                <w:rFonts w:ascii="宋体" w:hAnsi="宋体" w:eastAsia="宋体" w:cs="宋体"/>
                <w:bCs/>
                <w:szCs w:val="21"/>
              </w:rPr>
            </w:pPr>
          </w:p>
        </w:tc>
        <w:tc>
          <w:tcPr>
            <w:tcW w:w="715" w:type="dxa"/>
            <w:vAlign w:val="center"/>
          </w:tcPr>
          <w:p w14:paraId="74774AE7">
            <w:pPr>
              <w:spacing w:line="276" w:lineRule="auto"/>
              <w:jc w:val="center"/>
              <w:rPr>
                <w:rFonts w:ascii="宋体" w:hAnsi="宋体" w:eastAsia="宋体" w:cs="宋体"/>
                <w:bCs/>
                <w:szCs w:val="21"/>
              </w:rPr>
            </w:pPr>
          </w:p>
        </w:tc>
        <w:tc>
          <w:tcPr>
            <w:tcW w:w="1160" w:type="dxa"/>
            <w:vAlign w:val="center"/>
          </w:tcPr>
          <w:p w14:paraId="696337F5">
            <w:pPr>
              <w:spacing w:line="276" w:lineRule="auto"/>
              <w:jc w:val="center"/>
              <w:rPr>
                <w:rFonts w:ascii="宋体" w:hAnsi="宋体" w:eastAsia="宋体" w:cs="宋体"/>
                <w:bCs/>
                <w:szCs w:val="21"/>
              </w:rPr>
            </w:pPr>
          </w:p>
        </w:tc>
        <w:tc>
          <w:tcPr>
            <w:tcW w:w="917" w:type="dxa"/>
            <w:shd w:val="clear" w:color="auto" w:fill="auto"/>
            <w:vAlign w:val="center"/>
          </w:tcPr>
          <w:p w14:paraId="6D8EF0A5">
            <w:pPr>
              <w:spacing w:line="276" w:lineRule="auto"/>
              <w:jc w:val="center"/>
              <w:rPr>
                <w:rFonts w:ascii="宋体" w:hAnsi="宋体" w:eastAsia="宋体" w:cs="宋体"/>
                <w:bCs/>
                <w:szCs w:val="21"/>
              </w:rPr>
            </w:pPr>
          </w:p>
        </w:tc>
        <w:tc>
          <w:tcPr>
            <w:tcW w:w="666" w:type="dxa"/>
            <w:shd w:val="clear" w:color="auto" w:fill="auto"/>
            <w:vAlign w:val="center"/>
          </w:tcPr>
          <w:p w14:paraId="57186E5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41</w:t>
            </w:r>
          </w:p>
        </w:tc>
        <w:tc>
          <w:tcPr>
            <w:tcW w:w="550" w:type="dxa"/>
            <w:shd w:val="clear" w:color="auto" w:fill="auto"/>
            <w:vAlign w:val="center"/>
          </w:tcPr>
          <w:p w14:paraId="1F4EFE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0D50E1D8">
            <w:pPr>
              <w:spacing w:line="276" w:lineRule="auto"/>
              <w:jc w:val="center"/>
              <w:rPr>
                <w:rFonts w:ascii="宋体" w:hAnsi="宋体" w:eastAsia="宋体" w:cs="宋体"/>
                <w:bCs/>
                <w:szCs w:val="21"/>
              </w:rPr>
            </w:pPr>
          </w:p>
        </w:tc>
        <w:tc>
          <w:tcPr>
            <w:tcW w:w="983" w:type="dxa"/>
            <w:vAlign w:val="center"/>
          </w:tcPr>
          <w:p w14:paraId="5CB2B2D1">
            <w:pPr>
              <w:spacing w:line="276" w:lineRule="auto"/>
              <w:jc w:val="center"/>
              <w:rPr>
                <w:rFonts w:ascii="宋体" w:hAnsi="宋体" w:eastAsia="宋体" w:cs="宋体"/>
                <w:bCs/>
                <w:szCs w:val="21"/>
              </w:rPr>
            </w:pPr>
          </w:p>
        </w:tc>
      </w:tr>
      <w:tr w14:paraId="408A1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7A3D1B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114</w:t>
            </w:r>
          </w:p>
        </w:tc>
        <w:tc>
          <w:tcPr>
            <w:tcW w:w="841" w:type="dxa"/>
            <w:vMerge w:val="continue"/>
          </w:tcPr>
          <w:p w14:paraId="18E168E8">
            <w:pPr>
              <w:spacing w:line="276" w:lineRule="auto"/>
              <w:jc w:val="center"/>
              <w:rPr>
                <w:rFonts w:ascii="宋体" w:hAnsi="宋体" w:eastAsia="宋体" w:cs="宋体"/>
                <w:bCs/>
                <w:szCs w:val="21"/>
              </w:rPr>
            </w:pPr>
          </w:p>
        </w:tc>
        <w:tc>
          <w:tcPr>
            <w:tcW w:w="1223" w:type="dxa"/>
            <w:shd w:val="clear" w:color="auto" w:fill="auto"/>
            <w:vAlign w:val="center"/>
          </w:tcPr>
          <w:p w14:paraId="7171D0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工业交换机（8电+4光）</w:t>
            </w:r>
          </w:p>
        </w:tc>
        <w:tc>
          <w:tcPr>
            <w:tcW w:w="890" w:type="dxa"/>
            <w:vAlign w:val="center"/>
          </w:tcPr>
          <w:p w14:paraId="55060CC2">
            <w:pPr>
              <w:spacing w:line="276" w:lineRule="auto"/>
              <w:jc w:val="center"/>
              <w:rPr>
                <w:rFonts w:ascii="宋体" w:hAnsi="宋体" w:eastAsia="宋体" w:cs="宋体"/>
                <w:bCs/>
                <w:szCs w:val="21"/>
              </w:rPr>
            </w:pPr>
          </w:p>
        </w:tc>
        <w:tc>
          <w:tcPr>
            <w:tcW w:w="508" w:type="dxa"/>
            <w:vAlign w:val="center"/>
          </w:tcPr>
          <w:p w14:paraId="48897D87">
            <w:pPr>
              <w:spacing w:line="276" w:lineRule="auto"/>
              <w:jc w:val="center"/>
              <w:rPr>
                <w:rFonts w:ascii="宋体" w:hAnsi="宋体" w:eastAsia="宋体" w:cs="宋体"/>
                <w:bCs/>
                <w:szCs w:val="21"/>
              </w:rPr>
            </w:pPr>
          </w:p>
        </w:tc>
        <w:tc>
          <w:tcPr>
            <w:tcW w:w="810" w:type="dxa"/>
            <w:vAlign w:val="center"/>
          </w:tcPr>
          <w:p w14:paraId="6D3CEBFF">
            <w:pPr>
              <w:spacing w:line="276" w:lineRule="auto"/>
              <w:jc w:val="center"/>
              <w:rPr>
                <w:rFonts w:ascii="宋体" w:hAnsi="宋体" w:eastAsia="宋体" w:cs="宋体"/>
                <w:bCs/>
                <w:szCs w:val="21"/>
              </w:rPr>
            </w:pPr>
          </w:p>
        </w:tc>
        <w:tc>
          <w:tcPr>
            <w:tcW w:w="715" w:type="dxa"/>
            <w:vAlign w:val="center"/>
          </w:tcPr>
          <w:p w14:paraId="6180473C">
            <w:pPr>
              <w:spacing w:line="276" w:lineRule="auto"/>
              <w:jc w:val="center"/>
              <w:rPr>
                <w:rFonts w:ascii="宋体" w:hAnsi="宋体" w:eastAsia="宋体" w:cs="宋体"/>
                <w:bCs/>
                <w:szCs w:val="21"/>
              </w:rPr>
            </w:pPr>
          </w:p>
        </w:tc>
        <w:tc>
          <w:tcPr>
            <w:tcW w:w="1160" w:type="dxa"/>
            <w:vAlign w:val="center"/>
          </w:tcPr>
          <w:p w14:paraId="323CCE44">
            <w:pPr>
              <w:spacing w:line="276" w:lineRule="auto"/>
              <w:jc w:val="center"/>
              <w:rPr>
                <w:rFonts w:ascii="宋体" w:hAnsi="宋体" w:eastAsia="宋体" w:cs="宋体"/>
                <w:bCs/>
                <w:szCs w:val="21"/>
              </w:rPr>
            </w:pPr>
          </w:p>
        </w:tc>
        <w:tc>
          <w:tcPr>
            <w:tcW w:w="917" w:type="dxa"/>
            <w:shd w:val="clear" w:color="auto" w:fill="auto"/>
            <w:vAlign w:val="center"/>
          </w:tcPr>
          <w:p w14:paraId="302E84A2">
            <w:pPr>
              <w:spacing w:line="276" w:lineRule="auto"/>
              <w:jc w:val="center"/>
              <w:rPr>
                <w:rFonts w:ascii="宋体" w:hAnsi="宋体" w:eastAsia="宋体" w:cs="宋体"/>
                <w:bCs/>
                <w:szCs w:val="21"/>
              </w:rPr>
            </w:pPr>
          </w:p>
        </w:tc>
        <w:tc>
          <w:tcPr>
            <w:tcW w:w="666" w:type="dxa"/>
            <w:shd w:val="clear" w:color="auto" w:fill="auto"/>
            <w:vAlign w:val="center"/>
          </w:tcPr>
          <w:p w14:paraId="7D32721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41</w:t>
            </w:r>
          </w:p>
        </w:tc>
        <w:tc>
          <w:tcPr>
            <w:tcW w:w="550" w:type="dxa"/>
            <w:shd w:val="clear" w:color="auto" w:fill="auto"/>
            <w:vAlign w:val="center"/>
          </w:tcPr>
          <w:p w14:paraId="101EC0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3BED465D">
            <w:pPr>
              <w:spacing w:line="276" w:lineRule="auto"/>
              <w:jc w:val="center"/>
              <w:rPr>
                <w:rFonts w:ascii="宋体" w:hAnsi="宋体" w:eastAsia="宋体" w:cs="宋体"/>
                <w:bCs/>
                <w:szCs w:val="21"/>
              </w:rPr>
            </w:pPr>
          </w:p>
        </w:tc>
        <w:tc>
          <w:tcPr>
            <w:tcW w:w="983" w:type="dxa"/>
            <w:vAlign w:val="center"/>
          </w:tcPr>
          <w:p w14:paraId="60BC0237">
            <w:pPr>
              <w:spacing w:line="276" w:lineRule="auto"/>
              <w:jc w:val="center"/>
              <w:rPr>
                <w:rFonts w:ascii="宋体" w:hAnsi="宋体" w:eastAsia="宋体" w:cs="宋体"/>
                <w:bCs/>
                <w:szCs w:val="21"/>
              </w:rPr>
            </w:pPr>
          </w:p>
        </w:tc>
      </w:tr>
      <w:tr w14:paraId="5D071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69551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115</w:t>
            </w:r>
          </w:p>
        </w:tc>
        <w:tc>
          <w:tcPr>
            <w:tcW w:w="841" w:type="dxa"/>
            <w:vMerge w:val="continue"/>
          </w:tcPr>
          <w:p w14:paraId="34717DA3">
            <w:pPr>
              <w:spacing w:line="276" w:lineRule="auto"/>
              <w:jc w:val="center"/>
              <w:rPr>
                <w:rFonts w:ascii="宋体" w:hAnsi="宋体" w:eastAsia="宋体" w:cs="宋体"/>
                <w:bCs/>
                <w:szCs w:val="21"/>
              </w:rPr>
            </w:pPr>
          </w:p>
        </w:tc>
        <w:tc>
          <w:tcPr>
            <w:tcW w:w="1223" w:type="dxa"/>
            <w:shd w:val="clear" w:color="auto" w:fill="auto"/>
            <w:vAlign w:val="center"/>
          </w:tcPr>
          <w:p w14:paraId="6A3EE9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交换机光模块</w:t>
            </w:r>
          </w:p>
        </w:tc>
        <w:tc>
          <w:tcPr>
            <w:tcW w:w="890" w:type="dxa"/>
            <w:vAlign w:val="center"/>
          </w:tcPr>
          <w:p w14:paraId="3D226D50">
            <w:pPr>
              <w:spacing w:line="276" w:lineRule="auto"/>
              <w:jc w:val="center"/>
              <w:rPr>
                <w:rFonts w:ascii="宋体" w:hAnsi="宋体" w:eastAsia="宋体" w:cs="宋体"/>
                <w:bCs/>
                <w:szCs w:val="21"/>
              </w:rPr>
            </w:pPr>
          </w:p>
        </w:tc>
        <w:tc>
          <w:tcPr>
            <w:tcW w:w="508" w:type="dxa"/>
            <w:vAlign w:val="center"/>
          </w:tcPr>
          <w:p w14:paraId="03792AC7">
            <w:pPr>
              <w:spacing w:line="276" w:lineRule="auto"/>
              <w:jc w:val="center"/>
              <w:rPr>
                <w:rFonts w:ascii="宋体" w:hAnsi="宋体" w:eastAsia="宋体" w:cs="宋体"/>
                <w:bCs/>
                <w:szCs w:val="21"/>
              </w:rPr>
            </w:pPr>
          </w:p>
        </w:tc>
        <w:tc>
          <w:tcPr>
            <w:tcW w:w="810" w:type="dxa"/>
            <w:vAlign w:val="center"/>
          </w:tcPr>
          <w:p w14:paraId="03FC6018">
            <w:pPr>
              <w:spacing w:line="276" w:lineRule="auto"/>
              <w:jc w:val="center"/>
              <w:rPr>
                <w:rFonts w:ascii="宋体" w:hAnsi="宋体" w:eastAsia="宋体" w:cs="宋体"/>
                <w:bCs/>
                <w:szCs w:val="21"/>
              </w:rPr>
            </w:pPr>
          </w:p>
        </w:tc>
        <w:tc>
          <w:tcPr>
            <w:tcW w:w="715" w:type="dxa"/>
            <w:vAlign w:val="center"/>
          </w:tcPr>
          <w:p w14:paraId="0EFBC109">
            <w:pPr>
              <w:spacing w:line="276" w:lineRule="auto"/>
              <w:jc w:val="center"/>
              <w:rPr>
                <w:rFonts w:ascii="宋体" w:hAnsi="宋体" w:eastAsia="宋体" w:cs="宋体"/>
                <w:bCs/>
                <w:szCs w:val="21"/>
              </w:rPr>
            </w:pPr>
          </w:p>
        </w:tc>
        <w:tc>
          <w:tcPr>
            <w:tcW w:w="1160" w:type="dxa"/>
            <w:vAlign w:val="center"/>
          </w:tcPr>
          <w:p w14:paraId="3F016434">
            <w:pPr>
              <w:spacing w:line="276" w:lineRule="auto"/>
              <w:jc w:val="center"/>
              <w:rPr>
                <w:rFonts w:ascii="宋体" w:hAnsi="宋体" w:eastAsia="宋体" w:cs="宋体"/>
                <w:bCs/>
                <w:szCs w:val="21"/>
              </w:rPr>
            </w:pPr>
          </w:p>
        </w:tc>
        <w:tc>
          <w:tcPr>
            <w:tcW w:w="917" w:type="dxa"/>
            <w:shd w:val="clear" w:color="auto" w:fill="auto"/>
            <w:vAlign w:val="center"/>
          </w:tcPr>
          <w:p w14:paraId="3C5EA2B5">
            <w:pPr>
              <w:spacing w:line="276" w:lineRule="auto"/>
              <w:jc w:val="center"/>
              <w:rPr>
                <w:rFonts w:ascii="宋体" w:hAnsi="宋体" w:eastAsia="宋体" w:cs="宋体"/>
                <w:bCs/>
                <w:szCs w:val="21"/>
              </w:rPr>
            </w:pPr>
          </w:p>
        </w:tc>
        <w:tc>
          <w:tcPr>
            <w:tcW w:w="666" w:type="dxa"/>
            <w:shd w:val="clear" w:color="auto" w:fill="auto"/>
            <w:vAlign w:val="center"/>
          </w:tcPr>
          <w:p w14:paraId="10A94F9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123</w:t>
            </w:r>
          </w:p>
        </w:tc>
        <w:tc>
          <w:tcPr>
            <w:tcW w:w="550" w:type="dxa"/>
            <w:shd w:val="clear" w:color="auto" w:fill="auto"/>
            <w:vAlign w:val="center"/>
          </w:tcPr>
          <w:p w14:paraId="68EF35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个</w:t>
            </w:r>
          </w:p>
        </w:tc>
        <w:tc>
          <w:tcPr>
            <w:tcW w:w="967" w:type="dxa"/>
            <w:vAlign w:val="center"/>
          </w:tcPr>
          <w:p w14:paraId="1C4E0147">
            <w:pPr>
              <w:spacing w:line="276" w:lineRule="auto"/>
              <w:jc w:val="center"/>
              <w:rPr>
                <w:rFonts w:ascii="宋体" w:hAnsi="宋体" w:eastAsia="宋体" w:cs="宋体"/>
                <w:bCs/>
                <w:szCs w:val="21"/>
              </w:rPr>
            </w:pPr>
          </w:p>
        </w:tc>
        <w:tc>
          <w:tcPr>
            <w:tcW w:w="983" w:type="dxa"/>
            <w:vAlign w:val="center"/>
          </w:tcPr>
          <w:p w14:paraId="57AED2BB">
            <w:pPr>
              <w:spacing w:line="276" w:lineRule="auto"/>
              <w:jc w:val="center"/>
              <w:rPr>
                <w:rFonts w:ascii="宋体" w:hAnsi="宋体" w:eastAsia="宋体" w:cs="宋体"/>
                <w:bCs/>
                <w:szCs w:val="21"/>
              </w:rPr>
            </w:pPr>
          </w:p>
        </w:tc>
      </w:tr>
      <w:tr w14:paraId="48794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5FD557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116</w:t>
            </w:r>
          </w:p>
        </w:tc>
        <w:tc>
          <w:tcPr>
            <w:tcW w:w="841" w:type="dxa"/>
            <w:vMerge w:val="continue"/>
          </w:tcPr>
          <w:p w14:paraId="117D1E5D">
            <w:pPr>
              <w:spacing w:line="276" w:lineRule="auto"/>
              <w:jc w:val="center"/>
              <w:rPr>
                <w:rFonts w:ascii="宋体" w:hAnsi="宋体" w:eastAsia="宋体" w:cs="宋体"/>
                <w:bCs/>
                <w:szCs w:val="21"/>
              </w:rPr>
            </w:pPr>
          </w:p>
        </w:tc>
        <w:tc>
          <w:tcPr>
            <w:tcW w:w="1223" w:type="dxa"/>
            <w:shd w:val="clear" w:color="auto" w:fill="auto"/>
            <w:vAlign w:val="center"/>
          </w:tcPr>
          <w:p w14:paraId="5DDCE4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485串口转换器</w:t>
            </w:r>
          </w:p>
        </w:tc>
        <w:tc>
          <w:tcPr>
            <w:tcW w:w="890" w:type="dxa"/>
            <w:vAlign w:val="center"/>
          </w:tcPr>
          <w:p w14:paraId="6779AC9B">
            <w:pPr>
              <w:spacing w:line="276" w:lineRule="auto"/>
              <w:jc w:val="center"/>
              <w:rPr>
                <w:rFonts w:ascii="宋体" w:hAnsi="宋体" w:eastAsia="宋体" w:cs="宋体"/>
                <w:bCs/>
                <w:szCs w:val="21"/>
              </w:rPr>
            </w:pPr>
          </w:p>
        </w:tc>
        <w:tc>
          <w:tcPr>
            <w:tcW w:w="508" w:type="dxa"/>
            <w:vAlign w:val="center"/>
          </w:tcPr>
          <w:p w14:paraId="05AC0A35">
            <w:pPr>
              <w:spacing w:line="276" w:lineRule="auto"/>
              <w:jc w:val="center"/>
              <w:rPr>
                <w:rFonts w:ascii="宋体" w:hAnsi="宋体" w:eastAsia="宋体" w:cs="宋体"/>
                <w:bCs/>
                <w:szCs w:val="21"/>
              </w:rPr>
            </w:pPr>
          </w:p>
        </w:tc>
        <w:tc>
          <w:tcPr>
            <w:tcW w:w="810" w:type="dxa"/>
            <w:vAlign w:val="center"/>
          </w:tcPr>
          <w:p w14:paraId="4E9E7E3D">
            <w:pPr>
              <w:spacing w:line="276" w:lineRule="auto"/>
              <w:jc w:val="center"/>
              <w:rPr>
                <w:rFonts w:ascii="宋体" w:hAnsi="宋体" w:eastAsia="宋体" w:cs="宋体"/>
                <w:bCs/>
                <w:szCs w:val="21"/>
              </w:rPr>
            </w:pPr>
          </w:p>
        </w:tc>
        <w:tc>
          <w:tcPr>
            <w:tcW w:w="715" w:type="dxa"/>
            <w:vAlign w:val="center"/>
          </w:tcPr>
          <w:p w14:paraId="59EA6898">
            <w:pPr>
              <w:spacing w:line="276" w:lineRule="auto"/>
              <w:jc w:val="center"/>
              <w:rPr>
                <w:rFonts w:ascii="宋体" w:hAnsi="宋体" w:eastAsia="宋体" w:cs="宋体"/>
                <w:bCs/>
                <w:szCs w:val="21"/>
              </w:rPr>
            </w:pPr>
          </w:p>
        </w:tc>
        <w:tc>
          <w:tcPr>
            <w:tcW w:w="1160" w:type="dxa"/>
            <w:vAlign w:val="center"/>
          </w:tcPr>
          <w:p w14:paraId="573780B8">
            <w:pPr>
              <w:spacing w:line="276" w:lineRule="auto"/>
              <w:jc w:val="center"/>
              <w:rPr>
                <w:rFonts w:ascii="宋体" w:hAnsi="宋体" w:eastAsia="宋体" w:cs="宋体"/>
                <w:bCs/>
                <w:szCs w:val="21"/>
              </w:rPr>
            </w:pPr>
          </w:p>
        </w:tc>
        <w:tc>
          <w:tcPr>
            <w:tcW w:w="917" w:type="dxa"/>
            <w:shd w:val="clear" w:color="auto" w:fill="auto"/>
            <w:vAlign w:val="center"/>
          </w:tcPr>
          <w:p w14:paraId="2FC34C0A">
            <w:pPr>
              <w:spacing w:line="276" w:lineRule="auto"/>
              <w:jc w:val="center"/>
              <w:rPr>
                <w:rFonts w:ascii="宋体" w:hAnsi="宋体" w:eastAsia="宋体" w:cs="宋体"/>
                <w:bCs/>
                <w:szCs w:val="21"/>
              </w:rPr>
            </w:pPr>
          </w:p>
        </w:tc>
        <w:tc>
          <w:tcPr>
            <w:tcW w:w="666" w:type="dxa"/>
            <w:shd w:val="clear" w:color="auto" w:fill="auto"/>
            <w:vAlign w:val="center"/>
          </w:tcPr>
          <w:p w14:paraId="30278E6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550" w:type="dxa"/>
            <w:shd w:val="clear" w:color="auto" w:fill="auto"/>
            <w:vAlign w:val="center"/>
          </w:tcPr>
          <w:p w14:paraId="583A2C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5D322B60">
            <w:pPr>
              <w:spacing w:line="276" w:lineRule="auto"/>
              <w:jc w:val="center"/>
              <w:rPr>
                <w:rFonts w:ascii="宋体" w:hAnsi="宋体" w:eastAsia="宋体" w:cs="宋体"/>
                <w:bCs/>
                <w:szCs w:val="21"/>
              </w:rPr>
            </w:pPr>
          </w:p>
        </w:tc>
        <w:tc>
          <w:tcPr>
            <w:tcW w:w="983" w:type="dxa"/>
            <w:vAlign w:val="center"/>
          </w:tcPr>
          <w:p w14:paraId="5F627F98">
            <w:pPr>
              <w:spacing w:line="276" w:lineRule="auto"/>
              <w:jc w:val="center"/>
              <w:rPr>
                <w:rFonts w:ascii="宋体" w:hAnsi="宋体" w:eastAsia="宋体" w:cs="宋体"/>
                <w:bCs/>
                <w:szCs w:val="21"/>
              </w:rPr>
            </w:pPr>
          </w:p>
        </w:tc>
      </w:tr>
      <w:tr w14:paraId="3C4BC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3956E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t>（七）</w:t>
            </w:r>
          </w:p>
        </w:tc>
        <w:tc>
          <w:tcPr>
            <w:tcW w:w="841" w:type="dxa"/>
            <w:vMerge w:val="continue"/>
          </w:tcPr>
          <w:p w14:paraId="6589AFA6">
            <w:pPr>
              <w:spacing w:line="276" w:lineRule="auto"/>
              <w:jc w:val="center"/>
              <w:rPr>
                <w:rFonts w:ascii="宋体" w:hAnsi="宋体" w:eastAsia="宋体" w:cs="宋体"/>
                <w:bCs/>
                <w:szCs w:val="21"/>
              </w:rPr>
            </w:pPr>
          </w:p>
        </w:tc>
        <w:tc>
          <w:tcPr>
            <w:tcW w:w="9389" w:type="dxa"/>
            <w:gridSpan w:val="11"/>
            <w:vAlign w:val="center"/>
          </w:tcPr>
          <w:p w14:paraId="69B1C0C6">
            <w:pPr>
              <w:spacing w:line="276" w:lineRule="auto"/>
              <w:jc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辅助配套</w:t>
            </w:r>
          </w:p>
        </w:tc>
      </w:tr>
      <w:tr w14:paraId="29E82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DF5A965">
            <w:pPr>
              <w:snapToGrid w:val="0"/>
              <w:ind w:left="0" w:leftChars="0" w:right="0" w:rightChars="0" w:firstLine="0" w:firstLineChars="0"/>
              <w:jc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sz w:val="20"/>
                <w:szCs w:val="20"/>
                <w:u w:val="none"/>
                <w:lang w:val="en-US" w:eastAsia="zh-CN"/>
              </w:rPr>
              <w:t>/</w:t>
            </w:r>
          </w:p>
        </w:tc>
        <w:tc>
          <w:tcPr>
            <w:tcW w:w="841" w:type="dxa"/>
            <w:vMerge w:val="continue"/>
          </w:tcPr>
          <w:p w14:paraId="31DF9FAF">
            <w:pPr>
              <w:spacing w:line="276" w:lineRule="auto"/>
              <w:jc w:val="center"/>
              <w:rPr>
                <w:rFonts w:ascii="宋体" w:hAnsi="宋体" w:eastAsia="宋体" w:cs="宋体"/>
                <w:bCs/>
                <w:szCs w:val="21"/>
              </w:rPr>
            </w:pPr>
          </w:p>
        </w:tc>
        <w:tc>
          <w:tcPr>
            <w:tcW w:w="9389" w:type="dxa"/>
            <w:gridSpan w:val="11"/>
            <w:vAlign w:val="center"/>
          </w:tcPr>
          <w:p w14:paraId="4B48B8A1">
            <w:pPr>
              <w:spacing w:line="276" w:lineRule="auto"/>
              <w:jc w:val="center"/>
              <w:rPr>
                <w:rFonts w:hint="default" w:ascii="宋体" w:hAnsi="等线" w:eastAsia="宋体" w:cs="等线"/>
                <w:b/>
                <w:bCs/>
                <w:i w:val="0"/>
                <w:iCs w:val="0"/>
                <w:color w:val="000000"/>
                <w:kern w:val="0"/>
                <w:sz w:val="20"/>
                <w:szCs w:val="20"/>
                <w:u w:val="none"/>
                <w:lang w:val="en-US" w:eastAsia="zh-CN" w:bidi="ar"/>
              </w:rPr>
            </w:pPr>
            <w:r>
              <w:rPr>
                <w:rFonts w:hint="default" w:ascii="宋体" w:hAnsi="等线" w:eastAsia="宋体" w:cs="等线"/>
                <w:b/>
                <w:bCs/>
                <w:i w:val="0"/>
                <w:iCs w:val="0"/>
                <w:color w:val="000000"/>
                <w:kern w:val="0"/>
                <w:sz w:val="20"/>
                <w:szCs w:val="20"/>
                <w:u w:val="none"/>
                <w:lang w:val="en-US" w:eastAsia="zh-CN" w:bidi="ar"/>
              </w:rPr>
              <w:t>信号控制设备配套</w:t>
            </w:r>
          </w:p>
        </w:tc>
      </w:tr>
      <w:tr w14:paraId="4105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24A02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117</w:t>
            </w:r>
          </w:p>
        </w:tc>
        <w:tc>
          <w:tcPr>
            <w:tcW w:w="841" w:type="dxa"/>
            <w:vMerge w:val="continue"/>
          </w:tcPr>
          <w:p w14:paraId="03013A46">
            <w:pPr>
              <w:spacing w:line="276" w:lineRule="auto"/>
              <w:jc w:val="center"/>
              <w:rPr>
                <w:rFonts w:ascii="宋体" w:hAnsi="宋体" w:eastAsia="宋体" w:cs="宋体"/>
                <w:bCs/>
                <w:szCs w:val="21"/>
              </w:rPr>
            </w:pPr>
          </w:p>
        </w:tc>
        <w:tc>
          <w:tcPr>
            <w:tcW w:w="1223" w:type="dxa"/>
            <w:shd w:val="clear" w:color="auto" w:fill="auto"/>
            <w:vAlign w:val="center"/>
          </w:tcPr>
          <w:p w14:paraId="750E4CB3">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（7*1.5）</w:t>
            </w:r>
          </w:p>
        </w:tc>
        <w:tc>
          <w:tcPr>
            <w:tcW w:w="890" w:type="dxa"/>
            <w:vAlign w:val="center"/>
          </w:tcPr>
          <w:p w14:paraId="6157B40A">
            <w:pPr>
              <w:spacing w:line="276" w:lineRule="auto"/>
              <w:jc w:val="center"/>
              <w:rPr>
                <w:rFonts w:ascii="宋体" w:hAnsi="宋体" w:eastAsia="宋体" w:cs="宋体"/>
                <w:bCs/>
                <w:szCs w:val="21"/>
              </w:rPr>
            </w:pPr>
          </w:p>
        </w:tc>
        <w:tc>
          <w:tcPr>
            <w:tcW w:w="508" w:type="dxa"/>
            <w:vAlign w:val="center"/>
          </w:tcPr>
          <w:p w14:paraId="554626A4">
            <w:pPr>
              <w:spacing w:line="276" w:lineRule="auto"/>
              <w:jc w:val="center"/>
              <w:rPr>
                <w:rFonts w:ascii="宋体" w:hAnsi="宋体" w:eastAsia="宋体" w:cs="宋体"/>
                <w:bCs/>
                <w:szCs w:val="21"/>
              </w:rPr>
            </w:pPr>
          </w:p>
        </w:tc>
        <w:tc>
          <w:tcPr>
            <w:tcW w:w="810" w:type="dxa"/>
            <w:vAlign w:val="center"/>
          </w:tcPr>
          <w:p w14:paraId="52D24A15">
            <w:pPr>
              <w:spacing w:line="276" w:lineRule="auto"/>
              <w:jc w:val="center"/>
              <w:rPr>
                <w:rFonts w:ascii="宋体" w:hAnsi="宋体" w:eastAsia="宋体" w:cs="宋体"/>
                <w:bCs/>
                <w:szCs w:val="21"/>
              </w:rPr>
            </w:pPr>
          </w:p>
        </w:tc>
        <w:tc>
          <w:tcPr>
            <w:tcW w:w="715" w:type="dxa"/>
            <w:vAlign w:val="center"/>
          </w:tcPr>
          <w:p w14:paraId="4FD22984">
            <w:pPr>
              <w:spacing w:line="276" w:lineRule="auto"/>
              <w:jc w:val="center"/>
              <w:rPr>
                <w:rFonts w:ascii="宋体" w:hAnsi="宋体" w:eastAsia="宋体" w:cs="宋体"/>
                <w:bCs/>
                <w:szCs w:val="21"/>
              </w:rPr>
            </w:pPr>
          </w:p>
        </w:tc>
        <w:tc>
          <w:tcPr>
            <w:tcW w:w="1160" w:type="dxa"/>
            <w:vAlign w:val="center"/>
          </w:tcPr>
          <w:p w14:paraId="7384E7B4">
            <w:pPr>
              <w:spacing w:line="276" w:lineRule="auto"/>
              <w:jc w:val="center"/>
              <w:rPr>
                <w:rFonts w:ascii="宋体" w:hAnsi="宋体" w:eastAsia="宋体" w:cs="宋体"/>
                <w:bCs/>
                <w:szCs w:val="21"/>
              </w:rPr>
            </w:pPr>
          </w:p>
        </w:tc>
        <w:tc>
          <w:tcPr>
            <w:tcW w:w="917" w:type="dxa"/>
            <w:shd w:val="clear" w:color="auto" w:fill="auto"/>
            <w:vAlign w:val="center"/>
          </w:tcPr>
          <w:p w14:paraId="6042EF08">
            <w:pPr>
              <w:spacing w:line="276" w:lineRule="auto"/>
              <w:jc w:val="center"/>
              <w:rPr>
                <w:rFonts w:ascii="宋体" w:hAnsi="宋体" w:eastAsia="宋体" w:cs="宋体"/>
                <w:bCs/>
                <w:szCs w:val="21"/>
              </w:rPr>
            </w:pPr>
          </w:p>
        </w:tc>
        <w:tc>
          <w:tcPr>
            <w:tcW w:w="666" w:type="dxa"/>
            <w:shd w:val="clear" w:color="auto" w:fill="auto"/>
            <w:vAlign w:val="center"/>
          </w:tcPr>
          <w:p w14:paraId="5B7555EC">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10815</w:t>
            </w:r>
          </w:p>
        </w:tc>
        <w:tc>
          <w:tcPr>
            <w:tcW w:w="550" w:type="dxa"/>
            <w:shd w:val="clear" w:color="auto" w:fill="auto"/>
            <w:vAlign w:val="center"/>
          </w:tcPr>
          <w:p w14:paraId="3276C715">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5271DB18">
            <w:pPr>
              <w:spacing w:line="276" w:lineRule="auto"/>
              <w:jc w:val="center"/>
              <w:rPr>
                <w:rFonts w:ascii="宋体" w:hAnsi="宋体" w:eastAsia="宋体" w:cs="宋体"/>
                <w:bCs/>
                <w:szCs w:val="21"/>
              </w:rPr>
            </w:pPr>
          </w:p>
        </w:tc>
        <w:tc>
          <w:tcPr>
            <w:tcW w:w="983" w:type="dxa"/>
            <w:vAlign w:val="center"/>
          </w:tcPr>
          <w:p w14:paraId="72BAAC87">
            <w:pPr>
              <w:spacing w:line="276" w:lineRule="auto"/>
              <w:jc w:val="center"/>
              <w:rPr>
                <w:rFonts w:ascii="宋体" w:hAnsi="宋体" w:eastAsia="宋体" w:cs="宋体"/>
                <w:bCs/>
                <w:szCs w:val="21"/>
              </w:rPr>
            </w:pPr>
          </w:p>
        </w:tc>
      </w:tr>
      <w:tr w14:paraId="35639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E133E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118</w:t>
            </w:r>
          </w:p>
        </w:tc>
        <w:tc>
          <w:tcPr>
            <w:tcW w:w="841" w:type="dxa"/>
            <w:vMerge w:val="continue"/>
          </w:tcPr>
          <w:p w14:paraId="63C4F80D">
            <w:pPr>
              <w:spacing w:line="276" w:lineRule="auto"/>
              <w:jc w:val="center"/>
              <w:rPr>
                <w:rFonts w:ascii="宋体" w:hAnsi="宋体" w:eastAsia="宋体" w:cs="宋体"/>
                <w:bCs/>
                <w:szCs w:val="21"/>
              </w:rPr>
            </w:pPr>
          </w:p>
        </w:tc>
        <w:tc>
          <w:tcPr>
            <w:tcW w:w="1223" w:type="dxa"/>
            <w:shd w:val="clear" w:color="auto" w:fill="auto"/>
            <w:vAlign w:val="center"/>
          </w:tcPr>
          <w:p w14:paraId="0B13D877">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（4*1.5）</w:t>
            </w:r>
          </w:p>
        </w:tc>
        <w:tc>
          <w:tcPr>
            <w:tcW w:w="890" w:type="dxa"/>
            <w:vAlign w:val="center"/>
          </w:tcPr>
          <w:p w14:paraId="6D033D94">
            <w:pPr>
              <w:spacing w:line="276" w:lineRule="auto"/>
              <w:jc w:val="center"/>
              <w:rPr>
                <w:rFonts w:ascii="宋体" w:hAnsi="宋体" w:eastAsia="宋体" w:cs="宋体"/>
                <w:bCs/>
                <w:szCs w:val="21"/>
              </w:rPr>
            </w:pPr>
          </w:p>
        </w:tc>
        <w:tc>
          <w:tcPr>
            <w:tcW w:w="508" w:type="dxa"/>
            <w:vAlign w:val="center"/>
          </w:tcPr>
          <w:p w14:paraId="235D4A56">
            <w:pPr>
              <w:spacing w:line="276" w:lineRule="auto"/>
              <w:jc w:val="center"/>
              <w:rPr>
                <w:rFonts w:ascii="宋体" w:hAnsi="宋体" w:eastAsia="宋体" w:cs="宋体"/>
                <w:bCs/>
                <w:szCs w:val="21"/>
              </w:rPr>
            </w:pPr>
          </w:p>
        </w:tc>
        <w:tc>
          <w:tcPr>
            <w:tcW w:w="810" w:type="dxa"/>
            <w:vAlign w:val="center"/>
          </w:tcPr>
          <w:p w14:paraId="0D3A348C">
            <w:pPr>
              <w:spacing w:line="276" w:lineRule="auto"/>
              <w:jc w:val="center"/>
              <w:rPr>
                <w:rFonts w:ascii="宋体" w:hAnsi="宋体" w:eastAsia="宋体" w:cs="宋体"/>
                <w:bCs/>
                <w:szCs w:val="21"/>
              </w:rPr>
            </w:pPr>
          </w:p>
        </w:tc>
        <w:tc>
          <w:tcPr>
            <w:tcW w:w="715" w:type="dxa"/>
            <w:vAlign w:val="center"/>
          </w:tcPr>
          <w:p w14:paraId="116E80AA">
            <w:pPr>
              <w:spacing w:line="276" w:lineRule="auto"/>
              <w:jc w:val="center"/>
              <w:rPr>
                <w:rFonts w:ascii="宋体" w:hAnsi="宋体" w:eastAsia="宋体" w:cs="宋体"/>
                <w:bCs/>
                <w:szCs w:val="21"/>
              </w:rPr>
            </w:pPr>
          </w:p>
        </w:tc>
        <w:tc>
          <w:tcPr>
            <w:tcW w:w="1160" w:type="dxa"/>
            <w:vAlign w:val="center"/>
          </w:tcPr>
          <w:p w14:paraId="5BD04E84">
            <w:pPr>
              <w:spacing w:line="276" w:lineRule="auto"/>
              <w:jc w:val="center"/>
              <w:rPr>
                <w:rFonts w:ascii="宋体" w:hAnsi="宋体" w:eastAsia="宋体" w:cs="宋体"/>
                <w:bCs/>
                <w:szCs w:val="21"/>
              </w:rPr>
            </w:pPr>
          </w:p>
        </w:tc>
        <w:tc>
          <w:tcPr>
            <w:tcW w:w="917" w:type="dxa"/>
            <w:shd w:val="clear" w:color="auto" w:fill="auto"/>
            <w:vAlign w:val="center"/>
          </w:tcPr>
          <w:p w14:paraId="52210411">
            <w:pPr>
              <w:spacing w:line="276" w:lineRule="auto"/>
              <w:jc w:val="center"/>
              <w:rPr>
                <w:rFonts w:ascii="宋体" w:hAnsi="宋体" w:eastAsia="宋体" w:cs="宋体"/>
                <w:bCs/>
                <w:szCs w:val="21"/>
              </w:rPr>
            </w:pPr>
          </w:p>
        </w:tc>
        <w:tc>
          <w:tcPr>
            <w:tcW w:w="666" w:type="dxa"/>
            <w:shd w:val="clear" w:color="auto" w:fill="auto"/>
            <w:vAlign w:val="center"/>
          </w:tcPr>
          <w:p w14:paraId="669C2574">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14385</w:t>
            </w:r>
          </w:p>
        </w:tc>
        <w:tc>
          <w:tcPr>
            <w:tcW w:w="550" w:type="dxa"/>
            <w:shd w:val="clear" w:color="auto" w:fill="auto"/>
            <w:vAlign w:val="center"/>
          </w:tcPr>
          <w:p w14:paraId="7B04CE9E">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418A1D4B">
            <w:pPr>
              <w:spacing w:line="276" w:lineRule="auto"/>
              <w:jc w:val="center"/>
              <w:rPr>
                <w:rFonts w:ascii="宋体" w:hAnsi="宋体" w:eastAsia="宋体" w:cs="宋体"/>
                <w:bCs/>
                <w:szCs w:val="21"/>
              </w:rPr>
            </w:pPr>
          </w:p>
        </w:tc>
        <w:tc>
          <w:tcPr>
            <w:tcW w:w="983" w:type="dxa"/>
            <w:vAlign w:val="center"/>
          </w:tcPr>
          <w:p w14:paraId="44746E38">
            <w:pPr>
              <w:spacing w:line="276" w:lineRule="auto"/>
              <w:jc w:val="center"/>
              <w:rPr>
                <w:rFonts w:ascii="宋体" w:hAnsi="宋体" w:eastAsia="宋体" w:cs="宋体"/>
                <w:bCs/>
                <w:szCs w:val="21"/>
              </w:rPr>
            </w:pPr>
          </w:p>
        </w:tc>
      </w:tr>
      <w:tr w14:paraId="62C3F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A1DCA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119</w:t>
            </w:r>
          </w:p>
        </w:tc>
        <w:tc>
          <w:tcPr>
            <w:tcW w:w="841" w:type="dxa"/>
            <w:vMerge w:val="continue"/>
          </w:tcPr>
          <w:p w14:paraId="54C99D7E">
            <w:pPr>
              <w:spacing w:line="276" w:lineRule="auto"/>
              <w:jc w:val="center"/>
              <w:rPr>
                <w:rFonts w:ascii="宋体" w:hAnsi="宋体" w:eastAsia="宋体" w:cs="宋体"/>
                <w:bCs/>
                <w:szCs w:val="21"/>
              </w:rPr>
            </w:pPr>
          </w:p>
        </w:tc>
        <w:tc>
          <w:tcPr>
            <w:tcW w:w="1223" w:type="dxa"/>
            <w:shd w:val="clear" w:color="auto" w:fill="auto"/>
            <w:vAlign w:val="center"/>
          </w:tcPr>
          <w:p w14:paraId="3D417D3F">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（4*1.0）</w:t>
            </w:r>
          </w:p>
        </w:tc>
        <w:tc>
          <w:tcPr>
            <w:tcW w:w="890" w:type="dxa"/>
            <w:vAlign w:val="center"/>
          </w:tcPr>
          <w:p w14:paraId="65A1ECF6">
            <w:pPr>
              <w:spacing w:line="276" w:lineRule="auto"/>
              <w:jc w:val="center"/>
              <w:rPr>
                <w:rFonts w:ascii="宋体" w:hAnsi="宋体" w:eastAsia="宋体" w:cs="宋体"/>
                <w:bCs/>
                <w:szCs w:val="21"/>
              </w:rPr>
            </w:pPr>
          </w:p>
        </w:tc>
        <w:tc>
          <w:tcPr>
            <w:tcW w:w="508" w:type="dxa"/>
            <w:vAlign w:val="center"/>
          </w:tcPr>
          <w:p w14:paraId="59799A2E">
            <w:pPr>
              <w:spacing w:line="276" w:lineRule="auto"/>
              <w:jc w:val="center"/>
              <w:rPr>
                <w:rFonts w:ascii="宋体" w:hAnsi="宋体" w:eastAsia="宋体" w:cs="宋体"/>
                <w:bCs/>
                <w:szCs w:val="21"/>
              </w:rPr>
            </w:pPr>
          </w:p>
        </w:tc>
        <w:tc>
          <w:tcPr>
            <w:tcW w:w="810" w:type="dxa"/>
            <w:vAlign w:val="center"/>
          </w:tcPr>
          <w:p w14:paraId="70A3F2F7">
            <w:pPr>
              <w:spacing w:line="276" w:lineRule="auto"/>
              <w:jc w:val="center"/>
              <w:rPr>
                <w:rFonts w:ascii="宋体" w:hAnsi="宋体" w:eastAsia="宋体" w:cs="宋体"/>
                <w:bCs/>
                <w:szCs w:val="21"/>
              </w:rPr>
            </w:pPr>
          </w:p>
        </w:tc>
        <w:tc>
          <w:tcPr>
            <w:tcW w:w="715" w:type="dxa"/>
            <w:vAlign w:val="center"/>
          </w:tcPr>
          <w:p w14:paraId="682C15F4">
            <w:pPr>
              <w:spacing w:line="276" w:lineRule="auto"/>
              <w:jc w:val="center"/>
              <w:rPr>
                <w:rFonts w:ascii="宋体" w:hAnsi="宋体" w:eastAsia="宋体" w:cs="宋体"/>
                <w:bCs/>
                <w:szCs w:val="21"/>
              </w:rPr>
            </w:pPr>
          </w:p>
        </w:tc>
        <w:tc>
          <w:tcPr>
            <w:tcW w:w="1160" w:type="dxa"/>
            <w:vAlign w:val="center"/>
          </w:tcPr>
          <w:p w14:paraId="51059BDC">
            <w:pPr>
              <w:spacing w:line="276" w:lineRule="auto"/>
              <w:jc w:val="center"/>
              <w:rPr>
                <w:rFonts w:ascii="宋体" w:hAnsi="宋体" w:eastAsia="宋体" w:cs="宋体"/>
                <w:bCs/>
                <w:szCs w:val="21"/>
              </w:rPr>
            </w:pPr>
          </w:p>
        </w:tc>
        <w:tc>
          <w:tcPr>
            <w:tcW w:w="917" w:type="dxa"/>
            <w:shd w:val="clear" w:color="auto" w:fill="auto"/>
            <w:vAlign w:val="center"/>
          </w:tcPr>
          <w:p w14:paraId="139FA7C8">
            <w:pPr>
              <w:spacing w:line="276" w:lineRule="auto"/>
              <w:jc w:val="center"/>
              <w:rPr>
                <w:rFonts w:ascii="宋体" w:hAnsi="宋体" w:eastAsia="宋体" w:cs="宋体"/>
                <w:bCs/>
                <w:szCs w:val="21"/>
              </w:rPr>
            </w:pPr>
          </w:p>
        </w:tc>
        <w:tc>
          <w:tcPr>
            <w:tcW w:w="666" w:type="dxa"/>
            <w:shd w:val="clear" w:color="auto" w:fill="auto"/>
            <w:vAlign w:val="center"/>
          </w:tcPr>
          <w:p w14:paraId="55B38E1B">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40455</w:t>
            </w:r>
          </w:p>
        </w:tc>
        <w:tc>
          <w:tcPr>
            <w:tcW w:w="550" w:type="dxa"/>
            <w:shd w:val="clear" w:color="auto" w:fill="auto"/>
            <w:vAlign w:val="center"/>
          </w:tcPr>
          <w:p w14:paraId="29A4DA14">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7301DC8B">
            <w:pPr>
              <w:spacing w:line="276" w:lineRule="auto"/>
              <w:jc w:val="center"/>
              <w:rPr>
                <w:rFonts w:ascii="宋体" w:hAnsi="宋体" w:eastAsia="宋体" w:cs="宋体"/>
                <w:bCs/>
                <w:szCs w:val="21"/>
              </w:rPr>
            </w:pPr>
          </w:p>
        </w:tc>
        <w:tc>
          <w:tcPr>
            <w:tcW w:w="983" w:type="dxa"/>
            <w:vAlign w:val="center"/>
          </w:tcPr>
          <w:p w14:paraId="1937BC5F">
            <w:pPr>
              <w:spacing w:line="276" w:lineRule="auto"/>
              <w:jc w:val="center"/>
              <w:rPr>
                <w:rFonts w:ascii="宋体" w:hAnsi="宋体" w:eastAsia="宋体" w:cs="宋体"/>
                <w:bCs/>
                <w:szCs w:val="21"/>
              </w:rPr>
            </w:pPr>
          </w:p>
        </w:tc>
      </w:tr>
      <w:tr w14:paraId="10DA8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E5AB4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120</w:t>
            </w:r>
          </w:p>
        </w:tc>
        <w:tc>
          <w:tcPr>
            <w:tcW w:w="841" w:type="dxa"/>
            <w:vMerge w:val="continue"/>
          </w:tcPr>
          <w:p w14:paraId="3B3EB256">
            <w:pPr>
              <w:spacing w:line="276" w:lineRule="auto"/>
              <w:jc w:val="center"/>
              <w:rPr>
                <w:rFonts w:ascii="宋体" w:hAnsi="宋体" w:eastAsia="宋体" w:cs="宋体"/>
                <w:bCs/>
                <w:szCs w:val="21"/>
              </w:rPr>
            </w:pPr>
          </w:p>
        </w:tc>
        <w:tc>
          <w:tcPr>
            <w:tcW w:w="1223" w:type="dxa"/>
            <w:shd w:val="clear" w:color="auto" w:fill="auto"/>
            <w:vAlign w:val="center"/>
          </w:tcPr>
          <w:p w14:paraId="4F9D1638">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（3*1.5）</w:t>
            </w:r>
          </w:p>
        </w:tc>
        <w:tc>
          <w:tcPr>
            <w:tcW w:w="890" w:type="dxa"/>
            <w:vAlign w:val="center"/>
          </w:tcPr>
          <w:p w14:paraId="268718DA">
            <w:pPr>
              <w:spacing w:line="276" w:lineRule="auto"/>
              <w:jc w:val="center"/>
              <w:rPr>
                <w:rFonts w:ascii="宋体" w:hAnsi="宋体" w:eastAsia="宋体" w:cs="宋体"/>
                <w:bCs/>
                <w:szCs w:val="21"/>
              </w:rPr>
            </w:pPr>
          </w:p>
        </w:tc>
        <w:tc>
          <w:tcPr>
            <w:tcW w:w="508" w:type="dxa"/>
            <w:vAlign w:val="center"/>
          </w:tcPr>
          <w:p w14:paraId="14D39C35">
            <w:pPr>
              <w:spacing w:line="276" w:lineRule="auto"/>
              <w:jc w:val="center"/>
              <w:rPr>
                <w:rFonts w:ascii="宋体" w:hAnsi="宋体" w:eastAsia="宋体" w:cs="宋体"/>
                <w:bCs/>
                <w:szCs w:val="21"/>
              </w:rPr>
            </w:pPr>
          </w:p>
        </w:tc>
        <w:tc>
          <w:tcPr>
            <w:tcW w:w="810" w:type="dxa"/>
            <w:vAlign w:val="center"/>
          </w:tcPr>
          <w:p w14:paraId="7C92EE08">
            <w:pPr>
              <w:spacing w:line="276" w:lineRule="auto"/>
              <w:jc w:val="center"/>
              <w:rPr>
                <w:rFonts w:ascii="宋体" w:hAnsi="宋体" w:eastAsia="宋体" w:cs="宋体"/>
                <w:bCs/>
                <w:szCs w:val="21"/>
              </w:rPr>
            </w:pPr>
          </w:p>
        </w:tc>
        <w:tc>
          <w:tcPr>
            <w:tcW w:w="715" w:type="dxa"/>
            <w:vAlign w:val="center"/>
          </w:tcPr>
          <w:p w14:paraId="1810E934">
            <w:pPr>
              <w:spacing w:line="276" w:lineRule="auto"/>
              <w:jc w:val="center"/>
              <w:rPr>
                <w:rFonts w:ascii="宋体" w:hAnsi="宋体" w:eastAsia="宋体" w:cs="宋体"/>
                <w:bCs/>
                <w:szCs w:val="21"/>
              </w:rPr>
            </w:pPr>
          </w:p>
        </w:tc>
        <w:tc>
          <w:tcPr>
            <w:tcW w:w="1160" w:type="dxa"/>
            <w:vAlign w:val="center"/>
          </w:tcPr>
          <w:p w14:paraId="0BE02426">
            <w:pPr>
              <w:spacing w:line="276" w:lineRule="auto"/>
              <w:jc w:val="center"/>
              <w:rPr>
                <w:rFonts w:ascii="宋体" w:hAnsi="宋体" w:eastAsia="宋体" w:cs="宋体"/>
                <w:bCs/>
                <w:szCs w:val="21"/>
              </w:rPr>
            </w:pPr>
          </w:p>
        </w:tc>
        <w:tc>
          <w:tcPr>
            <w:tcW w:w="917" w:type="dxa"/>
            <w:shd w:val="clear" w:color="auto" w:fill="auto"/>
            <w:vAlign w:val="center"/>
          </w:tcPr>
          <w:p w14:paraId="4532430A">
            <w:pPr>
              <w:spacing w:line="276" w:lineRule="auto"/>
              <w:jc w:val="center"/>
              <w:rPr>
                <w:rFonts w:ascii="宋体" w:hAnsi="宋体" w:eastAsia="宋体" w:cs="宋体"/>
                <w:bCs/>
                <w:szCs w:val="21"/>
              </w:rPr>
            </w:pPr>
          </w:p>
        </w:tc>
        <w:tc>
          <w:tcPr>
            <w:tcW w:w="666" w:type="dxa"/>
            <w:shd w:val="clear" w:color="auto" w:fill="auto"/>
            <w:vAlign w:val="center"/>
          </w:tcPr>
          <w:p w14:paraId="03D4FE64">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29640</w:t>
            </w:r>
          </w:p>
        </w:tc>
        <w:tc>
          <w:tcPr>
            <w:tcW w:w="550" w:type="dxa"/>
            <w:shd w:val="clear" w:color="auto" w:fill="auto"/>
            <w:vAlign w:val="center"/>
          </w:tcPr>
          <w:p w14:paraId="1B688515">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085E414D">
            <w:pPr>
              <w:spacing w:line="276" w:lineRule="auto"/>
              <w:jc w:val="center"/>
              <w:rPr>
                <w:rFonts w:ascii="宋体" w:hAnsi="宋体" w:eastAsia="宋体" w:cs="宋体"/>
                <w:bCs/>
                <w:szCs w:val="21"/>
              </w:rPr>
            </w:pPr>
          </w:p>
        </w:tc>
        <w:tc>
          <w:tcPr>
            <w:tcW w:w="983" w:type="dxa"/>
            <w:vAlign w:val="center"/>
          </w:tcPr>
          <w:p w14:paraId="6512B433">
            <w:pPr>
              <w:spacing w:line="276" w:lineRule="auto"/>
              <w:jc w:val="center"/>
              <w:rPr>
                <w:rFonts w:ascii="宋体" w:hAnsi="宋体" w:eastAsia="宋体" w:cs="宋体"/>
                <w:bCs/>
                <w:szCs w:val="21"/>
              </w:rPr>
            </w:pPr>
          </w:p>
        </w:tc>
      </w:tr>
      <w:tr w14:paraId="426AD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62A4A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121</w:t>
            </w:r>
          </w:p>
        </w:tc>
        <w:tc>
          <w:tcPr>
            <w:tcW w:w="841" w:type="dxa"/>
            <w:vMerge w:val="continue"/>
          </w:tcPr>
          <w:p w14:paraId="3E6DBB47">
            <w:pPr>
              <w:spacing w:line="276" w:lineRule="auto"/>
              <w:jc w:val="center"/>
              <w:rPr>
                <w:rFonts w:ascii="宋体" w:hAnsi="宋体" w:eastAsia="宋体" w:cs="宋体"/>
                <w:bCs/>
                <w:szCs w:val="21"/>
              </w:rPr>
            </w:pPr>
          </w:p>
        </w:tc>
        <w:tc>
          <w:tcPr>
            <w:tcW w:w="1223" w:type="dxa"/>
            <w:shd w:val="clear" w:color="auto" w:fill="auto"/>
            <w:vAlign w:val="center"/>
          </w:tcPr>
          <w:p w14:paraId="3D487654">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（3*1.0）</w:t>
            </w:r>
          </w:p>
        </w:tc>
        <w:tc>
          <w:tcPr>
            <w:tcW w:w="890" w:type="dxa"/>
            <w:vAlign w:val="center"/>
          </w:tcPr>
          <w:p w14:paraId="6F49F6FA">
            <w:pPr>
              <w:spacing w:line="276" w:lineRule="auto"/>
              <w:jc w:val="center"/>
              <w:rPr>
                <w:rFonts w:ascii="宋体" w:hAnsi="宋体" w:eastAsia="宋体" w:cs="宋体"/>
                <w:bCs/>
                <w:szCs w:val="21"/>
              </w:rPr>
            </w:pPr>
          </w:p>
        </w:tc>
        <w:tc>
          <w:tcPr>
            <w:tcW w:w="508" w:type="dxa"/>
            <w:vAlign w:val="center"/>
          </w:tcPr>
          <w:p w14:paraId="32F46510">
            <w:pPr>
              <w:spacing w:line="276" w:lineRule="auto"/>
              <w:jc w:val="center"/>
              <w:rPr>
                <w:rFonts w:ascii="宋体" w:hAnsi="宋体" w:eastAsia="宋体" w:cs="宋体"/>
                <w:bCs/>
                <w:szCs w:val="21"/>
              </w:rPr>
            </w:pPr>
          </w:p>
        </w:tc>
        <w:tc>
          <w:tcPr>
            <w:tcW w:w="810" w:type="dxa"/>
            <w:vAlign w:val="center"/>
          </w:tcPr>
          <w:p w14:paraId="46B71092">
            <w:pPr>
              <w:spacing w:line="276" w:lineRule="auto"/>
              <w:jc w:val="center"/>
              <w:rPr>
                <w:rFonts w:ascii="宋体" w:hAnsi="宋体" w:eastAsia="宋体" w:cs="宋体"/>
                <w:bCs/>
                <w:szCs w:val="21"/>
              </w:rPr>
            </w:pPr>
          </w:p>
        </w:tc>
        <w:tc>
          <w:tcPr>
            <w:tcW w:w="715" w:type="dxa"/>
            <w:vAlign w:val="center"/>
          </w:tcPr>
          <w:p w14:paraId="697E03F1">
            <w:pPr>
              <w:spacing w:line="276" w:lineRule="auto"/>
              <w:jc w:val="center"/>
              <w:rPr>
                <w:rFonts w:ascii="宋体" w:hAnsi="宋体" w:eastAsia="宋体" w:cs="宋体"/>
                <w:bCs/>
                <w:szCs w:val="21"/>
              </w:rPr>
            </w:pPr>
          </w:p>
        </w:tc>
        <w:tc>
          <w:tcPr>
            <w:tcW w:w="1160" w:type="dxa"/>
            <w:vAlign w:val="center"/>
          </w:tcPr>
          <w:p w14:paraId="554BD684">
            <w:pPr>
              <w:spacing w:line="276" w:lineRule="auto"/>
              <w:jc w:val="center"/>
              <w:rPr>
                <w:rFonts w:ascii="宋体" w:hAnsi="宋体" w:eastAsia="宋体" w:cs="宋体"/>
                <w:bCs/>
                <w:szCs w:val="21"/>
              </w:rPr>
            </w:pPr>
          </w:p>
        </w:tc>
        <w:tc>
          <w:tcPr>
            <w:tcW w:w="917" w:type="dxa"/>
            <w:shd w:val="clear" w:color="auto" w:fill="auto"/>
            <w:vAlign w:val="center"/>
          </w:tcPr>
          <w:p w14:paraId="4AE44985">
            <w:pPr>
              <w:spacing w:line="276" w:lineRule="auto"/>
              <w:jc w:val="center"/>
              <w:rPr>
                <w:rFonts w:ascii="宋体" w:hAnsi="宋体" w:eastAsia="宋体" w:cs="宋体"/>
                <w:bCs/>
                <w:szCs w:val="21"/>
              </w:rPr>
            </w:pPr>
          </w:p>
        </w:tc>
        <w:tc>
          <w:tcPr>
            <w:tcW w:w="666" w:type="dxa"/>
            <w:shd w:val="clear" w:color="auto" w:fill="auto"/>
            <w:vAlign w:val="center"/>
          </w:tcPr>
          <w:p w14:paraId="1D31D1D1">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2210</w:t>
            </w:r>
          </w:p>
        </w:tc>
        <w:tc>
          <w:tcPr>
            <w:tcW w:w="550" w:type="dxa"/>
            <w:shd w:val="clear" w:color="auto" w:fill="auto"/>
            <w:vAlign w:val="center"/>
          </w:tcPr>
          <w:p w14:paraId="565D58EE">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603C16F0">
            <w:pPr>
              <w:spacing w:line="276" w:lineRule="auto"/>
              <w:jc w:val="center"/>
              <w:rPr>
                <w:rFonts w:ascii="宋体" w:hAnsi="宋体" w:eastAsia="宋体" w:cs="宋体"/>
                <w:bCs/>
                <w:szCs w:val="21"/>
              </w:rPr>
            </w:pPr>
          </w:p>
        </w:tc>
        <w:tc>
          <w:tcPr>
            <w:tcW w:w="983" w:type="dxa"/>
            <w:vAlign w:val="center"/>
          </w:tcPr>
          <w:p w14:paraId="293679AB">
            <w:pPr>
              <w:spacing w:line="276" w:lineRule="auto"/>
              <w:jc w:val="center"/>
              <w:rPr>
                <w:rFonts w:ascii="宋体" w:hAnsi="宋体" w:eastAsia="宋体" w:cs="宋体"/>
                <w:bCs/>
                <w:szCs w:val="21"/>
              </w:rPr>
            </w:pPr>
          </w:p>
        </w:tc>
      </w:tr>
      <w:tr w14:paraId="031AE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3C492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122</w:t>
            </w:r>
          </w:p>
        </w:tc>
        <w:tc>
          <w:tcPr>
            <w:tcW w:w="841" w:type="dxa"/>
            <w:vMerge w:val="continue"/>
          </w:tcPr>
          <w:p w14:paraId="1BD791E3">
            <w:pPr>
              <w:spacing w:line="276" w:lineRule="auto"/>
              <w:jc w:val="center"/>
              <w:rPr>
                <w:rFonts w:ascii="宋体" w:hAnsi="宋体" w:eastAsia="宋体" w:cs="宋体"/>
                <w:bCs/>
                <w:szCs w:val="21"/>
              </w:rPr>
            </w:pPr>
          </w:p>
        </w:tc>
        <w:tc>
          <w:tcPr>
            <w:tcW w:w="1223" w:type="dxa"/>
            <w:shd w:val="clear" w:color="auto" w:fill="auto"/>
            <w:vAlign w:val="center"/>
          </w:tcPr>
          <w:p w14:paraId="12258FD9">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运营管理单位告知牌</w:t>
            </w:r>
          </w:p>
        </w:tc>
        <w:tc>
          <w:tcPr>
            <w:tcW w:w="890" w:type="dxa"/>
            <w:vAlign w:val="center"/>
          </w:tcPr>
          <w:p w14:paraId="37466AB5">
            <w:pPr>
              <w:spacing w:line="276" w:lineRule="auto"/>
              <w:jc w:val="center"/>
              <w:rPr>
                <w:rFonts w:ascii="宋体" w:hAnsi="宋体" w:eastAsia="宋体" w:cs="宋体"/>
                <w:bCs/>
                <w:szCs w:val="21"/>
              </w:rPr>
            </w:pPr>
          </w:p>
        </w:tc>
        <w:tc>
          <w:tcPr>
            <w:tcW w:w="508" w:type="dxa"/>
            <w:vAlign w:val="center"/>
          </w:tcPr>
          <w:p w14:paraId="277A7B14">
            <w:pPr>
              <w:spacing w:line="276" w:lineRule="auto"/>
              <w:jc w:val="center"/>
              <w:rPr>
                <w:rFonts w:ascii="宋体" w:hAnsi="宋体" w:eastAsia="宋体" w:cs="宋体"/>
                <w:bCs/>
                <w:szCs w:val="21"/>
              </w:rPr>
            </w:pPr>
          </w:p>
        </w:tc>
        <w:tc>
          <w:tcPr>
            <w:tcW w:w="810" w:type="dxa"/>
            <w:vAlign w:val="center"/>
          </w:tcPr>
          <w:p w14:paraId="23CA1134">
            <w:pPr>
              <w:spacing w:line="276" w:lineRule="auto"/>
              <w:jc w:val="center"/>
              <w:rPr>
                <w:rFonts w:ascii="宋体" w:hAnsi="宋体" w:eastAsia="宋体" w:cs="宋体"/>
                <w:bCs/>
                <w:szCs w:val="21"/>
              </w:rPr>
            </w:pPr>
          </w:p>
        </w:tc>
        <w:tc>
          <w:tcPr>
            <w:tcW w:w="715" w:type="dxa"/>
            <w:vAlign w:val="center"/>
          </w:tcPr>
          <w:p w14:paraId="236577B1">
            <w:pPr>
              <w:spacing w:line="276" w:lineRule="auto"/>
              <w:jc w:val="center"/>
              <w:rPr>
                <w:rFonts w:ascii="宋体" w:hAnsi="宋体" w:eastAsia="宋体" w:cs="宋体"/>
                <w:bCs/>
                <w:szCs w:val="21"/>
              </w:rPr>
            </w:pPr>
          </w:p>
        </w:tc>
        <w:tc>
          <w:tcPr>
            <w:tcW w:w="1160" w:type="dxa"/>
            <w:vAlign w:val="center"/>
          </w:tcPr>
          <w:p w14:paraId="0EA1EB32">
            <w:pPr>
              <w:spacing w:line="276" w:lineRule="auto"/>
              <w:jc w:val="center"/>
              <w:rPr>
                <w:rFonts w:ascii="宋体" w:hAnsi="宋体" w:eastAsia="宋体" w:cs="宋体"/>
                <w:bCs/>
                <w:szCs w:val="21"/>
              </w:rPr>
            </w:pPr>
          </w:p>
        </w:tc>
        <w:tc>
          <w:tcPr>
            <w:tcW w:w="917" w:type="dxa"/>
            <w:shd w:val="clear" w:color="auto" w:fill="auto"/>
            <w:vAlign w:val="center"/>
          </w:tcPr>
          <w:p w14:paraId="643CF3C5">
            <w:pPr>
              <w:spacing w:line="276" w:lineRule="auto"/>
              <w:jc w:val="center"/>
              <w:rPr>
                <w:rFonts w:ascii="宋体" w:hAnsi="宋体" w:eastAsia="宋体" w:cs="宋体"/>
                <w:bCs/>
                <w:szCs w:val="21"/>
              </w:rPr>
            </w:pPr>
          </w:p>
        </w:tc>
        <w:tc>
          <w:tcPr>
            <w:tcW w:w="666" w:type="dxa"/>
            <w:shd w:val="clear" w:color="auto" w:fill="auto"/>
            <w:vAlign w:val="center"/>
          </w:tcPr>
          <w:p w14:paraId="49422674">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90</w:t>
            </w:r>
          </w:p>
        </w:tc>
        <w:tc>
          <w:tcPr>
            <w:tcW w:w="550" w:type="dxa"/>
            <w:shd w:val="clear" w:color="auto" w:fill="auto"/>
            <w:vAlign w:val="center"/>
          </w:tcPr>
          <w:p w14:paraId="5A2ABC38">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套</w:t>
            </w:r>
          </w:p>
        </w:tc>
        <w:tc>
          <w:tcPr>
            <w:tcW w:w="967" w:type="dxa"/>
            <w:vAlign w:val="center"/>
          </w:tcPr>
          <w:p w14:paraId="56AE8C99">
            <w:pPr>
              <w:spacing w:line="276" w:lineRule="auto"/>
              <w:jc w:val="center"/>
              <w:rPr>
                <w:rFonts w:ascii="宋体" w:hAnsi="宋体" w:eastAsia="宋体" w:cs="宋体"/>
                <w:bCs/>
                <w:szCs w:val="21"/>
              </w:rPr>
            </w:pPr>
          </w:p>
        </w:tc>
        <w:tc>
          <w:tcPr>
            <w:tcW w:w="983" w:type="dxa"/>
            <w:vAlign w:val="center"/>
          </w:tcPr>
          <w:p w14:paraId="25FF279B">
            <w:pPr>
              <w:spacing w:line="276" w:lineRule="auto"/>
              <w:jc w:val="center"/>
              <w:rPr>
                <w:rFonts w:ascii="宋体" w:hAnsi="宋体" w:eastAsia="宋体" w:cs="宋体"/>
                <w:bCs/>
                <w:szCs w:val="21"/>
              </w:rPr>
            </w:pPr>
          </w:p>
        </w:tc>
      </w:tr>
      <w:tr w14:paraId="6271C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7F180E84">
            <w:pPr>
              <w:snapToGrid w:val="0"/>
              <w:ind w:left="0" w:leftChars="0" w:right="0" w:rightChars="0" w:firstLine="0" w:firstLineChars="0"/>
              <w:jc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sz w:val="20"/>
                <w:szCs w:val="20"/>
                <w:u w:val="none"/>
                <w:lang w:val="en-US" w:eastAsia="zh-CN"/>
              </w:rPr>
              <w:t>/</w:t>
            </w:r>
          </w:p>
        </w:tc>
        <w:tc>
          <w:tcPr>
            <w:tcW w:w="841" w:type="dxa"/>
            <w:vMerge w:val="continue"/>
          </w:tcPr>
          <w:p w14:paraId="1863B0A3">
            <w:pPr>
              <w:spacing w:line="276" w:lineRule="auto"/>
              <w:jc w:val="center"/>
              <w:rPr>
                <w:rFonts w:ascii="宋体" w:hAnsi="宋体" w:eastAsia="宋体" w:cs="宋体"/>
                <w:bCs/>
                <w:szCs w:val="21"/>
              </w:rPr>
            </w:pPr>
          </w:p>
        </w:tc>
        <w:tc>
          <w:tcPr>
            <w:tcW w:w="9389" w:type="dxa"/>
            <w:gridSpan w:val="11"/>
            <w:vAlign w:val="center"/>
          </w:tcPr>
          <w:p w14:paraId="029F9722">
            <w:pPr>
              <w:spacing w:line="276" w:lineRule="auto"/>
              <w:jc w:val="center"/>
              <w:rPr>
                <w:rFonts w:hint="default" w:ascii="宋体" w:hAnsi="等线" w:eastAsia="宋体" w:cs="等线"/>
                <w:b/>
                <w:bCs/>
                <w:i w:val="0"/>
                <w:iCs w:val="0"/>
                <w:color w:val="000000"/>
                <w:kern w:val="0"/>
                <w:sz w:val="20"/>
                <w:szCs w:val="20"/>
                <w:u w:val="none"/>
                <w:lang w:val="en-US" w:eastAsia="zh-CN" w:bidi="ar"/>
              </w:rPr>
            </w:pPr>
            <w:r>
              <w:rPr>
                <w:rFonts w:hint="default" w:ascii="宋体" w:hAnsi="等线" w:eastAsia="宋体" w:cs="等线"/>
                <w:b/>
                <w:bCs/>
                <w:i w:val="0"/>
                <w:iCs w:val="0"/>
                <w:color w:val="000000"/>
                <w:kern w:val="0"/>
                <w:sz w:val="20"/>
                <w:szCs w:val="20"/>
                <w:u w:val="none"/>
                <w:lang w:val="en-US" w:eastAsia="zh-CN" w:bidi="ar"/>
              </w:rPr>
              <w:t>电警卡口设备配套</w:t>
            </w:r>
          </w:p>
        </w:tc>
      </w:tr>
      <w:tr w14:paraId="10D0D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45172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123</w:t>
            </w:r>
          </w:p>
        </w:tc>
        <w:tc>
          <w:tcPr>
            <w:tcW w:w="841" w:type="dxa"/>
            <w:vMerge w:val="continue"/>
          </w:tcPr>
          <w:p w14:paraId="4581A697">
            <w:pPr>
              <w:spacing w:line="276" w:lineRule="auto"/>
              <w:jc w:val="center"/>
              <w:rPr>
                <w:rFonts w:ascii="宋体" w:hAnsi="宋体" w:eastAsia="宋体" w:cs="宋体"/>
                <w:bCs/>
                <w:szCs w:val="21"/>
              </w:rPr>
            </w:pPr>
          </w:p>
        </w:tc>
        <w:tc>
          <w:tcPr>
            <w:tcW w:w="1223" w:type="dxa"/>
            <w:shd w:val="clear" w:color="auto" w:fill="auto"/>
            <w:vAlign w:val="center"/>
          </w:tcPr>
          <w:p w14:paraId="0D706F5D">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光缆终端盒</w:t>
            </w:r>
          </w:p>
        </w:tc>
        <w:tc>
          <w:tcPr>
            <w:tcW w:w="890" w:type="dxa"/>
            <w:vAlign w:val="center"/>
          </w:tcPr>
          <w:p w14:paraId="529E03C5">
            <w:pPr>
              <w:spacing w:line="276" w:lineRule="auto"/>
              <w:jc w:val="center"/>
              <w:rPr>
                <w:rFonts w:ascii="宋体" w:hAnsi="宋体" w:eastAsia="宋体" w:cs="宋体"/>
                <w:bCs/>
                <w:szCs w:val="21"/>
              </w:rPr>
            </w:pPr>
          </w:p>
        </w:tc>
        <w:tc>
          <w:tcPr>
            <w:tcW w:w="508" w:type="dxa"/>
            <w:vAlign w:val="center"/>
          </w:tcPr>
          <w:p w14:paraId="5E7FD1C4">
            <w:pPr>
              <w:spacing w:line="276" w:lineRule="auto"/>
              <w:jc w:val="center"/>
              <w:rPr>
                <w:rFonts w:ascii="宋体" w:hAnsi="宋体" w:eastAsia="宋体" w:cs="宋体"/>
                <w:bCs/>
                <w:szCs w:val="21"/>
              </w:rPr>
            </w:pPr>
          </w:p>
        </w:tc>
        <w:tc>
          <w:tcPr>
            <w:tcW w:w="810" w:type="dxa"/>
            <w:vAlign w:val="center"/>
          </w:tcPr>
          <w:p w14:paraId="5B55583E">
            <w:pPr>
              <w:spacing w:line="276" w:lineRule="auto"/>
              <w:jc w:val="center"/>
              <w:rPr>
                <w:rFonts w:ascii="宋体" w:hAnsi="宋体" w:eastAsia="宋体" w:cs="宋体"/>
                <w:bCs/>
                <w:szCs w:val="21"/>
              </w:rPr>
            </w:pPr>
          </w:p>
        </w:tc>
        <w:tc>
          <w:tcPr>
            <w:tcW w:w="715" w:type="dxa"/>
            <w:vAlign w:val="center"/>
          </w:tcPr>
          <w:p w14:paraId="55B69D9B">
            <w:pPr>
              <w:spacing w:line="276" w:lineRule="auto"/>
              <w:jc w:val="center"/>
              <w:rPr>
                <w:rFonts w:ascii="宋体" w:hAnsi="宋体" w:eastAsia="宋体" w:cs="宋体"/>
                <w:bCs/>
                <w:szCs w:val="21"/>
              </w:rPr>
            </w:pPr>
          </w:p>
        </w:tc>
        <w:tc>
          <w:tcPr>
            <w:tcW w:w="1160" w:type="dxa"/>
            <w:vAlign w:val="center"/>
          </w:tcPr>
          <w:p w14:paraId="5CDD6E3C">
            <w:pPr>
              <w:spacing w:line="276" w:lineRule="auto"/>
              <w:jc w:val="center"/>
              <w:rPr>
                <w:rFonts w:ascii="宋体" w:hAnsi="宋体" w:eastAsia="宋体" w:cs="宋体"/>
                <w:bCs/>
                <w:szCs w:val="21"/>
              </w:rPr>
            </w:pPr>
          </w:p>
        </w:tc>
        <w:tc>
          <w:tcPr>
            <w:tcW w:w="917" w:type="dxa"/>
            <w:shd w:val="clear" w:color="auto" w:fill="auto"/>
            <w:vAlign w:val="center"/>
          </w:tcPr>
          <w:p w14:paraId="60B44FEA">
            <w:pPr>
              <w:spacing w:line="276" w:lineRule="auto"/>
              <w:jc w:val="center"/>
              <w:rPr>
                <w:rFonts w:ascii="宋体" w:hAnsi="宋体" w:eastAsia="宋体" w:cs="宋体"/>
                <w:bCs/>
                <w:szCs w:val="21"/>
              </w:rPr>
            </w:pPr>
          </w:p>
        </w:tc>
        <w:tc>
          <w:tcPr>
            <w:tcW w:w="666" w:type="dxa"/>
            <w:shd w:val="clear" w:color="auto" w:fill="auto"/>
            <w:vAlign w:val="center"/>
          </w:tcPr>
          <w:p w14:paraId="3ADB8AB4">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101</w:t>
            </w:r>
          </w:p>
        </w:tc>
        <w:tc>
          <w:tcPr>
            <w:tcW w:w="550" w:type="dxa"/>
            <w:shd w:val="clear" w:color="auto" w:fill="auto"/>
            <w:vAlign w:val="center"/>
          </w:tcPr>
          <w:p w14:paraId="51DCD9C9">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套</w:t>
            </w:r>
          </w:p>
        </w:tc>
        <w:tc>
          <w:tcPr>
            <w:tcW w:w="967" w:type="dxa"/>
            <w:vAlign w:val="center"/>
          </w:tcPr>
          <w:p w14:paraId="7D15166A">
            <w:pPr>
              <w:spacing w:line="276" w:lineRule="auto"/>
              <w:jc w:val="center"/>
              <w:rPr>
                <w:rFonts w:ascii="宋体" w:hAnsi="宋体" w:eastAsia="宋体" w:cs="宋体"/>
                <w:bCs/>
                <w:szCs w:val="21"/>
              </w:rPr>
            </w:pPr>
          </w:p>
        </w:tc>
        <w:tc>
          <w:tcPr>
            <w:tcW w:w="983" w:type="dxa"/>
            <w:vAlign w:val="center"/>
          </w:tcPr>
          <w:p w14:paraId="689CD2E8">
            <w:pPr>
              <w:spacing w:line="276" w:lineRule="auto"/>
              <w:jc w:val="center"/>
              <w:rPr>
                <w:rFonts w:ascii="宋体" w:hAnsi="宋体" w:eastAsia="宋体" w:cs="宋体"/>
                <w:bCs/>
                <w:szCs w:val="21"/>
              </w:rPr>
            </w:pPr>
          </w:p>
        </w:tc>
      </w:tr>
      <w:tr w14:paraId="3D9E8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74A37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124</w:t>
            </w:r>
          </w:p>
        </w:tc>
        <w:tc>
          <w:tcPr>
            <w:tcW w:w="841" w:type="dxa"/>
            <w:vMerge w:val="continue"/>
          </w:tcPr>
          <w:p w14:paraId="1F8B7E72">
            <w:pPr>
              <w:spacing w:line="276" w:lineRule="auto"/>
              <w:jc w:val="center"/>
              <w:rPr>
                <w:rFonts w:ascii="宋体" w:hAnsi="宋体" w:eastAsia="宋体" w:cs="宋体"/>
                <w:bCs/>
                <w:szCs w:val="21"/>
              </w:rPr>
            </w:pPr>
          </w:p>
        </w:tc>
        <w:tc>
          <w:tcPr>
            <w:tcW w:w="1223" w:type="dxa"/>
            <w:shd w:val="clear" w:color="auto" w:fill="auto"/>
            <w:vAlign w:val="center"/>
          </w:tcPr>
          <w:p w14:paraId="787F033C">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熔纤点</w:t>
            </w:r>
          </w:p>
        </w:tc>
        <w:tc>
          <w:tcPr>
            <w:tcW w:w="890" w:type="dxa"/>
            <w:vAlign w:val="center"/>
          </w:tcPr>
          <w:p w14:paraId="6A0FB9B4">
            <w:pPr>
              <w:spacing w:line="276" w:lineRule="auto"/>
              <w:jc w:val="center"/>
              <w:rPr>
                <w:rFonts w:ascii="宋体" w:hAnsi="宋体" w:eastAsia="宋体" w:cs="宋体"/>
                <w:bCs/>
                <w:szCs w:val="21"/>
              </w:rPr>
            </w:pPr>
          </w:p>
        </w:tc>
        <w:tc>
          <w:tcPr>
            <w:tcW w:w="508" w:type="dxa"/>
            <w:vAlign w:val="center"/>
          </w:tcPr>
          <w:p w14:paraId="5128C659">
            <w:pPr>
              <w:spacing w:line="276" w:lineRule="auto"/>
              <w:jc w:val="center"/>
              <w:rPr>
                <w:rFonts w:ascii="宋体" w:hAnsi="宋体" w:eastAsia="宋体" w:cs="宋体"/>
                <w:bCs/>
                <w:szCs w:val="21"/>
              </w:rPr>
            </w:pPr>
          </w:p>
        </w:tc>
        <w:tc>
          <w:tcPr>
            <w:tcW w:w="810" w:type="dxa"/>
            <w:vAlign w:val="center"/>
          </w:tcPr>
          <w:p w14:paraId="576EE0D7">
            <w:pPr>
              <w:spacing w:line="276" w:lineRule="auto"/>
              <w:jc w:val="center"/>
              <w:rPr>
                <w:rFonts w:ascii="宋体" w:hAnsi="宋体" w:eastAsia="宋体" w:cs="宋体"/>
                <w:bCs/>
                <w:szCs w:val="21"/>
              </w:rPr>
            </w:pPr>
          </w:p>
        </w:tc>
        <w:tc>
          <w:tcPr>
            <w:tcW w:w="715" w:type="dxa"/>
            <w:vAlign w:val="center"/>
          </w:tcPr>
          <w:p w14:paraId="6108A103">
            <w:pPr>
              <w:spacing w:line="276" w:lineRule="auto"/>
              <w:jc w:val="center"/>
              <w:rPr>
                <w:rFonts w:ascii="宋体" w:hAnsi="宋体" w:eastAsia="宋体" w:cs="宋体"/>
                <w:bCs/>
                <w:szCs w:val="21"/>
              </w:rPr>
            </w:pPr>
          </w:p>
        </w:tc>
        <w:tc>
          <w:tcPr>
            <w:tcW w:w="1160" w:type="dxa"/>
            <w:vAlign w:val="center"/>
          </w:tcPr>
          <w:p w14:paraId="0DC3203C">
            <w:pPr>
              <w:spacing w:line="276" w:lineRule="auto"/>
              <w:jc w:val="center"/>
              <w:rPr>
                <w:rFonts w:ascii="宋体" w:hAnsi="宋体" w:eastAsia="宋体" w:cs="宋体"/>
                <w:bCs/>
                <w:szCs w:val="21"/>
              </w:rPr>
            </w:pPr>
          </w:p>
        </w:tc>
        <w:tc>
          <w:tcPr>
            <w:tcW w:w="917" w:type="dxa"/>
            <w:shd w:val="clear" w:color="auto" w:fill="auto"/>
            <w:vAlign w:val="center"/>
          </w:tcPr>
          <w:p w14:paraId="453DF956">
            <w:pPr>
              <w:spacing w:line="276" w:lineRule="auto"/>
              <w:jc w:val="center"/>
              <w:rPr>
                <w:rFonts w:ascii="宋体" w:hAnsi="宋体" w:eastAsia="宋体" w:cs="宋体"/>
                <w:bCs/>
                <w:szCs w:val="21"/>
              </w:rPr>
            </w:pPr>
          </w:p>
        </w:tc>
        <w:tc>
          <w:tcPr>
            <w:tcW w:w="666" w:type="dxa"/>
            <w:shd w:val="clear" w:color="auto" w:fill="auto"/>
            <w:vAlign w:val="center"/>
          </w:tcPr>
          <w:p w14:paraId="7703BA5F">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404</w:t>
            </w:r>
          </w:p>
        </w:tc>
        <w:tc>
          <w:tcPr>
            <w:tcW w:w="550" w:type="dxa"/>
            <w:shd w:val="clear" w:color="auto" w:fill="auto"/>
            <w:vAlign w:val="center"/>
          </w:tcPr>
          <w:p w14:paraId="5A12C055">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芯</w:t>
            </w:r>
          </w:p>
        </w:tc>
        <w:tc>
          <w:tcPr>
            <w:tcW w:w="967" w:type="dxa"/>
            <w:vAlign w:val="center"/>
          </w:tcPr>
          <w:p w14:paraId="76594C27">
            <w:pPr>
              <w:spacing w:line="276" w:lineRule="auto"/>
              <w:jc w:val="center"/>
              <w:rPr>
                <w:rFonts w:ascii="宋体" w:hAnsi="宋体" w:eastAsia="宋体" w:cs="宋体"/>
                <w:bCs/>
                <w:szCs w:val="21"/>
              </w:rPr>
            </w:pPr>
          </w:p>
        </w:tc>
        <w:tc>
          <w:tcPr>
            <w:tcW w:w="983" w:type="dxa"/>
            <w:vAlign w:val="center"/>
          </w:tcPr>
          <w:p w14:paraId="66483898">
            <w:pPr>
              <w:spacing w:line="276" w:lineRule="auto"/>
              <w:jc w:val="center"/>
              <w:rPr>
                <w:rFonts w:ascii="宋体" w:hAnsi="宋体" w:eastAsia="宋体" w:cs="宋体"/>
                <w:bCs/>
                <w:szCs w:val="21"/>
              </w:rPr>
            </w:pPr>
          </w:p>
        </w:tc>
      </w:tr>
      <w:tr w14:paraId="3DB51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EF0AF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125</w:t>
            </w:r>
          </w:p>
        </w:tc>
        <w:tc>
          <w:tcPr>
            <w:tcW w:w="841" w:type="dxa"/>
            <w:vMerge w:val="continue"/>
          </w:tcPr>
          <w:p w14:paraId="0B6BFA15">
            <w:pPr>
              <w:spacing w:line="276" w:lineRule="auto"/>
              <w:jc w:val="center"/>
              <w:rPr>
                <w:rFonts w:ascii="宋体" w:hAnsi="宋体" w:eastAsia="宋体" w:cs="宋体"/>
                <w:bCs/>
                <w:szCs w:val="21"/>
              </w:rPr>
            </w:pPr>
          </w:p>
        </w:tc>
        <w:tc>
          <w:tcPr>
            <w:tcW w:w="1223" w:type="dxa"/>
            <w:shd w:val="clear" w:color="auto" w:fill="auto"/>
            <w:vAlign w:val="center"/>
          </w:tcPr>
          <w:p w14:paraId="741A4411">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（4芯）</w:t>
            </w:r>
          </w:p>
        </w:tc>
        <w:tc>
          <w:tcPr>
            <w:tcW w:w="890" w:type="dxa"/>
            <w:vAlign w:val="center"/>
          </w:tcPr>
          <w:p w14:paraId="02F129A9">
            <w:pPr>
              <w:spacing w:line="276" w:lineRule="auto"/>
              <w:jc w:val="center"/>
              <w:rPr>
                <w:rFonts w:ascii="宋体" w:hAnsi="宋体" w:eastAsia="宋体" w:cs="宋体"/>
                <w:bCs/>
                <w:szCs w:val="21"/>
              </w:rPr>
            </w:pPr>
          </w:p>
        </w:tc>
        <w:tc>
          <w:tcPr>
            <w:tcW w:w="508" w:type="dxa"/>
            <w:vAlign w:val="center"/>
          </w:tcPr>
          <w:p w14:paraId="7522C5CE">
            <w:pPr>
              <w:spacing w:line="276" w:lineRule="auto"/>
              <w:jc w:val="center"/>
              <w:rPr>
                <w:rFonts w:ascii="宋体" w:hAnsi="宋体" w:eastAsia="宋体" w:cs="宋体"/>
                <w:bCs/>
                <w:szCs w:val="21"/>
              </w:rPr>
            </w:pPr>
          </w:p>
        </w:tc>
        <w:tc>
          <w:tcPr>
            <w:tcW w:w="810" w:type="dxa"/>
            <w:vAlign w:val="center"/>
          </w:tcPr>
          <w:p w14:paraId="1DCEF920">
            <w:pPr>
              <w:spacing w:line="276" w:lineRule="auto"/>
              <w:jc w:val="center"/>
              <w:rPr>
                <w:rFonts w:ascii="宋体" w:hAnsi="宋体" w:eastAsia="宋体" w:cs="宋体"/>
                <w:bCs/>
                <w:szCs w:val="21"/>
              </w:rPr>
            </w:pPr>
          </w:p>
        </w:tc>
        <w:tc>
          <w:tcPr>
            <w:tcW w:w="715" w:type="dxa"/>
            <w:vAlign w:val="center"/>
          </w:tcPr>
          <w:p w14:paraId="18CFE694">
            <w:pPr>
              <w:spacing w:line="276" w:lineRule="auto"/>
              <w:jc w:val="center"/>
              <w:rPr>
                <w:rFonts w:ascii="宋体" w:hAnsi="宋体" w:eastAsia="宋体" w:cs="宋体"/>
                <w:bCs/>
                <w:szCs w:val="21"/>
              </w:rPr>
            </w:pPr>
          </w:p>
        </w:tc>
        <w:tc>
          <w:tcPr>
            <w:tcW w:w="1160" w:type="dxa"/>
            <w:vAlign w:val="center"/>
          </w:tcPr>
          <w:p w14:paraId="3AA4B3DE">
            <w:pPr>
              <w:spacing w:line="276" w:lineRule="auto"/>
              <w:jc w:val="center"/>
              <w:rPr>
                <w:rFonts w:ascii="宋体" w:hAnsi="宋体" w:eastAsia="宋体" w:cs="宋体"/>
                <w:bCs/>
                <w:szCs w:val="21"/>
              </w:rPr>
            </w:pPr>
          </w:p>
        </w:tc>
        <w:tc>
          <w:tcPr>
            <w:tcW w:w="917" w:type="dxa"/>
            <w:shd w:val="clear" w:color="auto" w:fill="auto"/>
            <w:vAlign w:val="center"/>
          </w:tcPr>
          <w:p w14:paraId="72F7781F">
            <w:pPr>
              <w:spacing w:line="276" w:lineRule="auto"/>
              <w:jc w:val="center"/>
              <w:rPr>
                <w:rFonts w:ascii="宋体" w:hAnsi="宋体" w:eastAsia="宋体" w:cs="宋体"/>
                <w:bCs/>
                <w:szCs w:val="21"/>
              </w:rPr>
            </w:pPr>
          </w:p>
        </w:tc>
        <w:tc>
          <w:tcPr>
            <w:tcW w:w="666" w:type="dxa"/>
            <w:shd w:val="clear" w:color="auto" w:fill="auto"/>
            <w:vAlign w:val="center"/>
          </w:tcPr>
          <w:p w14:paraId="397FCD1A">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14140</w:t>
            </w:r>
          </w:p>
        </w:tc>
        <w:tc>
          <w:tcPr>
            <w:tcW w:w="550" w:type="dxa"/>
            <w:shd w:val="clear" w:color="auto" w:fill="auto"/>
            <w:vAlign w:val="center"/>
          </w:tcPr>
          <w:p w14:paraId="1DEB630A">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3DD520B6">
            <w:pPr>
              <w:spacing w:line="276" w:lineRule="auto"/>
              <w:jc w:val="center"/>
              <w:rPr>
                <w:rFonts w:ascii="宋体" w:hAnsi="宋体" w:eastAsia="宋体" w:cs="宋体"/>
                <w:bCs/>
                <w:szCs w:val="21"/>
              </w:rPr>
            </w:pPr>
          </w:p>
        </w:tc>
        <w:tc>
          <w:tcPr>
            <w:tcW w:w="983" w:type="dxa"/>
            <w:vAlign w:val="center"/>
          </w:tcPr>
          <w:p w14:paraId="4632B7FD">
            <w:pPr>
              <w:spacing w:line="276" w:lineRule="auto"/>
              <w:jc w:val="center"/>
              <w:rPr>
                <w:rFonts w:ascii="宋体" w:hAnsi="宋体" w:eastAsia="宋体" w:cs="宋体"/>
                <w:bCs/>
                <w:szCs w:val="21"/>
              </w:rPr>
            </w:pPr>
          </w:p>
        </w:tc>
      </w:tr>
      <w:tr w14:paraId="197B9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3475C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126</w:t>
            </w:r>
          </w:p>
        </w:tc>
        <w:tc>
          <w:tcPr>
            <w:tcW w:w="841" w:type="dxa"/>
            <w:vMerge w:val="continue"/>
          </w:tcPr>
          <w:p w14:paraId="27F388A5">
            <w:pPr>
              <w:spacing w:line="276" w:lineRule="auto"/>
              <w:jc w:val="center"/>
              <w:rPr>
                <w:rFonts w:ascii="宋体" w:hAnsi="宋体" w:eastAsia="宋体" w:cs="宋体"/>
                <w:bCs/>
                <w:szCs w:val="21"/>
              </w:rPr>
            </w:pPr>
          </w:p>
        </w:tc>
        <w:tc>
          <w:tcPr>
            <w:tcW w:w="1223" w:type="dxa"/>
            <w:shd w:val="clear" w:color="auto" w:fill="auto"/>
            <w:vAlign w:val="center"/>
          </w:tcPr>
          <w:p w14:paraId="1F7E60C2">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（3*6）</w:t>
            </w:r>
          </w:p>
        </w:tc>
        <w:tc>
          <w:tcPr>
            <w:tcW w:w="890" w:type="dxa"/>
            <w:vAlign w:val="center"/>
          </w:tcPr>
          <w:p w14:paraId="2100D649">
            <w:pPr>
              <w:spacing w:line="276" w:lineRule="auto"/>
              <w:jc w:val="center"/>
              <w:rPr>
                <w:rFonts w:ascii="宋体" w:hAnsi="宋体" w:eastAsia="宋体" w:cs="宋体"/>
                <w:bCs/>
                <w:szCs w:val="21"/>
              </w:rPr>
            </w:pPr>
          </w:p>
        </w:tc>
        <w:tc>
          <w:tcPr>
            <w:tcW w:w="508" w:type="dxa"/>
            <w:vAlign w:val="center"/>
          </w:tcPr>
          <w:p w14:paraId="05ADC97C">
            <w:pPr>
              <w:spacing w:line="276" w:lineRule="auto"/>
              <w:jc w:val="center"/>
              <w:rPr>
                <w:rFonts w:ascii="宋体" w:hAnsi="宋体" w:eastAsia="宋体" w:cs="宋体"/>
                <w:bCs/>
                <w:szCs w:val="21"/>
              </w:rPr>
            </w:pPr>
          </w:p>
        </w:tc>
        <w:tc>
          <w:tcPr>
            <w:tcW w:w="810" w:type="dxa"/>
            <w:vAlign w:val="center"/>
          </w:tcPr>
          <w:p w14:paraId="4936014F">
            <w:pPr>
              <w:spacing w:line="276" w:lineRule="auto"/>
              <w:jc w:val="center"/>
              <w:rPr>
                <w:rFonts w:ascii="宋体" w:hAnsi="宋体" w:eastAsia="宋体" w:cs="宋体"/>
                <w:bCs/>
                <w:szCs w:val="21"/>
              </w:rPr>
            </w:pPr>
          </w:p>
        </w:tc>
        <w:tc>
          <w:tcPr>
            <w:tcW w:w="715" w:type="dxa"/>
            <w:vAlign w:val="center"/>
          </w:tcPr>
          <w:p w14:paraId="26B13529">
            <w:pPr>
              <w:spacing w:line="276" w:lineRule="auto"/>
              <w:jc w:val="center"/>
              <w:rPr>
                <w:rFonts w:ascii="宋体" w:hAnsi="宋体" w:eastAsia="宋体" w:cs="宋体"/>
                <w:bCs/>
                <w:szCs w:val="21"/>
              </w:rPr>
            </w:pPr>
          </w:p>
        </w:tc>
        <w:tc>
          <w:tcPr>
            <w:tcW w:w="1160" w:type="dxa"/>
            <w:vAlign w:val="center"/>
          </w:tcPr>
          <w:p w14:paraId="41041841">
            <w:pPr>
              <w:spacing w:line="276" w:lineRule="auto"/>
              <w:jc w:val="center"/>
              <w:rPr>
                <w:rFonts w:ascii="宋体" w:hAnsi="宋体" w:eastAsia="宋体" w:cs="宋体"/>
                <w:bCs/>
                <w:szCs w:val="21"/>
              </w:rPr>
            </w:pPr>
          </w:p>
        </w:tc>
        <w:tc>
          <w:tcPr>
            <w:tcW w:w="917" w:type="dxa"/>
            <w:shd w:val="clear" w:color="auto" w:fill="auto"/>
            <w:vAlign w:val="center"/>
          </w:tcPr>
          <w:p w14:paraId="1003BAA8">
            <w:pPr>
              <w:spacing w:line="276" w:lineRule="auto"/>
              <w:jc w:val="center"/>
              <w:rPr>
                <w:rFonts w:ascii="宋体" w:hAnsi="宋体" w:eastAsia="宋体" w:cs="宋体"/>
                <w:bCs/>
                <w:szCs w:val="21"/>
              </w:rPr>
            </w:pPr>
          </w:p>
        </w:tc>
        <w:tc>
          <w:tcPr>
            <w:tcW w:w="666" w:type="dxa"/>
            <w:shd w:val="clear" w:color="auto" w:fill="auto"/>
            <w:vAlign w:val="center"/>
          </w:tcPr>
          <w:p w14:paraId="32714653">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14140</w:t>
            </w:r>
          </w:p>
        </w:tc>
        <w:tc>
          <w:tcPr>
            <w:tcW w:w="550" w:type="dxa"/>
            <w:shd w:val="clear" w:color="auto" w:fill="auto"/>
            <w:vAlign w:val="center"/>
          </w:tcPr>
          <w:p w14:paraId="05CFF358">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781E1BA4">
            <w:pPr>
              <w:spacing w:line="276" w:lineRule="auto"/>
              <w:jc w:val="center"/>
              <w:rPr>
                <w:rFonts w:ascii="宋体" w:hAnsi="宋体" w:eastAsia="宋体" w:cs="宋体"/>
                <w:bCs/>
                <w:szCs w:val="21"/>
              </w:rPr>
            </w:pPr>
          </w:p>
        </w:tc>
        <w:tc>
          <w:tcPr>
            <w:tcW w:w="983" w:type="dxa"/>
            <w:vAlign w:val="center"/>
          </w:tcPr>
          <w:p w14:paraId="29DB0D76">
            <w:pPr>
              <w:spacing w:line="276" w:lineRule="auto"/>
              <w:jc w:val="center"/>
              <w:rPr>
                <w:rFonts w:ascii="宋体" w:hAnsi="宋体" w:eastAsia="宋体" w:cs="宋体"/>
                <w:bCs/>
                <w:szCs w:val="21"/>
              </w:rPr>
            </w:pPr>
          </w:p>
        </w:tc>
      </w:tr>
      <w:tr w14:paraId="0A5A7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E446D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127</w:t>
            </w:r>
          </w:p>
        </w:tc>
        <w:tc>
          <w:tcPr>
            <w:tcW w:w="841" w:type="dxa"/>
            <w:vMerge w:val="continue"/>
          </w:tcPr>
          <w:p w14:paraId="43C06B43">
            <w:pPr>
              <w:spacing w:line="276" w:lineRule="auto"/>
              <w:jc w:val="center"/>
              <w:rPr>
                <w:rFonts w:ascii="宋体" w:hAnsi="宋体" w:eastAsia="宋体" w:cs="宋体"/>
                <w:bCs/>
                <w:szCs w:val="21"/>
              </w:rPr>
            </w:pPr>
          </w:p>
        </w:tc>
        <w:tc>
          <w:tcPr>
            <w:tcW w:w="1223" w:type="dxa"/>
            <w:shd w:val="clear" w:color="auto" w:fill="auto"/>
            <w:vAlign w:val="center"/>
          </w:tcPr>
          <w:p w14:paraId="1BB88DC0">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（CAT6类）</w:t>
            </w:r>
          </w:p>
        </w:tc>
        <w:tc>
          <w:tcPr>
            <w:tcW w:w="890" w:type="dxa"/>
            <w:vAlign w:val="center"/>
          </w:tcPr>
          <w:p w14:paraId="11136B2E">
            <w:pPr>
              <w:spacing w:line="276" w:lineRule="auto"/>
              <w:jc w:val="center"/>
              <w:rPr>
                <w:rFonts w:ascii="宋体" w:hAnsi="宋体" w:eastAsia="宋体" w:cs="宋体"/>
                <w:bCs/>
                <w:szCs w:val="21"/>
              </w:rPr>
            </w:pPr>
          </w:p>
        </w:tc>
        <w:tc>
          <w:tcPr>
            <w:tcW w:w="508" w:type="dxa"/>
            <w:vAlign w:val="center"/>
          </w:tcPr>
          <w:p w14:paraId="6A5384E4">
            <w:pPr>
              <w:spacing w:line="276" w:lineRule="auto"/>
              <w:jc w:val="center"/>
              <w:rPr>
                <w:rFonts w:ascii="宋体" w:hAnsi="宋体" w:eastAsia="宋体" w:cs="宋体"/>
                <w:bCs/>
                <w:szCs w:val="21"/>
              </w:rPr>
            </w:pPr>
          </w:p>
        </w:tc>
        <w:tc>
          <w:tcPr>
            <w:tcW w:w="810" w:type="dxa"/>
            <w:vAlign w:val="center"/>
          </w:tcPr>
          <w:p w14:paraId="632B8E75">
            <w:pPr>
              <w:spacing w:line="276" w:lineRule="auto"/>
              <w:jc w:val="center"/>
              <w:rPr>
                <w:rFonts w:ascii="宋体" w:hAnsi="宋体" w:eastAsia="宋体" w:cs="宋体"/>
                <w:bCs/>
                <w:szCs w:val="21"/>
              </w:rPr>
            </w:pPr>
          </w:p>
        </w:tc>
        <w:tc>
          <w:tcPr>
            <w:tcW w:w="715" w:type="dxa"/>
            <w:vAlign w:val="center"/>
          </w:tcPr>
          <w:p w14:paraId="72251E78">
            <w:pPr>
              <w:spacing w:line="276" w:lineRule="auto"/>
              <w:jc w:val="center"/>
              <w:rPr>
                <w:rFonts w:ascii="宋体" w:hAnsi="宋体" w:eastAsia="宋体" w:cs="宋体"/>
                <w:bCs/>
                <w:szCs w:val="21"/>
              </w:rPr>
            </w:pPr>
          </w:p>
        </w:tc>
        <w:tc>
          <w:tcPr>
            <w:tcW w:w="1160" w:type="dxa"/>
            <w:vAlign w:val="center"/>
          </w:tcPr>
          <w:p w14:paraId="267990EF">
            <w:pPr>
              <w:spacing w:line="276" w:lineRule="auto"/>
              <w:jc w:val="center"/>
              <w:rPr>
                <w:rFonts w:ascii="宋体" w:hAnsi="宋体" w:eastAsia="宋体" w:cs="宋体"/>
                <w:bCs/>
                <w:szCs w:val="21"/>
              </w:rPr>
            </w:pPr>
          </w:p>
        </w:tc>
        <w:tc>
          <w:tcPr>
            <w:tcW w:w="917" w:type="dxa"/>
            <w:shd w:val="clear" w:color="auto" w:fill="auto"/>
            <w:vAlign w:val="center"/>
          </w:tcPr>
          <w:p w14:paraId="3328A967">
            <w:pPr>
              <w:spacing w:line="276" w:lineRule="auto"/>
              <w:jc w:val="center"/>
              <w:rPr>
                <w:rFonts w:ascii="宋体" w:hAnsi="宋体" w:eastAsia="宋体" w:cs="宋体"/>
                <w:bCs/>
                <w:szCs w:val="21"/>
              </w:rPr>
            </w:pPr>
          </w:p>
        </w:tc>
        <w:tc>
          <w:tcPr>
            <w:tcW w:w="666" w:type="dxa"/>
            <w:shd w:val="clear" w:color="auto" w:fill="auto"/>
            <w:vAlign w:val="center"/>
          </w:tcPr>
          <w:p w14:paraId="1CE1EA97">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3315</w:t>
            </w:r>
          </w:p>
        </w:tc>
        <w:tc>
          <w:tcPr>
            <w:tcW w:w="550" w:type="dxa"/>
            <w:shd w:val="clear" w:color="auto" w:fill="auto"/>
            <w:vAlign w:val="center"/>
          </w:tcPr>
          <w:p w14:paraId="7D0ACB76">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521222FC">
            <w:pPr>
              <w:spacing w:line="276" w:lineRule="auto"/>
              <w:jc w:val="center"/>
              <w:rPr>
                <w:rFonts w:ascii="宋体" w:hAnsi="宋体" w:eastAsia="宋体" w:cs="宋体"/>
                <w:bCs/>
                <w:szCs w:val="21"/>
              </w:rPr>
            </w:pPr>
          </w:p>
        </w:tc>
        <w:tc>
          <w:tcPr>
            <w:tcW w:w="983" w:type="dxa"/>
            <w:vAlign w:val="center"/>
          </w:tcPr>
          <w:p w14:paraId="7789883F">
            <w:pPr>
              <w:spacing w:line="276" w:lineRule="auto"/>
              <w:jc w:val="center"/>
              <w:rPr>
                <w:rFonts w:ascii="宋体" w:hAnsi="宋体" w:eastAsia="宋体" w:cs="宋体"/>
                <w:bCs/>
                <w:szCs w:val="21"/>
              </w:rPr>
            </w:pPr>
          </w:p>
        </w:tc>
      </w:tr>
      <w:tr w14:paraId="5F0F4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711214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128</w:t>
            </w:r>
          </w:p>
        </w:tc>
        <w:tc>
          <w:tcPr>
            <w:tcW w:w="841" w:type="dxa"/>
            <w:vMerge w:val="continue"/>
          </w:tcPr>
          <w:p w14:paraId="0DFDD00A">
            <w:pPr>
              <w:spacing w:line="276" w:lineRule="auto"/>
              <w:jc w:val="center"/>
              <w:rPr>
                <w:rFonts w:ascii="宋体" w:hAnsi="宋体" w:eastAsia="宋体" w:cs="宋体"/>
                <w:bCs/>
                <w:szCs w:val="21"/>
              </w:rPr>
            </w:pPr>
          </w:p>
        </w:tc>
        <w:tc>
          <w:tcPr>
            <w:tcW w:w="1223" w:type="dxa"/>
            <w:shd w:val="clear" w:color="auto" w:fill="auto"/>
            <w:vAlign w:val="center"/>
          </w:tcPr>
          <w:p w14:paraId="1EE748F2">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（3*1.5）</w:t>
            </w:r>
          </w:p>
        </w:tc>
        <w:tc>
          <w:tcPr>
            <w:tcW w:w="890" w:type="dxa"/>
            <w:vAlign w:val="center"/>
          </w:tcPr>
          <w:p w14:paraId="335B0309">
            <w:pPr>
              <w:spacing w:line="276" w:lineRule="auto"/>
              <w:jc w:val="center"/>
              <w:rPr>
                <w:rFonts w:ascii="宋体" w:hAnsi="宋体" w:eastAsia="宋体" w:cs="宋体"/>
                <w:bCs/>
                <w:szCs w:val="21"/>
              </w:rPr>
            </w:pPr>
          </w:p>
        </w:tc>
        <w:tc>
          <w:tcPr>
            <w:tcW w:w="508" w:type="dxa"/>
            <w:vAlign w:val="center"/>
          </w:tcPr>
          <w:p w14:paraId="7F614D18">
            <w:pPr>
              <w:spacing w:line="276" w:lineRule="auto"/>
              <w:jc w:val="center"/>
              <w:rPr>
                <w:rFonts w:ascii="宋体" w:hAnsi="宋体" w:eastAsia="宋体" w:cs="宋体"/>
                <w:bCs/>
                <w:szCs w:val="21"/>
              </w:rPr>
            </w:pPr>
          </w:p>
        </w:tc>
        <w:tc>
          <w:tcPr>
            <w:tcW w:w="810" w:type="dxa"/>
            <w:vAlign w:val="center"/>
          </w:tcPr>
          <w:p w14:paraId="691A3305">
            <w:pPr>
              <w:spacing w:line="276" w:lineRule="auto"/>
              <w:jc w:val="center"/>
              <w:rPr>
                <w:rFonts w:ascii="宋体" w:hAnsi="宋体" w:eastAsia="宋体" w:cs="宋体"/>
                <w:bCs/>
                <w:szCs w:val="21"/>
              </w:rPr>
            </w:pPr>
          </w:p>
        </w:tc>
        <w:tc>
          <w:tcPr>
            <w:tcW w:w="715" w:type="dxa"/>
            <w:vAlign w:val="center"/>
          </w:tcPr>
          <w:p w14:paraId="1DEC1BAC">
            <w:pPr>
              <w:spacing w:line="276" w:lineRule="auto"/>
              <w:jc w:val="center"/>
              <w:rPr>
                <w:rFonts w:ascii="宋体" w:hAnsi="宋体" w:eastAsia="宋体" w:cs="宋体"/>
                <w:bCs/>
                <w:szCs w:val="21"/>
              </w:rPr>
            </w:pPr>
          </w:p>
        </w:tc>
        <w:tc>
          <w:tcPr>
            <w:tcW w:w="1160" w:type="dxa"/>
            <w:vAlign w:val="center"/>
          </w:tcPr>
          <w:p w14:paraId="053AB2CD">
            <w:pPr>
              <w:spacing w:line="276" w:lineRule="auto"/>
              <w:jc w:val="center"/>
              <w:rPr>
                <w:rFonts w:ascii="宋体" w:hAnsi="宋体" w:eastAsia="宋体" w:cs="宋体"/>
                <w:bCs/>
                <w:szCs w:val="21"/>
              </w:rPr>
            </w:pPr>
          </w:p>
        </w:tc>
        <w:tc>
          <w:tcPr>
            <w:tcW w:w="917" w:type="dxa"/>
            <w:shd w:val="clear" w:color="auto" w:fill="auto"/>
            <w:vAlign w:val="center"/>
          </w:tcPr>
          <w:p w14:paraId="149B6213">
            <w:pPr>
              <w:spacing w:line="276" w:lineRule="auto"/>
              <w:jc w:val="center"/>
              <w:rPr>
                <w:rFonts w:ascii="宋体" w:hAnsi="宋体" w:eastAsia="宋体" w:cs="宋体"/>
                <w:bCs/>
                <w:szCs w:val="21"/>
              </w:rPr>
            </w:pPr>
          </w:p>
        </w:tc>
        <w:tc>
          <w:tcPr>
            <w:tcW w:w="666" w:type="dxa"/>
            <w:shd w:val="clear" w:color="auto" w:fill="auto"/>
            <w:vAlign w:val="center"/>
          </w:tcPr>
          <w:p w14:paraId="3EE9B7FE">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10545</w:t>
            </w:r>
          </w:p>
        </w:tc>
        <w:tc>
          <w:tcPr>
            <w:tcW w:w="550" w:type="dxa"/>
            <w:shd w:val="clear" w:color="auto" w:fill="auto"/>
            <w:vAlign w:val="center"/>
          </w:tcPr>
          <w:p w14:paraId="0D0DEDE3">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18C3FBA8">
            <w:pPr>
              <w:spacing w:line="276" w:lineRule="auto"/>
              <w:jc w:val="center"/>
              <w:rPr>
                <w:rFonts w:ascii="宋体" w:hAnsi="宋体" w:eastAsia="宋体" w:cs="宋体"/>
                <w:bCs/>
                <w:szCs w:val="21"/>
              </w:rPr>
            </w:pPr>
          </w:p>
        </w:tc>
        <w:tc>
          <w:tcPr>
            <w:tcW w:w="983" w:type="dxa"/>
            <w:vAlign w:val="center"/>
          </w:tcPr>
          <w:p w14:paraId="765CB8A8">
            <w:pPr>
              <w:spacing w:line="276" w:lineRule="auto"/>
              <w:jc w:val="center"/>
              <w:rPr>
                <w:rFonts w:ascii="宋体" w:hAnsi="宋体" w:eastAsia="宋体" w:cs="宋体"/>
                <w:bCs/>
                <w:szCs w:val="21"/>
              </w:rPr>
            </w:pPr>
          </w:p>
        </w:tc>
      </w:tr>
      <w:tr w14:paraId="34646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C85FD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129</w:t>
            </w:r>
          </w:p>
        </w:tc>
        <w:tc>
          <w:tcPr>
            <w:tcW w:w="841" w:type="dxa"/>
            <w:vMerge w:val="continue"/>
          </w:tcPr>
          <w:p w14:paraId="5AD4018E">
            <w:pPr>
              <w:spacing w:line="276" w:lineRule="auto"/>
              <w:jc w:val="center"/>
              <w:rPr>
                <w:rFonts w:ascii="宋体" w:hAnsi="宋体" w:eastAsia="宋体" w:cs="宋体"/>
                <w:bCs/>
                <w:szCs w:val="21"/>
              </w:rPr>
            </w:pPr>
          </w:p>
        </w:tc>
        <w:tc>
          <w:tcPr>
            <w:tcW w:w="1223" w:type="dxa"/>
            <w:shd w:val="clear" w:color="auto" w:fill="auto"/>
            <w:vAlign w:val="center"/>
          </w:tcPr>
          <w:p w14:paraId="5E724A58">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（4*1.0）</w:t>
            </w:r>
          </w:p>
        </w:tc>
        <w:tc>
          <w:tcPr>
            <w:tcW w:w="890" w:type="dxa"/>
            <w:vAlign w:val="center"/>
          </w:tcPr>
          <w:p w14:paraId="1F93402B">
            <w:pPr>
              <w:spacing w:line="276" w:lineRule="auto"/>
              <w:jc w:val="center"/>
              <w:rPr>
                <w:rFonts w:ascii="宋体" w:hAnsi="宋体" w:eastAsia="宋体" w:cs="宋体"/>
                <w:bCs/>
                <w:szCs w:val="21"/>
              </w:rPr>
            </w:pPr>
          </w:p>
        </w:tc>
        <w:tc>
          <w:tcPr>
            <w:tcW w:w="508" w:type="dxa"/>
            <w:vAlign w:val="center"/>
          </w:tcPr>
          <w:p w14:paraId="0DD04AFE">
            <w:pPr>
              <w:spacing w:line="276" w:lineRule="auto"/>
              <w:jc w:val="center"/>
              <w:rPr>
                <w:rFonts w:ascii="宋体" w:hAnsi="宋体" w:eastAsia="宋体" w:cs="宋体"/>
                <w:bCs/>
                <w:szCs w:val="21"/>
              </w:rPr>
            </w:pPr>
          </w:p>
        </w:tc>
        <w:tc>
          <w:tcPr>
            <w:tcW w:w="810" w:type="dxa"/>
            <w:vAlign w:val="center"/>
          </w:tcPr>
          <w:p w14:paraId="1CC73959">
            <w:pPr>
              <w:spacing w:line="276" w:lineRule="auto"/>
              <w:jc w:val="center"/>
              <w:rPr>
                <w:rFonts w:ascii="宋体" w:hAnsi="宋体" w:eastAsia="宋体" w:cs="宋体"/>
                <w:bCs/>
                <w:szCs w:val="21"/>
              </w:rPr>
            </w:pPr>
          </w:p>
        </w:tc>
        <w:tc>
          <w:tcPr>
            <w:tcW w:w="715" w:type="dxa"/>
            <w:vAlign w:val="center"/>
          </w:tcPr>
          <w:p w14:paraId="4B148B2B">
            <w:pPr>
              <w:spacing w:line="276" w:lineRule="auto"/>
              <w:jc w:val="center"/>
              <w:rPr>
                <w:rFonts w:ascii="宋体" w:hAnsi="宋体" w:eastAsia="宋体" w:cs="宋体"/>
                <w:bCs/>
                <w:szCs w:val="21"/>
              </w:rPr>
            </w:pPr>
          </w:p>
        </w:tc>
        <w:tc>
          <w:tcPr>
            <w:tcW w:w="1160" w:type="dxa"/>
            <w:vAlign w:val="center"/>
          </w:tcPr>
          <w:p w14:paraId="06595185">
            <w:pPr>
              <w:spacing w:line="276" w:lineRule="auto"/>
              <w:jc w:val="center"/>
              <w:rPr>
                <w:rFonts w:ascii="宋体" w:hAnsi="宋体" w:eastAsia="宋体" w:cs="宋体"/>
                <w:bCs/>
                <w:szCs w:val="21"/>
              </w:rPr>
            </w:pPr>
          </w:p>
        </w:tc>
        <w:tc>
          <w:tcPr>
            <w:tcW w:w="917" w:type="dxa"/>
            <w:shd w:val="clear" w:color="auto" w:fill="auto"/>
            <w:vAlign w:val="center"/>
          </w:tcPr>
          <w:p w14:paraId="3B435C74">
            <w:pPr>
              <w:spacing w:line="276" w:lineRule="auto"/>
              <w:jc w:val="center"/>
              <w:rPr>
                <w:rFonts w:ascii="宋体" w:hAnsi="宋体" w:eastAsia="宋体" w:cs="宋体"/>
                <w:bCs/>
                <w:szCs w:val="21"/>
              </w:rPr>
            </w:pPr>
          </w:p>
        </w:tc>
        <w:tc>
          <w:tcPr>
            <w:tcW w:w="666" w:type="dxa"/>
            <w:shd w:val="clear" w:color="auto" w:fill="auto"/>
            <w:vAlign w:val="center"/>
          </w:tcPr>
          <w:p w14:paraId="54A006F6">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6897</w:t>
            </w:r>
          </w:p>
        </w:tc>
        <w:tc>
          <w:tcPr>
            <w:tcW w:w="550" w:type="dxa"/>
            <w:shd w:val="clear" w:color="auto" w:fill="auto"/>
            <w:vAlign w:val="center"/>
          </w:tcPr>
          <w:p w14:paraId="717AF775">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02ED1420">
            <w:pPr>
              <w:spacing w:line="276" w:lineRule="auto"/>
              <w:jc w:val="center"/>
              <w:rPr>
                <w:rFonts w:ascii="宋体" w:hAnsi="宋体" w:eastAsia="宋体" w:cs="宋体"/>
                <w:bCs/>
                <w:szCs w:val="21"/>
              </w:rPr>
            </w:pPr>
          </w:p>
        </w:tc>
        <w:tc>
          <w:tcPr>
            <w:tcW w:w="983" w:type="dxa"/>
            <w:vAlign w:val="center"/>
          </w:tcPr>
          <w:p w14:paraId="2BA2566D">
            <w:pPr>
              <w:spacing w:line="276" w:lineRule="auto"/>
              <w:jc w:val="center"/>
              <w:rPr>
                <w:rFonts w:ascii="宋体" w:hAnsi="宋体" w:eastAsia="宋体" w:cs="宋体"/>
                <w:bCs/>
                <w:szCs w:val="21"/>
              </w:rPr>
            </w:pPr>
          </w:p>
        </w:tc>
      </w:tr>
      <w:tr w14:paraId="232F0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23D9B78">
            <w:pPr>
              <w:snapToGrid w:val="0"/>
              <w:ind w:left="0" w:leftChars="0" w:right="0" w:rightChars="0" w:firstLine="0" w:firstLineChars="0"/>
              <w:jc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sz w:val="20"/>
                <w:szCs w:val="20"/>
                <w:u w:val="none"/>
                <w:lang w:val="en-US" w:eastAsia="zh-CN"/>
              </w:rPr>
              <w:t>/</w:t>
            </w:r>
          </w:p>
        </w:tc>
        <w:tc>
          <w:tcPr>
            <w:tcW w:w="841" w:type="dxa"/>
            <w:vMerge w:val="continue"/>
          </w:tcPr>
          <w:p w14:paraId="58FBCBE4">
            <w:pPr>
              <w:spacing w:line="276" w:lineRule="auto"/>
              <w:jc w:val="center"/>
              <w:rPr>
                <w:rFonts w:ascii="宋体" w:hAnsi="宋体" w:eastAsia="宋体" w:cs="宋体"/>
                <w:bCs/>
                <w:szCs w:val="21"/>
              </w:rPr>
            </w:pPr>
          </w:p>
        </w:tc>
        <w:tc>
          <w:tcPr>
            <w:tcW w:w="9389" w:type="dxa"/>
            <w:gridSpan w:val="11"/>
            <w:vAlign w:val="center"/>
          </w:tcPr>
          <w:p w14:paraId="09E2388D">
            <w:pPr>
              <w:spacing w:line="276" w:lineRule="auto"/>
              <w:jc w:val="center"/>
              <w:rPr>
                <w:rFonts w:hint="default" w:ascii="宋体" w:hAnsi="等线" w:eastAsia="宋体" w:cs="等线"/>
                <w:b/>
                <w:bCs/>
                <w:i w:val="0"/>
                <w:iCs w:val="0"/>
                <w:color w:val="000000"/>
                <w:kern w:val="0"/>
                <w:sz w:val="20"/>
                <w:szCs w:val="20"/>
                <w:u w:val="none"/>
                <w:lang w:val="en-US" w:eastAsia="zh-CN" w:bidi="ar"/>
              </w:rPr>
            </w:pPr>
            <w:r>
              <w:rPr>
                <w:rFonts w:hint="default" w:ascii="宋体" w:hAnsi="等线" w:eastAsia="宋体" w:cs="等线"/>
                <w:b/>
                <w:bCs/>
                <w:i w:val="0"/>
                <w:iCs w:val="0"/>
                <w:color w:val="000000"/>
                <w:kern w:val="0"/>
                <w:sz w:val="20"/>
                <w:szCs w:val="20"/>
                <w:u w:val="none"/>
                <w:lang w:val="en-US" w:eastAsia="zh-CN" w:bidi="ar"/>
              </w:rPr>
              <w:t>视频监控设备配套</w:t>
            </w:r>
          </w:p>
        </w:tc>
      </w:tr>
      <w:tr w14:paraId="15919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B25D8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130</w:t>
            </w:r>
          </w:p>
        </w:tc>
        <w:tc>
          <w:tcPr>
            <w:tcW w:w="841" w:type="dxa"/>
            <w:vMerge w:val="continue"/>
          </w:tcPr>
          <w:p w14:paraId="28A96640">
            <w:pPr>
              <w:spacing w:line="276" w:lineRule="auto"/>
              <w:jc w:val="center"/>
              <w:rPr>
                <w:rFonts w:ascii="宋体" w:hAnsi="宋体" w:eastAsia="宋体" w:cs="宋体"/>
                <w:bCs/>
                <w:szCs w:val="21"/>
              </w:rPr>
            </w:pPr>
          </w:p>
        </w:tc>
        <w:tc>
          <w:tcPr>
            <w:tcW w:w="1223" w:type="dxa"/>
            <w:shd w:val="clear" w:color="auto" w:fill="auto"/>
            <w:vAlign w:val="center"/>
          </w:tcPr>
          <w:p w14:paraId="345ECF9F">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光缆终端盒</w:t>
            </w:r>
          </w:p>
        </w:tc>
        <w:tc>
          <w:tcPr>
            <w:tcW w:w="890" w:type="dxa"/>
            <w:vAlign w:val="center"/>
          </w:tcPr>
          <w:p w14:paraId="523DA324">
            <w:pPr>
              <w:spacing w:line="276" w:lineRule="auto"/>
              <w:jc w:val="center"/>
              <w:rPr>
                <w:rFonts w:ascii="宋体" w:hAnsi="宋体" w:eastAsia="宋体" w:cs="宋体"/>
                <w:bCs/>
                <w:szCs w:val="21"/>
              </w:rPr>
            </w:pPr>
          </w:p>
        </w:tc>
        <w:tc>
          <w:tcPr>
            <w:tcW w:w="508" w:type="dxa"/>
            <w:vAlign w:val="center"/>
          </w:tcPr>
          <w:p w14:paraId="58DD3A3A">
            <w:pPr>
              <w:spacing w:line="276" w:lineRule="auto"/>
              <w:jc w:val="center"/>
              <w:rPr>
                <w:rFonts w:ascii="宋体" w:hAnsi="宋体" w:eastAsia="宋体" w:cs="宋体"/>
                <w:bCs/>
                <w:szCs w:val="21"/>
              </w:rPr>
            </w:pPr>
          </w:p>
        </w:tc>
        <w:tc>
          <w:tcPr>
            <w:tcW w:w="810" w:type="dxa"/>
            <w:vAlign w:val="center"/>
          </w:tcPr>
          <w:p w14:paraId="71AA59F0">
            <w:pPr>
              <w:spacing w:line="276" w:lineRule="auto"/>
              <w:jc w:val="center"/>
              <w:rPr>
                <w:rFonts w:ascii="宋体" w:hAnsi="宋体" w:eastAsia="宋体" w:cs="宋体"/>
                <w:bCs/>
                <w:szCs w:val="21"/>
              </w:rPr>
            </w:pPr>
          </w:p>
        </w:tc>
        <w:tc>
          <w:tcPr>
            <w:tcW w:w="715" w:type="dxa"/>
            <w:vAlign w:val="center"/>
          </w:tcPr>
          <w:p w14:paraId="0DC6768D">
            <w:pPr>
              <w:spacing w:line="276" w:lineRule="auto"/>
              <w:jc w:val="center"/>
              <w:rPr>
                <w:rFonts w:ascii="宋体" w:hAnsi="宋体" w:eastAsia="宋体" w:cs="宋体"/>
                <w:bCs/>
                <w:szCs w:val="21"/>
              </w:rPr>
            </w:pPr>
          </w:p>
        </w:tc>
        <w:tc>
          <w:tcPr>
            <w:tcW w:w="1160" w:type="dxa"/>
            <w:vAlign w:val="center"/>
          </w:tcPr>
          <w:p w14:paraId="3314041B">
            <w:pPr>
              <w:spacing w:line="276" w:lineRule="auto"/>
              <w:jc w:val="center"/>
              <w:rPr>
                <w:rFonts w:ascii="宋体" w:hAnsi="宋体" w:eastAsia="宋体" w:cs="宋体"/>
                <w:bCs/>
                <w:szCs w:val="21"/>
              </w:rPr>
            </w:pPr>
          </w:p>
        </w:tc>
        <w:tc>
          <w:tcPr>
            <w:tcW w:w="917" w:type="dxa"/>
            <w:shd w:val="clear" w:color="auto" w:fill="auto"/>
            <w:vAlign w:val="center"/>
          </w:tcPr>
          <w:p w14:paraId="4A3EFE1A">
            <w:pPr>
              <w:spacing w:line="276" w:lineRule="auto"/>
              <w:jc w:val="center"/>
              <w:rPr>
                <w:rFonts w:ascii="宋体" w:hAnsi="宋体" w:eastAsia="宋体" w:cs="宋体"/>
                <w:bCs/>
                <w:szCs w:val="21"/>
              </w:rPr>
            </w:pPr>
          </w:p>
        </w:tc>
        <w:tc>
          <w:tcPr>
            <w:tcW w:w="666" w:type="dxa"/>
            <w:shd w:val="clear" w:color="auto" w:fill="auto"/>
            <w:vAlign w:val="center"/>
          </w:tcPr>
          <w:p w14:paraId="173EAF92">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49</w:t>
            </w:r>
          </w:p>
        </w:tc>
        <w:tc>
          <w:tcPr>
            <w:tcW w:w="550" w:type="dxa"/>
            <w:shd w:val="clear" w:color="auto" w:fill="auto"/>
            <w:vAlign w:val="center"/>
          </w:tcPr>
          <w:p w14:paraId="3D8E1A96">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个</w:t>
            </w:r>
          </w:p>
        </w:tc>
        <w:tc>
          <w:tcPr>
            <w:tcW w:w="967" w:type="dxa"/>
            <w:vAlign w:val="center"/>
          </w:tcPr>
          <w:p w14:paraId="12FD9C48">
            <w:pPr>
              <w:spacing w:line="276" w:lineRule="auto"/>
              <w:jc w:val="center"/>
              <w:rPr>
                <w:rFonts w:ascii="宋体" w:hAnsi="宋体" w:eastAsia="宋体" w:cs="宋体"/>
                <w:bCs/>
                <w:szCs w:val="21"/>
              </w:rPr>
            </w:pPr>
          </w:p>
        </w:tc>
        <w:tc>
          <w:tcPr>
            <w:tcW w:w="983" w:type="dxa"/>
            <w:vAlign w:val="center"/>
          </w:tcPr>
          <w:p w14:paraId="07BFDF32">
            <w:pPr>
              <w:spacing w:line="276" w:lineRule="auto"/>
              <w:jc w:val="center"/>
              <w:rPr>
                <w:rFonts w:ascii="宋体" w:hAnsi="宋体" w:eastAsia="宋体" w:cs="宋体"/>
                <w:bCs/>
                <w:szCs w:val="21"/>
              </w:rPr>
            </w:pPr>
          </w:p>
        </w:tc>
      </w:tr>
      <w:tr w14:paraId="06459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C3527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131</w:t>
            </w:r>
          </w:p>
        </w:tc>
        <w:tc>
          <w:tcPr>
            <w:tcW w:w="841" w:type="dxa"/>
            <w:vMerge w:val="continue"/>
          </w:tcPr>
          <w:p w14:paraId="6F0C328B">
            <w:pPr>
              <w:spacing w:line="276" w:lineRule="auto"/>
              <w:jc w:val="center"/>
              <w:rPr>
                <w:rFonts w:ascii="宋体" w:hAnsi="宋体" w:eastAsia="宋体" w:cs="宋体"/>
                <w:bCs/>
                <w:szCs w:val="21"/>
              </w:rPr>
            </w:pPr>
          </w:p>
        </w:tc>
        <w:tc>
          <w:tcPr>
            <w:tcW w:w="1223" w:type="dxa"/>
            <w:shd w:val="clear" w:color="auto" w:fill="auto"/>
            <w:vAlign w:val="center"/>
          </w:tcPr>
          <w:p w14:paraId="3EA80180">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熔纤点</w:t>
            </w:r>
          </w:p>
        </w:tc>
        <w:tc>
          <w:tcPr>
            <w:tcW w:w="890" w:type="dxa"/>
            <w:vAlign w:val="center"/>
          </w:tcPr>
          <w:p w14:paraId="363F5D3D">
            <w:pPr>
              <w:spacing w:line="276" w:lineRule="auto"/>
              <w:jc w:val="center"/>
              <w:rPr>
                <w:rFonts w:ascii="宋体" w:hAnsi="宋体" w:eastAsia="宋体" w:cs="宋体"/>
                <w:bCs/>
                <w:szCs w:val="21"/>
              </w:rPr>
            </w:pPr>
          </w:p>
        </w:tc>
        <w:tc>
          <w:tcPr>
            <w:tcW w:w="508" w:type="dxa"/>
            <w:vAlign w:val="center"/>
          </w:tcPr>
          <w:p w14:paraId="6198F649">
            <w:pPr>
              <w:spacing w:line="276" w:lineRule="auto"/>
              <w:jc w:val="center"/>
              <w:rPr>
                <w:rFonts w:ascii="宋体" w:hAnsi="宋体" w:eastAsia="宋体" w:cs="宋体"/>
                <w:bCs/>
                <w:szCs w:val="21"/>
              </w:rPr>
            </w:pPr>
          </w:p>
        </w:tc>
        <w:tc>
          <w:tcPr>
            <w:tcW w:w="810" w:type="dxa"/>
            <w:vAlign w:val="center"/>
          </w:tcPr>
          <w:p w14:paraId="75E245AF">
            <w:pPr>
              <w:spacing w:line="276" w:lineRule="auto"/>
              <w:jc w:val="center"/>
              <w:rPr>
                <w:rFonts w:ascii="宋体" w:hAnsi="宋体" w:eastAsia="宋体" w:cs="宋体"/>
                <w:bCs/>
                <w:szCs w:val="21"/>
              </w:rPr>
            </w:pPr>
          </w:p>
        </w:tc>
        <w:tc>
          <w:tcPr>
            <w:tcW w:w="715" w:type="dxa"/>
            <w:vAlign w:val="center"/>
          </w:tcPr>
          <w:p w14:paraId="4C386052">
            <w:pPr>
              <w:spacing w:line="276" w:lineRule="auto"/>
              <w:jc w:val="center"/>
              <w:rPr>
                <w:rFonts w:ascii="宋体" w:hAnsi="宋体" w:eastAsia="宋体" w:cs="宋体"/>
                <w:bCs/>
                <w:szCs w:val="21"/>
              </w:rPr>
            </w:pPr>
          </w:p>
        </w:tc>
        <w:tc>
          <w:tcPr>
            <w:tcW w:w="1160" w:type="dxa"/>
            <w:vAlign w:val="center"/>
          </w:tcPr>
          <w:p w14:paraId="6FEEE9D8">
            <w:pPr>
              <w:spacing w:line="276" w:lineRule="auto"/>
              <w:jc w:val="center"/>
              <w:rPr>
                <w:rFonts w:ascii="宋体" w:hAnsi="宋体" w:eastAsia="宋体" w:cs="宋体"/>
                <w:bCs/>
                <w:szCs w:val="21"/>
              </w:rPr>
            </w:pPr>
          </w:p>
        </w:tc>
        <w:tc>
          <w:tcPr>
            <w:tcW w:w="917" w:type="dxa"/>
            <w:shd w:val="clear" w:color="auto" w:fill="auto"/>
            <w:vAlign w:val="center"/>
          </w:tcPr>
          <w:p w14:paraId="05D0B7A5">
            <w:pPr>
              <w:spacing w:line="276" w:lineRule="auto"/>
              <w:jc w:val="center"/>
              <w:rPr>
                <w:rFonts w:ascii="宋体" w:hAnsi="宋体" w:eastAsia="宋体" w:cs="宋体"/>
                <w:bCs/>
                <w:szCs w:val="21"/>
              </w:rPr>
            </w:pPr>
          </w:p>
        </w:tc>
        <w:tc>
          <w:tcPr>
            <w:tcW w:w="666" w:type="dxa"/>
            <w:shd w:val="clear" w:color="auto" w:fill="auto"/>
            <w:vAlign w:val="center"/>
          </w:tcPr>
          <w:p w14:paraId="79903E62">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196</w:t>
            </w:r>
          </w:p>
        </w:tc>
        <w:tc>
          <w:tcPr>
            <w:tcW w:w="550" w:type="dxa"/>
            <w:shd w:val="clear" w:color="auto" w:fill="auto"/>
            <w:vAlign w:val="center"/>
          </w:tcPr>
          <w:p w14:paraId="371117B6">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芯</w:t>
            </w:r>
          </w:p>
        </w:tc>
        <w:tc>
          <w:tcPr>
            <w:tcW w:w="967" w:type="dxa"/>
            <w:vAlign w:val="center"/>
          </w:tcPr>
          <w:p w14:paraId="4D91F8D3">
            <w:pPr>
              <w:spacing w:line="276" w:lineRule="auto"/>
              <w:jc w:val="center"/>
              <w:rPr>
                <w:rFonts w:ascii="宋体" w:hAnsi="宋体" w:eastAsia="宋体" w:cs="宋体"/>
                <w:bCs/>
                <w:szCs w:val="21"/>
              </w:rPr>
            </w:pPr>
          </w:p>
        </w:tc>
        <w:tc>
          <w:tcPr>
            <w:tcW w:w="983" w:type="dxa"/>
            <w:vAlign w:val="center"/>
          </w:tcPr>
          <w:p w14:paraId="72594D49">
            <w:pPr>
              <w:spacing w:line="276" w:lineRule="auto"/>
              <w:jc w:val="center"/>
              <w:rPr>
                <w:rFonts w:ascii="宋体" w:hAnsi="宋体" w:eastAsia="宋体" w:cs="宋体"/>
                <w:bCs/>
                <w:szCs w:val="21"/>
              </w:rPr>
            </w:pPr>
          </w:p>
        </w:tc>
      </w:tr>
      <w:tr w14:paraId="0A271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BFFEC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132</w:t>
            </w:r>
          </w:p>
        </w:tc>
        <w:tc>
          <w:tcPr>
            <w:tcW w:w="841" w:type="dxa"/>
            <w:vMerge w:val="continue"/>
          </w:tcPr>
          <w:p w14:paraId="7C16FE9A">
            <w:pPr>
              <w:spacing w:line="276" w:lineRule="auto"/>
              <w:jc w:val="center"/>
              <w:rPr>
                <w:rFonts w:ascii="宋体" w:hAnsi="宋体" w:eastAsia="宋体" w:cs="宋体"/>
                <w:bCs/>
                <w:szCs w:val="21"/>
              </w:rPr>
            </w:pPr>
          </w:p>
        </w:tc>
        <w:tc>
          <w:tcPr>
            <w:tcW w:w="1223" w:type="dxa"/>
            <w:shd w:val="clear" w:color="auto" w:fill="auto"/>
            <w:vAlign w:val="center"/>
          </w:tcPr>
          <w:p w14:paraId="370ADEB2">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（2芯）</w:t>
            </w:r>
          </w:p>
        </w:tc>
        <w:tc>
          <w:tcPr>
            <w:tcW w:w="890" w:type="dxa"/>
            <w:vAlign w:val="center"/>
          </w:tcPr>
          <w:p w14:paraId="6532E838">
            <w:pPr>
              <w:spacing w:line="276" w:lineRule="auto"/>
              <w:jc w:val="center"/>
              <w:rPr>
                <w:rFonts w:ascii="宋体" w:hAnsi="宋体" w:eastAsia="宋体" w:cs="宋体"/>
                <w:bCs/>
                <w:szCs w:val="21"/>
              </w:rPr>
            </w:pPr>
          </w:p>
        </w:tc>
        <w:tc>
          <w:tcPr>
            <w:tcW w:w="508" w:type="dxa"/>
            <w:vAlign w:val="center"/>
          </w:tcPr>
          <w:p w14:paraId="1DE7C809">
            <w:pPr>
              <w:spacing w:line="276" w:lineRule="auto"/>
              <w:jc w:val="center"/>
              <w:rPr>
                <w:rFonts w:ascii="宋体" w:hAnsi="宋体" w:eastAsia="宋体" w:cs="宋体"/>
                <w:bCs/>
                <w:szCs w:val="21"/>
              </w:rPr>
            </w:pPr>
          </w:p>
        </w:tc>
        <w:tc>
          <w:tcPr>
            <w:tcW w:w="810" w:type="dxa"/>
            <w:vAlign w:val="center"/>
          </w:tcPr>
          <w:p w14:paraId="4D569C6E">
            <w:pPr>
              <w:spacing w:line="276" w:lineRule="auto"/>
              <w:jc w:val="center"/>
              <w:rPr>
                <w:rFonts w:ascii="宋体" w:hAnsi="宋体" w:eastAsia="宋体" w:cs="宋体"/>
                <w:bCs/>
                <w:szCs w:val="21"/>
              </w:rPr>
            </w:pPr>
          </w:p>
        </w:tc>
        <w:tc>
          <w:tcPr>
            <w:tcW w:w="715" w:type="dxa"/>
            <w:vAlign w:val="center"/>
          </w:tcPr>
          <w:p w14:paraId="10FB7D87">
            <w:pPr>
              <w:spacing w:line="276" w:lineRule="auto"/>
              <w:jc w:val="center"/>
              <w:rPr>
                <w:rFonts w:ascii="宋体" w:hAnsi="宋体" w:eastAsia="宋体" w:cs="宋体"/>
                <w:bCs/>
                <w:szCs w:val="21"/>
              </w:rPr>
            </w:pPr>
          </w:p>
        </w:tc>
        <w:tc>
          <w:tcPr>
            <w:tcW w:w="1160" w:type="dxa"/>
            <w:vAlign w:val="center"/>
          </w:tcPr>
          <w:p w14:paraId="0E4D5FAF">
            <w:pPr>
              <w:spacing w:line="276" w:lineRule="auto"/>
              <w:jc w:val="center"/>
              <w:rPr>
                <w:rFonts w:ascii="宋体" w:hAnsi="宋体" w:eastAsia="宋体" w:cs="宋体"/>
                <w:bCs/>
                <w:szCs w:val="21"/>
              </w:rPr>
            </w:pPr>
          </w:p>
        </w:tc>
        <w:tc>
          <w:tcPr>
            <w:tcW w:w="917" w:type="dxa"/>
            <w:shd w:val="clear" w:color="auto" w:fill="auto"/>
            <w:vAlign w:val="center"/>
          </w:tcPr>
          <w:p w14:paraId="17F171A3">
            <w:pPr>
              <w:spacing w:line="276" w:lineRule="auto"/>
              <w:jc w:val="center"/>
              <w:rPr>
                <w:rFonts w:ascii="宋体" w:hAnsi="宋体" w:eastAsia="宋体" w:cs="宋体"/>
                <w:bCs/>
                <w:szCs w:val="21"/>
              </w:rPr>
            </w:pPr>
          </w:p>
        </w:tc>
        <w:tc>
          <w:tcPr>
            <w:tcW w:w="666" w:type="dxa"/>
            <w:shd w:val="clear" w:color="auto" w:fill="auto"/>
            <w:vAlign w:val="center"/>
          </w:tcPr>
          <w:p w14:paraId="65EBA7EF">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4900</w:t>
            </w:r>
          </w:p>
        </w:tc>
        <w:tc>
          <w:tcPr>
            <w:tcW w:w="550" w:type="dxa"/>
            <w:shd w:val="clear" w:color="auto" w:fill="auto"/>
            <w:vAlign w:val="center"/>
          </w:tcPr>
          <w:p w14:paraId="2A53F13A">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700834B9">
            <w:pPr>
              <w:spacing w:line="276" w:lineRule="auto"/>
              <w:jc w:val="center"/>
              <w:rPr>
                <w:rFonts w:ascii="宋体" w:hAnsi="宋体" w:eastAsia="宋体" w:cs="宋体"/>
                <w:bCs/>
                <w:szCs w:val="21"/>
              </w:rPr>
            </w:pPr>
          </w:p>
        </w:tc>
        <w:tc>
          <w:tcPr>
            <w:tcW w:w="983" w:type="dxa"/>
            <w:vAlign w:val="center"/>
          </w:tcPr>
          <w:p w14:paraId="3B8EC28E">
            <w:pPr>
              <w:spacing w:line="276" w:lineRule="auto"/>
              <w:jc w:val="center"/>
              <w:rPr>
                <w:rFonts w:ascii="宋体" w:hAnsi="宋体" w:eastAsia="宋体" w:cs="宋体"/>
                <w:bCs/>
                <w:szCs w:val="21"/>
              </w:rPr>
            </w:pPr>
          </w:p>
        </w:tc>
      </w:tr>
      <w:tr w14:paraId="6AD58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9EE2D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133</w:t>
            </w:r>
          </w:p>
        </w:tc>
        <w:tc>
          <w:tcPr>
            <w:tcW w:w="841" w:type="dxa"/>
            <w:vMerge w:val="continue"/>
          </w:tcPr>
          <w:p w14:paraId="4B3EED78">
            <w:pPr>
              <w:spacing w:line="276" w:lineRule="auto"/>
              <w:jc w:val="center"/>
              <w:rPr>
                <w:rFonts w:ascii="宋体" w:hAnsi="宋体" w:eastAsia="宋体" w:cs="宋体"/>
                <w:bCs/>
                <w:szCs w:val="21"/>
              </w:rPr>
            </w:pPr>
          </w:p>
        </w:tc>
        <w:tc>
          <w:tcPr>
            <w:tcW w:w="1223" w:type="dxa"/>
            <w:shd w:val="clear" w:color="auto" w:fill="auto"/>
            <w:vAlign w:val="center"/>
          </w:tcPr>
          <w:p w14:paraId="0FE3CDFB">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（3*6）</w:t>
            </w:r>
          </w:p>
        </w:tc>
        <w:tc>
          <w:tcPr>
            <w:tcW w:w="890" w:type="dxa"/>
            <w:vAlign w:val="center"/>
          </w:tcPr>
          <w:p w14:paraId="190C09CE">
            <w:pPr>
              <w:spacing w:line="276" w:lineRule="auto"/>
              <w:jc w:val="center"/>
              <w:rPr>
                <w:rFonts w:ascii="宋体" w:hAnsi="宋体" w:eastAsia="宋体" w:cs="宋体"/>
                <w:bCs/>
                <w:szCs w:val="21"/>
              </w:rPr>
            </w:pPr>
          </w:p>
        </w:tc>
        <w:tc>
          <w:tcPr>
            <w:tcW w:w="508" w:type="dxa"/>
            <w:vAlign w:val="center"/>
          </w:tcPr>
          <w:p w14:paraId="56100347">
            <w:pPr>
              <w:spacing w:line="276" w:lineRule="auto"/>
              <w:jc w:val="center"/>
              <w:rPr>
                <w:rFonts w:ascii="宋体" w:hAnsi="宋体" w:eastAsia="宋体" w:cs="宋体"/>
                <w:bCs/>
                <w:szCs w:val="21"/>
              </w:rPr>
            </w:pPr>
          </w:p>
        </w:tc>
        <w:tc>
          <w:tcPr>
            <w:tcW w:w="810" w:type="dxa"/>
            <w:vAlign w:val="center"/>
          </w:tcPr>
          <w:p w14:paraId="4CEBF179">
            <w:pPr>
              <w:spacing w:line="276" w:lineRule="auto"/>
              <w:jc w:val="center"/>
              <w:rPr>
                <w:rFonts w:ascii="宋体" w:hAnsi="宋体" w:eastAsia="宋体" w:cs="宋体"/>
                <w:bCs/>
                <w:szCs w:val="21"/>
              </w:rPr>
            </w:pPr>
          </w:p>
        </w:tc>
        <w:tc>
          <w:tcPr>
            <w:tcW w:w="715" w:type="dxa"/>
            <w:vAlign w:val="center"/>
          </w:tcPr>
          <w:p w14:paraId="2A75F9E5">
            <w:pPr>
              <w:spacing w:line="276" w:lineRule="auto"/>
              <w:jc w:val="center"/>
              <w:rPr>
                <w:rFonts w:ascii="宋体" w:hAnsi="宋体" w:eastAsia="宋体" w:cs="宋体"/>
                <w:bCs/>
                <w:szCs w:val="21"/>
              </w:rPr>
            </w:pPr>
          </w:p>
        </w:tc>
        <w:tc>
          <w:tcPr>
            <w:tcW w:w="1160" w:type="dxa"/>
            <w:vAlign w:val="center"/>
          </w:tcPr>
          <w:p w14:paraId="7DD1A097">
            <w:pPr>
              <w:spacing w:line="276" w:lineRule="auto"/>
              <w:jc w:val="center"/>
              <w:rPr>
                <w:rFonts w:ascii="宋体" w:hAnsi="宋体" w:eastAsia="宋体" w:cs="宋体"/>
                <w:bCs/>
                <w:szCs w:val="21"/>
              </w:rPr>
            </w:pPr>
          </w:p>
        </w:tc>
        <w:tc>
          <w:tcPr>
            <w:tcW w:w="917" w:type="dxa"/>
            <w:shd w:val="clear" w:color="auto" w:fill="auto"/>
            <w:vAlign w:val="center"/>
          </w:tcPr>
          <w:p w14:paraId="5D6E1DA5">
            <w:pPr>
              <w:spacing w:line="276" w:lineRule="auto"/>
              <w:jc w:val="center"/>
              <w:rPr>
                <w:rFonts w:ascii="宋体" w:hAnsi="宋体" w:eastAsia="宋体" w:cs="宋体"/>
                <w:bCs/>
                <w:szCs w:val="21"/>
              </w:rPr>
            </w:pPr>
          </w:p>
        </w:tc>
        <w:tc>
          <w:tcPr>
            <w:tcW w:w="666" w:type="dxa"/>
            <w:shd w:val="clear" w:color="auto" w:fill="auto"/>
            <w:vAlign w:val="center"/>
          </w:tcPr>
          <w:p w14:paraId="0B297F86">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4900</w:t>
            </w:r>
          </w:p>
        </w:tc>
        <w:tc>
          <w:tcPr>
            <w:tcW w:w="550" w:type="dxa"/>
            <w:shd w:val="clear" w:color="auto" w:fill="auto"/>
            <w:vAlign w:val="center"/>
          </w:tcPr>
          <w:p w14:paraId="7B55C150">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3960D2B2">
            <w:pPr>
              <w:spacing w:line="276" w:lineRule="auto"/>
              <w:jc w:val="center"/>
              <w:rPr>
                <w:rFonts w:ascii="宋体" w:hAnsi="宋体" w:eastAsia="宋体" w:cs="宋体"/>
                <w:bCs/>
                <w:szCs w:val="21"/>
              </w:rPr>
            </w:pPr>
          </w:p>
        </w:tc>
        <w:tc>
          <w:tcPr>
            <w:tcW w:w="983" w:type="dxa"/>
            <w:vAlign w:val="center"/>
          </w:tcPr>
          <w:p w14:paraId="491985F4">
            <w:pPr>
              <w:spacing w:line="276" w:lineRule="auto"/>
              <w:jc w:val="center"/>
              <w:rPr>
                <w:rFonts w:ascii="宋体" w:hAnsi="宋体" w:eastAsia="宋体" w:cs="宋体"/>
                <w:bCs/>
                <w:szCs w:val="21"/>
              </w:rPr>
            </w:pPr>
          </w:p>
        </w:tc>
      </w:tr>
      <w:tr w14:paraId="1EFFE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44F66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134</w:t>
            </w:r>
          </w:p>
        </w:tc>
        <w:tc>
          <w:tcPr>
            <w:tcW w:w="841" w:type="dxa"/>
            <w:vMerge w:val="continue"/>
          </w:tcPr>
          <w:p w14:paraId="29B2C49A">
            <w:pPr>
              <w:spacing w:line="276" w:lineRule="auto"/>
              <w:jc w:val="center"/>
              <w:rPr>
                <w:rFonts w:ascii="宋体" w:hAnsi="宋体" w:eastAsia="宋体" w:cs="宋体"/>
                <w:bCs/>
                <w:szCs w:val="21"/>
              </w:rPr>
            </w:pPr>
          </w:p>
        </w:tc>
        <w:tc>
          <w:tcPr>
            <w:tcW w:w="1223" w:type="dxa"/>
            <w:shd w:val="clear" w:color="auto" w:fill="auto"/>
            <w:vAlign w:val="center"/>
          </w:tcPr>
          <w:p w14:paraId="5D3F41B3">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（3*1.5）</w:t>
            </w:r>
          </w:p>
        </w:tc>
        <w:tc>
          <w:tcPr>
            <w:tcW w:w="890" w:type="dxa"/>
            <w:vAlign w:val="center"/>
          </w:tcPr>
          <w:p w14:paraId="5E176EE0">
            <w:pPr>
              <w:spacing w:line="276" w:lineRule="auto"/>
              <w:jc w:val="center"/>
              <w:rPr>
                <w:rFonts w:ascii="宋体" w:hAnsi="宋体" w:eastAsia="宋体" w:cs="宋体"/>
                <w:bCs/>
                <w:szCs w:val="21"/>
              </w:rPr>
            </w:pPr>
          </w:p>
        </w:tc>
        <w:tc>
          <w:tcPr>
            <w:tcW w:w="508" w:type="dxa"/>
            <w:vAlign w:val="center"/>
          </w:tcPr>
          <w:p w14:paraId="20CAB490">
            <w:pPr>
              <w:spacing w:line="276" w:lineRule="auto"/>
              <w:jc w:val="center"/>
              <w:rPr>
                <w:rFonts w:ascii="宋体" w:hAnsi="宋体" w:eastAsia="宋体" w:cs="宋体"/>
                <w:bCs/>
                <w:szCs w:val="21"/>
              </w:rPr>
            </w:pPr>
          </w:p>
        </w:tc>
        <w:tc>
          <w:tcPr>
            <w:tcW w:w="810" w:type="dxa"/>
            <w:vAlign w:val="center"/>
          </w:tcPr>
          <w:p w14:paraId="524D2F80">
            <w:pPr>
              <w:spacing w:line="276" w:lineRule="auto"/>
              <w:jc w:val="center"/>
              <w:rPr>
                <w:rFonts w:ascii="宋体" w:hAnsi="宋体" w:eastAsia="宋体" w:cs="宋体"/>
                <w:bCs/>
                <w:szCs w:val="21"/>
              </w:rPr>
            </w:pPr>
          </w:p>
        </w:tc>
        <w:tc>
          <w:tcPr>
            <w:tcW w:w="715" w:type="dxa"/>
            <w:vAlign w:val="center"/>
          </w:tcPr>
          <w:p w14:paraId="0FE4C4D5">
            <w:pPr>
              <w:spacing w:line="276" w:lineRule="auto"/>
              <w:jc w:val="center"/>
              <w:rPr>
                <w:rFonts w:ascii="宋体" w:hAnsi="宋体" w:eastAsia="宋体" w:cs="宋体"/>
                <w:bCs/>
                <w:szCs w:val="21"/>
              </w:rPr>
            </w:pPr>
          </w:p>
        </w:tc>
        <w:tc>
          <w:tcPr>
            <w:tcW w:w="1160" w:type="dxa"/>
            <w:vAlign w:val="center"/>
          </w:tcPr>
          <w:p w14:paraId="52110EEA">
            <w:pPr>
              <w:spacing w:line="276" w:lineRule="auto"/>
              <w:jc w:val="center"/>
              <w:rPr>
                <w:rFonts w:ascii="宋体" w:hAnsi="宋体" w:eastAsia="宋体" w:cs="宋体"/>
                <w:bCs/>
                <w:szCs w:val="21"/>
              </w:rPr>
            </w:pPr>
          </w:p>
        </w:tc>
        <w:tc>
          <w:tcPr>
            <w:tcW w:w="917" w:type="dxa"/>
            <w:shd w:val="clear" w:color="auto" w:fill="auto"/>
            <w:vAlign w:val="center"/>
          </w:tcPr>
          <w:p w14:paraId="651EA289">
            <w:pPr>
              <w:spacing w:line="276" w:lineRule="auto"/>
              <w:jc w:val="center"/>
              <w:rPr>
                <w:rFonts w:ascii="宋体" w:hAnsi="宋体" w:eastAsia="宋体" w:cs="宋体"/>
                <w:bCs/>
                <w:szCs w:val="21"/>
              </w:rPr>
            </w:pPr>
          </w:p>
        </w:tc>
        <w:tc>
          <w:tcPr>
            <w:tcW w:w="666" w:type="dxa"/>
            <w:shd w:val="clear" w:color="auto" w:fill="auto"/>
            <w:vAlign w:val="center"/>
          </w:tcPr>
          <w:p w14:paraId="445BA063">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735</w:t>
            </w:r>
          </w:p>
        </w:tc>
        <w:tc>
          <w:tcPr>
            <w:tcW w:w="550" w:type="dxa"/>
            <w:shd w:val="clear" w:color="auto" w:fill="auto"/>
            <w:vAlign w:val="center"/>
          </w:tcPr>
          <w:p w14:paraId="0C34A96B">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6CD878EE">
            <w:pPr>
              <w:spacing w:line="276" w:lineRule="auto"/>
              <w:jc w:val="center"/>
              <w:rPr>
                <w:rFonts w:ascii="宋体" w:hAnsi="宋体" w:eastAsia="宋体" w:cs="宋体"/>
                <w:bCs/>
                <w:szCs w:val="21"/>
              </w:rPr>
            </w:pPr>
          </w:p>
        </w:tc>
        <w:tc>
          <w:tcPr>
            <w:tcW w:w="983" w:type="dxa"/>
            <w:vAlign w:val="center"/>
          </w:tcPr>
          <w:p w14:paraId="2F3D82AD">
            <w:pPr>
              <w:spacing w:line="276" w:lineRule="auto"/>
              <w:jc w:val="center"/>
              <w:rPr>
                <w:rFonts w:ascii="宋体" w:hAnsi="宋体" w:eastAsia="宋体" w:cs="宋体"/>
                <w:bCs/>
                <w:szCs w:val="21"/>
              </w:rPr>
            </w:pPr>
          </w:p>
        </w:tc>
      </w:tr>
      <w:tr w14:paraId="64AFF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6E39DE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841" w:type="dxa"/>
            <w:vMerge w:val="continue"/>
          </w:tcPr>
          <w:p w14:paraId="08F57C52">
            <w:pPr>
              <w:spacing w:line="276" w:lineRule="auto"/>
              <w:jc w:val="center"/>
              <w:rPr>
                <w:rFonts w:ascii="宋体" w:hAnsi="宋体" w:eastAsia="宋体" w:cs="宋体"/>
                <w:bCs/>
                <w:szCs w:val="21"/>
              </w:rPr>
            </w:pPr>
          </w:p>
        </w:tc>
        <w:tc>
          <w:tcPr>
            <w:tcW w:w="1223" w:type="dxa"/>
            <w:shd w:val="clear" w:color="auto" w:fill="auto"/>
            <w:vAlign w:val="center"/>
          </w:tcPr>
          <w:p w14:paraId="70503A58">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线缆</w:t>
            </w:r>
            <w:r>
              <w:rPr>
                <w:rFonts w:hint="eastAsia" w:ascii="宋体" w:hAnsi="等线" w:eastAsia="宋体" w:cs="等线"/>
                <w:i w:val="0"/>
                <w:iCs w:val="0"/>
                <w:color w:val="000000"/>
                <w:kern w:val="0"/>
                <w:sz w:val="20"/>
                <w:szCs w:val="20"/>
                <w:u w:val="none"/>
                <w:lang w:val="en-US" w:eastAsia="zh-CN" w:bidi="ar"/>
              </w:rPr>
              <w:t>（CAT6类）</w:t>
            </w:r>
          </w:p>
        </w:tc>
        <w:tc>
          <w:tcPr>
            <w:tcW w:w="890" w:type="dxa"/>
            <w:vAlign w:val="center"/>
          </w:tcPr>
          <w:p w14:paraId="0E867260">
            <w:pPr>
              <w:spacing w:line="276" w:lineRule="auto"/>
              <w:jc w:val="center"/>
              <w:rPr>
                <w:rFonts w:ascii="宋体" w:hAnsi="宋体" w:eastAsia="宋体" w:cs="宋体"/>
                <w:bCs/>
                <w:szCs w:val="21"/>
              </w:rPr>
            </w:pPr>
          </w:p>
        </w:tc>
        <w:tc>
          <w:tcPr>
            <w:tcW w:w="508" w:type="dxa"/>
            <w:vAlign w:val="center"/>
          </w:tcPr>
          <w:p w14:paraId="7BBFDFFA">
            <w:pPr>
              <w:spacing w:line="276" w:lineRule="auto"/>
              <w:jc w:val="center"/>
              <w:rPr>
                <w:rFonts w:ascii="宋体" w:hAnsi="宋体" w:eastAsia="宋体" w:cs="宋体"/>
                <w:bCs/>
                <w:szCs w:val="21"/>
              </w:rPr>
            </w:pPr>
          </w:p>
        </w:tc>
        <w:tc>
          <w:tcPr>
            <w:tcW w:w="810" w:type="dxa"/>
            <w:vAlign w:val="center"/>
          </w:tcPr>
          <w:p w14:paraId="3246D1BE">
            <w:pPr>
              <w:spacing w:line="276" w:lineRule="auto"/>
              <w:jc w:val="center"/>
              <w:rPr>
                <w:rFonts w:ascii="宋体" w:hAnsi="宋体" w:eastAsia="宋体" w:cs="宋体"/>
                <w:bCs/>
                <w:szCs w:val="21"/>
              </w:rPr>
            </w:pPr>
          </w:p>
        </w:tc>
        <w:tc>
          <w:tcPr>
            <w:tcW w:w="715" w:type="dxa"/>
            <w:vAlign w:val="center"/>
          </w:tcPr>
          <w:p w14:paraId="02ECD3CD">
            <w:pPr>
              <w:spacing w:line="276" w:lineRule="auto"/>
              <w:jc w:val="center"/>
              <w:rPr>
                <w:rFonts w:ascii="宋体" w:hAnsi="宋体" w:eastAsia="宋体" w:cs="宋体"/>
                <w:bCs/>
                <w:szCs w:val="21"/>
              </w:rPr>
            </w:pPr>
          </w:p>
        </w:tc>
        <w:tc>
          <w:tcPr>
            <w:tcW w:w="1160" w:type="dxa"/>
            <w:vAlign w:val="center"/>
          </w:tcPr>
          <w:p w14:paraId="0364FACD">
            <w:pPr>
              <w:spacing w:line="276" w:lineRule="auto"/>
              <w:jc w:val="center"/>
              <w:rPr>
                <w:rFonts w:ascii="宋体" w:hAnsi="宋体" w:eastAsia="宋体" w:cs="宋体"/>
                <w:bCs/>
                <w:szCs w:val="21"/>
              </w:rPr>
            </w:pPr>
          </w:p>
        </w:tc>
        <w:tc>
          <w:tcPr>
            <w:tcW w:w="917" w:type="dxa"/>
            <w:shd w:val="clear" w:color="auto" w:fill="auto"/>
            <w:vAlign w:val="center"/>
          </w:tcPr>
          <w:p w14:paraId="467B4E12">
            <w:pPr>
              <w:spacing w:line="276" w:lineRule="auto"/>
              <w:jc w:val="center"/>
              <w:rPr>
                <w:rFonts w:ascii="宋体" w:hAnsi="宋体" w:eastAsia="宋体" w:cs="宋体"/>
                <w:bCs/>
                <w:szCs w:val="21"/>
              </w:rPr>
            </w:pPr>
          </w:p>
        </w:tc>
        <w:tc>
          <w:tcPr>
            <w:tcW w:w="666" w:type="dxa"/>
            <w:shd w:val="clear" w:color="auto" w:fill="auto"/>
            <w:vAlign w:val="center"/>
          </w:tcPr>
          <w:p w14:paraId="70C2A050">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735</w:t>
            </w:r>
          </w:p>
        </w:tc>
        <w:tc>
          <w:tcPr>
            <w:tcW w:w="550" w:type="dxa"/>
            <w:shd w:val="clear" w:color="auto" w:fill="auto"/>
            <w:vAlign w:val="center"/>
          </w:tcPr>
          <w:p w14:paraId="06605F2E">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69743A20">
            <w:pPr>
              <w:spacing w:line="276" w:lineRule="auto"/>
              <w:jc w:val="center"/>
              <w:rPr>
                <w:rFonts w:ascii="宋体" w:hAnsi="宋体" w:eastAsia="宋体" w:cs="宋体"/>
                <w:bCs/>
                <w:szCs w:val="21"/>
              </w:rPr>
            </w:pPr>
          </w:p>
        </w:tc>
        <w:tc>
          <w:tcPr>
            <w:tcW w:w="983" w:type="dxa"/>
            <w:vAlign w:val="center"/>
          </w:tcPr>
          <w:p w14:paraId="61403A95">
            <w:pPr>
              <w:spacing w:line="276" w:lineRule="auto"/>
              <w:jc w:val="center"/>
              <w:rPr>
                <w:rFonts w:ascii="宋体" w:hAnsi="宋体" w:eastAsia="宋体" w:cs="宋体"/>
                <w:bCs/>
                <w:szCs w:val="21"/>
              </w:rPr>
            </w:pPr>
          </w:p>
        </w:tc>
      </w:tr>
      <w:tr w14:paraId="35704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23462B7">
            <w:pPr>
              <w:snapToGrid w:val="0"/>
              <w:ind w:left="0" w:leftChars="0" w:right="0" w:rightChars="0" w:firstLine="0" w:firstLineChars="0"/>
              <w:jc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sz w:val="20"/>
                <w:szCs w:val="20"/>
                <w:u w:val="none"/>
                <w:lang w:val="en-US" w:eastAsia="zh-CN"/>
              </w:rPr>
              <w:t>/</w:t>
            </w:r>
          </w:p>
        </w:tc>
        <w:tc>
          <w:tcPr>
            <w:tcW w:w="841" w:type="dxa"/>
            <w:vMerge w:val="continue"/>
          </w:tcPr>
          <w:p w14:paraId="228BB40F">
            <w:pPr>
              <w:spacing w:line="276" w:lineRule="auto"/>
              <w:jc w:val="center"/>
              <w:rPr>
                <w:rFonts w:ascii="宋体" w:hAnsi="宋体" w:eastAsia="宋体" w:cs="宋体"/>
                <w:bCs/>
                <w:szCs w:val="21"/>
              </w:rPr>
            </w:pPr>
          </w:p>
        </w:tc>
        <w:tc>
          <w:tcPr>
            <w:tcW w:w="9389" w:type="dxa"/>
            <w:gridSpan w:val="11"/>
            <w:vAlign w:val="center"/>
          </w:tcPr>
          <w:p w14:paraId="55874831">
            <w:pPr>
              <w:spacing w:line="276" w:lineRule="auto"/>
              <w:jc w:val="center"/>
              <w:rPr>
                <w:rFonts w:ascii="宋体" w:hAnsi="宋体" w:eastAsia="宋体" w:cs="宋体"/>
                <w:bCs/>
                <w:szCs w:val="21"/>
              </w:rPr>
            </w:pPr>
            <w:r>
              <w:rPr>
                <w:rFonts w:hint="default" w:ascii="宋体" w:hAnsi="等线" w:eastAsia="宋体" w:cs="等线"/>
                <w:b/>
                <w:bCs/>
                <w:i w:val="0"/>
                <w:iCs w:val="0"/>
                <w:color w:val="000000"/>
                <w:kern w:val="0"/>
                <w:sz w:val="20"/>
                <w:szCs w:val="20"/>
                <w:u w:val="none"/>
                <w:lang w:val="en-US" w:eastAsia="zh-CN" w:bidi="ar"/>
              </w:rPr>
              <w:t>智慧管控配电配网工程</w:t>
            </w:r>
          </w:p>
        </w:tc>
      </w:tr>
      <w:tr w14:paraId="747E7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7192C6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136</w:t>
            </w:r>
          </w:p>
        </w:tc>
        <w:tc>
          <w:tcPr>
            <w:tcW w:w="841" w:type="dxa"/>
            <w:vMerge w:val="continue"/>
          </w:tcPr>
          <w:p w14:paraId="49AD12C6">
            <w:pPr>
              <w:spacing w:line="276" w:lineRule="auto"/>
              <w:jc w:val="center"/>
              <w:rPr>
                <w:rFonts w:ascii="宋体" w:hAnsi="宋体" w:eastAsia="宋体" w:cs="宋体"/>
                <w:bCs/>
                <w:szCs w:val="21"/>
              </w:rPr>
            </w:pPr>
          </w:p>
        </w:tc>
        <w:tc>
          <w:tcPr>
            <w:tcW w:w="1223" w:type="dxa"/>
            <w:shd w:val="clear" w:color="auto" w:fill="auto"/>
            <w:vAlign w:val="center"/>
          </w:tcPr>
          <w:p w14:paraId="60E8269C">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光纤</w:t>
            </w:r>
            <w:r>
              <w:rPr>
                <w:rFonts w:hint="eastAsia" w:ascii="宋体" w:hAnsi="等线" w:eastAsia="宋体" w:cs="等线"/>
                <w:i w:val="0"/>
                <w:iCs w:val="0"/>
                <w:color w:val="000000"/>
                <w:kern w:val="0"/>
                <w:sz w:val="20"/>
                <w:szCs w:val="20"/>
                <w:u w:val="none"/>
                <w:lang w:val="en-US" w:eastAsia="zh-CN" w:bidi="ar"/>
              </w:rPr>
              <w:t>（48芯）</w:t>
            </w:r>
          </w:p>
        </w:tc>
        <w:tc>
          <w:tcPr>
            <w:tcW w:w="890" w:type="dxa"/>
            <w:vAlign w:val="center"/>
          </w:tcPr>
          <w:p w14:paraId="4173B459">
            <w:pPr>
              <w:spacing w:line="276" w:lineRule="auto"/>
              <w:jc w:val="center"/>
              <w:rPr>
                <w:rFonts w:ascii="宋体" w:hAnsi="宋体" w:eastAsia="宋体" w:cs="宋体"/>
                <w:bCs/>
                <w:szCs w:val="21"/>
              </w:rPr>
            </w:pPr>
          </w:p>
        </w:tc>
        <w:tc>
          <w:tcPr>
            <w:tcW w:w="508" w:type="dxa"/>
            <w:vAlign w:val="center"/>
          </w:tcPr>
          <w:p w14:paraId="4CA7CAEA">
            <w:pPr>
              <w:spacing w:line="276" w:lineRule="auto"/>
              <w:jc w:val="center"/>
              <w:rPr>
                <w:rFonts w:ascii="宋体" w:hAnsi="宋体" w:eastAsia="宋体" w:cs="宋体"/>
                <w:bCs/>
                <w:szCs w:val="21"/>
              </w:rPr>
            </w:pPr>
          </w:p>
        </w:tc>
        <w:tc>
          <w:tcPr>
            <w:tcW w:w="810" w:type="dxa"/>
            <w:vAlign w:val="center"/>
          </w:tcPr>
          <w:p w14:paraId="35F96196">
            <w:pPr>
              <w:spacing w:line="276" w:lineRule="auto"/>
              <w:jc w:val="center"/>
              <w:rPr>
                <w:rFonts w:ascii="宋体" w:hAnsi="宋体" w:eastAsia="宋体" w:cs="宋体"/>
                <w:bCs/>
                <w:szCs w:val="21"/>
              </w:rPr>
            </w:pPr>
          </w:p>
        </w:tc>
        <w:tc>
          <w:tcPr>
            <w:tcW w:w="715" w:type="dxa"/>
            <w:vAlign w:val="center"/>
          </w:tcPr>
          <w:p w14:paraId="5BEF0BCE">
            <w:pPr>
              <w:spacing w:line="276" w:lineRule="auto"/>
              <w:jc w:val="center"/>
              <w:rPr>
                <w:rFonts w:ascii="宋体" w:hAnsi="宋体" w:eastAsia="宋体" w:cs="宋体"/>
                <w:bCs/>
                <w:szCs w:val="21"/>
              </w:rPr>
            </w:pPr>
          </w:p>
        </w:tc>
        <w:tc>
          <w:tcPr>
            <w:tcW w:w="1160" w:type="dxa"/>
            <w:vAlign w:val="center"/>
          </w:tcPr>
          <w:p w14:paraId="551CE5A6">
            <w:pPr>
              <w:spacing w:line="276" w:lineRule="auto"/>
              <w:jc w:val="center"/>
              <w:rPr>
                <w:rFonts w:ascii="宋体" w:hAnsi="宋体" w:eastAsia="宋体" w:cs="宋体"/>
                <w:bCs/>
                <w:szCs w:val="21"/>
              </w:rPr>
            </w:pPr>
          </w:p>
        </w:tc>
        <w:tc>
          <w:tcPr>
            <w:tcW w:w="917" w:type="dxa"/>
            <w:shd w:val="clear" w:color="auto" w:fill="auto"/>
            <w:vAlign w:val="center"/>
          </w:tcPr>
          <w:p w14:paraId="1556E5B0">
            <w:pPr>
              <w:spacing w:line="276" w:lineRule="auto"/>
              <w:jc w:val="center"/>
              <w:rPr>
                <w:rFonts w:ascii="宋体" w:hAnsi="宋体" w:eastAsia="宋体" w:cs="宋体"/>
                <w:bCs/>
                <w:szCs w:val="21"/>
              </w:rPr>
            </w:pPr>
          </w:p>
        </w:tc>
        <w:tc>
          <w:tcPr>
            <w:tcW w:w="666" w:type="dxa"/>
            <w:shd w:val="clear" w:color="auto" w:fill="auto"/>
            <w:vAlign w:val="center"/>
          </w:tcPr>
          <w:p w14:paraId="2503661F">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22.5</w:t>
            </w:r>
          </w:p>
        </w:tc>
        <w:tc>
          <w:tcPr>
            <w:tcW w:w="550" w:type="dxa"/>
            <w:shd w:val="clear" w:color="auto" w:fill="auto"/>
            <w:vAlign w:val="center"/>
          </w:tcPr>
          <w:p w14:paraId="353867C3">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km</w:t>
            </w:r>
          </w:p>
        </w:tc>
        <w:tc>
          <w:tcPr>
            <w:tcW w:w="967" w:type="dxa"/>
            <w:vAlign w:val="center"/>
          </w:tcPr>
          <w:p w14:paraId="45AFEF63">
            <w:pPr>
              <w:spacing w:line="276" w:lineRule="auto"/>
              <w:jc w:val="center"/>
              <w:rPr>
                <w:rFonts w:ascii="宋体" w:hAnsi="宋体" w:eastAsia="宋体" w:cs="宋体"/>
                <w:bCs/>
                <w:szCs w:val="21"/>
              </w:rPr>
            </w:pPr>
          </w:p>
        </w:tc>
        <w:tc>
          <w:tcPr>
            <w:tcW w:w="983" w:type="dxa"/>
            <w:vAlign w:val="center"/>
          </w:tcPr>
          <w:p w14:paraId="48B2931D">
            <w:pPr>
              <w:spacing w:line="276" w:lineRule="auto"/>
              <w:jc w:val="center"/>
              <w:rPr>
                <w:rFonts w:ascii="宋体" w:hAnsi="宋体" w:eastAsia="宋体" w:cs="宋体"/>
                <w:bCs/>
                <w:szCs w:val="21"/>
              </w:rPr>
            </w:pPr>
          </w:p>
        </w:tc>
      </w:tr>
      <w:tr w14:paraId="52B34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7A706A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137</w:t>
            </w:r>
          </w:p>
        </w:tc>
        <w:tc>
          <w:tcPr>
            <w:tcW w:w="841" w:type="dxa"/>
            <w:vMerge w:val="continue"/>
          </w:tcPr>
          <w:p w14:paraId="42A96714">
            <w:pPr>
              <w:spacing w:line="276" w:lineRule="auto"/>
              <w:jc w:val="center"/>
              <w:rPr>
                <w:rFonts w:ascii="宋体" w:hAnsi="宋体" w:eastAsia="宋体" w:cs="宋体"/>
                <w:bCs/>
                <w:szCs w:val="21"/>
              </w:rPr>
            </w:pPr>
          </w:p>
        </w:tc>
        <w:tc>
          <w:tcPr>
            <w:tcW w:w="1223" w:type="dxa"/>
            <w:shd w:val="clear" w:color="auto" w:fill="auto"/>
            <w:vAlign w:val="center"/>
          </w:tcPr>
          <w:p w14:paraId="24E23F96">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租用管道</w:t>
            </w:r>
            <w:r>
              <w:rPr>
                <w:rFonts w:hint="eastAsia" w:ascii="宋体" w:hAnsi="等线" w:eastAsia="宋体" w:cs="等线"/>
                <w:i w:val="0"/>
                <w:iCs w:val="0"/>
                <w:color w:val="000000"/>
                <w:kern w:val="0"/>
                <w:sz w:val="20"/>
                <w:szCs w:val="20"/>
                <w:u w:val="none"/>
                <w:lang w:val="en-US" w:eastAsia="zh-CN" w:bidi="ar"/>
              </w:rPr>
              <w:t>（3年）</w:t>
            </w:r>
          </w:p>
        </w:tc>
        <w:tc>
          <w:tcPr>
            <w:tcW w:w="890" w:type="dxa"/>
            <w:vAlign w:val="center"/>
          </w:tcPr>
          <w:p w14:paraId="7CECCC23">
            <w:pPr>
              <w:spacing w:line="276" w:lineRule="auto"/>
              <w:jc w:val="center"/>
              <w:rPr>
                <w:rFonts w:ascii="宋体" w:hAnsi="宋体" w:eastAsia="宋体" w:cs="宋体"/>
                <w:bCs/>
                <w:szCs w:val="21"/>
              </w:rPr>
            </w:pPr>
          </w:p>
        </w:tc>
        <w:tc>
          <w:tcPr>
            <w:tcW w:w="508" w:type="dxa"/>
            <w:vAlign w:val="center"/>
          </w:tcPr>
          <w:p w14:paraId="6C5D1858">
            <w:pPr>
              <w:spacing w:line="276" w:lineRule="auto"/>
              <w:jc w:val="center"/>
              <w:rPr>
                <w:rFonts w:ascii="宋体" w:hAnsi="宋体" w:eastAsia="宋体" w:cs="宋体"/>
                <w:bCs/>
                <w:szCs w:val="21"/>
              </w:rPr>
            </w:pPr>
          </w:p>
        </w:tc>
        <w:tc>
          <w:tcPr>
            <w:tcW w:w="810" w:type="dxa"/>
            <w:vAlign w:val="center"/>
          </w:tcPr>
          <w:p w14:paraId="3408C68A">
            <w:pPr>
              <w:spacing w:line="276" w:lineRule="auto"/>
              <w:jc w:val="center"/>
              <w:rPr>
                <w:rFonts w:ascii="宋体" w:hAnsi="宋体" w:eastAsia="宋体" w:cs="宋体"/>
                <w:bCs/>
                <w:szCs w:val="21"/>
              </w:rPr>
            </w:pPr>
          </w:p>
        </w:tc>
        <w:tc>
          <w:tcPr>
            <w:tcW w:w="715" w:type="dxa"/>
            <w:vAlign w:val="center"/>
          </w:tcPr>
          <w:p w14:paraId="4E9686AD">
            <w:pPr>
              <w:spacing w:line="276" w:lineRule="auto"/>
              <w:jc w:val="center"/>
              <w:rPr>
                <w:rFonts w:ascii="宋体" w:hAnsi="宋体" w:eastAsia="宋体" w:cs="宋体"/>
                <w:bCs/>
                <w:szCs w:val="21"/>
              </w:rPr>
            </w:pPr>
          </w:p>
        </w:tc>
        <w:tc>
          <w:tcPr>
            <w:tcW w:w="1160" w:type="dxa"/>
            <w:vAlign w:val="center"/>
          </w:tcPr>
          <w:p w14:paraId="709F3E0A">
            <w:pPr>
              <w:spacing w:line="276" w:lineRule="auto"/>
              <w:jc w:val="center"/>
              <w:rPr>
                <w:rFonts w:ascii="宋体" w:hAnsi="宋体" w:eastAsia="宋体" w:cs="宋体"/>
                <w:bCs/>
                <w:szCs w:val="21"/>
              </w:rPr>
            </w:pPr>
          </w:p>
        </w:tc>
        <w:tc>
          <w:tcPr>
            <w:tcW w:w="917" w:type="dxa"/>
            <w:shd w:val="clear" w:color="auto" w:fill="auto"/>
            <w:vAlign w:val="center"/>
          </w:tcPr>
          <w:p w14:paraId="05F61B67">
            <w:pPr>
              <w:spacing w:line="276" w:lineRule="auto"/>
              <w:jc w:val="center"/>
              <w:rPr>
                <w:rFonts w:ascii="宋体" w:hAnsi="宋体" w:eastAsia="宋体" w:cs="宋体"/>
                <w:bCs/>
                <w:szCs w:val="21"/>
              </w:rPr>
            </w:pPr>
          </w:p>
        </w:tc>
        <w:tc>
          <w:tcPr>
            <w:tcW w:w="666" w:type="dxa"/>
            <w:shd w:val="clear" w:color="auto" w:fill="auto"/>
            <w:vAlign w:val="center"/>
          </w:tcPr>
          <w:p w14:paraId="2CBE3E57">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7.5</w:t>
            </w:r>
          </w:p>
        </w:tc>
        <w:tc>
          <w:tcPr>
            <w:tcW w:w="550" w:type="dxa"/>
            <w:shd w:val="clear" w:color="auto" w:fill="auto"/>
            <w:vAlign w:val="center"/>
          </w:tcPr>
          <w:p w14:paraId="0EDC3D6A">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km</w:t>
            </w:r>
          </w:p>
        </w:tc>
        <w:tc>
          <w:tcPr>
            <w:tcW w:w="967" w:type="dxa"/>
            <w:vAlign w:val="center"/>
          </w:tcPr>
          <w:p w14:paraId="2BB9323E">
            <w:pPr>
              <w:spacing w:line="276" w:lineRule="auto"/>
              <w:jc w:val="center"/>
              <w:rPr>
                <w:rFonts w:ascii="宋体" w:hAnsi="宋体" w:eastAsia="宋体" w:cs="宋体"/>
                <w:bCs/>
                <w:szCs w:val="21"/>
              </w:rPr>
            </w:pPr>
          </w:p>
        </w:tc>
        <w:tc>
          <w:tcPr>
            <w:tcW w:w="983" w:type="dxa"/>
            <w:vAlign w:val="center"/>
          </w:tcPr>
          <w:p w14:paraId="594FA39F">
            <w:pPr>
              <w:spacing w:line="276" w:lineRule="auto"/>
              <w:jc w:val="center"/>
              <w:rPr>
                <w:rFonts w:ascii="宋体" w:hAnsi="宋体" w:eastAsia="宋体" w:cs="宋体"/>
                <w:bCs/>
                <w:szCs w:val="21"/>
              </w:rPr>
            </w:pPr>
          </w:p>
        </w:tc>
      </w:tr>
      <w:tr w14:paraId="77A67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CA86E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138</w:t>
            </w:r>
          </w:p>
        </w:tc>
        <w:tc>
          <w:tcPr>
            <w:tcW w:w="841" w:type="dxa"/>
            <w:vMerge w:val="continue"/>
          </w:tcPr>
          <w:p w14:paraId="00033185">
            <w:pPr>
              <w:spacing w:line="276" w:lineRule="auto"/>
              <w:jc w:val="center"/>
              <w:rPr>
                <w:rFonts w:ascii="宋体" w:hAnsi="宋体" w:eastAsia="宋体" w:cs="宋体"/>
                <w:bCs/>
                <w:szCs w:val="21"/>
              </w:rPr>
            </w:pPr>
          </w:p>
        </w:tc>
        <w:tc>
          <w:tcPr>
            <w:tcW w:w="1223" w:type="dxa"/>
            <w:shd w:val="clear" w:color="auto" w:fill="auto"/>
            <w:vAlign w:val="center"/>
          </w:tcPr>
          <w:p w14:paraId="4A3D90FC">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新建子管</w:t>
            </w:r>
          </w:p>
        </w:tc>
        <w:tc>
          <w:tcPr>
            <w:tcW w:w="890" w:type="dxa"/>
            <w:vAlign w:val="center"/>
          </w:tcPr>
          <w:p w14:paraId="57BF2C9E">
            <w:pPr>
              <w:spacing w:line="276" w:lineRule="auto"/>
              <w:jc w:val="center"/>
              <w:rPr>
                <w:rFonts w:ascii="宋体" w:hAnsi="宋体" w:eastAsia="宋体" w:cs="宋体"/>
                <w:bCs/>
                <w:szCs w:val="21"/>
              </w:rPr>
            </w:pPr>
          </w:p>
        </w:tc>
        <w:tc>
          <w:tcPr>
            <w:tcW w:w="508" w:type="dxa"/>
            <w:vAlign w:val="center"/>
          </w:tcPr>
          <w:p w14:paraId="007002D1">
            <w:pPr>
              <w:spacing w:line="276" w:lineRule="auto"/>
              <w:jc w:val="center"/>
              <w:rPr>
                <w:rFonts w:ascii="宋体" w:hAnsi="宋体" w:eastAsia="宋体" w:cs="宋体"/>
                <w:bCs/>
                <w:szCs w:val="21"/>
              </w:rPr>
            </w:pPr>
          </w:p>
        </w:tc>
        <w:tc>
          <w:tcPr>
            <w:tcW w:w="810" w:type="dxa"/>
            <w:vAlign w:val="center"/>
          </w:tcPr>
          <w:p w14:paraId="5A6309CD">
            <w:pPr>
              <w:spacing w:line="276" w:lineRule="auto"/>
              <w:jc w:val="center"/>
              <w:rPr>
                <w:rFonts w:ascii="宋体" w:hAnsi="宋体" w:eastAsia="宋体" w:cs="宋体"/>
                <w:bCs/>
                <w:szCs w:val="21"/>
              </w:rPr>
            </w:pPr>
          </w:p>
        </w:tc>
        <w:tc>
          <w:tcPr>
            <w:tcW w:w="715" w:type="dxa"/>
            <w:vAlign w:val="center"/>
          </w:tcPr>
          <w:p w14:paraId="29C06CF8">
            <w:pPr>
              <w:spacing w:line="276" w:lineRule="auto"/>
              <w:jc w:val="center"/>
              <w:rPr>
                <w:rFonts w:ascii="宋体" w:hAnsi="宋体" w:eastAsia="宋体" w:cs="宋体"/>
                <w:bCs/>
                <w:szCs w:val="21"/>
              </w:rPr>
            </w:pPr>
          </w:p>
        </w:tc>
        <w:tc>
          <w:tcPr>
            <w:tcW w:w="1160" w:type="dxa"/>
            <w:vAlign w:val="center"/>
          </w:tcPr>
          <w:p w14:paraId="5C82FFFC">
            <w:pPr>
              <w:spacing w:line="276" w:lineRule="auto"/>
              <w:jc w:val="center"/>
              <w:rPr>
                <w:rFonts w:ascii="宋体" w:hAnsi="宋体" w:eastAsia="宋体" w:cs="宋体"/>
                <w:bCs/>
                <w:szCs w:val="21"/>
              </w:rPr>
            </w:pPr>
          </w:p>
        </w:tc>
        <w:tc>
          <w:tcPr>
            <w:tcW w:w="917" w:type="dxa"/>
            <w:shd w:val="clear" w:color="auto" w:fill="auto"/>
            <w:vAlign w:val="center"/>
          </w:tcPr>
          <w:p w14:paraId="53219ED0">
            <w:pPr>
              <w:spacing w:line="276" w:lineRule="auto"/>
              <w:jc w:val="center"/>
              <w:rPr>
                <w:rFonts w:ascii="宋体" w:hAnsi="宋体" w:eastAsia="宋体" w:cs="宋体"/>
                <w:bCs/>
                <w:szCs w:val="21"/>
              </w:rPr>
            </w:pPr>
          </w:p>
        </w:tc>
        <w:tc>
          <w:tcPr>
            <w:tcW w:w="666" w:type="dxa"/>
            <w:shd w:val="clear" w:color="auto" w:fill="auto"/>
            <w:vAlign w:val="center"/>
          </w:tcPr>
          <w:p w14:paraId="47894758">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13.9</w:t>
            </w:r>
          </w:p>
        </w:tc>
        <w:tc>
          <w:tcPr>
            <w:tcW w:w="550" w:type="dxa"/>
            <w:shd w:val="clear" w:color="auto" w:fill="auto"/>
            <w:vAlign w:val="center"/>
          </w:tcPr>
          <w:p w14:paraId="2FE198F0">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km</w:t>
            </w:r>
          </w:p>
        </w:tc>
        <w:tc>
          <w:tcPr>
            <w:tcW w:w="967" w:type="dxa"/>
            <w:vAlign w:val="center"/>
          </w:tcPr>
          <w:p w14:paraId="619D6766">
            <w:pPr>
              <w:spacing w:line="276" w:lineRule="auto"/>
              <w:jc w:val="center"/>
              <w:rPr>
                <w:rFonts w:ascii="宋体" w:hAnsi="宋体" w:eastAsia="宋体" w:cs="宋体"/>
                <w:bCs/>
                <w:szCs w:val="21"/>
              </w:rPr>
            </w:pPr>
          </w:p>
        </w:tc>
        <w:tc>
          <w:tcPr>
            <w:tcW w:w="983" w:type="dxa"/>
            <w:vAlign w:val="center"/>
          </w:tcPr>
          <w:p w14:paraId="6E4B6FA5">
            <w:pPr>
              <w:spacing w:line="276" w:lineRule="auto"/>
              <w:jc w:val="center"/>
              <w:rPr>
                <w:rFonts w:ascii="宋体" w:hAnsi="宋体" w:eastAsia="宋体" w:cs="宋体"/>
                <w:bCs/>
                <w:szCs w:val="21"/>
              </w:rPr>
            </w:pPr>
          </w:p>
        </w:tc>
      </w:tr>
      <w:tr w14:paraId="501CC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560AFC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139</w:t>
            </w:r>
          </w:p>
        </w:tc>
        <w:tc>
          <w:tcPr>
            <w:tcW w:w="841" w:type="dxa"/>
            <w:vMerge w:val="continue"/>
          </w:tcPr>
          <w:p w14:paraId="07655243">
            <w:pPr>
              <w:spacing w:line="276" w:lineRule="auto"/>
              <w:jc w:val="center"/>
              <w:rPr>
                <w:rFonts w:ascii="宋体" w:hAnsi="宋体" w:eastAsia="宋体" w:cs="宋体"/>
                <w:bCs/>
                <w:szCs w:val="21"/>
              </w:rPr>
            </w:pPr>
          </w:p>
        </w:tc>
        <w:tc>
          <w:tcPr>
            <w:tcW w:w="1223" w:type="dxa"/>
            <w:shd w:val="clear" w:color="auto" w:fill="auto"/>
            <w:vAlign w:val="center"/>
          </w:tcPr>
          <w:p w14:paraId="742E628C">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光纤</w:t>
            </w:r>
            <w:r>
              <w:rPr>
                <w:rFonts w:hint="eastAsia" w:ascii="宋体" w:hAnsi="等线" w:eastAsia="宋体" w:cs="等线"/>
                <w:i w:val="0"/>
                <w:iCs w:val="0"/>
                <w:color w:val="000000"/>
                <w:kern w:val="0"/>
                <w:sz w:val="20"/>
                <w:szCs w:val="20"/>
                <w:u w:val="none"/>
                <w:lang w:val="en-US" w:eastAsia="zh-CN" w:bidi="ar"/>
              </w:rPr>
              <w:t>（6芯）</w:t>
            </w:r>
          </w:p>
        </w:tc>
        <w:tc>
          <w:tcPr>
            <w:tcW w:w="890" w:type="dxa"/>
            <w:vAlign w:val="center"/>
          </w:tcPr>
          <w:p w14:paraId="6CE0B8F7">
            <w:pPr>
              <w:spacing w:line="276" w:lineRule="auto"/>
              <w:jc w:val="center"/>
              <w:rPr>
                <w:rFonts w:ascii="宋体" w:hAnsi="宋体" w:eastAsia="宋体" w:cs="宋体"/>
                <w:bCs/>
                <w:szCs w:val="21"/>
              </w:rPr>
            </w:pPr>
          </w:p>
        </w:tc>
        <w:tc>
          <w:tcPr>
            <w:tcW w:w="508" w:type="dxa"/>
            <w:vAlign w:val="center"/>
          </w:tcPr>
          <w:p w14:paraId="0B2FCBD1">
            <w:pPr>
              <w:spacing w:line="276" w:lineRule="auto"/>
              <w:jc w:val="center"/>
              <w:rPr>
                <w:rFonts w:ascii="宋体" w:hAnsi="宋体" w:eastAsia="宋体" w:cs="宋体"/>
                <w:bCs/>
                <w:szCs w:val="21"/>
              </w:rPr>
            </w:pPr>
          </w:p>
        </w:tc>
        <w:tc>
          <w:tcPr>
            <w:tcW w:w="810" w:type="dxa"/>
            <w:vAlign w:val="center"/>
          </w:tcPr>
          <w:p w14:paraId="69C330E1">
            <w:pPr>
              <w:spacing w:line="276" w:lineRule="auto"/>
              <w:jc w:val="center"/>
              <w:rPr>
                <w:rFonts w:ascii="宋体" w:hAnsi="宋体" w:eastAsia="宋体" w:cs="宋体"/>
                <w:bCs/>
                <w:szCs w:val="21"/>
              </w:rPr>
            </w:pPr>
          </w:p>
        </w:tc>
        <w:tc>
          <w:tcPr>
            <w:tcW w:w="715" w:type="dxa"/>
            <w:vAlign w:val="center"/>
          </w:tcPr>
          <w:p w14:paraId="1D3A5EE0">
            <w:pPr>
              <w:spacing w:line="276" w:lineRule="auto"/>
              <w:jc w:val="center"/>
              <w:rPr>
                <w:rFonts w:ascii="宋体" w:hAnsi="宋体" w:eastAsia="宋体" w:cs="宋体"/>
                <w:bCs/>
                <w:szCs w:val="21"/>
              </w:rPr>
            </w:pPr>
          </w:p>
        </w:tc>
        <w:tc>
          <w:tcPr>
            <w:tcW w:w="1160" w:type="dxa"/>
            <w:vAlign w:val="center"/>
          </w:tcPr>
          <w:p w14:paraId="6802204A">
            <w:pPr>
              <w:spacing w:line="276" w:lineRule="auto"/>
              <w:jc w:val="center"/>
              <w:rPr>
                <w:rFonts w:ascii="宋体" w:hAnsi="宋体" w:eastAsia="宋体" w:cs="宋体"/>
                <w:bCs/>
                <w:szCs w:val="21"/>
              </w:rPr>
            </w:pPr>
          </w:p>
        </w:tc>
        <w:tc>
          <w:tcPr>
            <w:tcW w:w="917" w:type="dxa"/>
            <w:shd w:val="clear" w:color="auto" w:fill="auto"/>
            <w:vAlign w:val="center"/>
          </w:tcPr>
          <w:p w14:paraId="113DCF40">
            <w:pPr>
              <w:spacing w:line="276" w:lineRule="auto"/>
              <w:jc w:val="center"/>
              <w:rPr>
                <w:rFonts w:ascii="宋体" w:hAnsi="宋体" w:eastAsia="宋体" w:cs="宋体"/>
                <w:bCs/>
                <w:szCs w:val="21"/>
              </w:rPr>
            </w:pPr>
          </w:p>
        </w:tc>
        <w:tc>
          <w:tcPr>
            <w:tcW w:w="666" w:type="dxa"/>
            <w:shd w:val="clear" w:color="auto" w:fill="auto"/>
            <w:vAlign w:val="center"/>
          </w:tcPr>
          <w:p w14:paraId="16606DEF">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18</w:t>
            </w:r>
          </w:p>
        </w:tc>
        <w:tc>
          <w:tcPr>
            <w:tcW w:w="550" w:type="dxa"/>
            <w:shd w:val="clear" w:color="auto" w:fill="auto"/>
            <w:vAlign w:val="center"/>
          </w:tcPr>
          <w:p w14:paraId="2FB1D4F6">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km</w:t>
            </w:r>
          </w:p>
        </w:tc>
        <w:tc>
          <w:tcPr>
            <w:tcW w:w="967" w:type="dxa"/>
            <w:vAlign w:val="center"/>
          </w:tcPr>
          <w:p w14:paraId="6B97D68B">
            <w:pPr>
              <w:spacing w:line="276" w:lineRule="auto"/>
              <w:jc w:val="center"/>
              <w:rPr>
                <w:rFonts w:ascii="宋体" w:hAnsi="宋体" w:eastAsia="宋体" w:cs="宋体"/>
                <w:bCs/>
                <w:szCs w:val="21"/>
              </w:rPr>
            </w:pPr>
          </w:p>
        </w:tc>
        <w:tc>
          <w:tcPr>
            <w:tcW w:w="983" w:type="dxa"/>
            <w:vAlign w:val="center"/>
          </w:tcPr>
          <w:p w14:paraId="436AE282">
            <w:pPr>
              <w:spacing w:line="276" w:lineRule="auto"/>
              <w:jc w:val="center"/>
              <w:rPr>
                <w:rFonts w:ascii="宋体" w:hAnsi="宋体" w:eastAsia="宋体" w:cs="宋体"/>
                <w:bCs/>
                <w:szCs w:val="21"/>
              </w:rPr>
            </w:pPr>
          </w:p>
        </w:tc>
      </w:tr>
      <w:tr w14:paraId="28F70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1EBC4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140</w:t>
            </w:r>
          </w:p>
        </w:tc>
        <w:tc>
          <w:tcPr>
            <w:tcW w:w="841" w:type="dxa"/>
            <w:vMerge w:val="continue"/>
          </w:tcPr>
          <w:p w14:paraId="4646E112">
            <w:pPr>
              <w:spacing w:line="276" w:lineRule="auto"/>
              <w:jc w:val="center"/>
              <w:rPr>
                <w:rFonts w:ascii="宋体" w:hAnsi="宋体" w:eastAsia="宋体" w:cs="宋体"/>
                <w:bCs/>
                <w:szCs w:val="21"/>
              </w:rPr>
            </w:pPr>
          </w:p>
        </w:tc>
        <w:tc>
          <w:tcPr>
            <w:tcW w:w="1223" w:type="dxa"/>
            <w:shd w:val="clear" w:color="auto" w:fill="auto"/>
            <w:vAlign w:val="center"/>
          </w:tcPr>
          <w:p w14:paraId="778AFC77">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交通监控配电箱进电缆</w:t>
            </w:r>
          </w:p>
        </w:tc>
        <w:tc>
          <w:tcPr>
            <w:tcW w:w="890" w:type="dxa"/>
            <w:vAlign w:val="center"/>
          </w:tcPr>
          <w:p w14:paraId="09B91163">
            <w:pPr>
              <w:spacing w:line="276" w:lineRule="auto"/>
              <w:jc w:val="center"/>
              <w:rPr>
                <w:rFonts w:ascii="宋体" w:hAnsi="宋体" w:eastAsia="宋体" w:cs="宋体"/>
                <w:bCs/>
                <w:szCs w:val="21"/>
              </w:rPr>
            </w:pPr>
          </w:p>
        </w:tc>
        <w:tc>
          <w:tcPr>
            <w:tcW w:w="508" w:type="dxa"/>
            <w:vAlign w:val="center"/>
          </w:tcPr>
          <w:p w14:paraId="17E06D83">
            <w:pPr>
              <w:spacing w:line="276" w:lineRule="auto"/>
              <w:jc w:val="center"/>
              <w:rPr>
                <w:rFonts w:ascii="宋体" w:hAnsi="宋体" w:eastAsia="宋体" w:cs="宋体"/>
                <w:bCs/>
                <w:szCs w:val="21"/>
              </w:rPr>
            </w:pPr>
          </w:p>
        </w:tc>
        <w:tc>
          <w:tcPr>
            <w:tcW w:w="810" w:type="dxa"/>
            <w:vAlign w:val="center"/>
          </w:tcPr>
          <w:p w14:paraId="5C239BF8">
            <w:pPr>
              <w:spacing w:line="276" w:lineRule="auto"/>
              <w:jc w:val="center"/>
              <w:rPr>
                <w:rFonts w:ascii="宋体" w:hAnsi="宋体" w:eastAsia="宋体" w:cs="宋体"/>
                <w:bCs/>
                <w:szCs w:val="21"/>
              </w:rPr>
            </w:pPr>
          </w:p>
        </w:tc>
        <w:tc>
          <w:tcPr>
            <w:tcW w:w="715" w:type="dxa"/>
            <w:vAlign w:val="center"/>
          </w:tcPr>
          <w:p w14:paraId="7892BE5C">
            <w:pPr>
              <w:spacing w:line="276" w:lineRule="auto"/>
              <w:jc w:val="center"/>
              <w:rPr>
                <w:rFonts w:ascii="宋体" w:hAnsi="宋体" w:eastAsia="宋体" w:cs="宋体"/>
                <w:bCs/>
                <w:szCs w:val="21"/>
              </w:rPr>
            </w:pPr>
          </w:p>
        </w:tc>
        <w:tc>
          <w:tcPr>
            <w:tcW w:w="1160" w:type="dxa"/>
            <w:vAlign w:val="center"/>
          </w:tcPr>
          <w:p w14:paraId="5D9CFC18">
            <w:pPr>
              <w:spacing w:line="276" w:lineRule="auto"/>
              <w:jc w:val="center"/>
              <w:rPr>
                <w:rFonts w:ascii="宋体" w:hAnsi="宋体" w:eastAsia="宋体" w:cs="宋体"/>
                <w:bCs/>
                <w:szCs w:val="21"/>
              </w:rPr>
            </w:pPr>
          </w:p>
        </w:tc>
        <w:tc>
          <w:tcPr>
            <w:tcW w:w="917" w:type="dxa"/>
            <w:shd w:val="clear" w:color="auto" w:fill="auto"/>
            <w:vAlign w:val="center"/>
          </w:tcPr>
          <w:p w14:paraId="2714AFC8">
            <w:pPr>
              <w:spacing w:line="276" w:lineRule="auto"/>
              <w:jc w:val="center"/>
              <w:rPr>
                <w:rFonts w:ascii="宋体" w:hAnsi="宋体" w:eastAsia="宋体" w:cs="宋体"/>
                <w:bCs/>
                <w:szCs w:val="21"/>
              </w:rPr>
            </w:pPr>
          </w:p>
        </w:tc>
        <w:tc>
          <w:tcPr>
            <w:tcW w:w="666" w:type="dxa"/>
            <w:shd w:val="clear" w:color="auto" w:fill="auto"/>
            <w:vAlign w:val="center"/>
          </w:tcPr>
          <w:p w14:paraId="1B22A14A">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402</w:t>
            </w:r>
          </w:p>
        </w:tc>
        <w:tc>
          <w:tcPr>
            <w:tcW w:w="550" w:type="dxa"/>
            <w:shd w:val="clear" w:color="auto" w:fill="auto"/>
            <w:vAlign w:val="center"/>
          </w:tcPr>
          <w:p w14:paraId="030539B5">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074F8E63">
            <w:pPr>
              <w:spacing w:line="276" w:lineRule="auto"/>
              <w:jc w:val="center"/>
              <w:rPr>
                <w:rFonts w:ascii="宋体" w:hAnsi="宋体" w:eastAsia="宋体" w:cs="宋体"/>
                <w:bCs/>
                <w:szCs w:val="21"/>
              </w:rPr>
            </w:pPr>
          </w:p>
        </w:tc>
        <w:tc>
          <w:tcPr>
            <w:tcW w:w="983" w:type="dxa"/>
            <w:vAlign w:val="center"/>
          </w:tcPr>
          <w:p w14:paraId="04C22521">
            <w:pPr>
              <w:spacing w:line="276" w:lineRule="auto"/>
              <w:jc w:val="center"/>
              <w:rPr>
                <w:rFonts w:ascii="宋体" w:hAnsi="宋体" w:eastAsia="宋体" w:cs="宋体"/>
                <w:bCs/>
                <w:szCs w:val="21"/>
              </w:rPr>
            </w:pPr>
          </w:p>
        </w:tc>
      </w:tr>
      <w:tr w14:paraId="0BC0F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8E2C8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141</w:t>
            </w:r>
          </w:p>
        </w:tc>
        <w:tc>
          <w:tcPr>
            <w:tcW w:w="841" w:type="dxa"/>
            <w:vMerge w:val="continue"/>
          </w:tcPr>
          <w:p w14:paraId="43C0760A">
            <w:pPr>
              <w:spacing w:line="276" w:lineRule="auto"/>
              <w:jc w:val="center"/>
              <w:rPr>
                <w:rFonts w:ascii="宋体" w:hAnsi="宋体" w:eastAsia="宋体" w:cs="宋体"/>
                <w:bCs/>
                <w:szCs w:val="21"/>
              </w:rPr>
            </w:pPr>
          </w:p>
        </w:tc>
        <w:tc>
          <w:tcPr>
            <w:tcW w:w="1223" w:type="dxa"/>
            <w:shd w:val="clear" w:color="auto" w:fill="auto"/>
            <w:vAlign w:val="center"/>
          </w:tcPr>
          <w:p w14:paraId="5C0B7C78">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交通监控干线电缆</w:t>
            </w:r>
            <w:r>
              <w:rPr>
                <w:rFonts w:hint="eastAsia" w:ascii="宋体" w:hAnsi="等线" w:eastAsia="宋体" w:cs="等线"/>
                <w:i w:val="0"/>
                <w:iCs w:val="0"/>
                <w:color w:val="000000"/>
                <w:kern w:val="0"/>
                <w:sz w:val="20"/>
                <w:szCs w:val="20"/>
                <w:u w:val="none"/>
                <w:lang w:val="en-US" w:eastAsia="zh-CN" w:bidi="ar"/>
              </w:rPr>
              <w:t>（16）</w:t>
            </w:r>
          </w:p>
        </w:tc>
        <w:tc>
          <w:tcPr>
            <w:tcW w:w="890" w:type="dxa"/>
            <w:vAlign w:val="center"/>
          </w:tcPr>
          <w:p w14:paraId="7DC32733">
            <w:pPr>
              <w:spacing w:line="276" w:lineRule="auto"/>
              <w:jc w:val="center"/>
              <w:rPr>
                <w:rFonts w:ascii="宋体" w:hAnsi="宋体" w:eastAsia="宋体" w:cs="宋体"/>
                <w:bCs/>
                <w:szCs w:val="21"/>
              </w:rPr>
            </w:pPr>
          </w:p>
        </w:tc>
        <w:tc>
          <w:tcPr>
            <w:tcW w:w="508" w:type="dxa"/>
            <w:vAlign w:val="center"/>
          </w:tcPr>
          <w:p w14:paraId="0432D500">
            <w:pPr>
              <w:spacing w:line="276" w:lineRule="auto"/>
              <w:jc w:val="center"/>
              <w:rPr>
                <w:rFonts w:ascii="宋体" w:hAnsi="宋体" w:eastAsia="宋体" w:cs="宋体"/>
                <w:bCs/>
                <w:szCs w:val="21"/>
              </w:rPr>
            </w:pPr>
          </w:p>
        </w:tc>
        <w:tc>
          <w:tcPr>
            <w:tcW w:w="810" w:type="dxa"/>
            <w:vAlign w:val="center"/>
          </w:tcPr>
          <w:p w14:paraId="703E791B">
            <w:pPr>
              <w:spacing w:line="276" w:lineRule="auto"/>
              <w:jc w:val="center"/>
              <w:rPr>
                <w:rFonts w:ascii="宋体" w:hAnsi="宋体" w:eastAsia="宋体" w:cs="宋体"/>
                <w:bCs/>
                <w:szCs w:val="21"/>
              </w:rPr>
            </w:pPr>
          </w:p>
        </w:tc>
        <w:tc>
          <w:tcPr>
            <w:tcW w:w="715" w:type="dxa"/>
            <w:vAlign w:val="center"/>
          </w:tcPr>
          <w:p w14:paraId="4C5D6728">
            <w:pPr>
              <w:spacing w:line="276" w:lineRule="auto"/>
              <w:jc w:val="center"/>
              <w:rPr>
                <w:rFonts w:ascii="宋体" w:hAnsi="宋体" w:eastAsia="宋体" w:cs="宋体"/>
                <w:bCs/>
                <w:szCs w:val="21"/>
              </w:rPr>
            </w:pPr>
          </w:p>
        </w:tc>
        <w:tc>
          <w:tcPr>
            <w:tcW w:w="1160" w:type="dxa"/>
            <w:vAlign w:val="center"/>
          </w:tcPr>
          <w:p w14:paraId="3F6ECECB">
            <w:pPr>
              <w:spacing w:line="276" w:lineRule="auto"/>
              <w:jc w:val="center"/>
              <w:rPr>
                <w:rFonts w:ascii="宋体" w:hAnsi="宋体" w:eastAsia="宋体" w:cs="宋体"/>
                <w:bCs/>
                <w:szCs w:val="21"/>
              </w:rPr>
            </w:pPr>
          </w:p>
        </w:tc>
        <w:tc>
          <w:tcPr>
            <w:tcW w:w="917" w:type="dxa"/>
            <w:shd w:val="clear" w:color="auto" w:fill="auto"/>
            <w:vAlign w:val="center"/>
          </w:tcPr>
          <w:p w14:paraId="2C485FEF">
            <w:pPr>
              <w:spacing w:line="276" w:lineRule="auto"/>
              <w:jc w:val="center"/>
              <w:rPr>
                <w:rFonts w:ascii="宋体" w:hAnsi="宋体" w:eastAsia="宋体" w:cs="宋体"/>
                <w:bCs/>
                <w:szCs w:val="21"/>
              </w:rPr>
            </w:pPr>
          </w:p>
        </w:tc>
        <w:tc>
          <w:tcPr>
            <w:tcW w:w="666" w:type="dxa"/>
            <w:shd w:val="clear" w:color="auto" w:fill="auto"/>
            <w:vAlign w:val="center"/>
          </w:tcPr>
          <w:p w14:paraId="43F64112">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1027</w:t>
            </w:r>
          </w:p>
        </w:tc>
        <w:tc>
          <w:tcPr>
            <w:tcW w:w="550" w:type="dxa"/>
            <w:shd w:val="clear" w:color="auto" w:fill="auto"/>
            <w:vAlign w:val="center"/>
          </w:tcPr>
          <w:p w14:paraId="4C1AE592">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68CC72BF">
            <w:pPr>
              <w:spacing w:line="276" w:lineRule="auto"/>
              <w:jc w:val="center"/>
              <w:rPr>
                <w:rFonts w:ascii="宋体" w:hAnsi="宋体" w:eastAsia="宋体" w:cs="宋体"/>
                <w:bCs/>
                <w:szCs w:val="21"/>
              </w:rPr>
            </w:pPr>
          </w:p>
        </w:tc>
        <w:tc>
          <w:tcPr>
            <w:tcW w:w="983" w:type="dxa"/>
            <w:vAlign w:val="center"/>
          </w:tcPr>
          <w:p w14:paraId="45232DC5">
            <w:pPr>
              <w:spacing w:line="276" w:lineRule="auto"/>
              <w:jc w:val="center"/>
              <w:rPr>
                <w:rFonts w:ascii="宋体" w:hAnsi="宋体" w:eastAsia="宋体" w:cs="宋体"/>
                <w:bCs/>
                <w:szCs w:val="21"/>
              </w:rPr>
            </w:pPr>
          </w:p>
        </w:tc>
      </w:tr>
      <w:tr w14:paraId="18727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7DB741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142</w:t>
            </w:r>
          </w:p>
        </w:tc>
        <w:tc>
          <w:tcPr>
            <w:tcW w:w="841" w:type="dxa"/>
            <w:vMerge w:val="continue"/>
          </w:tcPr>
          <w:p w14:paraId="24F74E60">
            <w:pPr>
              <w:spacing w:line="276" w:lineRule="auto"/>
              <w:jc w:val="center"/>
              <w:rPr>
                <w:rFonts w:ascii="宋体" w:hAnsi="宋体" w:eastAsia="宋体" w:cs="宋体"/>
                <w:bCs/>
                <w:szCs w:val="21"/>
              </w:rPr>
            </w:pPr>
          </w:p>
        </w:tc>
        <w:tc>
          <w:tcPr>
            <w:tcW w:w="1223" w:type="dxa"/>
            <w:shd w:val="clear" w:color="auto" w:fill="auto"/>
            <w:vAlign w:val="center"/>
          </w:tcPr>
          <w:p w14:paraId="12BEB7A1">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交通监控干线电缆</w:t>
            </w:r>
            <w:r>
              <w:rPr>
                <w:rFonts w:hint="eastAsia" w:ascii="宋体" w:hAnsi="等线" w:eastAsia="宋体" w:cs="等线"/>
                <w:i w:val="0"/>
                <w:iCs w:val="0"/>
                <w:color w:val="000000"/>
                <w:kern w:val="0"/>
                <w:sz w:val="20"/>
                <w:szCs w:val="20"/>
                <w:u w:val="none"/>
                <w:lang w:val="en-US" w:eastAsia="zh-CN" w:bidi="ar"/>
              </w:rPr>
              <w:t>（3*6）</w:t>
            </w:r>
          </w:p>
        </w:tc>
        <w:tc>
          <w:tcPr>
            <w:tcW w:w="890" w:type="dxa"/>
            <w:vAlign w:val="center"/>
          </w:tcPr>
          <w:p w14:paraId="6B416DA4">
            <w:pPr>
              <w:spacing w:line="276" w:lineRule="auto"/>
              <w:jc w:val="center"/>
              <w:rPr>
                <w:rFonts w:ascii="宋体" w:hAnsi="宋体" w:eastAsia="宋体" w:cs="宋体"/>
                <w:bCs/>
                <w:szCs w:val="21"/>
              </w:rPr>
            </w:pPr>
          </w:p>
        </w:tc>
        <w:tc>
          <w:tcPr>
            <w:tcW w:w="508" w:type="dxa"/>
            <w:vAlign w:val="center"/>
          </w:tcPr>
          <w:p w14:paraId="1798C8AF">
            <w:pPr>
              <w:spacing w:line="276" w:lineRule="auto"/>
              <w:jc w:val="center"/>
              <w:rPr>
                <w:rFonts w:ascii="宋体" w:hAnsi="宋体" w:eastAsia="宋体" w:cs="宋体"/>
                <w:bCs/>
                <w:szCs w:val="21"/>
              </w:rPr>
            </w:pPr>
          </w:p>
        </w:tc>
        <w:tc>
          <w:tcPr>
            <w:tcW w:w="810" w:type="dxa"/>
            <w:vAlign w:val="center"/>
          </w:tcPr>
          <w:p w14:paraId="54651D35">
            <w:pPr>
              <w:spacing w:line="276" w:lineRule="auto"/>
              <w:jc w:val="center"/>
              <w:rPr>
                <w:rFonts w:ascii="宋体" w:hAnsi="宋体" w:eastAsia="宋体" w:cs="宋体"/>
                <w:bCs/>
                <w:szCs w:val="21"/>
              </w:rPr>
            </w:pPr>
          </w:p>
        </w:tc>
        <w:tc>
          <w:tcPr>
            <w:tcW w:w="715" w:type="dxa"/>
            <w:vAlign w:val="center"/>
          </w:tcPr>
          <w:p w14:paraId="2FD46AB9">
            <w:pPr>
              <w:spacing w:line="276" w:lineRule="auto"/>
              <w:jc w:val="center"/>
              <w:rPr>
                <w:rFonts w:ascii="宋体" w:hAnsi="宋体" w:eastAsia="宋体" w:cs="宋体"/>
                <w:bCs/>
                <w:szCs w:val="21"/>
              </w:rPr>
            </w:pPr>
          </w:p>
        </w:tc>
        <w:tc>
          <w:tcPr>
            <w:tcW w:w="1160" w:type="dxa"/>
            <w:vAlign w:val="center"/>
          </w:tcPr>
          <w:p w14:paraId="02219672">
            <w:pPr>
              <w:spacing w:line="276" w:lineRule="auto"/>
              <w:jc w:val="center"/>
              <w:rPr>
                <w:rFonts w:ascii="宋体" w:hAnsi="宋体" w:eastAsia="宋体" w:cs="宋体"/>
                <w:bCs/>
                <w:szCs w:val="21"/>
              </w:rPr>
            </w:pPr>
          </w:p>
        </w:tc>
        <w:tc>
          <w:tcPr>
            <w:tcW w:w="917" w:type="dxa"/>
            <w:shd w:val="clear" w:color="auto" w:fill="auto"/>
            <w:vAlign w:val="center"/>
          </w:tcPr>
          <w:p w14:paraId="26ECC8F0">
            <w:pPr>
              <w:spacing w:line="276" w:lineRule="auto"/>
              <w:jc w:val="center"/>
              <w:rPr>
                <w:rFonts w:ascii="宋体" w:hAnsi="宋体" w:eastAsia="宋体" w:cs="宋体"/>
                <w:bCs/>
                <w:szCs w:val="21"/>
              </w:rPr>
            </w:pPr>
          </w:p>
        </w:tc>
        <w:tc>
          <w:tcPr>
            <w:tcW w:w="666" w:type="dxa"/>
            <w:shd w:val="clear" w:color="auto" w:fill="auto"/>
            <w:vAlign w:val="center"/>
          </w:tcPr>
          <w:p w14:paraId="3F26FB68">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17430</w:t>
            </w:r>
          </w:p>
        </w:tc>
        <w:tc>
          <w:tcPr>
            <w:tcW w:w="550" w:type="dxa"/>
            <w:shd w:val="clear" w:color="auto" w:fill="auto"/>
            <w:vAlign w:val="center"/>
          </w:tcPr>
          <w:p w14:paraId="4B3C64FA">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4BB07D46">
            <w:pPr>
              <w:spacing w:line="276" w:lineRule="auto"/>
              <w:jc w:val="center"/>
              <w:rPr>
                <w:rFonts w:ascii="宋体" w:hAnsi="宋体" w:eastAsia="宋体" w:cs="宋体"/>
                <w:bCs/>
                <w:szCs w:val="21"/>
              </w:rPr>
            </w:pPr>
          </w:p>
        </w:tc>
        <w:tc>
          <w:tcPr>
            <w:tcW w:w="983" w:type="dxa"/>
            <w:vAlign w:val="center"/>
          </w:tcPr>
          <w:p w14:paraId="16497F58">
            <w:pPr>
              <w:spacing w:line="276" w:lineRule="auto"/>
              <w:jc w:val="center"/>
              <w:rPr>
                <w:rFonts w:ascii="宋体" w:hAnsi="宋体" w:eastAsia="宋体" w:cs="宋体"/>
                <w:bCs/>
                <w:szCs w:val="21"/>
              </w:rPr>
            </w:pPr>
          </w:p>
        </w:tc>
      </w:tr>
      <w:tr w14:paraId="75DAA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C53935B">
            <w:pPr>
              <w:snapToGrid w:val="0"/>
              <w:ind w:left="0" w:leftChars="0" w:right="0" w:rightChars="0" w:firstLine="0" w:firstLineChars="0"/>
              <w:jc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sz w:val="20"/>
                <w:szCs w:val="20"/>
                <w:u w:val="none"/>
                <w:lang w:val="en-US" w:eastAsia="zh-CN"/>
              </w:rPr>
              <w:t>/</w:t>
            </w:r>
          </w:p>
        </w:tc>
        <w:tc>
          <w:tcPr>
            <w:tcW w:w="841" w:type="dxa"/>
            <w:vMerge w:val="continue"/>
          </w:tcPr>
          <w:p w14:paraId="30F6ECD8">
            <w:pPr>
              <w:spacing w:line="276" w:lineRule="auto"/>
              <w:jc w:val="center"/>
              <w:rPr>
                <w:rFonts w:ascii="宋体" w:hAnsi="宋体" w:eastAsia="宋体" w:cs="宋体"/>
                <w:bCs/>
                <w:szCs w:val="21"/>
              </w:rPr>
            </w:pPr>
          </w:p>
        </w:tc>
        <w:tc>
          <w:tcPr>
            <w:tcW w:w="9389" w:type="dxa"/>
            <w:gridSpan w:val="11"/>
            <w:vAlign w:val="center"/>
          </w:tcPr>
          <w:p w14:paraId="7E6582D2">
            <w:pPr>
              <w:spacing w:line="276" w:lineRule="auto"/>
              <w:jc w:val="center"/>
              <w:rPr>
                <w:rFonts w:hint="default" w:ascii="宋体" w:hAnsi="等线" w:eastAsia="宋体" w:cs="等线"/>
                <w:b/>
                <w:bCs/>
                <w:i w:val="0"/>
                <w:iCs w:val="0"/>
                <w:color w:val="000000"/>
                <w:kern w:val="0"/>
                <w:sz w:val="20"/>
                <w:szCs w:val="20"/>
                <w:u w:val="none"/>
                <w:lang w:val="en-US" w:eastAsia="zh-CN" w:bidi="ar"/>
              </w:rPr>
            </w:pPr>
            <w:r>
              <w:rPr>
                <w:rFonts w:hint="default" w:ascii="宋体" w:hAnsi="等线" w:eastAsia="宋体" w:cs="等线"/>
                <w:b/>
                <w:bCs/>
                <w:i w:val="0"/>
                <w:iCs w:val="0"/>
                <w:color w:val="000000"/>
                <w:kern w:val="0"/>
                <w:sz w:val="20"/>
                <w:szCs w:val="20"/>
                <w:u w:val="none"/>
                <w:lang w:val="en-US" w:eastAsia="zh-CN" w:bidi="ar"/>
              </w:rPr>
              <w:t>智慧道路配电配网工程</w:t>
            </w:r>
          </w:p>
        </w:tc>
      </w:tr>
      <w:tr w14:paraId="203C6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48F3B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143</w:t>
            </w:r>
          </w:p>
        </w:tc>
        <w:tc>
          <w:tcPr>
            <w:tcW w:w="841" w:type="dxa"/>
            <w:vMerge w:val="continue"/>
          </w:tcPr>
          <w:p w14:paraId="5B4AFB03">
            <w:pPr>
              <w:spacing w:line="276" w:lineRule="auto"/>
              <w:jc w:val="center"/>
              <w:rPr>
                <w:rFonts w:ascii="宋体" w:hAnsi="宋体" w:eastAsia="宋体" w:cs="宋体"/>
                <w:bCs/>
                <w:szCs w:val="21"/>
              </w:rPr>
            </w:pPr>
          </w:p>
        </w:tc>
        <w:tc>
          <w:tcPr>
            <w:tcW w:w="1223" w:type="dxa"/>
            <w:shd w:val="clear" w:color="auto" w:fill="auto"/>
            <w:vAlign w:val="center"/>
          </w:tcPr>
          <w:p w14:paraId="5CFAFFE7">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光纤</w:t>
            </w:r>
            <w:r>
              <w:rPr>
                <w:rFonts w:hint="eastAsia" w:ascii="宋体" w:hAnsi="等线" w:eastAsia="宋体" w:cs="等线"/>
                <w:i w:val="0"/>
                <w:iCs w:val="0"/>
                <w:color w:val="000000"/>
                <w:kern w:val="0"/>
                <w:sz w:val="20"/>
                <w:szCs w:val="20"/>
                <w:u w:val="none"/>
                <w:lang w:val="en-US" w:eastAsia="zh-CN" w:bidi="ar"/>
              </w:rPr>
              <w:t>（12芯）</w:t>
            </w:r>
          </w:p>
        </w:tc>
        <w:tc>
          <w:tcPr>
            <w:tcW w:w="890" w:type="dxa"/>
            <w:vAlign w:val="center"/>
          </w:tcPr>
          <w:p w14:paraId="11C24230">
            <w:pPr>
              <w:spacing w:line="276" w:lineRule="auto"/>
              <w:jc w:val="center"/>
              <w:rPr>
                <w:rFonts w:ascii="宋体" w:hAnsi="宋体" w:eastAsia="宋体" w:cs="宋体"/>
                <w:bCs/>
                <w:szCs w:val="21"/>
              </w:rPr>
            </w:pPr>
          </w:p>
        </w:tc>
        <w:tc>
          <w:tcPr>
            <w:tcW w:w="508" w:type="dxa"/>
            <w:vAlign w:val="center"/>
          </w:tcPr>
          <w:p w14:paraId="7F86B161">
            <w:pPr>
              <w:spacing w:line="276" w:lineRule="auto"/>
              <w:jc w:val="center"/>
              <w:rPr>
                <w:rFonts w:ascii="宋体" w:hAnsi="宋体" w:eastAsia="宋体" w:cs="宋体"/>
                <w:bCs/>
                <w:szCs w:val="21"/>
              </w:rPr>
            </w:pPr>
          </w:p>
        </w:tc>
        <w:tc>
          <w:tcPr>
            <w:tcW w:w="810" w:type="dxa"/>
            <w:vAlign w:val="center"/>
          </w:tcPr>
          <w:p w14:paraId="79A84D75">
            <w:pPr>
              <w:spacing w:line="276" w:lineRule="auto"/>
              <w:jc w:val="center"/>
              <w:rPr>
                <w:rFonts w:ascii="宋体" w:hAnsi="宋体" w:eastAsia="宋体" w:cs="宋体"/>
                <w:bCs/>
                <w:szCs w:val="21"/>
              </w:rPr>
            </w:pPr>
          </w:p>
        </w:tc>
        <w:tc>
          <w:tcPr>
            <w:tcW w:w="715" w:type="dxa"/>
            <w:vAlign w:val="center"/>
          </w:tcPr>
          <w:p w14:paraId="4AF294D1">
            <w:pPr>
              <w:spacing w:line="276" w:lineRule="auto"/>
              <w:jc w:val="center"/>
              <w:rPr>
                <w:rFonts w:ascii="宋体" w:hAnsi="宋体" w:eastAsia="宋体" w:cs="宋体"/>
                <w:bCs/>
                <w:szCs w:val="21"/>
              </w:rPr>
            </w:pPr>
          </w:p>
        </w:tc>
        <w:tc>
          <w:tcPr>
            <w:tcW w:w="1160" w:type="dxa"/>
            <w:vAlign w:val="center"/>
          </w:tcPr>
          <w:p w14:paraId="30385714">
            <w:pPr>
              <w:spacing w:line="276" w:lineRule="auto"/>
              <w:jc w:val="center"/>
              <w:rPr>
                <w:rFonts w:ascii="宋体" w:hAnsi="宋体" w:eastAsia="宋体" w:cs="宋体"/>
                <w:bCs/>
                <w:szCs w:val="21"/>
              </w:rPr>
            </w:pPr>
          </w:p>
        </w:tc>
        <w:tc>
          <w:tcPr>
            <w:tcW w:w="917" w:type="dxa"/>
            <w:shd w:val="clear" w:color="auto" w:fill="auto"/>
            <w:vAlign w:val="center"/>
          </w:tcPr>
          <w:p w14:paraId="6BD77C28">
            <w:pPr>
              <w:spacing w:line="276" w:lineRule="auto"/>
              <w:jc w:val="center"/>
              <w:rPr>
                <w:rFonts w:ascii="宋体" w:hAnsi="宋体" w:eastAsia="宋体" w:cs="宋体"/>
                <w:bCs/>
                <w:szCs w:val="21"/>
              </w:rPr>
            </w:pPr>
          </w:p>
        </w:tc>
        <w:tc>
          <w:tcPr>
            <w:tcW w:w="666" w:type="dxa"/>
            <w:shd w:val="clear" w:color="auto" w:fill="auto"/>
            <w:vAlign w:val="center"/>
          </w:tcPr>
          <w:p w14:paraId="210B9412">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6</w:t>
            </w:r>
          </w:p>
        </w:tc>
        <w:tc>
          <w:tcPr>
            <w:tcW w:w="550" w:type="dxa"/>
            <w:shd w:val="clear" w:color="auto" w:fill="auto"/>
            <w:vAlign w:val="center"/>
          </w:tcPr>
          <w:p w14:paraId="0D6E5438">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km</w:t>
            </w:r>
          </w:p>
        </w:tc>
        <w:tc>
          <w:tcPr>
            <w:tcW w:w="967" w:type="dxa"/>
            <w:vAlign w:val="center"/>
          </w:tcPr>
          <w:p w14:paraId="485E2CFE">
            <w:pPr>
              <w:spacing w:line="276" w:lineRule="auto"/>
              <w:jc w:val="center"/>
              <w:rPr>
                <w:rFonts w:ascii="宋体" w:hAnsi="宋体" w:eastAsia="宋体" w:cs="宋体"/>
                <w:bCs/>
                <w:szCs w:val="21"/>
              </w:rPr>
            </w:pPr>
          </w:p>
        </w:tc>
        <w:tc>
          <w:tcPr>
            <w:tcW w:w="983" w:type="dxa"/>
            <w:vAlign w:val="center"/>
          </w:tcPr>
          <w:p w14:paraId="656E52F7">
            <w:pPr>
              <w:spacing w:line="276" w:lineRule="auto"/>
              <w:jc w:val="center"/>
              <w:rPr>
                <w:rFonts w:ascii="宋体" w:hAnsi="宋体" w:eastAsia="宋体" w:cs="宋体"/>
                <w:bCs/>
                <w:szCs w:val="21"/>
              </w:rPr>
            </w:pPr>
          </w:p>
        </w:tc>
      </w:tr>
      <w:tr w14:paraId="56506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B3DB6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144</w:t>
            </w:r>
          </w:p>
        </w:tc>
        <w:tc>
          <w:tcPr>
            <w:tcW w:w="841" w:type="dxa"/>
            <w:vMerge w:val="continue"/>
          </w:tcPr>
          <w:p w14:paraId="3FD092FC">
            <w:pPr>
              <w:spacing w:line="276" w:lineRule="auto"/>
              <w:jc w:val="center"/>
              <w:rPr>
                <w:rFonts w:ascii="宋体" w:hAnsi="宋体" w:eastAsia="宋体" w:cs="宋体"/>
                <w:bCs/>
                <w:szCs w:val="21"/>
              </w:rPr>
            </w:pPr>
          </w:p>
        </w:tc>
        <w:tc>
          <w:tcPr>
            <w:tcW w:w="1223" w:type="dxa"/>
            <w:shd w:val="clear" w:color="auto" w:fill="auto"/>
            <w:vAlign w:val="center"/>
          </w:tcPr>
          <w:p w14:paraId="76FF8136">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租用管道</w:t>
            </w:r>
            <w:r>
              <w:rPr>
                <w:rFonts w:hint="eastAsia" w:ascii="宋体" w:hAnsi="等线" w:eastAsia="宋体" w:cs="等线"/>
                <w:i w:val="0"/>
                <w:iCs w:val="0"/>
                <w:color w:val="000000"/>
                <w:kern w:val="0"/>
                <w:sz w:val="20"/>
                <w:szCs w:val="20"/>
                <w:u w:val="none"/>
                <w:lang w:val="en-US" w:eastAsia="zh-CN" w:bidi="ar"/>
              </w:rPr>
              <w:t>（3年）</w:t>
            </w:r>
          </w:p>
        </w:tc>
        <w:tc>
          <w:tcPr>
            <w:tcW w:w="890" w:type="dxa"/>
            <w:vAlign w:val="center"/>
          </w:tcPr>
          <w:p w14:paraId="04227EAF">
            <w:pPr>
              <w:spacing w:line="276" w:lineRule="auto"/>
              <w:jc w:val="center"/>
              <w:rPr>
                <w:rFonts w:ascii="宋体" w:hAnsi="宋体" w:eastAsia="宋体" w:cs="宋体"/>
                <w:bCs/>
                <w:szCs w:val="21"/>
              </w:rPr>
            </w:pPr>
          </w:p>
        </w:tc>
        <w:tc>
          <w:tcPr>
            <w:tcW w:w="508" w:type="dxa"/>
            <w:vAlign w:val="center"/>
          </w:tcPr>
          <w:p w14:paraId="4C595123">
            <w:pPr>
              <w:spacing w:line="276" w:lineRule="auto"/>
              <w:jc w:val="center"/>
              <w:rPr>
                <w:rFonts w:ascii="宋体" w:hAnsi="宋体" w:eastAsia="宋体" w:cs="宋体"/>
                <w:bCs/>
                <w:szCs w:val="21"/>
              </w:rPr>
            </w:pPr>
          </w:p>
        </w:tc>
        <w:tc>
          <w:tcPr>
            <w:tcW w:w="810" w:type="dxa"/>
            <w:vAlign w:val="center"/>
          </w:tcPr>
          <w:p w14:paraId="7ABE5E3D">
            <w:pPr>
              <w:spacing w:line="276" w:lineRule="auto"/>
              <w:jc w:val="center"/>
              <w:rPr>
                <w:rFonts w:ascii="宋体" w:hAnsi="宋体" w:eastAsia="宋体" w:cs="宋体"/>
                <w:bCs/>
                <w:szCs w:val="21"/>
              </w:rPr>
            </w:pPr>
          </w:p>
        </w:tc>
        <w:tc>
          <w:tcPr>
            <w:tcW w:w="715" w:type="dxa"/>
            <w:vAlign w:val="center"/>
          </w:tcPr>
          <w:p w14:paraId="1C0C54C8">
            <w:pPr>
              <w:spacing w:line="276" w:lineRule="auto"/>
              <w:jc w:val="center"/>
              <w:rPr>
                <w:rFonts w:ascii="宋体" w:hAnsi="宋体" w:eastAsia="宋体" w:cs="宋体"/>
                <w:bCs/>
                <w:szCs w:val="21"/>
              </w:rPr>
            </w:pPr>
          </w:p>
        </w:tc>
        <w:tc>
          <w:tcPr>
            <w:tcW w:w="1160" w:type="dxa"/>
            <w:vAlign w:val="center"/>
          </w:tcPr>
          <w:p w14:paraId="1EA56037">
            <w:pPr>
              <w:spacing w:line="276" w:lineRule="auto"/>
              <w:jc w:val="center"/>
              <w:rPr>
                <w:rFonts w:ascii="宋体" w:hAnsi="宋体" w:eastAsia="宋体" w:cs="宋体"/>
                <w:bCs/>
                <w:szCs w:val="21"/>
              </w:rPr>
            </w:pPr>
          </w:p>
        </w:tc>
        <w:tc>
          <w:tcPr>
            <w:tcW w:w="917" w:type="dxa"/>
            <w:shd w:val="clear" w:color="auto" w:fill="auto"/>
            <w:vAlign w:val="center"/>
          </w:tcPr>
          <w:p w14:paraId="539537B2">
            <w:pPr>
              <w:spacing w:line="276" w:lineRule="auto"/>
              <w:jc w:val="center"/>
              <w:rPr>
                <w:rFonts w:ascii="宋体" w:hAnsi="宋体" w:eastAsia="宋体" w:cs="宋体"/>
                <w:bCs/>
                <w:szCs w:val="21"/>
              </w:rPr>
            </w:pPr>
          </w:p>
        </w:tc>
        <w:tc>
          <w:tcPr>
            <w:tcW w:w="666" w:type="dxa"/>
            <w:shd w:val="clear" w:color="auto" w:fill="auto"/>
            <w:vAlign w:val="center"/>
          </w:tcPr>
          <w:p w14:paraId="6AC1D5B4">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10.2</w:t>
            </w:r>
          </w:p>
        </w:tc>
        <w:tc>
          <w:tcPr>
            <w:tcW w:w="550" w:type="dxa"/>
            <w:shd w:val="clear" w:color="auto" w:fill="auto"/>
            <w:vAlign w:val="center"/>
          </w:tcPr>
          <w:p w14:paraId="4FAB89A0">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km</w:t>
            </w:r>
          </w:p>
        </w:tc>
        <w:tc>
          <w:tcPr>
            <w:tcW w:w="967" w:type="dxa"/>
            <w:vAlign w:val="center"/>
          </w:tcPr>
          <w:p w14:paraId="67A53BB6">
            <w:pPr>
              <w:spacing w:line="276" w:lineRule="auto"/>
              <w:jc w:val="center"/>
              <w:rPr>
                <w:rFonts w:ascii="宋体" w:hAnsi="宋体" w:eastAsia="宋体" w:cs="宋体"/>
                <w:bCs/>
                <w:szCs w:val="21"/>
              </w:rPr>
            </w:pPr>
          </w:p>
        </w:tc>
        <w:tc>
          <w:tcPr>
            <w:tcW w:w="983" w:type="dxa"/>
            <w:vAlign w:val="center"/>
          </w:tcPr>
          <w:p w14:paraId="649A948D">
            <w:pPr>
              <w:spacing w:line="276" w:lineRule="auto"/>
              <w:jc w:val="center"/>
              <w:rPr>
                <w:rFonts w:ascii="宋体" w:hAnsi="宋体" w:eastAsia="宋体" w:cs="宋体"/>
                <w:bCs/>
                <w:szCs w:val="21"/>
              </w:rPr>
            </w:pPr>
          </w:p>
        </w:tc>
      </w:tr>
      <w:tr w14:paraId="71F30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C1838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145</w:t>
            </w:r>
          </w:p>
        </w:tc>
        <w:tc>
          <w:tcPr>
            <w:tcW w:w="841" w:type="dxa"/>
            <w:vMerge w:val="continue"/>
          </w:tcPr>
          <w:p w14:paraId="3A1035EA">
            <w:pPr>
              <w:spacing w:line="276" w:lineRule="auto"/>
              <w:jc w:val="center"/>
              <w:rPr>
                <w:rFonts w:ascii="宋体" w:hAnsi="宋体" w:eastAsia="宋体" w:cs="宋体"/>
                <w:bCs/>
                <w:szCs w:val="21"/>
              </w:rPr>
            </w:pPr>
          </w:p>
        </w:tc>
        <w:tc>
          <w:tcPr>
            <w:tcW w:w="1223" w:type="dxa"/>
            <w:shd w:val="clear" w:color="auto" w:fill="auto"/>
            <w:vAlign w:val="center"/>
          </w:tcPr>
          <w:p w14:paraId="2DDE24CD">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新建子管</w:t>
            </w:r>
          </w:p>
        </w:tc>
        <w:tc>
          <w:tcPr>
            <w:tcW w:w="890" w:type="dxa"/>
            <w:vAlign w:val="center"/>
          </w:tcPr>
          <w:p w14:paraId="7BA2429D">
            <w:pPr>
              <w:spacing w:line="276" w:lineRule="auto"/>
              <w:jc w:val="center"/>
              <w:rPr>
                <w:rFonts w:ascii="宋体" w:hAnsi="宋体" w:eastAsia="宋体" w:cs="宋体"/>
                <w:bCs/>
                <w:szCs w:val="21"/>
              </w:rPr>
            </w:pPr>
          </w:p>
        </w:tc>
        <w:tc>
          <w:tcPr>
            <w:tcW w:w="508" w:type="dxa"/>
            <w:vAlign w:val="center"/>
          </w:tcPr>
          <w:p w14:paraId="3207826D">
            <w:pPr>
              <w:spacing w:line="276" w:lineRule="auto"/>
              <w:jc w:val="center"/>
              <w:rPr>
                <w:rFonts w:ascii="宋体" w:hAnsi="宋体" w:eastAsia="宋体" w:cs="宋体"/>
                <w:bCs/>
                <w:szCs w:val="21"/>
              </w:rPr>
            </w:pPr>
          </w:p>
        </w:tc>
        <w:tc>
          <w:tcPr>
            <w:tcW w:w="810" w:type="dxa"/>
            <w:vAlign w:val="center"/>
          </w:tcPr>
          <w:p w14:paraId="5FFA91CE">
            <w:pPr>
              <w:spacing w:line="276" w:lineRule="auto"/>
              <w:jc w:val="center"/>
              <w:rPr>
                <w:rFonts w:ascii="宋体" w:hAnsi="宋体" w:eastAsia="宋体" w:cs="宋体"/>
                <w:bCs/>
                <w:szCs w:val="21"/>
              </w:rPr>
            </w:pPr>
          </w:p>
        </w:tc>
        <w:tc>
          <w:tcPr>
            <w:tcW w:w="715" w:type="dxa"/>
            <w:vAlign w:val="center"/>
          </w:tcPr>
          <w:p w14:paraId="459E4AF5">
            <w:pPr>
              <w:spacing w:line="276" w:lineRule="auto"/>
              <w:jc w:val="center"/>
              <w:rPr>
                <w:rFonts w:ascii="宋体" w:hAnsi="宋体" w:eastAsia="宋体" w:cs="宋体"/>
                <w:bCs/>
                <w:szCs w:val="21"/>
              </w:rPr>
            </w:pPr>
          </w:p>
        </w:tc>
        <w:tc>
          <w:tcPr>
            <w:tcW w:w="1160" w:type="dxa"/>
            <w:vAlign w:val="center"/>
          </w:tcPr>
          <w:p w14:paraId="543D42B1">
            <w:pPr>
              <w:spacing w:line="276" w:lineRule="auto"/>
              <w:jc w:val="center"/>
              <w:rPr>
                <w:rFonts w:ascii="宋体" w:hAnsi="宋体" w:eastAsia="宋体" w:cs="宋体"/>
                <w:bCs/>
                <w:szCs w:val="21"/>
              </w:rPr>
            </w:pPr>
          </w:p>
        </w:tc>
        <w:tc>
          <w:tcPr>
            <w:tcW w:w="917" w:type="dxa"/>
            <w:shd w:val="clear" w:color="auto" w:fill="auto"/>
            <w:vAlign w:val="center"/>
          </w:tcPr>
          <w:p w14:paraId="2076F267">
            <w:pPr>
              <w:spacing w:line="276" w:lineRule="auto"/>
              <w:jc w:val="center"/>
              <w:rPr>
                <w:rFonts w:ascii="宋体" w:hAnsi="宋体" w:eastAsia="宋体" w:cs="宋体"/>
                <w:bCs/>
                <w:szCs w:val="21"/>
              </w:rPr>
            </w:pPr>
          </w:p>
        </w:tc>
        <w:tc>
          <w:tcPr>
            <w:tcW w:w="666" w:type="dxa"/>
            <w:shd w:val="clear" w:color="auto" w:fill="auto"/>
            <w:vAlign w:val="center"/>
          </w:tcPr>
          <w:p w14:paraId="0E956439">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10.2</w:t>
            </w:r>
          </w:p>
        </w:tc>
        <w:tc>
          <w:tcPr>
            <w:tcW w:w="550" w:type="dxa"/>
            <w:shd w:val="clear" w:color="auto" w:fill="auto"/>
            <w:vAlign w:val="center"/>
          </w:tcPr>
          <w:p w14:paraId="0BD5539A">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km</w:t>
            </w:r>
          </w:p>
        </w:tc>
        <w:tc>
          <w:tcPr>
            <w:tcW w:w="967" w:type="dxa"/>
            <w:vAlign w:val="center"/>
          </w:tcPr>
          <w:p w14:paraId="5F0724FC">
            <w:pPr>
              <w:spacing w:line="276" w:lineRule="auto"/>
              <w:jc w:val="center"/>
              <w:rPr>
                <w:rFonts w:ascii="宋体" w:hAnsi="宋体" w:eastAsia="宋体" w:cs="宋体"/>
                <w:bCs/>
                <w:szCs w:val="21"/>
              </w:rPr>
            </w:pPr>
          </w:p>
        </w:tc>
        <w:tc>
          <w:tcPr>
            <w:tcW w:w="983" w:type="dxa"/>
            <w:vAlign w:val="center"/>
          </w:tcPr>
          <w:p w14:paraId="5A89986C">
            <w:pPr>
              <w:spacing w:line="276" w:lineRule="auto"/>
              <w:jc w:val="center"/>
              <w:rPr>
                <w:rFonts w:ascii="宋体" w:hAnsi="宋体" w:eastAsia="宋体" w:cs="宋体"/>
                <w:bCs/>
                <w:szCs w:val="21"/>
              </w:rPr>
            </w:pPr>
          </w:p>
        </w:tc>
      </w:tr>
      <w:tr w14:paraId="6CB31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EE9A2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146</w:t>
            </w:r>
          </w:p>
        </w:tc>
        <w:tc>
          <w:tcPr>
            <w:tcW w:w="841" w:type="dxa"/>
            <w:vMerge w:val="continue"/>
          </w:tcPr>
          <w:p w14:paraId="63423CC9">
            <w:pPr>
              <w:spacing w:line="276" w:lineRule="auto"/>
              <w:jc w:val="center"/>
              <w:rPr>
                <w:rFonts w:ascii="宋体" w:hAnsi="宋体" w:eastAsia="宋体" w:cs="宋体"/>
                <w:bCs/>
                <w:szCs w:val="21"/>
              </w:rPr>
            </w:pPr>
          </w:p>
        </w:tc>
        <w:tc>
          <w:tcPr>
            <w:tcW w:w="1223" w:type="dxa"/>
            <w:shd w:val="clear" w:color="auto" w:fill="auto"/>
            <w:vAlign w:val="center"/>
          </w:tcPr>
          <w:p w14:paraId="7D34CA3F">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光纤</w:t>
            </w:r>
            <w:r>
              <w:rPr>
                <w:rFonts w:hint="eastAsia" w:ascii="宋体" w:hAnsi="等线" w:eastAsia="宋体" w:cs="等线"/>
                <w:i w:val="0"/>
                <w:iCs w:val="0"/>
                <w:color w:val="000000"/>
                <w:kern w:val="0"/>
                <w:sz w:val="20"/>
                <w:szCs w:val="20"/>
                <w:u w:val="none"/>
                <w:lang w:val="en-US" w:eastAsia="zh-CN" w:bidi="ar"/>
              </w:rPr>
              <w:t>（144芯）</w:t>
            </w:r>
          </w:p>
        </w:tc>
        <w:tc>
          <w:tcPr>
            <w:tcW w:w="890" w:type="dxa"/>
            <w:vAlign w:val="center"/>
          </w:tcPr>
          <w:p w14:paraId="31532632">
            <w:pPr>
              <w:spacing w:line="276" w:lineRule="auto"/>
              <w:jc w:val="center"/>
              <w:rPr>
                <w:rFonts w:ascii="宋体" w:hAnsi="宋体" w:eastAsia="宋体" w:cs="宋体"/>
                <w:bCs/>
                <w:szCs w:val="21"/>
              </w:rPr>
            </w:pPr>
          </w:p>
        </w:tc>
        <w:tc>
          <w:tcPr>
            <w:tcW w:w="508" w:type="dxa"/>
            <w:vAlign w:val="center"/>
          </w:tcPr>
          <w:p w14:paraId="68C9A922">
            <w:pPr>
              <w:spacing w:line="276" w:lineRule="auto"/>
              <w:jc w:val="center"/>
              <w:rPr>
                <w:rFonts w:ascii="宋体" w:hAnsi="宋体" w:eastAsia="宋体" w:cs="宋体"/>
                <w:bCs/>
                <w:szCs w:val="21"/>
              </w:rPr>
            </w:pPr>
          </w:p>
        </w:tc>
        <w:tc>
          <w:tcPr>
            <w:tcW w:w="810" w:type="dxa"/>
            <w:vAlign w:val="center"/>
          </w:tcPr>
          <w:p w14:paraId="7378ED21">
            <w:pPr>
              <w:spacing w:line="276" w:lineRule="auto"/>
              <w:jc w:val="center"/>
              <w:rPr>
                <w:rFonts w:ascii="宋体" w:hAnsi="宋体" w:eastAsia="宋体" w:cs="宋体"/>
                <w:bCs/>
                <w:szCs w:val="21"/>
              </w:rPr>
            </w:pPr>
          </w:p>
        </w:tc>
        <w:tc>
          <w:tcPr>
            <w:tcW w:w="715" w:type="dxa"/>
            <w:vAlign w:val="center"/>
          </w:tcPr>
          <w:p w14:paraId="23F7ADA1">
            <w:pPr>
              <w:spacing w:line="276" w:lineRule="auto"/>
              <w:jc w:val="center"/>
              <w:rPr>
                <w:rFonts w:ascii="宋体" w:hAnsi="宋体" w:eastAsia="宋体" w:cs="宋体"/>
                <w:bCs/>
                <w:szCs w:val="21"/>
              </w:rPr>
            </w:pPr>
          </w:p>
        </w:tc>
        <w:tc>
          <w:tcPr>
            <w:tcW w:w="1160" w:type="dxa"/>
            <w:vAlign w:val="center"/>
          </w:tcPr>
          <w:p w14:paraId="5F4E1389">
            <w:pPr>
              <w:spacing w:line="276" w:lineRule="auto"/>
              <w:jc w:val="center"/>
              <w:rPr>
                <w:rFonts w:ascii="宋体" w:hAnsi="宋体" w:eastAsia="宋体" w:cs="宋体"/>
                <w:bCs/>
                <w:szCs w:val="21"/>
              </w:rPr>
            </w:pPr>
          </w:p>
        </w:tc>
        <w:tc>
          <w:tcPr>
            <w:tcW w:w="917" w:type="dxa"/>
            <w:shd w:val="clear" w:color="auto" w:fill="auto"/>
            <w:vAlign w:val="center"/>
          </w:tcPr>
          <w:p w14:paraId="79B4BE12">
            <w:pPr>
              <w:spacing w:line="276" w:lineRule="auto"/>
              <w:jc w:val="center"/>
              <w:rPr>
                <w:rFonts w:ascii="宋体" w:hAnsi="宋体" w:eastAsia="宋体" w:cs="宋体"/>
                <w:bCs/>
                <w:szCs w:val="21"/>
              </w:rPr>
            </w:pPr>
          </w:p>
        </w:tc>
        <w:tc>
          <w:tcPr>
            <w:tcW w:w="666" w:type="dxa"/>
            <w:shd w:val="clear" w:color="auto" w:fill="auto"/>
            <w:vAlign w:val="center"/>
          </w:tcPr>
          <w:p w14:paraId="1A370241">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18.92</w:t>
            </w:r>
          </w:p>
        </w:tc>
        <w:tc>
          <w:tcPr>
            <w:tcW w:w="550" w:type="dxa"/>
            <w:shd w:val="clear" w:color="auto" w:fill="auto"/>
            <w:vAlign w:val="center"/>
          </w:tcPr>
          <w:p w14:paraId="54540C40">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km</w:t>
            </w:r>
          </w:p>
        </w:tc>
        <w:tc>
          <w:tcPr>
            <w:tcW w:w="967" w:type="dxa"/>
            <w:vAlign w:val="center"/>
          </w:tcPr>
          <w:p w14:paraId="72F0913D">
            <w:pPr>
              <w:spacing w:line="276" w:lineRule="auto"/>
              <w:jc w:val="center"/>
              <w:rPr>
                <w:rFonts w:ascii="宋体" w:hAnsi="宋体" w:eastAsia="宋体" w:cs="宋体"/>
                <w:bCs/>
                <w:szCs w:val="21"/>
              </w:rPr>
            </w:pPr>
          </w:p>
        </w:tc>
        <w:tc>
          <w:tcPr>
            <w:tcW w:w="983" w:type="dxa"/>
            <w:vAlign w:val="center"/>
          </w:tcPr>
          <w:p w14:paraId="0E551457">
            <w:pPr>
              <w:spacing w:line="276" w:lineRule="auto"/>
              <w:jc w:val="center"/>
              <w:rPr>
                <w:rFonts w:ascii="宋体" w:hAnsi="宋体" w:eastAsia="宋体" w:cs="宋体"/>
                <w:bCs/>
                <w:szCs w:val="21"/>
              </w:rPr>
            </w:pPr>
          </w:p>
        </w:tc>
      </w:tr>
      <w:tr w14:paraId="435F6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21ABA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147</w:t>
            </w:r>
          </w:p>
        </w:tc>
        <w:tc>
          <w:tcPr>
            <w:tcW w:w="841" w:type="dxa"/>
            <w:vMerge w:val="continue"/>
          </w:tcPr>
          <w:p w14:paraId="2377F30B">
            <w:pPr>
              <w:spacing w:line="276" w:lineRule="auto"/>
              <w:jc w:val="center"/>
              <w:rPr>
                <w:rFonts w:ascii="宋体" w:hAnsi="宋体" w:eastAsia="宋体" w:cs="宋体"/>
                <w:bCs/>
                <w:szCs w:val="21"/>
              </w:rPr>
            </w:pPr>
          </w:p>
        </w:tc>
        <w:tc>
          <w:tcPr>
            <w:tcW w:w="1223" w:type="dxa"/>
            <w:shd w:val="clear" w:color="auto" w:fill="auto"/>
            <w:vAlign w:val="center"/>
          </w:tcPr>
          <w:p w14:paraId="6B48EB0C">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光纤</w:t>
            </w:r>
            <w:r>
              <w:rPr>
                <w:rFonts w:hint="eastAsia" w:ascii="宋体" w:hAnsi="等线" w:eastAsia="宋体" w:cs="等线"/>
                <w:i w:val="0"/>
                <w:iCs w:val="0"/>
                <w:color w:val="000000"/>
                <w:kern w:val="0"/>
                <w:sz w:val="20"/>
                <w:szCs w:val="20"/>
                <w:u w:val="none"/>
                <w:lang w:val="en-US" w:eastAsia="zh-CN" w:bidi="ar"/>
              </w:rPr>
              <w:t>（12芯）</w:t>
            </w:r>
          </w:p>
        </w:tc>
        <w:tc>
          <w:tcPr>
            <w:tcW w:w="890" w:type="dxa"/>
            <w:vAlign w:val="center"/>
          </w:tcPr>
          <w:p w14:paraId="662123FE">
            <w:pPr>
              <w:spacing w:line="276" w:lineRule="auto"/>
              <w:jc w:val="center"/>
              <w:rPr>
                <w:rFonts w:ascii="宋体" w:hAnsi="宋体" w:eastAsia="宋体" w:cs="宋体"/>
                <w:bCs/>
                <w:szCs w:val="21"/>
              </w:rPr>
            </w:pPr>
          </w:p>
        </w:tc>
        <w:tc>
          <w:tcPr>
            <w:tcW w:w="508" w:type="dxa"/>
            <w:vAlign w:val="center"/>
          </w:tcPr>
          <w:p w14:paraId="5714C3DB">
            <w:pPr>
              <w:spacing w:line="276" w:lineRule="auto"/>
              <w:jc w:val="center"/>
              <w:rPr>
                <w:rFonts w:ascii="宋体" w:hAnsi="宋体" w:eastAsia="宋体" w:cs="宋体"/>
                <w:bCs/>
                <w:szCs w:val="21"/>
              </w:rPr>
            </w:pPr>
          </w:p>
        </w:tc>
        <w:tc>
          <w:tcPr>
            <w:tcW w:w="810" w:type="dxa"/>
            <w:vAlign w:val="center"/>
          </w:tcPr>
          <w:p w14:paraId="2D9CB702">
            <w:pPr>
              <w:spacing w:line="276" w:lineRule="auto"/>
              <w:jc w:val="center"/>
              <w:rPr>
                <w:rFonts w:ascii="宋体" w:hAnsi="宋体" w:eastAsia="宋体" w:cs="宋体"/>
                <w:bCs/>
                <w:szCs w:val="21"/>
              </w:rPr>
            </w:pPr>
          </w:p>
        </w:tc>
        <w:tc>
          <w:tcPr>
            <w:tcW w:w="715" w:type="dxa"/>
            <w:vAlign w:val="center"/>
          </w:tcPr>
          <w:p w14:paraId="2E302415">
            <w:pPr>
              <w:spacing w:line="276" w:lineRule="auto"/>
              <w:jc w:val="center"/>
              <w:rPr>
                <w:rFonts w:ascii="宋体" w:hAnsi="宋体" w:eastAsia="宋体" w:cs="宋体"/>
                <w:bCs/>
                <w:szCs w:val="21"/>
              </w:rPr>
            </w:pPr>
          </w:p>
        </w:tc>
        <w:tc>
          <w:tcPr>
            <w:tcW w:w="1160" w:type="dxa"/>
            <w:vAlign w:val="center"/>
          </w:tcPr>
          <w:p w14:paraId="58C2C3D3">
            <w:pPr>
              <w:spacing w:line="276" w:lineRule="auto"/>
              <w:jc w:val="center"/>
              <w:rPr>
                <w:rFonts w:ascii="宋体" w:hAnsi="宋体" w:eastAsia="宋体" w:cs="宋体"/>
                <w:bCs/>
                <w:szCs w:val="21"/>
              </w:rPr>
            </w:pPr>
          </w:p>
        </w:tc>
        <w:tc>
          <w:tcPr>
            <w:tcW w:w="917" w:type="dxa"/>
            <w:shd w:val="clear" w:color="auto" w:fill="auto"/>
            <w:vAlign w:val="center"/>
          </w:tcPr>
          <w:p w14:paraId="58F1CB6D">
            <w:pPr>
              <w:spacing w:line="276" w:lineRule="auto"/>
              <w:jc w:val="center"/>
              <w:rPr>
                <w:rFonts w:ascii="宋体" w:hAnsi="宋体" w:eastAsia="宋体" w:cs="宋体"/>
                <w:bCs/>
                <w:szCs w:val="21"/>
              </w:rPr>
            </w:pPr>
          </w:p>
        </w:tc>
        <w:tc>
          <w:tcPr>
            <w:tcW w:w="666" w:type="dxa"/>
            <w:shd w:val="clear" w:color="auto" w:fill="auto"/>
            <w:vAlign w:val="center"/>
          </w:tcPr>
          <w:p w14:paraId="4616EDE6">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37.84</w:t>
            </w:r>
          </w:p>
        </w:tc>
        <w:tc>
          <w:tcPr>
            <w:tcW w:w="550" w:type="dxa"/>
            <w:shd w:val="clear" w:color="auto" w:fill="auto"/>
            <w:vAlign w:val="center"/>
          </w:tcPr>
          <w:p w14:paraId="21C5666B">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km</w:t>
            </w:r>
          </w:p>
        </w:tc>
        <w:tc>
          <w:tcPr>
            <w:tcW w:w="967" w:type="dxa"/>
            <w:vAlign w:val="center"/>
          </w:tcPr>
          <w:p w14:paraId="718E770B">
            <w:pPr>
              <w:spacing w:line="276" w:lineRule="auto"/>
              <w:jc w:val="center"/>
              <w:rPr>
                <w:rFonts w:ascii="宋体" w:hAnsi="宋体" w:eastAsia="宋体" w:cs="宋体"/>
                <w:bCs/>
                <w:szCs w:val="21"/>
              </w:rPr>
            </w:pPr>
          </w:p>
        </w:tc>
        <w:tc>
          <w:tcPr>
            <w:tcW w:w="983" w:type="dxa"/>
            <w:vAlign w:val="center"/>
          </w:tcPr>
          <w:p w14:paraId="39CA0090">
            <w:pPr>
              <w:spacing w:line="276" w:lineRule="auto"/>
              <w:jc w:val="center"/>
              <w:rPr>
                <w:rFonts w:ascii="宋体" w:hAnsi="宋体" w:eastAsia="宋体" w:cs="宋体"/>
                <w:bCs/>
                <w:szCs w:val="21"/>
              </w:rPr>
            </w:pPr>
          </w:p>
        </w:tc>
      </w:tr>
      <w:tr w14:paraId="52E1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54DFDB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148</w:t>
            </w:r>
          </w:p>
        </w:tc>
        <w:tc>
          <w:tcPr>
            <w:tcW w:w="841" w:type="dxa"/>
            <w:vMerge w:val="continue"/>
          </w:tcPr>
          <w:p w14:paraId="070A1972">
            <w:pPr>
              <w:spacing w:line="276" w:lineRule="auto"/>
              <w:jc w:val="center"/>
              <w:rPr>
                <w:rFonts w:ascii="宋体" w:hAnsi="宋体" w:eastAsia="宋体" w:cs="宋体"/>
                <w:bCs/>
                <w:szCs w:val="21"/>
              </w:rPr>
            </w:pPr>
          </w:p>
        </w:tc>
        <w:tc>
          <w:tcPr>
            <w:tcW w:w="1223" w:type="dxa"/>
            <w:shd w:val="clear" w:color="auto" w:fill="auto"/>
            <w:vAlign w:val="center"/>
          </w:tcPr>
          <w:p w14:paraId="2861F2D7">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光纤</w:t>
            </w:r>
            <w:r>
              <w:rPr>
                <w:rFonts w:hint="eastAsia" w:ascii="宋体" w:hAnsi="等线" w:eastAsia="宋体" w:cs="等线"/>
                <w:i w:val="0"/>
                <w:iCs w:val="0"/>
                <w:color w:val="000000"/>
                <w:kern w:val="0"/>
                <w:sz w:val="20"/>
                <w:szCs w:val="20"/>
                <w:u w:val="none"/>
                <w:lang w:val="en-US" w:eastAsia="zh-CN" w:bidi="ar"/>
              </w:rPr>
              <w:t>（6芯）</w:t>
            </w:r>
          </w:p>
        </w:tc>
        <w:tc>
          <w:tcPr>
            <w:tcW w:w="890" w:type="dxa"/>
            <w:vAlign w:val="center"/>
          </w:tcPr>
          <w:p w14:paraId="06983062">
            <w:pPr>
              <w:spacing w:line="276" w:lineRule="auto"/>
              <w:jc w:val="center"/>
              <w:rPr>
                <w:rFonts w:ascii="宋体" w:hAnsi="宋体" w:eastAsia="宋体" w:cs="宋体"/>
                <w:bCs/>
                <w:szCs w:val="21"/>
              </w:rPr>
            </w:pPr>
          </w:p>
        </w:tc>
        <w:tc>
          <w:tcPr>
            <w:tcW w:w="508" w:type="dxa"/>
            <w:vAlign w:val="center"/>
          </w:tcPr>
          <w:p w14:paraId="55BFD731">
            <w:pPr>
              <w:spacing w:line="276" w:lineRule="auto"/>
              <w:jc w:val="center"/>
              <w:rPr>
                <w:rFonts w:ascii="宋体" w:hAnsi="宋体" w:eastAsia="宋体" w:cs="宋体"/>
                <w:bCs/>
                <w:szCs w:val="21"/>
              </w:rPr>
            </w:pPr>
          </w:p>
        </w:tc>
        <w:tc>
          <w:tcPr>
            <w:tcW w:w="810" w:type="dxa"/>
            <w:vAlign w:val="center"/>
          </w:tcPr>
          <w:p w14:paraId="7FB6BAD6">
            <w:pPr>
              <w:spacing w:line="276" w:lineRule="auto"/>
              <w:jc w:val="center"/>
              <w:rPr>
                <w:rFonts w:ascii="宋体" w:hAnsi="宋体" w:eastAsia="宋体" w:cs="宋体"/>
                <w:bCs/>
                <w:szCs w:val="21"/>
              </w:rPr>
            </w:pPr>
          </w:p>
        </w:tc>
        <w:tc>
          <w:tcPr>
            <w:tcW w:w="715" w:type="dxa"/>
            <w:vAlign w:val="center"/>
          </w:tcPr>
          <w:p w14:paraId="311F43D4">
            <w:pPr>
              <w:spacing w:line="276" w:lineRule="auto"/>
              <w:jc w:val="center"/>
              <w:rPr>
                <w:rFonts w:ascii="宋体" w:hAnsi="宋体" w:eastAsia="宋体" w:cs="宋体"/>
                <w:bCs/>
                <w:szCs w:val="21"/>
              </w:rPr>
            </w:pPr>
          </w:p>
        </w:tc>
        <w:tc>
          <w:tcPr>
            <w:tcW w:w="1160" w:type="dxa"/>
            <w:vAlign w:val="center"/>
          </w:tcPr>
          <w:p w14:paraId="7E816310">
            <w:pPr>
              <w:spacing w:line="276" w:lineRule="auto"/>
              <w:jc w:val="center"/>
              <w:rPr>
                <w:rFonts w:ascii="宋体" w:hAnsi="宋体" w:eastAsia="宋体" w:cs="宋体"/>
                <w:bCs/>
                <w:szCs w:val="21"/>
              </w:rPr>
            </w:pPr>
          </w:p>
        </w:tc>
        <w:tc>
          <w:tcPr>
            <w:tcW w:w="917" w:type="dxa"/>
            <w:shd w:val="clear" w:color="auto" w:fill="auto"/>
            <w:vAlign w:val="center"/>
          </w:tcPr>
          <w:p w14:paraId="4BF0A12A">
            <w:pPr>
              <w:spacing w:line="276" w:lineRule="auto"/>
              <w:jc w:val="center"/>
              <w:rPr>
                <w:rFonts w:ascii="宋体" w:hAnsi="宋体" w:eastAsia="宋体" w:cs="宋体"/>
                <w:bCs/>
                <w:szCs w:val="21"/>
              </w:rPr>
            </w:pPr>
          </w:p>
        </w:tc>
        <w:tc>
          <w:tcPr>
            <w:tcW w:w="666" w:type="dxa"/>
            <w:shd w:val="clear" w:color="auto" w:fill="auto"/>
            <w:vAlign w:val="center"/>
          </w:tcPr>
          <w:p w14:paraId="6F40732E">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8.1</w:t>
            </w:r>
          </w:p>
        </w:tc>
        <w:tc>
          <w:tcPr>
            <w:tcW w:w="550" w:type="dxa"/>
            <w:shd w:val="clear" w:color="auto" w:fill="auto"/>
            <w:vAlign w:val="center"/>
          </w:tcPr>
          <w:p w14:paraId="1CAAE7D8">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km</w:t>
            </w:r>
          </w:p>
        </w:tc>
        <w:tc>
          <w:tcPr>
            <w:tcW w:w="967" w:type="dxa"/>
            <w:vAlign w:val="center"/>
          </w:tcPr>
          <w:p w14:paraId="02CB203E">
            <w:pPr>
              <w:spacing w:line="276" w:lineRule="auto"/>
              <w:jc w:val="center"/>
              <w:rPr>
                <w:rFonts w:ascii="宋体" w:hAnsi="宋体" w:eastAsia="宋体" w:cs="宋体"/>
                <w:bCs/>
                <w:szCs w:val="21"/>
              </w:rPr>
            </w:pPr>
          </w:p>
        </w:tc>
        <w:tc>
          <w:tcPr>
            <w:tcW w:w="983" w:type="dxa"/>
            <w:vAlign w:val="center"/>
          </w:tcPr>
          <w:p w14:paraId="50B9A73F">
            <w:pPr>
              <w:spacing w:line="276" w:lineRule="auto"/>
              <w:jc w:val="center"/>
              <w:rPr>
                <w:rFonts w:ascii="宋体" w:hAnsi="宋体" w:eastAsia="宋体" w:cs="宋体"/>
                <w:bCs/>
                <w:szCs w:val="21"/>
              </w:rPr>
            </w:pPr>
          </w:p>
        </w:tc>
      </w:tr>
      <w:tr w14:paraId="56170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926E9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149</w:t>
            </w:r>
          </w:p>
        </w:tc>
        <w:tc>
          <w:tcPr>
            <w:tcW w:w="841" w:type="dxa"/>
            <w:vMerge w:val="continue"/>
          </w:tcPr>
          <w:p w14:paraId="289CD6FC">
            <w:pPr>
              <w:spacing w:line="276" w:lineRule="auto"/>
              <w:jc w:val="center"/>
              <w:rPr>
                <w:rFonts w:ascii="宋体" w:hAnsi="宋体" w:eastAsia="宋体" w:cs="宋体"/>
                <w:bCs/>
                <w:szCs w:val="21"/>
              </w:rPr>
            </w:pPr>
          </w:p>
        </w:tc>
        <w:tc>
          <w:tcPr>
            <w:tcW w:w="1223" w:type="dxa"/>
            <w:shd w:val="clear" w:color="auto" w:fill="auto"/>
            <w:vAlign w:val="center"/>
          </w:tcPr>
          <w:p w14:paraId="3AC03876">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防水接线盒</w:t>
            </w:r>
          </w:p>
        </w:tc>
        <w:tc>
          <w:tcPr>
            <w:tcW w:w="890" w:type="dxa"/>
            <w:vAlign w:val="center"/>
          </w:tcPr>
          <w:p w14:paraId="208714CC">
            <w:pPr>
              <w:spacing w:line="276" w:lineRule="auto"/>
              <w:jc w:val="center"/>
              <w:rPr>
                <w:rFonts w:ascii="宋体" w:hAnsi="宋体" w:eastAsia="宋体" w:cs="宋体"/>
                <w:bCs/>
                <w:szCs w:val="21"/>
              </w:rPr>
            </w:pPr>
          </w:p>
        </w:tc>
        <w:tc>
          <w:tcPr>
            <w:tcW w:w="508" w:type="dxa"/>
            <w:vAlign w:val="center"/>
          </w:tcPr>
          <w:p w14:paraId="6E0A389C">
            <w:pPr>
              <w:spacing w:line="276" w:lineRule="auto"/>
              <w:jc w:val="center"/>
              <w:rPr>
                <w:rFonts w:ascii="宋体" w:hAnsi="宋体" w:eastAsia="宋体" w:cs="宋体"/>
                <w:bCs/>
                <w:szCs w:val="21"/>
              </w:rPr>
            </w:pPr>
          </w:p>
        </w:tc>
        <w:tc>
          <w:tcPr>
            <w:tcW w:w="810" w:type="dxa"/>
            <w:vAlign w:val="center"/>
          </w:tcPr>
          <w:p w14:paraId="73E533CC">
            <w:pPr>
              <w:spacing w:line="276" w:lineRule="auto"/>
              <w:jc w:val="center"/>
              <w:rPr>
                <w:rFonts w:ascii="宋体" w:hAnsi="宋体" w:eastAsia="宋体" w:cs="宋体"/>
                <w:bCs/>
                <w:szCs w:val="21"/>
              </w:rPr>
            </w:pPr>
          </w:p>
        </w:tc>
        <w:tc>
          <w:tcPr>
            <w:tcW w:w="715" w:type="dxa"/>
            <w:vAlign w:val="center"/>
          </w:tcPr>
          <w:p w14:paraId="72592A66">
            <w:pPr>
              <w:spacing w:line="276" w:lineRule="auto"/>
              <w:jc w:val="center"/>
              <w:rPr>
                <w:rFonts w:ascii="宋体" w:hAnsi="宋体" w:eastAsia="宋体" w:cs="宋体"/>
                <w:bCs/>
                <w:szCs w:val="21"/>
              </w:rPr>
            </w:pPr>
          </w:p>
        </w:tc>
        <w:tc>
          <w:tcPr>
            <w:tcW w:w="1160" w:type="dxa"/>
            <w:vAlign w:val="center"/>
          </w:tcPr>
          <w:p w14:paraId="2E74175C">
            <w:pPr>
              <w:spacing w:line="276" w:lineRule="auto"/>
              <w:jc w:val="center"/>
              <w:rPr>
                <w:rFonts w:ascii="宋体" w:hAnsi="宋体" w:eastAsia="宋体" w:cs="宋体"/>
                <w:bCs/>
                <w:szCs w:val="21"/>
              </w:rPr>
            </w:pPr>
          </w:p>
        </w:tc>
        <w:tc>
          <w:tcPr>
            <w:tcW w:w="917" w:type="dxa"/>
            <w:shd w:val="clear" w:color="auto" w:fill="auto"/>
            <w:vAlign w:val="center"/>
          </w:tcPr>
          <w:p w14:paraId="68584431">
            <w:pPr>
              <w:spacing w:line="276" w:lineRule="auto"/>
              <w:jc w:val="center"/>
              <w:rPr>
                <w:rFonts w:ascii="宋体" w:hAnsi="宋体" w:eastAsia="宋体" w:cs="宋体"/>
                <w:bCs/>
                <w:szCs w:val="21"/>
              </w:rPr>
            </w:pPr>
          </w:p>
        </w:tc>
        <w:tc>
          <w:tcPr>
            <w:tcW w:w="666" w:type="dxa"/>
            <w:shd w:val="clear" w:color="auto" w:fill="auto"/>
            <w:vAlign w:val="center"/>
          </w:tcPr>
          <w:p w14:paraId="719819E9">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373</w:t>
            </w:r>
          </w:p>
        </w:tc>
        <w:tc>
          <w:tcPr>
            <w:tcW w:w="550" w:type="dxa"/>
            <w:shd w:val="clear" w:color="auto" w:fill="auto"/>
            <w:vAlign w:val="center"/>
          </w:tcPr>
          <w:p w14:paraId="445B85EA">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套</w:t>
            </w:r>
          </w:p>
        </w:tc>
        <w:tc>
          <w:tcPr>
            <w:tcW w:w="967" w:type="dxa"/>
            <w:vAlign w:val="center"/>
          </w:tcPr>
          <w:p w14:paraId="0176C69A">
            <w:pPr>
              <w:spacing w:line="276" w:lineRule="auto"/>
              <w:jc w:val="center"/>
              <w:rPr>
                <w:rFonts w:ascii="宋体" w:hAnsi="宋体" w:eastAsia="宋体" w:cs="宋体"/>
                <w:bCs/>
                <w:szCs w:val="21"/>
              </w:rPr>
            </w:pPr>
          </w:p>
        </w:tc>
        <w:tc>
          <w:tcPr>
            <w:tcW w:w="983" w:type="dxa"/>
            <w:vAlign w:val="center"/>
          </w:tcPr>
          <w:p w14:paraId="406D8830">
            <w:pPr>
              <w:spacing w:line="276" w:lineRule="auto"/>
              <w:jc w:val="center"/>
              <w:rPr>
                <w:rFonts w:ascii="宋体" w:hAnsi="宋体" w:eastAsia="宋体" w:cs="宋体"/>
                <w:bCs/>
                <w:szCs w:val="21"/>
              </w:rPr>
            </w:pPr>
          </w:p>
        </w:tc>
      </w:tr>
      <w:tr w14:paraId="5FE1A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76A1BD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150</w:t>
            </w:r>
          </w:p>
        </w:tc>
        <w:tc>
          <w:tcPr>
            <w:tcW w:w="841" w:type="dxa"/>
            <w:vMerge w:val="continue"/>
          </w:tcPr>
          <w:p w14:paraId="7C0E37BC">
            <w:pPr>
              <w:spacing w:line="276" w:lineRule="auto"/>
              <w:jc w:val="center"/>
              <w:rPr>
                <w:rFonts w:ascii="宋体" w:hAnsi="宋体" w:eastAsia="宋体" w:cs="宋体"/>
                <w:bCs/>
                <w:szCs w:val="21"/>
              </w:rPr>
            </w:pPr>
          </w:p>
        </w:tc>
        <w:tc>
          <w:tcPr>
            <w:tcW w:w="1223" w:type="dxa"/>
            <w:shd w:val="clear" w:color="auto" w:fill="auto"/>
            <w:vAlign w:val="center"/>
          </w:tcPr>
          <w:p w14:paraId="7CC82ED5">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漏电保护模块</w:t>
            </w:r>
          </w:p>
        </w:tc>
        <w:tc>
          <w:tcPr>
            <w:tcW w:w="890" w:type="dxa"/>
            <w:vAlign w:val="center"/>
          </w:tcPr>
          <w:p w14:paraId="7B4797A8">
            <w:pPr>
              <w:spacing w:line="276" w:lineRule="auto"/>
              <w:jc w:val="center"/>
              <w:rPr>
                <w:rFonts w:ascii="宋体" w:hAnsi="宋体" w:eastAsia="宋体" w:cs="宋体"/>
                <w:bCs/>
                <w:szCs w:val="21"/>
              </w:rPr>
            </w:pPr>
          </w:p>
        </w:tc>
        <w:tc>
          <w:tcPr>
            <w:tcW w:w="508" w:type="dxa"/>
            <w:vAlign w:val="center"/>
          </w:tcPr>
          <w:p w14:paraId="56360D63">
            <w:pPr>
              <w:spacing w:line="276" w:lineRule="auto"/>
              <w:jc w:val="center"/>
              <w:rPr>
                <w:rFonts w:ascii="宋体" w:hAnsi="宋体" w:eastAsia="宋体" w:cs="宋体"/>
                <w:bCs/>
                <w:szCs w:val="21"/>
              </w:rPr>
            </w:pPr>
          </w:p>
        </w:tc>
        <w:tc>
          <w:tcPr>
            <w:tcW w:w="810" w:type="dxa"/>
            <w:vAlign w:val="center"/>
          </w:tcPr>
          <w:p w14:paraId="60AB9E3F">
            <w:pPr>
              <w:spacing w:line="276" w:lineRule="auto"/>
              <w:jc w:val="center"/>
              <w:rPr>
                <w:rFonts w:ascii="宋体" w:hAnsi="宋体" w:eastAsia="宋体" w:cs="宋体"/>
                <w:bCs/>
                <w:szCs w:val="21"/>
              </w:rPr>
            </w:pPr>
          </w:p>
        </w:tc>
        <w:tc>
          <w:tcPr>
            <w:tcW w:w="715" w:type="dxa"/>
            <w:vAlign w:val="center"/>
          </w:tcPr>
          <w:p w14:paraId="2B6F9FC7">
            <w:pPr>
              <w:spacing w:line="276" w:lineRule="auto"/>
              <w:jc w:val="center"/>
              <w:rPr>
                <w:rFonts w:ascii="宋体" w:hAnsi="宋体" w:eastAsia="宋体" w:cs="宋体"/>
                <w:bCs/>
                <w:szCs w:val="21"/>
              </w:rPr>
            </w:pPr>
          </w:p>
        </w:tc>
        <w:tc>
          <w:tcPr>
            <w:tcW w:w="1160" w:type="dxa"/>
            <w:vAlign w:val="center"/>
          </w:tcPr>
          <w:p w14:paraId="5454DE30">
            <w:pPr>
              <w:spacing w:line="276" w:lineRule="auto"/>
              <w:jc w:val="center"/>
              <w:rPr>
                <w:rFonts w:ascii="宋体" w:hAnsi="宋体" w:eastAsia="宋体" w:cs="宋体"/>
                <w:bCs/>
                <w:szCs w:val="21"/>
              </w:rPr>
            </w:pPr>
          </w:p>
        </w:tc>
        <w:tc>
          <w:tcPr>
            <w:tcW w:w="917" w:type="dxa"/>
            <w:shd w:val="clear" w:color="auto" w:fill="auto"/>
            <w:vAlign w:val="center"/>
          </w:tcPr>
          <w:p w14:paraId="30508273">
            <w:pPr>
              <w:spacing w:line="276" w:lineRule="auto"/>
              <w:jc w:val="center"/>
              <w:rPr>
                <w:rFonts w:ascii="宋体" w:hAnsi="宋体" w:eastAsia="宋体" w:cs="宋体"/>
                <w:bCs/>
                <w:szCs w:val="21"/>
              </w:rPr>
            </w:pPr>
          </w:p>
        </w:tc>
        <w:tc>
          <w:tcPr>
            <w:tcW w:w="666" w:type="dxa"/>
            <w:shd w:val="clear" w:color="auto" w:fill="auto"/>
            <w:vAlign w:val="center"/>
          </w:tcPr>
          <w:p w14:paraId="3F06871D">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373</w:t>
            </w:r>
          </w:p>
        </w:tc>
        <w:tc>
          <w:tcPr>
            <w:tcW w:w="550" w:type="dxa"/>
            <w:shd w:val="clear" w:color="auto" w:fill="auto"/>
            <w:vAlign w:val="center"/>
          </w:tcPr>
          <w:p w14:paraId="7515D372">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套</w:t>
            </w:r>
          </w:p>
        </w:tc>
        <w:tc>
          <w:tcPr>
            <w:tcW w:w="967" w:type="dxa"/>
            <w:vAlign w:val="center"/>
          </w:tcPr>
          <w:p w14:paraId="3524283C">
            <w:pPr>
              <w:spacing w:line="276" w:lineRule="auto"/>
              <w:jc w:val="center"/>
              <w:rPr>
                <w:rFonts w:ascii="宋体" w:hAnsi="宋体" w:eastAsia="宋体" w:cs="宋体"/>
                <w:bCs/>
                <w:szCs w:val="21"/>
              </w:rPr>
            </w:pPr>
          </w:p>
        </w:tc>
        <w:tc>
          <w:tcPr>
            <w:tcW w:w="983" w:type="dxa"/>
            <w:vAlign w:val="center"/>
          </w:tcPr>
          <w:p w14:paraId="5514B471">
            <w:pPr>
              <w:spacing w:line="276" w:lineRule="auto"/>
              <w:jc w:val="center"/>
              <w:rPr>
                <w:rFonts w:ascii="宋体" w:hAnsi="宋体" w:eastAsia="宋体" w:cs="宋体"/>
                <w:bCs/>
                <w:szCs w:val="21"/>
              </w:rPr>
            </w:pPr>
          </w:p>
        </w:tc>
      </w:tr>
      <w:tr w14:paraId="09BCC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99D9E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151</w:t>
            </w:r>
          </w:p>
        </w:tc>
        <w:tc>
          <w:tcPr>
            <w:tcW w:w="841" w:type="dxa"/>
            <w:vMerge w:val="continue"/>
          </w:tcPr>
          <w:p w14:paraId="7C71B3B6">
            <w:pPr>
              <w:spacing w:line="276" w:lineRule="auto"/>
              <w:jc w:val="center"/>
              <w:rPr>
                <w:rFonts w:ascii="宋体" w:hAnsi="宋体" w:eastAsia="宋体" w:cs="宋体"/>
                <w:bCs/>
                <w:szCs w:val="21"/>
              </w:rPr>
            </w:pPr>
          </w:p>
        </w:tc>
        <w:tc>
          <w:tcPr>
            <w:tcW w:w="1223" w:type="dxa"/>
            <w:shd w:val="clear" w:color="auto" w:fill="auto"/>
            <w:vAlign w:val="center"/>
          </w:tcPr>
          <w:p w14:paraId="141DF35F">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智慧路灯干线电缆</w:t>
            </w:r>
          </w:p>
        </w:tc>
        <w:tc>
          <w:tcPr>
            <w:tcW w:w="890" w:type="dxa"/>
            <w:vAlign w:val="center"/>
          </w:tcPr>
          <w:p w14:paraId="01BA0C94">
            <w:pPr>
              <w:spacing w:line="276" w:lineRule="auto"/>
              <w:jc w:val="center"/>
              <w:rPr>
                <w:rFonts w:ascii="宋体" w:hAnsi="宋体" w:eastAsia="宋体" w:cs="宋体"/>
                <w:bCs/>
                <w:szCs w:val="21"/>
              </w:rPr>
            </w:pPr>
          </w:p>
        </w:tc>
        <w:tc>
          <w:tcPr>
            <w:tcW w:w="508" w:type="dxa"/>
            <w:vAlign w:val="center"/>
          </w:tcPr>
          <w:p w14:paraId="5870A570">
            <w:pPr>
              <w:spacing w:line="276" w:lineRule="auto"/>
              <w:jc w:val="center"/>
              <w:rPr>
                <w:rFonts w:ascii="宋体" w:hAnsi="宋体" w:eastAsia="宋体" w:cs="宋体"/>
                <w:bCs/>
                <w:szCs w:val="21"/>
              </w:rPr>
            </w:pPr>
          </w:p>
        </w:tc>
        <w:tc>
          <w:tcPr>
            <w:tcW w:w="810" w:type="dxa"/>
            <w:vAlign w:val="center"/>
          </w:tcPr>
          <w:p w14:paraId="7E7F20AE">
            <w:pPr>
              <w:spacing w:line="276" w:lineRule="auto"/>
              <w:jc w:val="center"/>
              <w:rPr>
                <w:rFonts w:ascii="宋体" w:hAnsi="宋体" w:eastAsia="宋体" w:cs="宋体"/>
                <w:bCs/>
                <w:szCs w:val="21"/>
              </w:rPr>
            </w:pPr>
          </w:p>
        </w:tc>
        <w:tc>
          <w:tcPr>
            <w:tcW w:w="715" w:type="dxa"/>
            <w:vAlign w:val="center"/>
          </w:tcPr>
          <w:p w14:paraId="528B1F8F">
            <w:pPr>
              <w:spacing w:line="276" w:lineRule="auto"/>
              <w:jc w:val="center"/>
              <w:rPr>
                <w:rFonts w:ascii="宋体" w:hAnsi="宋体" w:eastAsia="宋体" w:cs="宋体"/>
                <w:bCs/>
                <w:szCs w:val="21"/>
              </w:rPr>
            </w:pPr>
          </w:p>
        </w:tc>
        <w:tc>
          <w:tcPr>
            <w:tcW w:w="1160" w:type="dxa"/>
            <w:vAlign w:val="center"/>
          </w:tcPr>
          <w:p w14:paraId="0F7AC633">
            <w:pPr>
              <w:spacing w:line="276" w:lineRule="auto"/>
              <w:jc w:val="center"/>
              <w:rPr>
                <w:rFonts w:ascii="宋体" w:hAnsi="宋体" w:eastAsia="宋体" w:cs="宋体"/>
                <w:bCs/>
                <w:szCs w:val="21"/>
              </w:rPr>
            </w:pPr>
          </w:p>
        </w:tc>
        <w:tc>
          <w:tcPr>
            <w:tcW w:w="917" w:type="dxa"/>
            <w:shd w:val="clear" w:color="auto" w:fill="auto"/>
            <w:vAlign w:val="center"/>
          </w:tcPr>
          <w:p w14:paraId="2F09F809">
            <w:pPr>
              <w:spacing w:line="276" w:lineRule="auto"/>
              <w:jc w:val="center"/>
              <w:rPr>
                <w:rFonts w:ascii="宋体" w:hAnsi="宋体" w:eastAsia="宋体" w:cs="宋体"/>
                <w:bCs/>
                <w:szCs w:val="21"/>
              </w:rPr>
            </w:pPr>
          </w:p>
        </w:tc>
        <w:tc>
          <w:tcPr>
            <w:tcW w:w="666" w:type="dxa"/>
            <w:shd w:val="clear" w:color="auto" w:fill="auto"/>
            <w:vAlign w:val="center"/>
          </w:tcPr>
          <w:p w14:paraId="4DD4FE61">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26849</w:t>
            </w:r>
          </w:p>
        </w:tc>
        <w:tc>
          <w:tcPr>
            <w:tcW w:w="550" w:type="dxa"/>
            <w:shd w:val="clear" w:color="auto" w:fill="auto"/>
            <w:vAlign w:val="center"/>
          </w:tcPr>
          <w:p w14:paraId="2FF216FA">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5F6C98FA">
            <w:pPr>
              <w:spacing w:line="276" w:lineRule="auto"/>
              <w:jc w:val="center"/>
              <w:rPr>
                <w:rFonts w:ascii="宋体" w:hAnsi="宋体" w:eastAsia="宋体" w:cs="宋体"/>
                <w:bCs/>
                <w:szCs w:val="21"/>
              </w:rPr>
            </w:pPr>
          </w:p>
        </w:tc>
        <w:tc>
          <w:tcPr>
            <w:tcW w:w="983" w:type="dxa"/>
            <w:vAlign w:val="center"/>
          </w:tcPr>
          <w:p w14:paraId="2D132716">
            <w:pPr>
              <w:spacing w:line="276" w:lineRule="auto"/>
              <w:jc w:val="center"/>
              <w:rPr>
                <w:rFonts w:ascii="宋体" w:hAnsi="宋体" w:eastAsia="宋体" w:cs="宋体"/>
                <w:bCs/>
                <w:szCs w:val="21"/>
              </w:rPr>
            </w:pPr>
          </w:p>
        </w:tc>
      </w:tr>
      <w:tr w14:paraId="4C05D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6E500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152</w:t>
            </w:r>
          </w:p>
        </w:tc>
        <w:tc>
          <w:tcPr>
            <w:tcW w:w="841" w:type="dxa"/>
            <w:vMerge w:val="continue"/>
          </w:tcPr>
          <w:p w14:paraId="1B188BA8">
            <w:pPr>
              <w:spacing w:line="276" w:lineRule="auto"/>
              <w:jc w:val="center"/>
              <w:rPr>
                <w:rFonts w:ascii="宋体" w:hAnsi="宋体" w:eastAsia="宋体" w:cs="宋体"/>
                <w:bCs/>
                <w:szCs w:val="21"/>
              </w:rPr>
            </w:pPr>
          </w:p>
        </w:tc>
        <w:tc>
          <w:tcPr>
            <w:tcW w:w="1223" w:type="dxa"/>
            <w:shd w:val="clear" w:color="auto" w:fill="auto"/>
            <w:vAlign w:val="center"/>
          </w:tcPr>
          <w:p w14:paraId="14DCDF49">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智慧路灯支线电缆</w:t>
            </w:r>
            <w:r>
              <w:rPr>
                <w:rFonts w:hint="eastAsia" w:ascii="宋体" w:hAnsi="等线" w:eastAsia="宋体" w:cs="等线"/>
                <w:i w:val="0"/>
                <w:iCs w:val="0"/>
                <w:color w:val="000000"/>
                <w:kern w:val="0"/>
                <w:sz w:val="20"/>
                <w:szCs w:val="20"/>
                <w:u w:val="none"/>
                <w:lang w:val="en-US" w:eastAsia="zh-CN" w:bidi="ar"/>
              </w:rPr>
              <w:t>（3*2.5）</w:t>
            </w:r>
          </w:p>
        </w:tc>
        <w:tc>
          <w:tcPr>
            <w:tcW w:w="890" w:type="dxa"/>
            <w:vAlign w:val="center"/>
          </w:tcPr>
          <w:p w14:paraId="5E18C984">
            <w:pPr>
              <w:spacing w:line="276" w:lineRule="auto"/>
              <w:jc w:val="center"/>
              <w:rPr>
                <w:rFonts w:ascii="宋体" w:hAnsi="宋体" w:eastAsia="宋体" w:cs="宋体"/>
                <w:bCs/>
                <w:szCs w:val="21"/>
              </w:rPr>
            </w:pPr>
          </w:p>
        </w:tc>
        <w:tc>
          <w:tcPr>
            <w:tcW w:w="508" w:type="dxa"/>
            <w:vAlign w:val="center"/>
          </w:tcPr>
          <w:p w14:paraId="4F74EAB4">
            <w:pPr>
              <w:spacing w:line="276" w:lineRule="auto"/>
              <w:jc w:val="center"/>
              <w:rPr>
                <w:rFonts w:ascii="宋体" w:hAnsi="宋体" w:eastAsia="宋体" w:cs="宋体"/>
                <w:bCs/>
                <w:szCs w:val="21"/>
              </w:rPr>
            </w:pPr>
          </w:p>
        </w:tc>
        <w:tc>
          <w:tcPr>
            <w:tcW w:w="810" w:type="dxa"/>
            <w:vAlign w:val="center"/>
          </w:tcPr>
          <w:p w14:paraId="24C379CA">
            <w:pPr>
              <w:spacing w:line="276" w:lineRule="auto"/>
              <w:jc w:val="center"/>
              <w:rPr>
                <w:rFonts w:ascii="宋体" w:hAnsi="宋体" w:eastAsia="宋体" w:cs="宋体"/>
                <w:bCs/>
                <w:szCs w:val="21"/>
              </w:rPr>
            </w:pPr>
          </w:p>
        </w:tc>
        <w:tc>
          <w:tcPr>
            <w:tcW w:w="715" w:type="dxa"/>
            <w:vAlign w:val="center"/>
          </w:tcPr>
          <w:p w14:paraId="7CC860CA">
            <w:pPr>
              <w:spacing w:line="276" w:lineRule="auto"/>
              <w:jc w:val="center"/>
              <w:rPr>
                <w:rFonts w:ascii="宋体" w:hAnsi="宋体" w:eastAsia="宋体" w:cs="宋体"/>
                <w:bCs/>
                <w:szCs w:val="21"/>
              </w:rPr>
            </w:pPr>
          </w:p>
        </w:tc>
        <w:tc>
          <w:tcPr>
            <w:tcW w:w="1160" w:type="dxa"/>
            <w:vAlign w:val="center"/>
          </w:tcPr>
          <w:p w14:paraId="5D493B6B">
            <w:pPr>
              <w:spacing w:line="276" w:lineRule="auto"/>
              <w:jc w:val="center"/>
              <w:rPr>
                <w:rFonts w:ascii="宋体" w:hAnsi="宋体" w:eastAsia="宋体" w:cs="宋体"/>
                <w:bCs/>
                <w:szCs w:val="21"/>
              </w:rPr>
            </w:pPr>
          </w:p>
        </w:tc>
        <w:tc>
          <w:tcPr>
            <w:tcW w:w="917" w:type="dxa"/>
            <w:shd w:val="clear" w:color="auto" w:fill="auto"/>
            <w:vAlign w:val="center"/>
          </w:tcPr>
          <w:p w14:paraId="5ACD619E">
            <w:pPr>
              <w:spacing w:line="276" w:lineRule="auto"/>
              <w:jc w:val="center"/>
              <w:rPr>
                <w:rFonts w:ascii="宋体" w:hAnsi="宋体" w:eastAsia="宋体" w:cs="宋体"/>
                <w:bCs/>
                <w:szCs w:val="21"/>
              </w:rPr>
            </w:pPr>
          </w:p>
        </w:tc>
        <w:tc>
          <w:tcPr>
            <w:tcW w:w="666" w:type="dxa"/>
            <w:shd w:val="clear" w:color="auto" w:fill="auto"/>
            <w:vAlign w:val="center"/>
          </w:tcPr>
          <w:p w14:paraId="73EE8FE0">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2870</w:t>
            </w:r>
          </w:p>
        </w:tc>
        <w:tc>
          <w:tcPr>
            <w:tcW w:w="550" w:type="dxa"/>
            <w:shd w:val="clear" w:color="auto" w:fill="auto"/>
            <w:vAlign w:val="center"/>
          </w:tcPr>
          <w:p w14:paraId="73AA9BDC">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049AFDEF">
            <w:pPr>
              <w:spacing w:line="276" w:lineRule="auto"/>
              <w:jc w:val="center"/>
              <w:rPr>
                <w:rFonts w:ascii="宋体" w:hAnsi="宋体" w:eastAsia="宋体" w:cs="宋体"/>
                <w:bCs/>
                <w:szCs w:val="21"/>
              </w:rPr>
            </w:pPr>
          </w:p>
        </w:tc>
        <w:tc>
          <w:tcPr>
            <w:tcW w:w="983" w:type="dxa"/>
            <w:vAlign w:val="center"/>
          </w:tcPr>
          <w:p w14:paraId="51252E29">
            <w:pPr>
              <w:spacing w:line="276" w:lineRule="auto"/>
              <w:jc w:val="center"/>
              <w:rPr>
                <w:rFonts w:ascii="宋体" w:hAnsi="宋体" w:eastAsia="宋体" w:cs="宋体"/>
                <w:bCs/>
                <w:szCs w:val="21"/>
              </w:rPr>
            </w:pPr>
          </w:p>
        </w:tc>
      </w:tr>
      <w:tr w14:paraId="5D93B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6795F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153</w:t>
            </w:r>
          </w:p>
        </w:tc>
        <w:tc>
          <w:tcPr>
            <w:tcW w:w="841" w:type="dxa"/>
            <w:vMerge w:val="continue"/>
          </w:tcPr>
          <w:p w14:paraId="7A9A69C0">
            <w:pPr>
              <w:spacing w:line="276" w:lineRule="auto"/>
              <w:jc w:val="center"/>
              <w:rPr>
                <w:rFonts w:ascii="宋体" w:hAnsi="宋体" w:eastAsia="宋体" w:cs="宋体"/>
                <w:bCs/>
                <w:szCs w:val="21"/>
              </w:rPr>
            </w:pPr>
          </w:p>
        </w:tc>
        <w:tc>
          <w:tcPr>
            <w:tcW w:w="1223" w:type="dxa"/>
            <w:shd w:val="clear" w:color="auto" w:fill="auto"/>
            <w:vAlign w:val="center"/>
          </w:tcPr>
          <w:p w14:paraId="0BDAF4C0">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智慧路灯支线电缆</w:t>
            </w:r>
            <w:r>
              <w:rPr>
                <w:rFonts w:hint="eastAsia" w:ascii="宋体" w:hAnsi="等线" w:eastAsia="宋体" w:cs="等线"/>
                <w:i w:val="0"/>
                <w:iCs w:val="0"/>
                <w:color w:val="000000"/>
                <w:kern w:val="0"/>
                <w:sz w:val="20"/>
                <w:szCs w:val="20"/>
                <w:u w:val="none"/>
                <w:lang w:val="en-US" w:eastAsia="zh-CN" w:bidi="ar"/>
              </w:rPr>
              <w:t>（3*6）</w:t>
            </w:r>
          </w:p>
        </w:tc>
        <w:tc>
          <w:tcPr>
            <w:tcW w:w="890" w:type="dxa"/>
            <w:vAlign w:val="center"/>
          </w:tcPr>
          <w:p w14:paraId="41741CBA">
            <w:pPr>
              <w:spacing w:line="276" w:lineRule="auto"/>
              <w:jc w:val="center"/>
              <w:rPr>
                <w:rFonts w:ascii="宋体" w:hAnsi="宋体" w:eastAsia="宋体" w:cs="宋体"/>
                <w:bCs/>
                <w:szCs w:val="21"/>
              </w:rPr>
            </w:pPr>
          </w:p>
        </w:tc>
        <w:tc>
          <w:tcPr>
            <w:tcW w:w="508" w:type="dxa"/>
            <w:vAlign w:val="center"/>
          </w:tcPr>
          <w:p w14:paraId="0C1CFC48">
            <w:pPr>
              <w:spacing w:line="276" w:lineRule="auto"/>
              <w:jc w:val="center"/>
              <w:rPr>
                <w:rFonts w:ascii="宋体" w:hAnsi="宋体" w:eastAsia="宋体" w:cs="宋体"/>
                <w:bCs/>
                <w:szCs w:val="21"/>
              </w:rPr>
            </w:pPr>
          </w:p>
        </w:tc>
        <w:tc>
          <w:tcPr>
            <w:tcW w:w="810" w:type="dxa"/>
            <w:vAlign w:val="center"/>
          </w:tcPr>
          <w:p w14:paraId="090886E2">
            <w:pPr>
              <w:spacing w:line="276" w:lineRule="auto"/>
              <w:jc w:val="center"/>
              <w:rPr>
                <w:rFonts w:ascii="宋体" w:hAnsi="宋体" w:eastAsia="宋体" w:cs="宋体"/>
                <w:bCs/>
                <w:szCs w:val="21"/>
              </w:rPr>
            </w:pPr>
          </w:p>
        </w:tc>
        <w:tc>
          <w:tcPr>
            <w:tcW w:w="715" w:type="dxa"/>
            <w:vAlign w:val="center"/>
          </w:tcPr>
          <w:p w14:paraId="0A9A5732">
            <w:pPr>
              <w:spacing w:line="276" w:lineRule="auto"/>
              <w:jc w:val="center"/>
              <w:rPr>
                <w:rFonts w:ascii="宋体" w:hAnsi="宋体" w:eastAsia="宋体" w:cs="宋体"/>
                <w:bCs/>
                <w:szCs w:val="21"/>
              </w:rPr>
            </w:pPr>
          </w:p>
        </w:tc>
        <w:tc>
          <w:tcPr>
            <w:tcW w:w="1160" w:type="dxa"/>
            <w:vAlign w:val="center"/>
          </w:tcPr>
          <w:p w14:paraId="36A78868">
            <w:pPr>
              <w:spacing w:line="276" w:lineRule="auto"/>
              <w:jc w:val="center"/>
              <w:rPr>
                <w:rFonts w:ascii="宋体" w:hAnsi="宋体" w:eastAsia="宋体" w:cs="宋体"/>
                <w:bCs/>
                <w:szCs w:val="21"/>
              </w:rPr>
            </w:pPr>
          </w:p>
        </w:tc>
        <w:tc>
          <w:tcPr>
            <w:tcW w:w="917" w:type="dxa"/>
            <w:shd w:val="clear" w:color="auto" w:fill="auto"/>
            <w:vAlign w:val="center"/>
          </w:tcPr>
          <w:p w14:paraId="79D1577F">
            <w:pPr>
              <w:spacing w:line="276" w:lineRule="auto"/>
              <w:jc w:val="center"/>
              <w:rPr>
                <w:rFonts w:ascii="宋体" w:hAnsi="宋体" w:eastAsia="宋体" w:cs="宋体"/>
                <w:bCs/>
                <w:szCs w:val="21"/>
              </w:rPr>
            </w:pPr>
          </w:p>
        </w:tc>
        <w:tc>
          <w:tcPr>
            <w:tcW w:w="666" w:type="dxa"/>
            <w:shd w:val="clear" w:color="auto" w:fill="auto"/>
            <w:vAlign w:val="center"/>
          </w:tcPr>
          <w:p w14:paraId="2FB77FCC">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746</w:t>
            </w:r>
          </w:p>
        </w:tc>
        <w:tc>
          <w:tcPr>
            <w:tcW w:w="550" w:type="dxa"/>
            <w:shd w:val="clear" w:color="auto" w:fill="auto"/>
            <w:vAlign w:val="center"/>
          </w:tcPr>
          <w:p w14:paraId="77530600">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79C3D752">
            <w:pPr>
              <w:spacing w:line="276" w:lineRule="auto"/>
              <w:jc w:val="center"/>
              <w:rPr>
                <w:rFonts w:ascii="宋体" w:hAnsi="宋体" w:eastAsia="宋体" w:cs="宋体"/>
                <w:bCs/>
                <w:szCs w:val="21"/>
              </w:rPr>
            </w:pPr>
          </w:p>
        </w:tc>
        <w:tc>
          <w:tcPr>
            <w:tcW w:w="983" w:type="dxa"/>
            <w:vAlign w:val="center"/>
          </w:tcPr>
          <w:p w14:paraId="7BAB23FF">
            <w:pPr>
              <w:spacing w:line="276" w:lineRule="auto"/>
              <w:jc w:val="center"/>
              <w:rPr>
                <w:rFonts w:ascii="宋体" w:hAnsi="宋体" w:eastAsia="宋体" w:cs="宋体"/>
                <w:bCs/>
                <w:szCs w:val="21"/>
              </w:rPr>
            </w:pPr>
          </w:p>
        </w:tc>
      </w:tr>
      <w:tr w14:paraId="29730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D882F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154</w:t>
            </w:r>
          </w:p>
        </w:tc>
        <w:tc>
          <w:tcPr>
            <w:tcW w:w="841" w:type="dxa"/>
            <w:vMerge w:val="continue"/>
          </w:tcPr>
          <w:p w14:paraId="47E9EE9C">
            <w:pPr>
              <w:spacing w:line="276" w:lineRule="auto"/>
              <w:jc w:val="center"/>
              <w:rPr>
                <w:rFonts w:ascii="宋体" w:hAnsi="宋体" w:eastAsia="宋体" w:cs="宋体"/>
                <w:bCs/>
                <w:szCs w:val="21"/>
              </w:rPr>
            </w:pPr>
          </w:p>
        </w:tc>
        <w:tc>
          <w:tcPr>
            <w:tcW w:w="1223" w:type="dxa"/>
            <w:shd w:val="clear" w:color="auto" w:fill="auto"/>
            <w:vAlign w:val="center"/>
          </w:tcPr>
          <w:p w14:paraId="301D96F2">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挂载设备线缆</w:t>
            </w:r>
          </w:p>
        </w:tc>
        <w:tc>
          <w:tcPr>
            <w:tcW w:w="890" w:type="dxa"/>
            <w:vAlign w:val="center"/>
          </w:tcPr>
          <w:p w14:paraId="03AFCB1E">
            <w:pPr>
              <w:spacing w:line="276" w:lineRule="auto"/>
              <w:jc w:val="center"/>
              <w:rPr>
                <w:rFonts w:ascii="宋体" w:hAnsi="宋体" w:eastAsia="宋体" w:cs="宋体"/>
                <w:bCs/>
                <w:szCs w:val="21"/>
              </w:rPr>
            </w:pPr>
          </w:p>
        </w:tc>
        <w:tc>
          <w:tcPr>
            <w:tcW w:w="508" w:type="dxa"/>
            <w:vAlign w:val="center"/>
          </w:tcPr>
          <w:p w14:paraId="3D03D95A">
            <w:pPr>
              <w:spacing w:line="276" w:lineRule="auto"/>
              <w:jc w:val="center"/>
              <w:rPr>
                <w:rFonts w:ascii="宋体" w:hAnsi="宋体" w:eastAsia="宋体" w:cs="宋体"/>
                <w:bCs/>
                <w:szCs w:val="21"/>
              </w:rPr>
            </w:pPr>
          </w:p>
        </w:tc>
        <w:tc>
          <w:tcPr>
            <w:tcW w:w="810" w:type="dxa"/>
            <w:vAlign w:val="center"/>
          </w:tcPr>
          <w:p w14:paraId="11C02025">
            <w:pPr>
              <w:spacing w:line="276" w:lineRule="auto"/>
              <w:jc w:val="center"/>
              <w:rPr>
                <w:rFonts w:ascii="宋体" w:hAnsi="宋体" w:eastAsia="宋体" w:cs="宋体"/>
                <w:bCs/>
                <w:szCs w:val="21"/>
              </w:rPr>
            </w:pPr>
          </w:p>
        </w:tc>
        <w:tc>
          <w:tcPr>
            <w:tcW w:w="715" w:type="dxa"/>
            <w:vAlign w:val="center"/>
          </w:tcPr>
          <w:p w14:paraId="7FD301B3">
            <w:pPr>
              <w:spacing w:line="276" w:lineRule="auto"/>
              <w:jc w:val="center"/>
              <w:rPr>
                <w:rFonts w:ascii="宋体" w:hAnsi="宋体" w:eastAsia="宋体" w:cs="宋体"/>
                <w:bCs/>
                <w:szCs w:val="21"/>
              </w:rPr>
            </w:pPr>
          </w:p>
        </w:tc>
        <w:tc>
          <w:tcPr>
            <w:tcW w:w="1160" w:type="dxa"/>
            <w:vAlign w:val="center"/>
          </w:tcPr>
          <w:p w14:paraId="514EAD89">
            <w:pPr>
              <w:spacing w:line="276" w:lineRule="auto"/>
              <w:jc w:val="center"/>
              <w:rPr>
                <w:rFonts w:ascii="宋体" w:hAnsi="宋体" w:eastAsia="宋体" w:cs="宋体"/>
                <w:bCs/>
                <w:szCs w:val="21"/>
              </w:rPr>
            </w:pPr>
          </w:p>
        </w:tc>
        <w:tc>
          <w:tcPr>
            <w:tcW w:w="917" w:type="dxa"/>
            <w:shd w:val="clear" w:color="auto" w:fill="auto"/>
            <w:vAlign w:val="center"/>
          </w:tcPr>
          <w:p w14:paraId="1A22210A">
            <w:pPr>
              <w:spacing w:line="276" w:lineRule="auto"/>
              <w:jc w:val="center"/>
              <w:rPr>
                <w:rFonts w:ascii="宋体" w:hAnsi="宋体" w:eastAsia="宋体" w:cs="宋体"/>
                <w:bCs/>
                <w:szCs w:val="21"/>
              </w:rPr>
            </w:pPr>
          </w:p>
        </w:tc>
        <w:tc>
          <w:tcPr>
            <w:tcW w:w="666" w:type="dxa"/>
            <w:shd w:val="clear" w:color="auto" w:fill="auto"/>
            <w:vAlign w:val="center"/>
          </w:tcPr>
          <w:p w14:paraId="1AE18623">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2870</w:t>
            </w:r>
          </w:p>
        </w:tc>
        <w:tc>
          <w:tcPr>
            <w:tcW w:w="550" w:type="dxa"/>
            <w:shd w:val="clear" w:color="auto" w:fill="auto"/>
            <w:vAlign w:val="center"/>
          </w:tcPr>
          <w:p w14:paraId="6ADD7706">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3095319B">
            <w:pPr>
              <w:spacing w:line="276" w:lineRule="auto"/>
              <w:jc w:val="center"/>
              <w:rPr>
                <w:rFonts w:ascii="宋体" w:hAnsi="宋体" w:eastAsia="宋体" w:cs="宋体"/>
                <w:bCs/>
                <w:szCs w:val="21"/>
              </w:rPr>
            </w:pPr>
          </w:p>
        </w:tc>
        <w:tc>
          <w:tcPr>
            <w:tcW w:w="983" w:type="dxa"/>
            <w:vAlign w:val="center"/>
          </w:tcPr>
          <w:p w14:paraId="1BAEBA0C">
            <w:pPr>
              <w:spacing w:line="276" w:lineRule="auto"/>
              <w:jc w:val="center"/>
              <w:rPr>
                <w:rFonts w:ascii="宋体" w:hAnsi="宋体" w:eastAsia="宋体" w:cs="宋体"/>
                <w:bCs/>
                <w:szCs w:val="21"/>
              </w:rPr>
            </w:pPr>
          </w:p>
        </w:tc>
      </w:tr>
      <w:tr w14:paraId="22E8C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41AD3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155</w:t>
            </w:r>
          </w:p>
        </w:tc>
        <w:tc>
          <w:tcPr>
            <w:tcW w:w="841" w:type="dxa"/>
            <w:vMerge w:val="continue"/>
          </w:tcPr>
          <w:p w14:paraId="62B37F89">
            <w:pPr>
              <w:spacing w:line="276" w:lineRule="auto"/>
              <w:jc w:val="center"/>
              <w:rPr>
                <w:rFonts w:ascii="宋体" w:hAnsi="宋体" w:eastAsia="宋体" w:cs="宋体"/>
                <w:bCs/>
                <w:szCs w:val="21"/>
              </w:rPr>
            </w:pPr>
          </w:p>
        </w:tc>
        <w:tc>
          <w:tcPr>
            <w:tcW w:w="1223" w:type="dxa"/>
            <w:shd w:val="clear" w:color="auto" w:fill="auto"/>
            <w:vAlign w:val="center"/>
          </w:tcPr>
          <w:p w14:paraId="4BD130C7">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智驾设备电源线</w:t>
            </w:r>
          </w:p>
        </w:tc>
        <w:tc>
          <w:tcPr>
            <w:tcW w:w="890" w:type="dxa"/>
            <w:vAlign w:val="center"/>
          </w:tcPr>
          <w:p w14:paraId="1CC5A434">
            <w:pPr>
              <w:spacing w:line="276" w:lineRule="auto"/>
              <w:jc w:val="center"/>
              <w:rPr>
                <w:rFonts w:ascii="宋体" w:hAnsi="宋体" w:eastAsia="宋体" w:cs="宋体"/>
                <w:bCs/>
                <w:szCs w:val="21"/>
              </w:rPr>
            </w:pPr>
          </w:p>
        </w:tc>
        <w:tc>
          <w:tcPr>
            <w:tcW w:w="508" w:type="dxa"/>
            <w:vAlign w:val="center"/>
          </w:tcPr>
          <w:p w14:paraId="51A2F373">
            <w:pPr>
              <w:spacing w:line="276" w:lineRule="auto"/>
              <w:jc w:val="center"/>
              <w:rPr>
                <w:rFonts w:ascii="宋体" w:hAnsi="宋体" w:eastAsia="宋体" w:cs="宋体"/>
                <w:bCs/>
                <w:szCs w:val="21"/>
              </w:rPr>
            </w:pPr>
          </w:p>
        </w:tc>
        <w:tc>
          <w:tcPr>
            <w:tcW w:w="810" w:type="dxa"/>
            <w:vAlign w:val="center"/>
          </w:tcPr>
          <w:p w14:paraId="477F924C">
            <w:pPr>
              <w:spacing w:line="276" w:lineRule="auto"/>
              <w:jc w:val="center"/>
              <w:rPr>
                <w:rFonts w:ascii="宋体" w:hAnsi="宋体" w:eastAsia="宋体" w:cs="宋体"/>
                <w:bCs/>
                <w:szCs w:val="21"/>
              </w:rPr>
            </w:pPr>
          </w:p>
        </w:tc>
        <w:tc>
          <w:tcPr>
            <w:tcW w:w="715" w:type="dxa"/>
            <w:vAlign w:val="center"/>
          </w:tcPr>
          <w:p w14:paraId="530E6C5F">
            <w:pPr>
              <w:spacing w:line="276" w:lineRule="auto"/>
              <w:jc w:val="center"/>
              <w:rPr>
                <w:rFonts w:ascii="宋体" w:hAnsi="宋体" w:eastAsia="宋体" w:cs="宋体"/>
                <w:bCs/>
                <w:szCs w:val="21"/>
              </w:rPr>
            </w:pPr>
          </w:p>
        </w:tc>
        <w:tc>
          <w:tcPr>
            <w:tcW w:w="1160" w:type="dxa"/>
            <w:vAlign w:val="center"/>
          </w:tcPr>
          <w:p w14:paraId="522A7001">
            <w:pPr>
              <w:spacing w:line="276" w:lineRule="auto"/>
              <w:jc w:val="center"/>
              <w:rPr>
                <w:rFonts w:ascii="宋体" w:hAnsi="宋体" w:eastAsia="宋体" w:cs="宋体"/>
                <w:bCs/>
                <w:szCs w:val="21"/>
              </w:rPr>
            </w:pPr>
          </w:p>
        </w:tc>
        <w:tc>
          <w:tcPr>
            <w:tcW w:w="917" w:type="dxa"/>
            <w:shd w:val="clear" w:color="auto" w:fill="auto"/>
            <w:vAlign w:val="center"/>
          </w:tcPr>
          <w:p w14:paraId="3C68719C">
            <w:pPr>
              <w:spacing w:line="276" w:lineRule="auto"/>
              <w:jc w:val="center"/>
              <w:rPr>
                <w:rFonts w:ascii="宋体" w:hAnsi="宋体" w:eastAsia="宋体" w:cs="宋体"/>
                <w:bCs/>
                <w:szCs w:val="21"/>
              </w:rPr>
            </w:pPr>
          </w:p>
        </w:tc>
        <w:tc>
          <w:tcPr>
            <w:tcW w:w="666" w:type="dxa"/>
            <w:shd w:val="clear" w:color="auto" w:fill="auto"/>
            <w:vAlign w:val="center"/>
          </w:tcPr>
          <w:p w14:paraId="4DAF73F3">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2700</w:t>
            </w:r>
          </w:p>
        </w:tc>
        <w:tc>
          <w:tcPr>
            <w:tcW w:w="550" w:type="dxa"/>
            <w:shd w:val="clear" w:color="auto" w:fill="auto"/>
            <w:vAlign w:val="center"/>
          </w:tcPr>
          <w:p w14:paraId="18649EF0">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610AFFF0">
            <w:pPr>
              <w:spacing w:line="276" w:lineRule="auto"/>
              <w:jc w:val="center"/>
              <w:rPr>
                <w:rFonts w:ascii="宋体" w:hAnsi="宋体" w:eastAsia="宋体" w:cs="宋体"/>
                <w:bCs/>
                <w:szCs w:val="21"/>
              </w:rPr>
            </w:pPr>
          </w:p>
        </w:tc>
        <w:tc>
          <w:tcPr>
            <w:tcW w:w="983" w:type="dxa"/>
            <w:vAlign w:val="center"/>
          </w:tcPr>
          <w:p w14:paraId="727D7418">
            <w:pPr>
              <w:spacing w:line="276" w:lineRule="auto"/>
              <w:jc w:val="center"/>
              <w:rPr>
                <w:rFonts w:ascii="宋体" w:hAnsi="宋体" w:eastAsia="宋体" w:cs="宋体"/>
                <w:bCs/>
                <w:szCs w:val="21"/>
              </w:rPr>
            </w:pPr>
          </w:p>
        </w:tc>
      </w:tr>
      <w:tr w14:paraId="48BDB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539B5CBA">
            <w:pPr>
              <w:snapToGrid w:val="0"/>
              <w:ind w:left="0" w:leftChars="0" w:right="0" w:rightChars="0" w:firstLine="0" w:firstLineChars="0"/>
              <w:jc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sz w:val="20"/>
                <w:szCs w:val="20"/>
                <w:u w:val="none"/>
                <w:lang w:val="en-US" w:eastAsia="zh-CN"/>
              </w:rPr>
              <w:t>/</w:t>
            </w:r>
          </w:p>
        </w:tc>
        <w:tc>
          <w:tcPr>
            <w:tcW w:w="841" w:type="dxa"/>
            <w:vMerge w:val="continue"/>
          </w:tcPr>
          <w:p w14:paraId="32A78956">
            <w:pPr>
              <w:spacing w:line="276" w:lineRule="auto"/>
              <w:jc w:val="center"/>
              <w:rPr>
                <w:rFonts w:ascii="宋体" w:hAnsi="宋体" w:eastAsia="宋体" w:cs="宋体"/>
                <w:bCs/>
                <w:szCs w:val="21"/>
              </w:rPr>
            </w:pPr>
          </w:p>
        </w:tc>
        <w:tc>
          <w:tcPr>
            <w:tcW w:w="9389" w:type="dxa"/>
            <w:gridSpan w:val="11"/>
            <w:vAlign w:val="center"/>
          </w:tcPr>
          <w:p w14:paraId="534B1AEB">
            <w:pPr>
              <w:spacing w:line="276" w:lineRule="auto"/>
              <w:jc w:val="center"/>
              <w:rPr>
                <w:rFonts w:hint="default" w:ascii="宋体" w:hAnsi="等线" w:eastAsia="宋体" w:cs="等线"/>
                <w:b/>
                <w:bCs/>
                <w:i w:val="0"/>
                <w:iCs w:val="0"/>
                <w:color w:val="000000"/>
                <w:kern w:val="0"/>
                <w:sz w:val="20"/>
                <w:szCs w:val="20"/>
                <w:u w:val="none"/>
                <w:lang w:val="en-US" w:eastAsia="zh-CN" w:bidi="ar"/>
              </w:rPr>
            </w:pPr>
            <w:r>
              <w:rPr>
                <w:rFonts w:hint="default" w:ascii="宋体" w:hAnsi="等线" w:eastAsia="宋体" w:cs="等线"/>
                <w:b/>
                <w:bCs/>
                <w:i w:val="0"/>
                <w:iCs w:val="0"/>
                <w:color w:val="000000"/>
                <w:kern w:val="0"/>
                <w:sz w:val="20"/>
                <w:szCs w:val="20"/>
                <w:u w:val="none"/>
                <w:lang w:val="en-US" w:eastAsia="zh-CN" w:bidi="ar"/>
              </w:rPr>
              <w:t>智慧公交站台</w:t>
            </w:r>
          </w:p>
        </w:tc>
      </w:tr>
      <w:tr w14:paraId="165F0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7A0561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156</w:t>
            </w:r>
          </w:p>
        </w:tc>
        <w:tc>
          <w:tcPr>
            <w:tcW w:w="841" w:type="dxa"/>
            <w:vMerge w:val="continue"/>
          </w:tcPr>
          <w:p w14:paraId="001BA43C">
            <w:pPr>
              <w:spacing w:line="276" w:lineRule="auto"/>
              <w:jc w:val="center"/>
              <w:rPr>
                <w:rFonts w:ascii="宋体" w:hAnsi="宋体" w:eastAsia="宋体" w:cs="宋体"/>
                <w:bCs/>
                <w:szCs w:val="21"/>
              </w:rPr>
            </w:pPr>
          </w:p>
        </w:tc>
        <w:tc>
          <w:tcPr>
            <w:tcW w:w="1223" w:type="dxa"/>
            <w:shd w:val="clear" w:color="auto" w:fill="auto"/>
            <w:vAlign w:val="center"/>
          </w:tcPr>
          <w:p w14:paraId="5EE67DF8">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智慧公交干线电缆</w:t>
            </w:r>
          </w:p>
        </w:tc>
        <w:tc>
          <w:tcPr>
            <w:tcW w:w="890" w:type="dxa"/>
            <w:vAlign w:val="center"/>
          </w:tcPr>
          <w:p w14:paraId="5BD7F9DD">
            <w:pPr>
              <w:spacing w:line="276" w:lineRule="auto"/>
              <w:jc w:val="center"/>
              <w:rPr>
                <w:rFonts w:ascii="宋体" w:hAnsi="宋体" w:eastAsia="宋体" w:cs="宋体"/>
                <w:bCs/>
                <w:szCs w:val="21"/>
              </w:rPr>
            </w:pPr>
          </w:p>
        </w:tc>
        <w:tc>
          <w:tcPr>
            <w:tcW w:w="508" w:type="dxa"/>
            <w:vAlign w:val="center"/>
          </w:tcPr>
          <w:p w14:paraId="340CCC13">
            <w:pPr>
              <w:spacing w:line="276" w:lineRule="auto"/>
              <w:jc w:val="center"/>
              <w:rPr>
                <w:rFonts w:ascii="宋体" w:hAnsi="宋体" w:eastAsia="宋体" w:cs="宋体"/>
                <w:bCs/>
                <w:szCs w:val="21"/>
              </w:rPr>
            </w:pPr>
          </w:p>
        </w:tc>
        <w:tc>
          <w:tcPr>
            <w:tcW w:w="810" w:type="dxa"/>
            <w:vAlign w:val="center"/>
          </w:tcPr>
          <w:p w14:paraId="7D04E1B3">
            <w:pPr>
              <w:spacing w:line="276" w:lineRule="auto"/>
              <w:jc w:val="center"/>
              <w:rPr>
                <w:rFonts w:ascii="宋体" w:hAnsi="宋体" w:eastAsia="宋体" w:cs="宋体"/>
                <w:bCs/>
                <w:szCs w:val="21"/>
              </w:rPr>
            </w:pPr>
          </w:p>
        </w:tc>
        <w:tc>
          <w:tcPr>
            <w:tcW w:w="715" w:type="dxa"/>
            <w:vAlign w:val="center"/>
          </w:tcPr>
          <w:p w14:paraId="56770C5D">
            <w:pPr>
              <w:spacing w:line="276" w:lineRule="auto"/>
              <w:jc w:val="center"/>
              <w:rPr>
                <w:rFonts w:ascii="宋体" w:hAnsi="宋体" w:eastAsia="宋体" w:cs="宋体"/>
                <w:bCs/>
                <w:szCs w:val="21"/>
              </w:rPr>
            </w:pPr>
          </w:p>
        </w:tc>
        <w:tc>
          <w:tcPr>
            <w:tcW w:w="1160" w:type="dxa"/>
            <w:vAlign w:val="center"/>
          </w:tcPr>
          <w:p w14:paraId="4E868324">
            <w:pPr>
              <w:spacing w:line="276" w:lineRule="auto"/>
              <w:jc w:val="center"/>
              <w:rPr>
                <w:rFonts w:ascii="宋体" w:hAnsi="宋体" w:eastAsia="宋体" w:cs="宋体"/>
                <w:bCs/>
                <w:szCs w:val="21"/>
              </w:rPr>
            </w:pPr>
          </w:p>
        </w:tc>
        <w:tc>
          <w:tcPr>
            <w:tcW w:w="917" w:type="dxa"/>
            <w:shd w:val="clear" w:color="auto" w:fill="auto"/>
            <w:vAlign w:val="center"/>
          </w:tcPr>
          <w:p w14:paraId="070EFE6F">
            <w:pPr>
              <w:spacing w:line="276" w:lineRule="auto"/>
              <w:jc w:val="center"/>
              <w:rPr>
                <w:rFonts w:ascii="宋体" w:hAnsi="宋体" w:eastAsia="宋体" w:cs="宋体"/>
                <w:bCs/>
                <w:szCs w:val="21"/>
              </w:rPr>
            </w:pPr>
          </w:p>
        </w:tc>
        <w:tc>
          <w:tcPr>
            <w:tcW w:w="666" w:type="dxa"/>
            <w:shd w:val="clear" w:color="auto" w:fill="auto"/>
            <w:vAlign w:val="center"/>
          </w:tcPr>
          <w:p w14:paraId="09695AEE">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11806</w:t>
            </w:r>
          </w:p>
        </w:tc>
        <w:tc>
          <w:tcPr>
            <w:tcW w:w="550" w:type="dxa"/>
            <w:shd w:val="clear" w:color="auto" w:fill="auto"/>
            <w:vAlign w:val="center"/>
          </w:tcPr>
          <w:p w14:paraId="64EFAFD0">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6A615747">
            <w:pPr>
              <w:spacing w:line="276" w:lineRule="auto"/>
              <w:jc w:val="center"/>
              <w:rPr>
                <w:rFonts w:ascii="宋体" w:hAnsi="宋体" w:eastAsia="宋体" w:cs="宋体"/>
                <w:bCs/>
                <w:szCs w:val="21"/>
              </w:rPr>
            </w:pPr>
          </w:p>
        </w:tc>
        <w:tc>
          <w:tcPr>
            <w:tcW w:w="983" w:type="dxa"/>
            <w:vAlign w:val="center"/>
          </w:tcPr>
          <w:p w14:paraId="2ACE79B8">
            <w:pPr>
              <w:spacing w:line="276" w:lineRule="auto"/>
              <w:jc w:val="center"/>
              <w:rPr>
                <w:rFonts w:ascii="宋体" w:hAnsi="宋体" w:eastAsia="宋体" w:cs="宋体"/>
                <w:bCs/>
                <w:szCs w:val="21"/>
              </w:rPr>
            </w:pPr>
          </w:p>
        </w:tc>
      </w:tr>
      <w:tr w14:paraId="12853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97D26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157</w:t>
            </w:r>
          </w:p>
        </w:tc>
        <w:tc>
          <w:tcPr>
            <w:tcW w:w="841" w:type="dxa"/>
            <w:vMerge w:val="continue"/>
          </w:tcPr>
          <w:p w14:paraId="4BCD72D9">
            <w:pPr>
              <w:spacing w:line="276" w:lineRule="auto"/>
              <w:jc w:val="center"/>
              <w:rPr>
                <w:rFonts w:ascii="宋体" w:hAnsi="宋体" w:eastAsia="宋体" w:cs="宋体"/>
                <w:bCs/>
                <w:szCs w:val="21"/>
              </w:rPr>
            </w:pPr>
          </w:p>
        </w:tc>
        <w:tc>
          <w:tcPr>
            <w:tcW w:w="1223" w:type="dxa"/>
            <w:shd w:val="clear" w:color="auto" w:fill="auto"/>
            <w:vAlign w:val="center"/>
          </w:tcPr>
          <w:p w14:paraId="724EFE37">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电源线缆</w:t>
            </w:r>
          </w:p>
        </w:tc>
        <w:tc>
          <w:tcPr>
            <w:tcW w:w="890" w:type="dxa"/>
            <w:vAlign w:val="center"/>
          </w:tcPr>
          <w:p w14:paraId="0821FCF0">
            <w:pPr>
              <w:spacing w:line="276" w:lineRule="auto"/>
              <w:jc w:val="center"/>
              <w:rPr>
                <w:rFonts w:ascii="宋体" w:hAnsi="宋体" w:eastAsia="宋体" w:cs="宋体"/>
                <w:bCs/>
                <w:szCs w:val="21"/>
              </w:rPr>
            </w:pPr>
          </w:p>
        </w:tc>
        <w:tc>
          <w:tcPr>
            <w:tcW w:w="508" w:type="dxa"/>
            <w:vAlign w:val="center"/>
          </w:tcPr>
          <w:p w14:paraId="21403BEA">
            <w:pPr>
              <w:spacing w:line="276" w:lineRule="auto"/>
              <w:jc w:val="center"/>
              <w:rPr>
                <w:rFonts w:ascii="宋体" w:hAnsi="宋体" w:eastAsia="宋体" w:cs="宋体"/>
                <w:bCs/>
                <w:szCs w:val="21"/>
              </w:rPr>
            </w:pPr>
          </w:p>
        </w:tc>
        <w:tc>
          <w:tcPr>
            <w:tcW w:w="810" w:type="dxa"/>
            <w:vAlign w:val="center"/>
          </w:tcPr>
          <w:p w14:paraId="6F96E39E">
            <w:pPr>
              <w:spacing w:line="276" w:lineRule="auto"/>
              <w:jc w:val="center"/>
              <w:rPr>
                <w:rFonts w:ascii="宋体" w:hAnsi="宋体" w:eastAsia="宋体" w:cs="宋体"/>
                <w:bCs/>
                <w:szCs w:val="21"/>
              </w:rPr>
            </w:pPr>
          </w:p>
        </w:tc>
        <w:tc>
          <w:tcPr>
            <w:tcW w:w="715" w:type="dxa"/>
            <w:vAlign w:val="center"/>
          </w:tcPr>
          <w:p w14:paraId="2DF3D6F9">
            <w:pPr>
              <w:spacing w:line="276" w:lineRule="auto"/>
              <w:jc w:val="center"/>
              <w:rPr>
                <w:rFonts w:ascii="宋体" w:hAnsi="宋体" w:eastAsia="宋体" w:cs="宋体"/>
                <w:bCs/>
                <w:szCs w:val="21"/>
              </w:rPr>
            </w:pPr>
          </w:p>
        </w:tc>
        <w:tc>
          <w:tcPr>
            <w:tcW w:w="1160" w:type="dxa"/>
            <w:vAlign w:val="center"/>
          </w:tcPr>
          <w:p w14:paraId="7788264D">
            <w:pPr>
              <w:spacing w:line="276" w:lineRule="auto"/>
              <w:jc w:val="center"/>
              <w:rPr>
                <w:rFonts w:ascii="宋体" w:hAnsi="宋体" w:eastAsia="宋体" w:cs="宋体"/>
                <w:bCs/>
                <w:szCs w:val="21"/>
              </w:rPr>
            </w:pPr>
          </w:p>
        </w:tc>
        <w:tc>
          <w:tcPr>
            <w:tcW w:w="917" w:type="dxa"/>
            <w:shd w:val="clear" w:color="auto" w:fill="auto"/>
            <w:vAlign w:val="center"/>
          </w:tcPr>
          <w:p w14:paraId="40DE2C8E">
            <w:pPr>
              <w:spacing w:line="276" w:lineRule="auto"/>
              <w:jc w:val="center"/>
              <w:rPr>
                <w:rFonts w:ascii="宋体" w:hAnsi="宋体" w:eastAsia="宋体" w:cs="宋体"/>
                <w:bCs/>
                <w:szCs w:val="21"/>
              </w:rPr>
            </w:pPr>
          </w:p>
        </w:tc>
        <w:tc>
          <w:tcPr>
            <w:tcW w:w="666" w:type="dxa"/>
            <w:shd w:val="clear" w:color="auto" w:fill="auto"/>
            <w:vAlign w:val="center"/>
          </w:tcPr>
          <w:p w14:paraId="5706789A">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11400</w:t>
            </w:r>
          </w:p>
        </w:tc>
        <w:tc>
          <w:tcPr>
            <w:tcW w:w="550" w:type="dxa"/>
            <w:shd w:val="clear" w:color="auto" w:fill="auto"/>
            <w:vAlign w:val="center"/>
          </w:tcPr>
          <w:p w14:paraId="049C069C">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461930E2">
            <w:pPr>
              <w:spacing w:line="276" w:lineRule="auto"/>
              <w:jc w:val="center"/>
              <w:rPr>
                <w:rFonts w:ascii="宋体" w:hAnsi="宋体" w:eastAsia="宋体" w:cs="宋体"/>
                <w:bCs/>
                <w:szCs w:val="21"/>
              </w:rPr>
            </w:pPr>
          </w:p>
        </w:tc>
        <w:tc>
          <w:tcPr>
            <w:tcW w:w="983" w:type="dxa"/>
            <w:vAlign w:val="center"/>
          </w:tcPr>
          <w:p w14:paraId="1322353D">
            <w:pPr>
              <w:spacing w:line="276" w:lineRule="auto"/>
              <w:jc w:val="center"/>
              <w:rPr>
                <w:rFonts w:ascii="宋体" w:hAnsi="宋体" w:eastAsia="宋体" w:cs="宋体"/>
                <w:bCs/>
                <w:szCs w:val="21"/>
              </w:rPr>
            </w:pPr>
          </w:p>
        </w:tc>
      </w:tr>
      <w:tr w14:paraId="61EA8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A3202A5">
            <w:pPr>
              <w:snapToGrid w:val="0"/>
              <w:ind w:left="0" w:leftChars="0" w:right="0" w:rightChars="0" w:firstLine="0" w:firstLineChars="0"/>
              <w:jc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sz w:val="20"/>
                <w:szCs w:val="20"/>
                <w:u w:val="none"/>
                <w:lang w:val="en-US" w:eastAsia="zh-CN"/>
              </w:rPr>
              <w:t>/</w:t>
            </w:r>
          </w:p>
        </w:tc>
        <w:tc>
          <w:tcPr>
            <w:tcW w:w="841" w:type="dxa"/>
            <w:vMerge w:val="continue"/>
          </w:tcPr>
          <w:p w14:paraId="7A1BB52C">
            <w:pPr>
              <w:spacing w:line="276" w:lineRule="auto"/>
              <w:jc w:val="center"/>
              <w:rPr>
                <w:rFonts w:ascii="宋体" w:hAnsi="宋体" w:eastAsia="宋体" w:cs="宋体"/>
                <w:bCs/>
                <w:szCs w:val="21"/>
              </w:rPr>
            </w:pPr>
          </w:p>
        </w:tc>
        <w:tc>
          <w:tcPr>
            <w:tcW w:w="9389" w:type="dxa"/>
            <w:gridSpan w:val="11"/>
            <w:vAlign w:val="center"/>
          </w:tcPr>
          <w:p w14:paraId="071AC71D">
            <w:pPr>
              <w:spacing w:line="276" w:lineRule="auto"/>
              <w:jc w:val="center"/>
              <w:rPr>
                <w:rFonts w:hint="default" w:ascii="宋体" w:hAnsi="等线" w:eastAsia="宋体" w:cs="等线"/>
                <w:b/>
                <w:bCs/>
                <w:i w:val="0"/>
                <w:iCs w:val="0"/>
                <w:color w:val="000000"/>
                <w:kern w:val="0"/>
                <w:sz w:val="20"/>
                <w:szCs w:val="20"/>
                <w:u w:val="none"/>
                <w:lang w:val="en-US" w:eastAsia="zh-CN" w:bidi="ar"/>
              </w:rPr>
            </w:pPr>
            <w:r>
              <w:rPr>
                <w:rFonts w:hint="default" w:ascii="宋体" w:hAnsi="等线" w:eastAsia="宋体" w:cs="等线"/>
                <w:b/>
                <w:bCs/>
                <w:i w:val="0"/>
                <w:iCs w:val="0"/>
                <w:color w:val="000000"/>
                <w:kern w:val="0"/>
                <w:sz w:val="20"/>
                <w:szCs w:val="20"/>
                <w:u w:val="none"/>
                <w:lang w:val="en-US" w:eastAsia="zh-CN" w:bidi="ar"/>
              </w:rPr>
              <w:t>智慧照明</w:t>
            </w:r>
          </w:p>
        </w:tc>
      </w:tr>
      <w:tr w14:paraId="00E20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8E06F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158</w:t>
            </w:r>
          </w:p>
        </w:tc>
        <w:tc>
          <w:tcPr>
            <w:tcW w:w="841" w:type="dxa"/>
            <w:vMerge w:val="continue"/>
          </w:tcPr>
          <w:p w14:paraId="1C9383A6">
            <w:pPr>
              <w:spacing w:line="276" w:lineRule="auto"/>
              <w:jc w:val="center"/>
              <w:rPr>
                <w:rFonts w:ascii="宋体" w:hAnsi="宋体" w:eastAsia="宋体" w:cs="宋体"/>
                <w:bCs/>
                <w:szCs w:val="21"/>
              </w:rPr>
            </w:pPr>
          </w:p>
        </w:tc>
        <w:tc>
          <w:tcPr>
            <w:tcW w:w="1223" w:type="dxa"/>
            <w:shd w:val="clear" w:color="auto" w:fill="auto"/>
            <w:vAlign w:val="center"/>
          </w:tcPr>
          <w:p w14:paraId="52EC4D81">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吸顶灯电缆</w:t>
            </w:r>
          </w:p>
        </w:tc>
        <w:tc>
          <w:tcPr>
            <w:tcW w:w="890" w:type="dxa"/>
            <w:vAlign w:val="center"/>
          </w:tcPr>
          <w:p w14:paraId="76E0D353">
            <w:pPr>
              <w:spacing w:line="276" w:lineRule="auto"/>
              <w:jc w:val="center"/>
              <w:rPr>
                <w:rFonts w:ascii="宋体" w:hAnsi="宋体" w:eastAsia="宋体" w:cs="宋体"/>
                <w:bCs/>
                <w:szCs w:val="21"/>
              </w:rPr>
            </w:pPr>
          </w:p>
        </w:tc>
        <w:tc>
          <w:tcPr>
            <w:tcW w:w="508" w:type="dxa"/>
            <w:vAlign w:val="center"/>
          </w:tcPr>
          <w:p w14:paraId="3ED302A8">
            <w:pPr>
              <w:spacing w:line="276" w:lineRule="auto"/>
              <w:jc w:val="center"/>
              <w:rPr>
                <w:rFonts w:ascii="宋体" w:hAnsi="宋体" w:eastAsia="宋体" w:cs="宋体"/>
                <w:bCs/>
                <w:szCs w:val="21"/>
              </w:rPr>
            </w:pPr>
          </w:p>
        </w:tc>
        <w:tc>
          <w:tcPr>
            <w:tcW w:w="810" w:type="dxa"/>
            <w:vAlign w:val="center"/>
          </w:tcPr>
          <w:p w14:paraId="59D70439">
            <w:pPr>
              <w:spacing w:line="276" w:lineRule="auto"/>
              <w:jc w:val="center"/>
              <w:rPr>
                <w:rFonts w:ascii="宋体" w:hAnsi="宋体" w:eastAsia="宋体" w:cs="宋体"/>
                <w:bCs/>
                <w:szCs w:val="21"/>
              </w:rPr>
            </w:pPr>
          </w:p>
        </w:tc>
        <w:tc>
          <w:tcPr>
            <w:tcW w:w="715" w:type="dxa"/>
            <w:vAlign w:val="center"/>
          </w:tcPr>
          <w:p w14:paraId="530298B4">
            <w:pPr>
              <w:spacing w:line="276" w:lineRule="auto"/>
              <w:jc w:val="center"/>
              <w:rPr>
                <w:rFonts w:ascii="宋体" w:hAnsi="宋体" w:eastAsia="宋体" w:cs="宋体"/>
                <w:bCs/>
                <w:szCs w:val="21"/>
              </w:rPr>
            </w:pPr>
          </w:p>
        </w:tc>
        <w:tc>
          <w:tcPr>
            <w:tcW w:w="1160" w:type="dxa"/>
            <w:vAlign w:val="center"/>
          </w:tcPr>
          <w:p w14:paraId="02B5CC79">
            <w:pPr>
              <w:spacing w:line="276" w:lineRule="auto"/>
              <w:jc w:val="center"/>
              <w:rPr>
                <w:rFonts w:ascii="宋体" w:hAnsi="宋体" w:eastAsia="宋体" w:cs="宋体"/>
                <w:bCs/>
                <w:szCs w:val="21"/>
              </w:rPr>
            </w:pPr>
          </w:p>
        </w:tc>
        <w:tc>
          <w:tcPr>
            <w:tcW w:w="917" w:type="dxa"/>
            <w:shd w:val="clear" w:color="auto" w:fill="auto"/>
            <w:vAlign w:val="center"/>
          </w:tcPr>
          <w:p w14:paraId="73EB095C">
            <w:pPr>
              <w:spacing w:line="276" w:lineRule="auto"/>
              <w:jc w:val="center"/>
              <w:rPr>
                <w:rFonts w:ascii="宋体" w:hAnsi="宋体" w:eastAsia="宋体" w:cs="宋体"/>
                <w:bCs/>
                <w:szCs w:val="21"/>
              </w:rPr>
            </w:pPr>
          </w:p>
        </w:tc>
        <w:tc>
          <w:tcPr>
            <w:tcW w:w="666" w:type="dxa"/>
            <w:shd w:val="clear" w:color="auto" w:fill="auto"/>
            <w:vAlign w:val="center"/>
          </w:tcPr>
          <w:p w14:paraId="10CAC7CF">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400</w:t>
            </w:r>
          </w:p>
        </w:tc>
        <w:tc>
          <w:tcPr>
            <w:tcW w:w="550" w:type="dxa"/>
            <w:shd w:val="clear" w:color="auto" w:fill="auto"/>
            <w:vAlign w:val="center"/>
          </w:tcPr>
          <w:p w14:paraId="5314E66A">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41F4CF95">
            <w:pPr>
              <w:spacing w:line="276" w:lineRule="auto"/>
              <w:jc w:val="center"/>
              <w:rPr>
                <w:rFonts w:ascii="宋体" w:hAnsi="宋体" w:eastAsia="宋体" w:cs="宋体"/>
                <w:bCs/>
                <w:szCs w:val="21"/>
              </w:rPr>
            </w:pPr>
          </w:p>
        </w:tc>
        <w:tc>
          <w:tcPr>
            <w:tcW w:w="983" w:type="dxa"/>
            <w:vAlign w:val="center"/>
          </w:tcPr>
          <w:p w14:paraId="78960815">
            <w:pPr>
              <w:spacing w:line="276" w:lineRule="auto"/>
              <w:jc w:val="center"/>
              <w:rPr>
                <w:rFonts w:ascii="宋体" w:hAnsi="宋体" w:eastAsia="宋体" w:cs="宋体"/>
                <w:bCs/>
                <w:szCs w:val="21"/>
              </w:rPr>
            </w:pPr>
          </w:p>
        </w:tc>
      </w:tr>
      <w:tr w14:paraId="6CED3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60756A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159</w:t>
            </w:r>
          </w:p>
        </w:tc>
        <w:tc>
          <w:tcPr>
            <w:tcW w:w="841" w:type="dxa"/>
            <w:vMerge w:val="continue"/>
          </w:tcPr>
          <w:p w14:paraId="2476FF67">
            <w:pPr>
              <w:spacing w:line="276" w:lineRule="auto"/>
              <w:jc w:val="center"/>
              <w:rPr>
                <w:rFonts w:ascii="宋体" w:hAnsi="宋体" w:eastAsia="宋体" w:cs="宋体"/>
                <w:bCs/>
                <w:szCs w:val="21"/>
              </w:rPr>
            </w:pPr>
          </w:p>
        </w:tc>
        <w:tc>
          <w:tcPr>
            <w:tcW w:w="1223" w:type="dxa"/>
            <w:shd w:val="clear" w:color="auto" w:fill="auto"/>
            <w:vAlign w:val="center"/>
          </w:tcPr>
          <w:p w14:paraId="72E11534">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照明干线电缆</w:t>
            </w:r>
          </w:p>
        </w:tc>
        <w:tc>
          <w:tcPr>
            <w:tcW w:w="890" w:type="dxa"/>
            <w:vAlign w:val="center"/>
          </w:tcPr>
          <w:p w14:paraId="2D24F1E9">
            <w:pPr>
              <w:spacing w:line="276" w:lineRule="auto"/>
              <w:jc w:val="center"/>
              <w:rPr>
                <w:rFonts w:ascii="宋体" w:hAnsi="宋体" w:eastAsia="宋体" w:cs="宋体"/>
                <w:bCs/>
                <w:szCs w:val="21"/>
              </w:rPr>
            </w:pPr>
          </w:p>
        </w:tc>
        <w:tc>
          <w:tcPr>
            <w:tcW w:w="508" w:type="dxa"/>
            <w:vAlign w:val="center"/>
          </w:tcPr>
          <w:p w14:paraId="573309F9">
            <w:pPr>
              <w:spacing w:line="276" w:lineRule="auto"/>
              <w:jc w:val="center"/>
              <w:rPr>
                <w:rFonts w:ascii="宋体" w:hAnsi="宋体" w:eastAsia="宋体" w:cs="宋体"/>
                <w:bCs/>
                <w:szCs w:val="21"/>
              </w:rPr>
            </w:pPr>
          </w:p>
        </w:tc>
        <w:tc>
          <w:tcPr>
            <w:tcW w:w="810" w:type="dxa"/>
            <w:vAlign w:val="center"/>
          </w:tcPr>
          <w:p w14:paraId="6EACE818">
            <w:pPr>
              <w:spacing w:line="276" w:lineRule="auto"/>
              <w:jc w:val="center"/>
              <w:rPr>
                <w:rFonts w:ascii="宋体" w:hAnsi="宋体" w:eastAsia="宋体" w:cs="宋体"/>
                <w:bCs/>
                <w:szCs w:val="21"/>
              </w:rPr>
            </w:pPr>
          </w:p>
        </w:tc>
        <w:tc>
          <w:tcPr>
            <w:tcW w:w="715" w:type="dxa"/>
            <w:vAlign w:val="center"/>
          </w:tcPr>
          <w:p w14:paraId="0F10759F">
            <w:pPr>
              <w:spacing w:line="276" w:lineRule="auto"/>
              <w:jc w:val="center"/>
              <w:rPr>
                <w:rFonts w:ascii="宋体" w:hAnsi="宋体" w:eastAsia="宋体" w:cs="宋体"/>
                <w:bCs/>
                <w:szCs w:val="21"/>
              </w:rPr>
            </w:pPr>
          </w:p>
        </w:tc>
        <w:tc>
          <w:tcPr>
            <w:tcW w:w="1160" w:type="dxa"/>
            <w:vAlign w:val="center"/>
          </w:tcPr>
          <w:p w14:paraId="2D6EE29C">
            <w:pPr>
              <w:spacing w:line="276" w:lineRule="auto"/>
              <w:jc w:val="center"/>
              <w:rPr>
                <w:rFonts w:ascii="宋体" w:hAnsi="宋体" w:eastAsia="宋体" w:cs="宋体"/>
                <w:bCs/>
                <w:szCs w:val="21"/>
              </w:rPr>
            </w:pPr>
          </w:p>
        </w:tc>
        <w:tc>
          <w:tcPr>
            <w:tcW w:w="917" w:type="dxa"/>
            <w:shd w:val="clear" w:color="auto" w:fill="auto"/>
            <w:vAlign w:val="center"/>
          </w:tcPr>
          <w:p w14:paraId="154EB296">
            <w:pPr>
              <w:spacing w:line="276" w:lineRule="auto"/>
              <w:jc w:val="center"/>
              <w:rPr>
                <w:rFonts w:ascii="宋体" w:hAnsi="宋体" w:eastAsia="宋体" w:cs="宋体"/>
                <w:bCs/>
                <w:szCs w:val="21"/>
              </w:rPr>
            </w:pPr>
          </w:p>
        </w:tc>
        <w:tc>
          <w:tcPr>
            <w:tcW w:w="666" w:type="dxa"/>
            <w:shd w:val="clear" w:color="auto" w:fill="auto"/>
            <w:vAlign w:val="center"/>
          </w:tcPr>
          <w:p w14:paraId="789B18BD">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39871</w:t>
            </w:r>
          </w:p>
        </w:tc>
        <w:tc>
          <w:tcPr>
            <w:tcW w:w="550" w:type="dxa"/>
            <w:shd w:val="clear" w:color="auto" w:fill="auto"/>
            <w:vAlign w:val="center"/>
          </w:tcPr>
          <w:p w14:paraId="5046E8E9">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30D51F44">
            <w:pPr>
              <w:spacing w:line="276" w:lineRule="auto"/>
              <w:jc w:val="center"/>
              <w:rPr>
                <w:rFonts w:ascii="宋体" w:hAnsi="宋体" w:eastAsia="宋体" w:cs="宋体"/>
                <w:bCs/>
                <w:szCs w:val="21"/>
              </w:rPr>
            </w:pPr>
          </w:p>
        </w:tc>
        <w:tc>
          <w:tcPr>
            <w:tcW w:w="983" w:type="dxa"/>
            <w:vAlign w:val="center"/>
          </w:tcPr>
          <w:p w14:paraId="3D741317">
            <w:pPr>
              <w:spacing w:line="276" w:lineRule="auto"/>
              <w:jc w:val="center"/>
              <w:rPr>
                <w:rFonts w:ascii="宋体" w:hAnsi="宋体" w:eastAsia="宋体" w:cs="宋体"/>
                <w:bCs/>
                <w:szCs w:val="21"/>
              </w:rPr>
            </w:pPr>
          </w:p>
        </w:tc>
      </w:tr>
      <w:tr w14:paraId="39C5A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8DF92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160</w:t>
            </w:r>
          </w:p>
        </w:tc>
        <w:tc>
          <w:tcPr>
            <w:tcW w:w="841" w:type="dxa"/>
            <w:vMerge w:val="continue"/>
          </w:tcPr>
          <w:p w14:paraId="4C143127">
            <w:pPr>
              <w:spacing w:line="276" w:lineRule="auto"/>
              <w:jc w:val="center"/>
              <w:rPr>
                <w:rFonts w:ascii="宋体" w:hAnsi="宋体" w:eastAsia="宋体" w:cs="宋体"/>
                <w:bCs/>
                <w:szCs w:val="21"/>
              </w:rPr>
            </w:pPr>
          </w:p>
        </w:tc>
        <w:tc>
          <w:tcPr>
            <w:tcW w:w="1223" w:type="dxa"/>
            <w:shd w:val="clear" w:color="auto" w:fill="auto"/>
            <w:vAlign w:val="center"/>
          </w:tcPr>
          <w:p w14:paraId="334E2F9E">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路灯支线电缆</w:t>
            </w:r>
            <w:r>
              <w:rPr>
                <w:rFonts w:hint="eastAsia" w:ascii="宋体" w:hAnsi="等线" w:eastAsia="宋体" w:cs="等线"/>
                <w:i w:val="0"/>
                <w:iCs w:val="0"/>
                <w:color w:val="000000"/>
                <w:kern w:val="0"/>
                <w:sz w:val="20"/>
                <w:szCs w:val="20"/>
                <w:u w:val="none"/>
                <w:lang w:val="en-US" w:eastAsia="zh-CN" w:bidi="ar"/>
              </w:rPr>
              <w:t>（3*6）</w:t>
            </w:r>
          </w:p>
        </w:tc>
        <w:tc>
          <w:tcPr>
            <w:tcW w:w="890" w:type="dxa"/>
            <w:vAlign w:val="center"/>
          </w:tcPr>
          <w:p w14:paraId="570D907A">
            <w:pPr>
              <w:spacing w:line="276" w:lineRule="auto"/>
              <w:jc w:val="center"/>
              <w:rPr>
                <w:rFonts w:ascii="宋体" w:hAnsi="宋体" w:eastAsia="宋体" w:cs="宋体"/>
                <w:bCs/>
                <w:szCs w:val="21"/>
              </w:rPr>
            </w:pPr>
          </w:p>
        </w:tc>
        <w:tc>
          <w:tcPr>
            <w:tcW w:w="508" w:type="dxa"/>
            <w:vAlign w:val="center"/>
          </w:tcPr>
          <w:p w14:paraId="04240C50">
            <w:pPr>
              <w:spacing w:line="276" w:lineRule="auto"/>
              <w:jc w:val="center"/>
              <w:rPr>
                <w:rFonts w:ascii="宋体" w:hAnsi="宋体" w:eastAsia="宋体" w:cs="宋体"/>
                <w:bCs/>
                <w:szCs w:val="21"/>
              </w:rPr>
            </w:pPr>
          </w:p>
        </w:tc>
        <w:tc>
          <w:tcPr>
            <w:tcW w:w="810" w:type="dxa"/>
            <w:vAlign w:val="center"/>
          </w:tcPr>
          <w:p w14:paraId="5B3079AD">
            <w:pPr>
              <w:spacing w:line="276" w:lineRule="auto"/>
              <w:jc w:val="center"/>
              <w:rPr>
                <w:rFonts w:ascii="宋体" w:hAnsi="宋体" w:eastAsia="宋体" w:cs="宋体"/>
                <w:bCs/>
                <w:szCs w:val="21"/>
              </w:rPr>
            </w:pPr>
          </w:p>
        </w:tc>
        <w:tc>
          <w:tcPr>
            <w:tcW w:w="715" w:type="dxa"/>
            <w:vAlign w:val="center"/>
          </w:tcPr>
          <w:p w14:paraId="139BEB7E">
            <w:pPr>
              <w:spacing w:line="276" w:lineRule="auto"/>
              <w:jc w:val="center"/>
              <w:rPr>
                <w:rFonts w:ascii="宋体" w:hAnsi="宋体" w:eastAsia="宋体" w:cs="宋体"/>
                <w:bCs/>
                <w:szCs w:val="21"/>
              </w:rPr>
            </w:pPr>
          </w:p>
        </w:tc>
        <w:tc>
          <w:tcPr>
            <w:tcW w:w="1160" w:type="dxa"/>
            <w:vAlign w:val="center"/>
          </w:tcPr>
          <w:p w14:paraId="7F7F6462">
            <w:pPr>
              <w:spacing w:line="276" w:lineRule="auto"/>
              <w:jc w:val="center"/>
              <w:rPr>
                <w:rFonts w:ascii="宋体" w:hAnsi="宋体" w:eastAsia="宋体" w:cs="宋体"/>
                <w:bCs/>
                <w:szCs w:val="21"/>
              </w:rPr>
            </w:pPr>
          </w:p>
        </w:tc>
        <w:tc>
          <w:tcPr>
            <w:tcW w:w="917" w:type="dxa"/>
            <w:shd w:val="clear" w:color="auto" w:fill="auto"/>
            <w:vAlign w:val="center"/>
          </w:tcPr>
          <w:p w14:paraId="49841E12">
            <w:pPr>
              <w:spacing w:line="276" w:lineRule="auto"/>
              <w:jc w:val="center"/>
              <w:rPr>
                <w:rFonts w:ascii="宋体" w:hAnsi="宋体" w:eastAsia="宋体" w:cs="宋体"/>
                <w:bCs/>
                <w:szCs w:val="21"/>
              </w:rPr>
            </w:pPr>
          </w:p>
        </w:tc>
        <w:tc>
          <w:tcPr>
            <w:tcW w:w="666" w:type="dxa"/>
            <w:shd w:val="clear" w:color="auto" w:fill="auto"/>
            <w:vAlign w:val="center"/>
          </w:tcPr>
          <w:p w14:paraId="340A558E">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1499</w:t>
            </w:r>
          </w:p>
        </w:tc>
        <w:tc>
          <w:tcPr>
            <w:tcW w:w="550" w:type="dxa"/>
            <w:shd w:val="clear" w:color="auto" w:fill="auto"/>
            <w:vAlign w:val="center"/>
          </w:tcPr>
          <w:p w14:paraId="0BFB9E06">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50014642">
            <w:pPr>
              <w:spacing w:line="276" w:lineRule="auto"/>
              <w:jc w:val="center"/>
              <w:rPr>
                <w:rFonts w:ascii="宋体" w:hAnsi="宋体" w:eastAsia="宋体" w:cs="宋体"/>
                <w:bCs/>
                <w:szCs w:val="21"/>
              </w:rPr>
            </w:pPr>
          </w:p>
        </w:tc>
        <w:tc>
          <w:tcPr>
            <w:tcW w:w="983" w:type="dxa"/>
            <w:vAlign w:val="center"/>
          </w:tcPr>
          <w:p w14:paraId="40052E30">
            <w:pPr>
              <w:spacing w:line="276" w:lineRule="auto"/>
              <w:jc w:val="center"/>
              <w:rPr>
                <w:rFonts w:ascii="宋体" w:hAnsi="宋体" w:eastAsia="宋体" w:cs="宋体"/>
                <w:bCs/>
                <w:szCs w:val="21"/>
              </w:rPr>
            </w:pPr>
          </w:p>
        </w:tc>
      </w:tr>
      <w:tr w14:paraId="7D62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EFB46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161</w:t>
            </w:r>
          </w:p>
        </w:tc>
        <w:tc>
          <w:tcPr>
            <w:tcW w:w="841" w:type="dxa"/>
            <w:vMerge w:val="continue"/>
          </w:tcPr>
          <w:p w14:paraId="5798CD0C">
            <w:pPr>
              <w:spacing w:line="276" w:lineRule="auto"/>
              <w:jc w:val="center"/>
              <w:rPr>
                <w:rFonts w:ascii="宋体" w:hAnsi="宋体" w:eastAsia="宋体" w:cs="宋体"/>
                <w:bCs/>
                <w:szCs w:val="21"/>
              </w:rPr>
            </w:pPr>
          </w:p>
        </w:tc>
        <w:tc>
          <w:tcPr>
            <w:tcW w:w="1223" w:type="dxa"/>
            <w:shd w:val="clear" w:color="auto" w:fill="auto"/>
            <w:vAlign w:val="center"/>
          </w:tcPr>
          <w:p w14:paraId="76800CC4">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路灯支线电缆</w:t>
            </w:r>
            <w:r>
              <w:rPr>
                <w:rFonts w:hint="eastAsia" w:ascii="宋体" w:hAnsi="等线" w:eastAsia="宋体" w:cs="等线"/>
                <w:i w:val="0"/>
                <w:iCs w:val="0"/>
                <w:color w:val="000000"/>
                <w:kern w:val="0"/>
                <w:sz w:val="20"/>
                <w:szCs w:val="20"/>
                <w:u w:val="none"/>
                <w:lang w:val="en-US" w:eastAsia="zh-CN" w:bidi="ar"/>
              </w:rPr>
              <w:t>（2.5）</w:t>
            </w:r>
          </w:p>
        </w:tc>
        <w:tc>
          <w:tcPr>
            <w:tcW w:w="890" w:type="dxa"/>
            <w:vAlign w:val="center"/>
          </w:tcPr>
          <w:p w14:paraId="3F87BC4B">
            <w:pPr>
              <w:spacing w:line="276" w:lineRule="auto"/>
              <w:jc w:val="center"/>
              <w:rPr>
                <w:rFonts w:ascii="宋体" w:hAnsi="宋体" w:eastAsia="宋体" w:cs="宋体"/>
                <w:bCs/>
                <w:szCs w:val="21"/>
              </w:rPr>
            </w:pPr>
          </w:p>
        </w:tc>
        <w:tc>
          <w:tcPr>
            <w:tcW w:w="508" w:type="dxa"/>
            <w:vAlign w:val="center"/>
          </w:tcPr>
          <w:p w14:paraId="5118AF9B">
            <w:pPr>
              <w:spacing w:line="276" w:lineRule="auto"/>
              <w:jc w:val="center"/>
              <w:rPr>
                <w:rFonts w:ascii="宋体" w:hAnsi="宋体" w:eastAsia="宋体" w:cs="宋体"/>
                <w:bCs/>
                <w:szCs w:val="21"/>
              </w:rPr>
            </w:pPr>
          </w:p>
        </w:tc>
        <w:tc>
          <w:tcPr>
            <w:tcW w:w="810" w:type="dxa"/>
            <w:vAlign w:val="center"/>
          </w:tcPr>
          <w:p w14:paraId="06E084FF">
            <w:pPr>
              <w:spacing w:line="276" w:lineRule="auto"/>
              <w:jc w:val="center"/>
              <w:rPr>
                <w:rFonts w:ascii="宋体" w:hAnsi="宋体" w:eastAsia="宋体" w:cs="宋体"/>
                <w:bCs/>
                <w:szCs w:val="21"/>
              </w:rPr>
            </w:pPr>
          </w:p>
        </w:tc>
        <w:tc>
          <w:tcPr>
            <w:tcW w:w="715" w:type="dxa"/>
            <w:vAlign w:val="center"/>
          </w:tcPr>
          <w:p w14:paraId="7F1BC5A5">
            <w:pPr>
              <w:spacing w:line="276" w:lineRule="auto"/>
              <w:jc w:val="center"/>
              <w:rPr>
                <w:rFonts w:ascii="宋体" w:hAnsi="宋体" w:eastAsia="宋体" w:cs="宋体"/>
                <w:bCs/>
                <w:szCs w:val="21"/>
              </w:rPr>
            </w:pPr>
          </w:p>
        </w:tc>
        <w:tc>
          <w:tcPr>
            <w:tcW w:w="1160" w:type="dxa"/>
            <w:vAlign w:val="center"/>
          </w:tcPr>
          <w:p w14:paraId="59B75278">
            <w:pPr>
              <w:spacing w:line="276" w:lineRule="auto"/>
              <w:jc w:val="center"/>
              <w:rPr>
                <w:rFonts w:ascii="宋体" w:hAnsi="宋体" w:eastAsia="宋体" w:cs="宋体"/>
                <w:bCs/>
                <w:szCs w:val="21"/>
              </w:rPr>
            </w:pPr>
          </w:p>
        </w:tc>
        <w:tc>
          <w:tcPr>
            <w:tcW w:w="917" w:type="dxa"/>
            <w:shd w:val="clear" w:color="auto" w:fill="auto"/>
            <w:vAlign w:val="center"/>
          </w:tcPr>
          <w:p w14:paraId="36FF5E1D">
            <w:pPr>
              <w:spacing w:line="276" w:lineRule="auto"/>
              <w:jc w:val="center"/>
              <w:rPr>
                <w:rFonts w:ascii="宋体" w:hAnsi="宋体" w:eastAsia="宋体" w:cs="宋体"/>
                <w:bCs/>
                <w:szCs w:val="21"/>
              </w:rPr>
            </w:pPr>
          </w:p>
        </w:tc>
        <w:tc>
          <w:tcPr>
            <w:tcW w:w="666" w:type="dxa"/>
            <w:shd w:val="clear" w:color="auto" w:fill="auto"/>
            <w:vAlign w:val="center"/>
          </w:tcPr>
          <w:p w14:paraId="214BFAAF">
            <w:pPr>
              <w:keepNext w:val="0"/>
              <w:keepLines w:val="0"/>
              <w:widowControl/>
              <w:suppressLineNumbers w:val="0"/>
              <w:snapToGrid w:val="0"/>
              <w:ind w:left="0" w:leftChars="0" w:right="0" w:rightChars="0" w:firstLine="0" w:firstLineChars="0"/>
              <w:jc w:val="left"/>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47520</w:t>
            </w:r>
          </w:p>
        </w:tc>
        <w:tc>
          <w:tcPr>
            <w:tcW w:w="550" w:type="dxa"/>
            <w:shd w:val="clear" w:color="auto" w:fill="auto"/>
            <w:vAlign w:val="center"/>
          </w:tcPr>
          <w:p w14:paraId="71F35D2D">
            <w:pPr>
              <w:keepNext w:val="0"/>
              <w:keepLines w:val="0"/>
              <w:widowControl/>
              <w:suppressLineNumbers w:val="0"/>
              <w:snapToGrid w:val="0"/>
              <w:ind w:left="0" w:leftChars="0" w:right="0" w:rightChars="0" w:firstLine="0" w:firstLineChars="0"/>
              <w:jc w:val="center"/>
              <w:textAlignment w:val="center"/>
              <w:rPr>
                <w:rFonts w:hint="eastAsia" w:ascii="宋体" w:hAnsi="等线" w:eastAsia="宋体" w:cs="等线"/>
                <w:i w:val="0"/>
                <w:iCs w:val="0"/>
                <w:color w:val="000000"/>
                <w:kern w:val="2"/>
                <w:sz w:val="20"/>
                <w:szCs w:val="20"/>
                <w:u w:val="none"/>
                <w:lang w:val="en-US" w:eastAsia="zh-CN" w:bidi="ar-SA"/>
              </w:rPr>
            </w:pPr>
            <w:r>
              <w:rPr>
                <w:rFonts w:hint="default" w:ascii="宋体" w:hAnsi="等线" w:eastAsia="宋体" w:cs="等线"/>
                <w:i w:val="0"/>
                <w:iCs w:val="0"/>
                <w:color w:val="000000"/>
                <w:kern w:val="0"/>
                <w:sz w:val="20"/>
                <w:szCs w:val="20"/>
                <w:u w:val="none"/>
                <w:lang w:val="en-US" w:eastAsia="zh-CN" w:bidi="ar"/>
              </w:rPr>
              <w:t>m</w:t>
            </w:r>
          </w:p>
        </w:tc>
        <w:tc>
          <w:tcPr>
            <w:tcW w:w="967" w:type="dxa"/>
            <w:vAlign w:val="center"/>
          </w:tcPr>
          <w:p w14:paraId="7BA2A441">
            <w:pPr>
              <w:spacing w:line="276" w:lineRule="auto"/>
              <w:jc w:val="center"/>
              <w:rPr>
                <w:rFonts w:ascii="宋体" w:hAnsi="宋体" w:eastAsia="宋体" w:cs="宋体"/>
                <w:bCs/>
                <w:szCs w:val="21"/>
              </w:rPr>
            </w:pPr>
          </w:p>
        </w:tc>
        <w:tc>
          <w:tcPr>
            <w:tcW w:w="983" w:type="dxa"/>
            <w:vAlign w:val="center"/>
          </w:tcPr>
          <w:p w14:paraId="0B026BCC">
            <w:pPr>
              <w:spacing w:line="276" w:lineRule="auto"/>
              <w:jc w:val="center"/>
              <w:rPr>
                <w:rFonts w:ascii="宋体" w:hAnsi="宋体" w:eastAsia="宋体" w:cs="宋体"/>
                <w:bCs/>
                <w:szCs w:val="21"/>
              </w:rPr>
            </w:pPr>
          </w:p>
        </w:tc>
      </w:tr>
      <w:tr w14:paraId="5BCA3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654F2D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t>三</w:t>
            </w:r>
          </w:p>
        </w:tc>
        <w:tc>
          <w:tcPr>
            <w:tcW w:w="841" w:type="dxa"/>
            <w:vMerge w:val="continue"/>
          </w:tcPr>
          <w:p w14:paraId="59768A30">
            <w:pPr>
              <w:spacing w:line="276" w:lineRule="auto"/>
              <w:jc w:val="center"/>
              <w:rPr>
                <w:rFonts w:ascii="宋体" w:hAnsi="宋体" w:eastAsia="宋体" w:cs="宋体"/>
                <w:bCs/>
                <w:szCs w:val="21"/>
              </w:rPr>
            </w:pPr>
          </w:p>
        </w:tc>
        <w:tc>
          <w:tcPr>
            <w:tcW w:w="9389" w:type="dxa"/>
            <w:gridSpan w:val="11"/>
            <w:shd w:val="clear" w:color="auto" w:fill="auto"/>
            <w:vAlign w:val="center"/>
          </w:tcPr>
          <w:p w14:paraId="6F17A78D">
            <w:pPr>
              <w:snapToGrid w:val="0"/>
              <w:ind w:left="0" w:leftChars="0" w:right="0" w:rightChars="0" w:firstLine="0" w:firstLineChars="0"/>
              <w:jc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后台资源</w:t>
            </w:r>
          </w:p>
        </w:tc>
      </w:tr>
      <w:tr w14:paraId="51B23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AB159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t>（一）</w:t>
            </w:r>
          </w:p>
        </w:tc>
        <w:tc>
          <w:tcPr>
            <w:tcW w:w="841" w:type="dxa"/>
            <w:vMerge w:val="continue"/>
          </w:tcPr>
          <w:p w14:paraId="069B7956">
            <w:pPr>
              <w:spacing w:line="276" w:lineRule="auto"/>
              <w:jc w:val="center"/>
              <w:rPr>
                <w:rFonts w:ascii="宋体" w:hAnsi="宋体" w:eastAsia="宋体" w:cs="宋体"/>
                <w:bCs/>
                <w:szCs w:val="21"/>
              </w:rPr>
            </w:pPr>
          </w:p>
        </w:tc>
        <w:tc>
          <w:tcPr>
            <w:tcW w:w="9389" w:type="dxa"/>
            <w:gridSpan w:val="11"/>
            <w:shd w:val="clear" w:color="auto" w:fill="auto"/>
            <w:vAlign w:val="center"/>
          </w:tcPr>
          <w:p w14:paraId="31D6C015">
            <w:pPr>
              <w:snapToGrid w:val="0"/>
              <w:ind w:left="0" w:leftChars="0" w:right="0" w:rightChars="0" w:firstLine="0" w:firstLineChars="0"/>
              <w:jc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智慧管控网络及后台资源</w:t>
            </w:r>
          </w:p>
        </w:tc>
      </w:tr>
      <w:tr w14:paraId="453DC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559E59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162</w:t>
            </w:r>
          </w:p>
        </w:tc>
        <w:tc>
          <w:tcPr>
            <w:tcW w:w="841" w:type="dxa"/>
            <w:vMerge w:val="continue"/>
          </w:tcPr>
          <w:p w14:paraId="6444EB48">
            <w:pPr>
              <w:spacing w:line="276" w:lineRule="auto"/>
              <w:jc w:val="center"/>
              <w:rPr>
                <w:rFonts w:ascii="宋体" w:hAnsi="宋体" w:eastAsia="宋体" w:cs="宋体"/>
                <w:bCs/>
                <w:szCs w:val="21"/>
              </w:rPr>
            </w:pPr>
          </w:p>
        </w:tc>
        <w:tc>
          <w:tcPr>
            <w:tcW w:w="1223" w:type="dxa"/>
            <w:shd w:val="clear" w:color="auto" w:fill="auto"/>
            <w:vAlign w:val="center"/>
          </w:tcPr>
          <w:p w14:paraId="1D6F34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图片云存储设备</w:t>
            </w:r>
          </w:p>
        </w:tc>
        <w:tc>
          <w:tcPr>
            <w:tcW w:w="890" w:type="dxa"/>
            <w:vAlign w:val="center"/>
          </w:tcPr>
          <w:p w14:paraId="7EA04474">
            <w:pPr>
              <w:spacing w:line="276" w:lineRule="auto"/>
              <w:jc w:val="center"/>
              <w:rPr>
                <w:rFonts w:ascii="宋体" w:hAnsi="宋体" w:eastAsia="宋体" w:cs="宋体"/>
                <w:bCs/>
                <w:szCs w:val="21"/>
              </w:rPr>
            </w:pPr>
          </w:p>
        </w:tc>
        <w:tc>
          <w:tcPr>
            <w:tcW w:w="508" w:type="dxa"/>
            <w:vAlign w:val="center"/>
          </w:tcPr>
          <w:p w14:paraId="3C7B1DB9">
            <w:pPr>
              <w:spacing w:line="276" w:lineRule="auto"/>
              <w:jc w:val="center"/>
              <w:rPr>
                <w:rFonts w:ascii="宋体" w:hAnsi="宋体" w:eastAsia="宋体" w:cs="宋体"/>
                <w:bCs/>
                <w:szCs w:val="21"/>
              </w:rPr>
            </w:pPr>
          </w:p>
        </w:tc>
        <w:tc>
          <w:tcPr>
            <w:tcW w:w="810" w:type="dxa"/>
            <w:vAlign w:val="center"/>
          </w:tcPr>
          <w:p w14:paraId="3840AD8C">
            <w:pPr>
              <w:spacing w:line="276" w:lineRule="auto"/>
              <w:jc w:val="center"/>
              <w:rPr>
                <w:rFonts w:ascii="宋体" w:hAnsi="宋体" w:eastAsia="宋体" w:cs="宋体"/>
                <w:bCs/>
                <w:szCs w:val="21"/>
              </w:rPr>
            </w:pPr>
          </w:p>
        </w:tc>
        <w:tc>
          <w:tcPr>
            <w:tcW w:w="715" w:type="dxa"/>
            <w:vAlign w:val="center"/>
          </w:tcPr>
          <w:p w14:paraId="67E62E4C">
            <w:pPr>
              <w:spacing w:line="276" w:lineRule="auto"/>
              <w:jc w:val="center"/>
              <w:rPr>
                <w:rFonts w:ascii="宋体" w:hAnsi="宋体" w:eastAsia="宋体" w:cs="宋体"/>
                <w:bCs/>
                <w:szCs w:val="21"/>
              </w:rPr>
            </w:pPr>
          </w:p>
        </w:tc>
        <w:tc>
          <w:tcPr>
            <w:tcW w:w="1160" w:type="dxa"/>
            <w:vAlign w:val="center"/>
          </w:tcPr>
          <w:p w14:paraId="61261571">
            <w:pPr>
              <w:spacing w:line="276" w:lineRule="auto"/>
              <w:jc w:val="center"/>
              <w:rPr>
                <w:rFonts w:ascii="宋体" w:hAnsi="宋体" w:eastAsia="宋体" w:cs="宋体"/>
                <w:bCs/>
                <w:szCs w:val="21"/>
              </w:rPr>
            </w:pPr>
          </w:p>
        </w:tc>
        <w:tc>
          <w:tcPr>
            <w:tcW w:w="917" w:type="dxa"/>
            <w:shd w:val="clear" w:color="auto" w:fill="auto"/>
            <w:vAlign w:val="center"/>
          </w:tcPr>
          <w:p w14:paraId="4F46137B">
            <w:pPr>
              <w:spacing w:line="276" w:lineRule="auto"/>
              <w:jc w:val="center"/>
              <w:rPr>
                <w:rFonts w:ascii="宋体" w:hAnsi="宋体" w:eastAsia="宋体" w:cs="宋体"/>
                <w:bCs/>
                <w:szCs w:val="21"/>
              </w:rPr>
            </w:pPr>
          </w:p>
        </w:tc>
        <w:tc>
          <w:tcPr>
            <w:tcW w:w="666" w:type="dxa"/>
            <w:shd w:val="clear" w:color="auto" w:fill="auto"/>
            <w:vAlign w:val="center"/>
          </w:tcPr>
          <w:p w14:paraId="27DAACD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550" w:type="dxa"/>
            <w:shd w:val="clear" w:color="auto" w:fill="auto"/>
            <w:vAlign w:val="center"/>
          </w:tcPr>
          <w:p w14:paraId="43FD03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7CB5D461">
            <w:pPr>
              <w:spacing w:line="276" w:lineRule="auto"/>
              <w:jc w:val="center"/>
              <w:rPr>
                <w:rFonts w:ascii="宋体" w:hAnsi="宋体" w:eastAsia="宋体" w:cs="宋体"/>
                <w:bCs/>
                <w:szCs w:val="21"/>
              </w:rPr>
            </w:pPr>
          </w:p>
        </w:tc>
        <w:tc>
          <w:tcPr>
            <w:tcW w:w="983" w:type="dxa"/>
            <w:vAlign w:val="center"/>
          </w:tcPr>
          <w:p w14:paraId="2F1C5821">
            <w:pPr>
              <w:spacing w:line="276" w:lineRule="auto"/>
              <w:jc w:val="center"/>
              <w:rPr>
                <w:rFonts w:ascii="宋体" w:hAnsi="宋体" w:eastAsia="宋体" w:cs="宋体"/>
                <w:bCs/>
                <w:szCs w:val="21"/>
              </w:rPr>
            </w:pPr>
          </w:p>
        </w:tc>
      </w:tr>
      <w:tr w14:paraId="29E01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E9E29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163</w:t>
            </w:r>
          </w:p>
        </w:tc>
        <w:tc>
          <w:tcPr>
            <w:tcW w:w="841" w:type="dxa"/>
            <w:vMerge w:val="continue"/>
          </w:tcPr>
          <w:p w14:paraId="2B2D68FC">
            <w:pPr>
              <w:spacing w:line="276" w:lineRule="auto"/>
              <w:jc w:val="center"/>
              <w:rPr>
                <w:rFonts w:ascii="宋体" w:hAnsi="宋体" w:eastAsia="宋体" w:cs="宋体"/>
                <w:bCs/>
                <w:szCs w:val="21"/>
              </w:rPr>
            </w:pPr>
          </w:p>
        </w:tc>
        <w:tc>
          <w:tcPr>
            <w:tcW w:w="1223" w:type="dxa"/>
            <w:shd w:val="clear" w:color="auto" w:fill="auto"/>
            <w:vAlign w:val="center"/>
          </w:tcPr>
          <w:p w14:paraId="70398C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图片云存储管理设备</w:t>
            </w:r>
          </w:p>
        </w:tc>
        <w:tc>
          <w:tcPr>
            <w:tcW w:w="890" w:type="dxa"/>
            <w:vAlign w:val="center"/>
          </w:tcPr>
          <w:p w14:paraId="257D5A6D">
            <w:pPr>
              <w:spacing w:line="276" w:lineRule="auto"/>
              <w:jc w:val="center"/>
              <w:rPr>
                <w:rFonts w:ascii="宋体" w:hAnsi="宋体" w:eastAsia="宋体" w:cs="宋体"/>
                <w:bCs/>
                <w:szCs w:val="21"/>
              </w:rPr>
            </w:pPr>
          </w:p>
        </w:tc>
        <w:tc>
          <w:tcPr>
            <w:tcW w:w="508" w:type="dxa"/>
            <w:vAlign w:val="center"/>
          </w:tcPr>
          <w:p w14:paraId="06E373A2">
            <w:pPr>
              <w:spacing w:line="276" w:lineRule="auto"/>
              <w:jc w:val="center"/>
              <w:rPr>
                <w:rFonts w:ascii="宋体" w:hAnsi="宋体" w:eastAsia="宋体" w:cs="宋体"/>
                <w:bCs/>
                <w:szCs w:val="21"/>
              </w:rPr>
            </w:pPr>
          </w:p>
        </w:tc>
        <w:tc>
          <w:tcPr>
            <w:tcW w:w="810" w:type="dxa"/>
            <w:vAlign w:val="center"/>
          </w:tcPr>
          <w:p w14:paraId="34EF91D3">
            <w:pPr>
              <w:spacing w:line="276" w:lineRule="auto"/>
              <w:jc w:val="center"/>
              <w:rPr>
                <w:rFonts w:ascii="宋体" w:hAnsi="宋体" w:eastAsia="宋体" w:cs="宋体"/>
                <w:bCs/>
                <w:szCs w:val="21"/>
              </w:rPr>
            </w:pPr>
          </w:p>
        </w:tc>
        <w:tc>
          <w:tcPr>
            <w:tcW w:w="715" w:type="dxa"/>
            <w:vAlign w:val="center"/>
          </w:tcPr>
          <w:p w14:paraId="64D3C401">
            <w:pPr>
              <w:spacing w:line="276" w:lineRule="auto"/>
              <w:jc w:val="center"/>
              <w:rPr>
                <w:rFonts w:ascii="宋体" w:hAnsi="宋体" w:eastAsia="宋体" w:cs="宋体"/>
                <w:bCs/>
                <w:szCs w:val="21"/>
              </w:rPr>
            </w:pPr>
          </w:p>
        </w:tc>
        <w:tc>
          <w:tcPr>
            <w:tcW w:w="1160" w:type="dxa"/>
            <w:vAlign w:val="center"/>
          </w:tcPr>
          <w:p w14:paraId="45B0B280">
            <w:pPr>
              <w:spacing w:line="276" w:lineRule="auto"/>
              <w:jc w:val="center"/>
              <w:rPr>
                <w:rFonts w:ascii="宋体" w:hAnsi="宋体" w:eastAsia="宋体" w:cs="宋体"/>
                <w:bCs/>
                <w:szCs w:val="21"/>
              </w:rPr>
            </w:pPr>
          </w:p>
        </w:tc>
        <w:tc>
          <w:tcPr>
            <w:tcW w:w="917" w:type="dxa"/>
            <w:shd w:val="clear" w:color="auto" w:fill="auto"/>
            <w:vAlign w:val="center"/>
          </w:tcPr>
          <w:p w14:paraId="64CE4A5F">
            <w:pPr>
              <w:spacing w:line="276" w:lineRule="auto"/>
              <w:jc w:val="center"/>
              <w:rPr>
                <w:rFonts w:ascii="宋体" w:hAnsi="宋体" w:eastAsia="宋体" w:cs="宋体"/>
                <w:bCs/>
                <w:szCs w:val="21"/>
              </w:rPr>
            </w:pPr>
          </w:p>
        </w:tc>
        <w:tc>
          <w:tcPr>
            <w:tcW w:w="666" w:type="dxa"/>
            <w:shd w:val="clear" w:color="auto" w:fill="auto"/>
            <w:vAlign w:val="center"/>
          </w:tcPr>
          <w:p w14:paraId="12B425C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189CEA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5D213593">
            <w:pPr>
              <w:spacing w:line="276" w:lineRule="auto"/>
              <w:jc w:val="center"/>
              <w:rPr>
                <w:rFonts w:ascii="宋体" w:hAnsi="宋体" w:eastAsia="宋体" w:cs="宋体"/>
                <w:bCs/>
                <w:szCs w:val="21"/>
              </w:rPr>
            </w:pPr>
          </w:p>
        </w:tc>
        <w:tc>
          <w:tcPr>
            <w:tcW w:w="983" w:type="dxa"/>
            <w:vAlign w:val="center"/>
          </w:tcPr>
          <w:p w14:paraId="4CC65B98">
            <w:pPr>
              <w:spacing w:line="276" w:lineRule="auto"/>
              <w:jc w:val="center"/>
              <w:rPr>
                <w:rFonts w:ascii="宋体" w:hAnsi="宋体" w:eastAsia="宋体" w:cs="宋体"/>
                <w:bCs/>
                <w:szCs w:val="21"/>
              </w:rPr>
            </w:pPr>
          </w:p>
        </w:tc>
      </w:tr>
      <w:tr w14:paraId="0E090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22B10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164</w:t>
            </w:r>
          </w:p>
        </w:tc>
        <w:tc>
          <w:tcPr>
            <w:tcW w:w="841" w:type="dxa"/>
            <w:vMerge w:val="continue"/>
          </w:tcPr>
          <w:p w14:paraId="6FA9C225">
            <w:pPr>
              <w:spacing w:line="276" w:lineRule="auto"/>
              <w:jc w:val="center"/>
              <w:rPr>
                <w:rFonts w:ascii="宋体" w:hAnsi="宋体" w:eastAsia="宋体" w:cs="宋体"/>
                <w:bCs/>
                <w:szCs w:val="21"/>
              </w:rPr>
            </w:pPr>
          </w:p>
        </w:tc>
        <w:tc>
          <w:tcPr>
            <w:tcW w:w="1223" w:type="dxa"/>
            <w:shd w:val="clear" w:color="auto" w:fill="auto"/>
            <w:vAlign w:val="center"/>
          </w:tcPr>
          <w:p w14:paraId="059420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云存储软件</w:t>
            </w:r>
          </w:p>
        </w:tc>
        <w:tc>
          <w:tcPr>
            <w:tcW w:w="890" w:type="dxa"/>
            <w:vAlign w:val="center"/>
          </w:tcPr>
          <w:p w14:paraId="64956895">
            <w:pPr>
              <w:spacing w:line="276" w:lineRule="auto"/>
              <w:jc w:val="center"/>
              <w:rPr>
                <w:rFonts w:ascii="宋体" w:hAnsi="宋体" w:eastAsia="宋体" w:cs="宋体"/>
                <w:bCs/>
                <w:szCs w:val="21"/>
              </w:rPr>
            </w:pPr>
          </w:p>
        </w:tc>
        <w:tc>
          <w:tcPr>
            <w:tcW w:w="508" w:type="dxa"/>
            <w:vAlign w:val="center"/>
          </w:tcPr>
          <w:p w14:paraId="3B1753A1">
            <w:pPr>
              <w:spacing w:line="276" w:lineRule="auto"/>
              <w:jc w:val="center"/>
              <w:rPr>
                <w:rFonts w:ascii="宋体" w:hAnsi="宋体" w:eastAsia="宋体" w:cs="宋体"/>
                <w:bCs/>
                <w:szCs w:val="21"/>
              </w:rPr>
            </w:pPr>
          </w:p>
        </w:tc>
        <w:tc>
          <w:tcPr>
            <w:tcW w:w="810" w:type="dxa"/>
            <w:vAlign w:val="center"/>
          </w:tcPr>
          <w:p w14:paraId="7049838B">
            <w:pPr>
              <w:spacing w:line="276" w:lineRule="auto"/>
              <w:jc w:val="center"/>
              <w:rPr>
                <w:rFonts w:ascii="宋体" w:hAnsi="宋体" w:eastAsia="宋体" w:cs="宋体"/>
                <w:bCs/>
                <w:szCs w:val="21"/>
              </w:rPr>
            </w:pPr>
          </w:p>
        </w:tc>
        <w:tc>
          <w:tcPr>
            <w:tcW w:w="715" w:type="dxa"/>
            <w:vAlign w:val="center"/>
          </w:tcPr>
          <w:p w14:paraId="614B4EA4">
            <w:pPr>
              <w:spacing w:line="276" w:lineRule="auto"/>
              <w:jc w:val="center"/>
              <w:rPr>
                <w:rFonts w:ascii="宋体" w:hAnsi="宋体" w:eastAsia="宋体" w:cs="宋体"/>
                <w:bCs/>
                <w:szCs w:val="21"/>
              </w:rPr>
            </w:pPr>
          </w:p>
        </w:tc>
        <w:tc>
          <w:tcPr>
            <w:tcW w:w="1160" w:type="dxa"/>
            <w:vAlign w:val="center"/>
          </w:tcPr>
          <w:p w14:paraId="51021772">
            <w:pPr>
              <w:spacing w:line="276" w:lineRule="auto"/>
              <w:jc w:val="center"/>
              <w:rPr>
                <w:rFonts w:ascii="宋体" w:hAnsi="宋体" w:eastAsia="宋体" w:cs="宋体"/>
                <w:bCs/>
                <w:szCs w:val="21"/>
              </w:rPr>
            </w:pPr>
          </w:p>
        </w:tc>
        <w:tc>
          <w:tcPr>
            <w:tcW w:w="917" w:type="dxa"/>
            <w:shd w:val="clear" w:color="auto" w:fill="auto"/>
            <w:vAlign w:val="center"/>
          </w:tcPr>
          <w:p w14:paraId="46D31323">
            <w:pPr>
              <w:spacing w:line="276" w:lineRule="auto"/>
              <w:jc w:val="center"/>
              <w:rPr>
                <w:rFonts w:ascii="宋体" w:hAnsi="宋体" w:eastAsia="宋体" w:cs="宋体"/>
                <w:bCs/>
                <w:szCs w:val="21"/>
              </w:rPr>
            </w:pPr>
          </w:p>
        </w:tc>
        <w:tc>
          <w:tcPr>
            <w:tcW w:w="666" w:type="dxa"/>
            <w:shd w:val="clear" w:color="auto" w:fill="auto"/>
            <w:vAlign w:val="center"/>
          </w:tcPr>
          <w:p w14:paraId="028652A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09DA0D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795EBD4F">
            <w:pPr>
              <w:spacing w:line="276" w:lineRule="auto"/>
              <w:jc w:val="center"/>
              <w:rPr>
                <w:rFonts w:ascii="宋体" w:hAnsi="宋体" w:eastAsia="宋体" w:cs="宋体"/>
                <w:bCs/>
                <w:szCs w:val="21"/>
              </w:rPr>
            </w:pPr>
          </w:p>
        </w:tc>
        <w:tc>
          <w:tcPr>
            <w:tcW w:w="983" w:type="dxa"/>
            <w:vAlign w:val="center"/>
          </w:tcPr>
          <w:p w14:paraId="5297D233">
            <w:pPr>
              <w:spacing w:line="276" w:lineRule="auto"/>
              <w:jc w:val="center"/>
              <w:rPr>
                <w:rFonts w:ascii="宋体" w:hAnsi="宋体" w:eastAsia="宋体" w:cs="宋体"/>
                <w:bCs/>
                <w:szCs w:val="21"/>
              </w:rPr>
            </w:pPr>
          </w:p>
        </w:tc>
      </w:tr>
      <w:tr w14:paraId="251D2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092F7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165</w:t>
            </w:r>
          </w:p>
        </w:tc>
        <w:tc>
          <w:tcPr>
            <w:tcW w:w="841" w:type="dxa"/>
            <w:vMerge w:val="continue"/>
          </w:tcPr>
          <w:p w14:paraId="516444C4">
            <w:pPr>
              <w:spacing w:line="276" w:lineRule="auto"/>
              <w:jc w:val="center"/>
              <w:rPr>
                <w:rFonts w:ascii="宋体" w:hAnsi="宋体" w:eastAsia="宋体" w:cs="宋体"/>
                <w:bCs/>
                <w:szCs w:val="21"/>
              </w:rPr>
            </w:pPr>
          </w:p>
        </w:tc>
        <w:tc>
          <w:tcPr>
            <w:tcW w:w="1223" w:type="dxa"/>
            <w:shd w:val="clear" w:color="auto" w:fill="auto"/>
            <w:vAlign w:val="center"/>
          </w:tcPr>
          <w:p w14:paraId="3598F7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高清平台接入设备</w:t>
            </w:r>
          </w:p>
        </w:tc>
        <w:tc>
          <w:tcPr>
            <w:tcW w:w="890" w:type="dxa"/>
            <w:vAlign w:val="center"/>
          </w:tcPr>
          <w:p w14:paraId="1DD4BE7C">
            <w:pPr>
              <w:spacing w:line="276" w:lineRule="auto"/>
              <w:jc w:val="center"/>
              <w:rPr>
                <w:rFonts w:ascii="宋体" w:hAnsi="宋体" w:eastAsia="宋体" w:cs="宋体"/>
                <w:bCs/>
                <w:szCs w:val="21"/>
              </w:rPr>
            </w:pPr>
          </w:p>
        </w:tc>
        <w:tc>
          <w:tcPr>
            <w:tcW w:w="508" w:type="dxa"/>
            <w:vAlign w:val="center"/>
          </w:tcPr>
          <w:p w14:paraId="13C97A26">
            <w:pPr>
              <w:spacing w:line="276" w:lineRule="auto"/>
              <w:jc w:val="center"/>
              <w:rPr>
                <w:rFonts w:ascii="宋体" w:hAnsi="宋体" w:eastAsia="宋体" w:cs="宋体"/>
                <w:bCs/>
                <w:szCs w:val="21"/>
              </w:rPr>
            </w:pPr>
          </w:p>
        </w:tc>
        <w:tc>
          <w:tcPr>
            <w:tcW w:w="810" w:type="dxa"/>
            <w:vAlign w:val="center"/>
          </w:tcPr>
          <w:p w14:paraId="6B6B1A50">
            <w:pPr>
              <w:spacing w:line="276" w:lineRule="auto"/>
              <w:jc w:val="center"/>
              <w:rPr>
                <w:rFonts w:ascii="宋体" w:hAnsi="宋体" w:eastAsia="宋体" w:cs="宋体"/>
                <w:bCs/>
                <w:szCs w:val="21"/>
              </w:rPr>
            </w:pPr>
          </w:p>
        </w:tc>
        <w:tc>
          <w:tcPr>
            <w:tcW w:w="715" w:type="dxa"/>
            <w:vAlign w:val="center"/>
          </w:tcPr>
          <w:p w14:paraId="7535316C">
            <w:pPr>
              <w:spacing w:line="276" w:lineRule="auto"/>
              <w:jc w:val="center"/>
              <w:rPr>
                <w:rFonts w:ascii="宋体" w:hAnsi="宋体" w:eastAsia="宋体" w:cs="宋体"/>
                <w:bCs/>
                <w:szCs w:val="21"/>
              </w:rPr>
            </w:pPr>
          </w:p>
        </w:tc>
        <w:tc>
          <w:tcPr>
            <w:tcW w:w="1160" w:type="dxa"/>
            <w:vAlign w:val="center"/>
          </w:tcPr>
          <w:p w14:paraId="7F93FAD2">
            <w:pPr>
              <w:spacing w:line="276" w:lineRule="auto"/>
              <w:jc w:val="center"/>
              <w:rPr>
                <w:rFonts w:ascii="宋体" w:hAnsi="宋体" w:eastAsia="宋体" w:cs="宋体"/>
                <w:bCs/>
                <w:szCs w:val="21"/>
              </w:rPr>
            </w:pPr>
          </w:p>
        </w:tc>
        <w:tc>
          <w:tcPr>
            <w:tcW w:w="917" w:type="dxa"/>
            <w:shd w:val="clear" w:color="auto" w:fill="auto"/>
            <w:vAlign w:val="center"/>
          </w:tcPr>
          <w:p w14:paraId="5E94213F">
            <w:pPr>
              <w:spacing w:line="276" w:lineRule="auto"/>
              <w:jc w:val="center"/>
              <w:rPr>
                <w:rFonts w:ascii="宋体" w:hAnsi="宋体" w:eastAsia="宋体" w:cs="宋体"/>
                <w:bCs/>
                <w:szCs w:val="21"/>
              </w:rPr>
            </w:pPr>
          </w:p>
        </w:tc>
        <w:tc>
          <w:tcPr>
            <w:tcW w:w="666" w:type="dxa"/>
            <w:shd w:val="clear" w:color="auto" w:fill="auto"/>
            <w:vAlign w:val="center"/>
          </w:tcPr>
          <w:p w14:paraId="51ACC7E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550" w:type="dxa"/>
            <w:shd w:val="clear" w:color="auto" w:fill="auto"/>
            <w:vAlign w:val="center"/>
          </w:tcPr>
          <w:p w14:paraId="0DA0FF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4ECFC6F3">
            <w:pPr>
              <w:spacing w:line="276" w:lineRule="auto"/>
              <w:jc w:val="center"/>
              <w:rPr>
                <w:rFonts w:ascii="宋体" w:hAnsi="宋体" w:eastAsia="宋体" w:cs="宋体"/>
                <w:bCs/>
                <w:szCs w:val="21"/>
              </w:rPr>
            </w:pPr>
          </w:p>
        </w:tc>
        <w:tc>
          <w:tcPr>
            <w:tcW w:w="983" w:type="dxa"/>
            <w:vAlign w:val="center"/>
          </w:tcPr>
          <w:p w14:paraId="28DB80BA">
            <w:pPr>
              <w:spacing w:line="276" w:lineRule="auto"/>
              <w:jc w:val="center"/>
              <w:rPr>
                <w:rFonts w:ascii="宋体" w:hAnsi="宋体" w:eastAsia="宋体" w:cs="宋体"/>
                <w:bCs/>
                <w:szCs w:val="21"/>
              </w:rPr>
            </w:pPr>
          </w:p>
        </w:tc>
      </w:tr>
      <w:tr w14:paraId="6D724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CA53B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166</w:t>
            </w:r>
          </w:p>
        </w:tc>
        <w:tc>
          <w:tcPr>
            <w:tcW w:w="841" w:type="dxa"/>
            <w:vMerge w:val="continue"/>
          </w:tcPr>
          <w:p w14:paraId="5AB9B53D">
            <w:pPr>
              <w:spacing w:line="276" w:lineRule="auto"/>
              <w:jc w:val="center"/>
              <w:rPr>
                <w:rFonts w:ascii="宋体" w:hAnsi="宋体" w:eastAsia="宋体" w:cs="宋体"/>
                <w:bCs/>
                <w:szCs w:val="21"/>
              </w:rPr>
            </w:pPr>
          </w:p>
        </w:tc>
        <w:tc>
          <w:tcPr>
            <w:tcW w:w="1223" w:type="dxa"/>
            <w:shd w:val="clear" w:color="auto" w:fill="auto"/>
            <w:vAlign w:val="center"/>
          </w:tcPr>
          <w:p w14:paraId="7879F0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图文库系统存储设备</w:t>
            </w:r>
          </w:p>
        </w:tc>
        <w:tc>
          <w:tcPr>
            <w:tcW w:w="890" w:type="dxa"/>
            <w:vAlign w:val="center"/>
          </w:tcPr>
          <w:p w14:paraId="6A0391A8">
            <w:pPr>
              <w:spacing w:line="276" w:lineRule="auto"/>
              <w:jc w:val="center"/>
              <w:rPr>
                <w:rFonts w:ascii="宋体" w:hAnsi="宋体" w:eastAsia="宋体" w:cs="宋体"/>
                <w:bCs/>
                <w:szCs w:val="21"/>
              </w:rPr>
            </w:pPr>
          </w:p>
        </w:tc>
        <w:tc>
          <w:tcPr>
            <w:tcW w:w="508" w:type="dxa"/>
            <w:vAlign w:val="center"/>
          </w:tcPr>
          <w:p w14:paraId="51490FA2">
            <w:pPr>
              <w:spacing w:line="276" w:lineRule="auto"/>
              <w:jc w:val="center"/>
              <w:rPr>
                <w:rFonts w:ascii="宋体" w:hAnsi="宋体" w:eastAsia="宋体" w:cs="宋体"/>
                <w:bCs/>
                <w:szCs w:val="21"/>
              </w:rPr>
            </w:pPr>
          </w:p>
        </w:tc>
        <w:tc>
          <w:tcPr>
            <w:tcW w:w="810" w:type="dxa"/>
            <w:vAlign w:val="center"/>
          </w:tcPr>
          <w:p w14:paraId="5CDCCAA8">
            <w:pPr>
              <w:spacing w:line="276" w:lineRule="auto"/>
              <w:jc w:val="center"/>
              <w:rPr>
                <w:rFonts w:ascii="宋体" w:hAnsi="宋体" w:eastAsia="宋体" w:cs="宋体"/>
                <w:bCs/>
                <w:szCs w:val="21"/>
              </w:rPr>
            </w:pPr>
          </w:p>
        </w:tc>
        <w:tc>
          <w:tcPr>
            <w:tcW w:w="715" w:type="dxa"/>
            <w:vAlign w:val="center"/>
          </w:tcPr>
          <w:p w14:paraId="7F9C8166">
            <w:pPr>
              <w:spacing w:line="276" w:lineRule="auto"/>
              <w:jc w:val="center"/>
              <w:rPr>
                <w:rFonts w:ascii="宋体" w:hAnsi="宋体" w:eastAsia="宋体" w:cs="宋体"/>
                <w:bCs/>
                <w:szCs w:val="21"/>
              </w:rPr>
            </w:pPr>
          </w:p>
        </w:tc>
        <w:tc>
          <w:tcPr>
            <w:tcW w:w="1160" w:type="dxa"/>
            <w:vAlign w:val="center"/>
          </w:tcPr>
          <w:p w14:paraId="039B5624">
            <w:pPr>
              <w:spacing w:line="276" w:lineRule="auto"/>
              <w:jc w:val="center"/>
              <w:rPr>
                <w:rFonts w:ascii="宋体" w:hAnsi="宋体" w:eastAsia="宋体" w:cs="宋体"/>
                <w:bCs/>
                <w:szCs w:val="21"/>
              </w:rPr>
            </w:pPr>
          </w:p>
        </w:tc>
        <w:tc>
          <w:tcPr>
            <w:tcW w:w="917" w:type="dxa"/>
            <w:shd w:val="clear" w:color="auto" w:fill="auto"/>
            <w:vAlign w:val="center"/>
          </w:tcPr>
          <w:p w14:paraId="5DFCD0E0">
            <w:pPr>
              <w:spacing w:line="276" w:lineRule="auto"/>
              <w:jc w:val="center"/>
              <w:rPr>
                <w:rFonts w:ascii="宋体" w:hAnsi="宋体" w:eastAsia="宋体" w:cs="宋体"/>
                <w:bCs/>
                <w:szCs w:val="21"/>
              </w:rPr>
            </w:pPr>
          </w:p>
        </w:tc>
        <w:tc>
          <w:tcPr>
            <w:tcW w:w="666" w:type="dxa"/>
            <w:shd w:val="clear" w:color="auto" w:fill="auto"/>
            <w:vAlign w:val="center"/>
          </w:tcPr>
          <w:p w14:paraId="21952E0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550" w:type="dxa"/>
            <w:shd w:val="clear" w:color="auto" w:fill="auto"/>
            <w:vAlign w:val="center"/>
          </w:tcPr>
          <w:p w14:paraId="7F7DB7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1FDC2916">
            <w:pPr>
              <w:spacing w:line="276" w:lineRule="auto"/>
              <w:jc w:val="center"/>
              <w:rPr>
                <w:rFonts w:ascii="宋体" w:hAnsi="宋体" w:eastAsia="宋体" w:cs="宋体"/>
                <w:bCs/>
                <w:szCs w:val="21"/>
              </w:rPr>
            </w:pPr>
          </w:p>
        </w:tc>
        <w:tc>
          <w:tcPr>
            <w:tcW w:w="983" w:type="dxa"/>
            <w:vAlign w:val="center"/>
          </w:tcPr>
          <w:p w14:paraId="7794CB09">
            <w:pPr>
              <w:spacing w:line="276" w:lineRule="auto"/>
              <w:jc w:val="center"/>
              <w:rPr>
                <w:rFonts w:ascii="宋体" w:hAnsi="宋体" w:eastAsia="宋体" w:cs="宋体"/>
                <w:bCs/>
                <w:szCs w:val="21"/>
              </w:rPr>
            </w:pPr>
          </w:p>
        </w:tc>
      </w:tr>
      <w:tr w14:paraId="21E4D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5E468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167</w:t>
            </w:r>
          </w:p>
        </w:tc>
        <w:tc>
          <w:tcPr>
            <w:tcW w:w="841" w:type="dxa"/>
            <w:vMerge w:val="continue"/>
          </w:tcPr>
          <w:p w14:paraId="7E6E412B">
            <w:pPr>
              <w:spacing w:line="276" w:lineRule="auto"/>
              <w:jc w:val="center"/>
              <w:rPr>
                <w:rFonts w:ascii="宋体" w:hAnsi="宋体" w:eastAsia="宋体" w:cs="宋体"/>
                <w:bCs/>
                <w:szCs w:val="21"/>
              </w:rPr>
            </w:pPr>
          </w:p>
        </w:tc>
        <w:tc>
          <w:tcPr>
            <w:tcW w:w="1223" w:type="dxa"/>
            <w:shd w:val="clear" w:color="auto" w:fill="auto"/>
            <w:vAlign w:val="center"/>
          </w:tcPr>
          <w:p w14:paraId="36C59B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图文库软件</w:t>
            </w:r>
          </w:p>
        </w:tc>
        <w:tc>
          <w:tcPr>
            <w:tcW w:w="890" w:type="dxa"/>
            <w:vAlign w:val="center"/>
          </w:tcPr>
          <w:p w14:paraId="34AF884F">
            <w:pPr>
              <w:spacing w:line="276" w:lineRule="auto"/>
              <w:jc w:val="center"/>
              <w:rPr>
                <w:rFonts w:ascii="宋体" w:hAnsi="宋体" w:eastAsia="宋体" w:cs="宋体"/>
                <w:bCs/>
                <w:szCs w:val="21"/>
              </w:rPr>
            </w:pPr>
          </w:p>
        </w:tc>
        <w:tc>
          <w:tcPr>
            <w:tcW w:w="508" w:type="dxa"/>
            <w:vAlign w:val="center"/>
          </w:tcPr>
          <w:p w14:paraId="050D7A9A">
            <w:pPr>
              <w:spacing w:line="276" w:lineRule="auto"/>
              <w:jc w:val="center"/>
              <w:rPr>
                <w:rFonts w:ascii="宋体" w:hAnsi="宋体" w:eastAsia="宋体" w:cs="宋体"/>
                <w:bCs/>
                <w:szCs w:val="21"/>
              </w:rPr>
            </w:pPr>
          </w:p>
        </w:tc>
        <w:tc>
          <w:tcPr>
            <w:tcW w:w="810" w:type="dxa"/>
            <w:vAlign w:val="center"/>
          </w:tcPr>
          <w:p w14:paraId="7162E316">
            <w:pPr>
              <w:spacing w:line="276" w:lineRule="auto"/>
              <w:jc w:val="center"/>
              <w:rPr>
                <w:rFonts w:ascii="宋体" w:hAnsi="宋体" w:eastAsia="宋体" w:cs="宋体"/>
                <w:bCs/>
                <w:szCs w:val="21"/>
              </w:rPr>
            </w:pPr>
          </w:p>
        </w:tc>
        <w:tc>
          <w:tcPr>
            <w:tcW w:w="715" w:type="dxa"/>
            <w:vAlign w:val="center"/>
          </w:tcPr>
          <w:p w14:paraId="0335A9CA">
            <w:pPr>
              <w:spacing w:line="276" w:lineRule="auto"/>
              <w:jc w:val="center"/>
              <w:rPr>
                <w:rFonts w:ascii="宋体" w:hAnsi="宋体" w:eastAsia="宋体" w:cs="宋体"/>
                <w:bCs/>
                <w:szCs w:val="21"/>
              </w:rPr>
            </w:pPr>
          </w:p>
        </w:tc>
        <w:tc>
          <w:tcPr>
            <w:tcW w:w="1160" w:type="dxa"/>
            <w:vAlign w:val="center"/>
          </w:tcPr>
          <w:p w14:paraId="32AADFF2">
            <w:pPr>
              <w:spacing w:line="276" w:lineRule="auto"/>
              <w:jc w:val="center"/>
              <w:rPr>
                <w:rFonts w:ascii="宋体" w:hAnsi="宋体" w:eastAsia="宋体" w:cs="宋体"/>
                <w:bCs/>
                <w:szCs w:val="21"/>
              </w:rPr>
            </w:pPr>
          </w:p>
        </w:tc>
        <w:tc>
          <w:tcPr>
            <w:tcW w:w="917" w:type="dxa"/>
            <w:shd w:val="clear" w:color="auto" w:fill="auto"/>
            <w:vAlign w:val="center"/>
          </w:tcPr>
          <w:p w14:paraId="3F5B9721">
            <w:pPr>
              <w:spacing w:line="276" w:lineRule="auto"/>
              <w:jc w:val="center"/>
              <w:rPr>
                <w:rFonts w:ascii="宋体" w:hAnsi="宋体" w:eastAsia="宋体" w:cs="宋体"/>
                <w:bCs/>
                <w:szCs w:val="21"/>
              </w:rPr>
            </w:pPr>
          </w:p>
        </w:tc>
        <w:tc>
          <w:tcPr>
            <w:tcW w:w="666" w:type="dxa"/>
            <w:shd w:val="clear" w:color="auto" w:fill="auto"/>
            <w:vAlign w:val="center"/>
          </w:tcPr>
          <w:p w14:paraId="06547E4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15E3DF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0A8BD771">
            <w:pPr>
              <w:spacing w:line="276" w:lineRule="auto"/>
              <w:jc w:val="center"/>
              <w:rPr>
                <w:rFonts w:ascii="宋体" w:hAnsi="宋体" w:eastAsia="宋体" w:cs="宋体"/>
                <w:bCs/>
                <w:szCs w:val="21"/>
              </w:rPr>
            </w:pPr>
          </w:p>
        </w:tc>
        <w:tc>
          <w:tcPr>
            <w:tcW w:w="983" w:type="dxa"/>
            <w:vAlign w:val="center"/>
          </w:tcPr>
          <w:p w14:paraId="239B0727">
            <w:pPr>
              <w:spacing w:line="276" w:lineRule="auto"/>
              <w:jc w:val="center"/>
              <w:rPr>
                <w:rFonts w:ascii="宋体" w:hAnsi="宋体" w:eastAsia="宋体" w:cs="宋体"/>
                <w:bCs/>
                <w:szCs w:val="21"/>
              </w:rPr>
            </w:pPr>
          </w:p>
        </w:tc>
      </w:tr>
      <w:tr w14:paraId="46AAA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35F6A6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168</w:t>
            </w:r>
          </w:p>
        </w:tc>
        <w:tc>
          <w:tcPr>
            <w:tcW w:w="841" w:type="dxa"/>
            <w:vMerge w:val="continue"/>
          </w:tcPr>
          <w:p w14:paraId="64854611">
            <w:pPr>
              <w:spacing w:line="276" w:lineRule="auto"/>
              <w:jc w:val="center"/>
              <w:rPr>
                <w:rFonts w:ascii="宋体" w:hAnsi="宋体" w:eastAsia="宋体" w:cs="宋体"/>
                <w:bCs/>
                <w:szCs w:val="21"/>
              </w:rPr>
            </w:pPr>
          </w:p>
        </w:tc>
        <w:tc>
          <w:tcPr>
            <w:tcW w:w="1223" w:type="dxa"/>
            <w:shd w:val="clear" w:color="auto" w:fill="auto"/>
            <w:vAlign w:val="center"/>
          </w:tcPr>
          <w:p w14:paraId="45AFDB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图片云存储交换机</w:t>
            </w:r>
          </w:p>
        </w:tc>
        <w:tc>
          <w:tcPr>
            <w:tcW w:w="890" w:type="dxa"/>
            <w:vAlign w:val="center"/>
          </w:tcPr>
          <w:p w14:paraId="0C8B2983">
            <w:pPr>
              <w:spacing w:line="276" w:lineRule="auto"/>
              <w:jc w:val="center"/>
              <w:rPr>
                <w:rFonts w:ascii="宋体" w:hAnsi="宋体" w:eastAsia="宋体" w:cs="宋体"/>
                <w:bCs/>
                <w:szCs w:val="21"/>
              </w:rPr>
            </w:pPr>
          </w:p>
        </w:tc>
        <w:tc>
          <w:tcPr>
            <w:tcW w:w="508" w:type="dxa"/>
            <w:vAlign w:val="center"/>
          </w:tcPr>
          <w:p w14:paraId="57CAE055">
            <w:pPr>
              <w:spacing w:line="276" w:lineRule="auto"/>
              <w:jc w:val="center"/>
              <w:rPr>
                <w:rFonts w:ascii="宋体" w:hAnsi="宋体" w:eastAsia="宋体" w:cs="宋体"/>
                <w:bCs/>
                <w:szCs w:val="21"/>
              </w:rPr>
            </w:pPr>
          </w:p>
        </w:tc>
        <w:tc>
          <w:tcPr>
            <w:tcW w:w="810" w:type="dxa"/>
            <w:vAlign w:val="center"/>
          </w:tcPr>
          <w:p w14:paraId="5862F57D">
            <w:pPr>
              <w:spacing w:line="276" w:lineRule="auto"/>
              <w:jc w:val="center"/>
              <w:rPr>
                <w:rFonts w:ascii="宋体" w:hAnsi="宋体" w:eastAsia="宋体" w:cs="宋体"/>
                <w:bCs/>
                <w:szCs w:val="21"/>
              </w:rPr>
            </w:pPr>
          </w:p>
        </w:tc>
        <w:tc>
          <w:tcPr>
            <w:tcW w:w="715" w:type="dxa"/>
            <w:vAlign w:val="center"/>
          </w:tcPr>
          <w:p w14:paraId="353C6472">
            <w:pPr>
              <w:spacing w:line="276" w:lineRule="auto"/>
              <w:jc w:val="center"/>
              <w:rPr>
                <w:rFonts w:ascii="宋体" w:hAnsi="宋体" w:eastAsia="宋体" w:cs="宋体"/>
                <w:bCs/>
                <w:szCs w:val="21"/>
              </w:rPr>
            </w:pPr>
          </w:p>
        </w:tc>
        <w:tc>
          <w:tcPr>
            <w:tcW w:w="1160" w:type="dxa"/>
            <w:vAlign w:val="center"/>
          </w:tcPr>
          <w:p w14:paraId="6A9E45AB">
            <w:pPr>
              <w:spacing w:line="276" w:lineRule="auto"/>
              <w:jc w:val="center"/>
              <w:rPr>
                <w:rFonts w:ascii="宋体" w:hAnsi="宋体" w:eastAsia="宋体" w:cs="宋体"/>
                <w:bCs/>
                <w:szCs w:val="21"/>
              </w:rPr>
            </w:pPr>
          </w:p>
        </w:tc>
        <w:tc>
          <w:tcPr>
            <w:tcW w:w="917" w:type="dxa"/>
            <w:shd w:val="clear" w:color="auto" w:fill="auto"/>
            <w:vAlign w:val="center"/>
          </w:tcPr>
          <w:p w14:paraId="3EDA7B45">
            <w:pPr>
              <w:spacing w:line="276" w:lineRule="auto"/>
              <w:jc w:val="center"/>
              <w:rPr>
                <w:rFonts w:ascii="宋体" w:hAnsi="宋体" w:eastAsia="宋体" w:cs="宋体"/>
                <w:bCs/>
                <w:szCs w:val="21"/>
              </w:rPr>
            </w:pPr>
          </w:p>
        </w:tc>
        <w:tc>
          <w:tcPr>
            <w:tcW w:w="666" w:type="dxa"/>
            <w:shd w:val="clear" w:color="auto" w:fill="auto"/>
            <w:vAlign w:val="center"/>
          </w:tcPr>
          <w:p w14:paraId="1BFC581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550" w:type="dxa"/>
            <w:shd w:val="clear" w:color="auto" w:fill="auto"/>
            <w:vAlign w:val="center"/>
          </w:tcPr>
          <w:p w14:paraId="08AC02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7F47E9B0">
            <w:pPr>
              <w:spacing w:line="276" w:lineRule="auto"/>
              <w:jc w:val="center"/>
              <w:rPr>
                <w:rFonts w:ascii="宋体" w:hAnsi="宋体" w:eastAsia="宋体" w:cs="宋体"/>
                <w:bCs/>
                <w:szCs w:val="21"/>
              </w:rPr>
            </w:pPr>
          </w:p>
        </w:tc>
        <w:tc>
          <w:tcPr>
            <w:tcW w:w="983" w:type="dxa"/>
            <w:vAlign w:val="center"/>
          </w:tcPr>
          <w:p w14:paraId="03597FD7">
            <w:pPr>
              <w:spacing w:line="276" w:lineRule="auto"/>
              <w:jc w:val="center"/>
              <w:rPr>
                <w:rFonts w:ascii="宋体" w:hAnsi="宋体" w:eastAsia="宋体" w:cs="宋体"/>
                <w:bCs/>
                <w:szCs w:val="21"/>
              </w:rPr>
            </w:pPr>
          </w:p>
        </w:tc>
      </w:tr>
      <w:tr w14:paraId="17528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97340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169</w:t>
            </w:r>
          </w:p>
        </w:tc>
        <w:tc>
          <w:tcPr>
            <w:tcW w:w="841" w:type="dxa"/>
            <w:vMerge w:val="continue"/>
          </w:tcPr>
          <w:p w14:paraId="4941E3EF">
            <w:pPr>
              <w:spacing w:line="276" w:lineRule="auto"/>
              <w:jc w:val="center"/>
              <w:rPr>
                <w:rFonts w:ascii="宋体" w:hAnsi="宋体" w:eastAsia="宋体" w:cs="宋体"/>
                <w:bCs/>
                <w:szCs w:val="21"/>
              </w:rPr>
            </w:pPr>
          </w:p>
        </w:tc>
        <w:tc>
          <w:tcPr>
            <w:tcW w:w="1223" w:type="dxa"/>
            <w:shd w:val="clear" w:color="auto" w:fill="auto"/>
            <w:vAlign w:val="center"/>
          </w:tcPr>
          <w:p w14:paraId="15869E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大数据存储节点</w:t>
            </w:r>
          </w:p>
        </w:tc>
        <w:tc>
          <w:tcPr>
            <w:tcW w:w="890" w:type="dxa"/>
            <w:vAlign w:val="center"/>
          </w:tcPr>
          <w:p w14:paraId="10549A39">
            <w:pPr>
              <w:spacing w:line="276" w:lineRule="auto"/>
              <w:jc w:val="center"/>
              <w:rPr>
                <w:rFonts w:ascii="宋体" w:hAnsi="宋体" w:eastAsia="宋体" w:cs="宋体"/>
                <w:bCs/>
                <w:szCs w:val="21"/>
              </w:rPr>
            </w:pPr>
          </w:p>
        </w:tc>
        <w:tc>
          <w:tcPr>
            <w:tcW w:w="508" w:type="dxa"/>
            <w:vAlign w:val="center"/>
          </w:tcPr>
          <w:p w14:paraId="03AA7E3F">
            <w:pPr>
              <w:spacing w:line="276" w:lineRule="auto"/>
              <w:jc w:val="center"/>
              <w:rPr>
                <w:rFonts w:ascii="宋体" w:hAnsi="宋体" w:eastAsia="宋体" w:cs="宋体"/>
                <w:bCs/>
                <w:szCs w:val="21"/>
              </w:rPr>
            </w:pPr>
          </w:p>
        </w:tc>
        <w:tc>
          <w:tcPr>
            <w:tcW w:w="810" w:type="dxa"/>
            <w:vAlign w:val="center"/>
          </w:tcPr>
          <w:p w14:paraId="633607AB">
            <w:pPr>
              <w:spacing w:line="276" w:lineRule="auto"/>
              <w:jc w:val="center"/>
              <w:rPr>
                <w:rFonts w:ascii="宋体" w:hAnsi="宋体" w:eastAsia="宋体" w:cs="宋体"/>
                <w:bCs/>
                <w:szCs w:val="21"/>
              </w:rPr>
            </w:pPr>
          </w:p>
        </w:tc>
        <w:tc>
          <w:tcPr>
            <w:tcW w:w="715" w:type="dxa"/>
            <w:vAlign w:val="center"/>
          </w:tcPr>
          <w:p w14:paraId="52738AC2">
            <w:pPr>
              <w:spacing w:line="276" w:lineRule="auto"/>
              <w:jc w:val="center"/>
              <w:rPr>
                <w:rFonts w:ascii="宋体" w:hAnsi="宋体" w:eastAsia="宋体" w:cs="宋体"/>
                <w:bCs/>
                <w:szCs w:val="21"/>
              </w:rPr>
            </w:pPr>
          </w:p>
        </w:tc>
        <w:tc>
          <w:tcPr>
            <w:tcW w:w="1160" w:type="dxa"/>
            <w:vAlign w:val="center"/>
          </w:tcPr>
          <w:p w14:paraId="62FE14C8">
            <w:pPr>
              <w:spacing w:line="276" w:lineRule="auto"/>
              <w:jc w:val="center"/>
              <w:rPr>
                <w:rFonts w:ascii="宋体" w:hAnsi="宋体" w:eastAsia="宋体" w:cs="宋体"/>
                <w:bCs/>
                <w:szCs w:val="21"/>
              </w:rPr>
            </w:pPr>
          </w:p>
        </w:tc>
        <w:tc>
          <w:tcPr>
            <w:tcW w:w="917" w:type="dxa"/>
            <w:shd w:val="clear" w:color="auto" w:fill="auto"/>
            <w:vAlign w:val="center"/>
          </w:tcPr>
          <w:p w14:paraId="6C941D6E">
            <w:pPr>
              <w:spacing w:line="276" w:lineRule="auto"/>
              <w:jc w:val="center"/>
              <w:rPr>
                <w:rFonts w:ascii="宋体" w:hAnsi="宋体" w:eastAsia="宋体" w:cs="宋体"/>
                <w:bCs/>
                <w:szCs w:val="21"/>
              </w:rPr>
            </w:pPr>
          </w:p>
        </w:tc>
        <w:tc>
          <w:tcPr>
            <w:tcW w:w="666" w:type="dxa"/>
            <w:shd w:val="clear" w:color="auto" w:fill="auto"/>
            <w:vAlign w:val="center"/>
          </w:tcPr>
          <w:p w14:paraId="3497BE9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550" w:type="dxa"/>
            <w:shd w:val="clear" w:color="auto" w:fill="auto"/>
            <w:vAlign w:val="center"/>
          </w:tcPr>
          <w:p w14:paraId="011826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09D51D32">
            <w:pPr>
              <w:spacing w:line="276" w:lineRule="auto"/>
              <w:jc w:val="center"/>
              <w:rPr>
                <w:rFonts w:ascii="宋体" w:hAnsi="宋体" w:eastAsia="宋体" w:cs="宋体"/>
                <w:bCs/>
                <w:szCs w:val="21"/>
              </w:rPr>
            </w:pPr>
          </w:p>
        </w:tc>
        <w:tc>
          <w:tcPr>
            <w:tcW w:w="983" w:type="dxa"/>
            <w:vAlign w:val="center"/>
          </w:tcPr>
          <w:p w14:paraId="75996738">
            <w:pPr>
              <w:spacing w:line="276" w:lineRule="auto"/>
              <w:jc w:val="center"/>
              <w:rPr>
                <w:rFonts w:ascii="宋体" w:hAnsi="宋体" w:eastAsia="宋体" w:cs="宋体"/>
                <w:bCs/>
                <w:szCs w:val="21"/>
              </w:rPr>
            </w:pPr>
          </w:p>
        </w:tc>
      </w:tr>
      <w:tr w14:paraId="716A0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DCBD0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170</w:t>
            </w:r>
          </w:p>
        </w:tc>
        <w:tc>
          <w:tcPr>
            <w:tcW w:w="841" w:type="dxa"/>
            <w:vMerge w:val="continue"/>
          </w:tcPr>
          <w:p w14:paraId="7E10A8C9">
            <w:pPr>
              <w:spacing w:line="276" w:lineRule="auto"/>
              <w:jc w:val="center"/>
              <w:rPr>
                <w:rFonts w:ascii="宋体" w:hAnsi="宋体" w:eastAsia="宋体" w:cs="宋体"/>
                <w:bCs/>
                <w:szCs w:val="21"/>
              </w:rPr>
            </w:pPr>
          </w:p>
        </w:tc>
        <w:tc>
          <w:tcPr>
            <w:tcW w:w="1223" w:type="dxa"/>
            <w:shd w:val="clear" w:color="auto" w:fill="auto"/>
            <w:vAlign w:val="center"/>
          </w:tcPr>
          <w:p w14:paraId="6E97B8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视频云存储设备（交警部分）</w:t>
            </w:r>
          </w:p>
        </w:tc>
        <w:tc>
          <w:tcPr>
            <w:tcW w:w="890" w:type="dxa"/>
            <w:vAlign w:val="center"/>
          </w:tcPr>
          <w:p w14:paraId="75715B37">
            <w:pPr>
              <w:spacing w:line="276" w:lineRule="auto"/>
              <w:jc w:val="center"/>
              <w:rPr>
                <w:rFonts w:ascii="宋体" w:hAnsi="宋体" w:eastAsia="宋体" w:cs="宋体"/>
                <w:bCs/>
                <w:szCs w:val="21"/>
              </w:rPr>
            </w:pPr>
          </w:p>
        </w:tc>
        <w:tc>
          <w:tcPr>
            <w:tcW w:w="508" w:type="dxa"/>
            <w:vAlign w:val="center"/>
          </w:tcPr>
          <w:p w14:paraId="03ACEBC6">
            <w:pPr>
              <w:spacing w:line="276" w:lineRule="auto"/>
              <w:jc w:val="center"/>
              <w:rPr>
                <w:rFonts w:ascii="宋体" w:hAnsi="宋体" w:eastAsia="宋体" w:cs="宋体"/>
                <w:bCs/>
                <w:szCs w:val="21"/>
              </w:rPr>
            </w:pPr>
          </w:p>
        </w:tc>
        <w:tc>
          <w:tcPr>
            <w:tcW w:w="810" w:type="dxa"/>
            <w:vAlign w:val="center"/>
          </w:tcPr>
          <w:p w14:paraId="37EF63BE">
            <w:pPr>
              <w:spacing w:line="276" w:lineRule="auto"/>
              <w:jc w:val="center"/>
              <w:rPr>
                <w:rFonts w:ascii="宋体" w:hAnsi="宋体" w:eastAsia="宋体" w:cs="宋体"/>
                <w:bCs/>
                <w:szCs w:val="21"/>
              </w:rPr>
            </w:pPr>
          </w:p>
        </w:tc>
        <w:tc>
          <w:tcPr>
            <w:tcW w:w="715" w:type="dxa"/>
            <w:vAlign w:val="center"/>
          </w:tcPr>
          <w:p w14:paraId="7AB93C9B">
            <w:pPr>
              <w:spacing w:line="276" w:lineRule="auto"/>
              <w:jc w:val="center"/>
              <w:rPr>
                <w:rFonts w:ascii="宋体" w:hAnsi="宋体" w:eastAsia="宋体" w:cs="宋体"/>
                <w:bCs/>
                <w:szCs w:val="21"/>
              </w:rPr>
            </w:pPr>
          </w:p>
        </w:tc>
        <w:tc>
          <w:tcPr>
            <w:tcW w:w="1160" w:type="dxa"/>
            <w:vAlign w:val="center"/>
          </w:tcPr>
          <w:p w14:paraId="27B0BED2">
            <w:pPr>
              <w:spacing w:line="276" w:lineRule="auto"/>
              <w:jc w:val="center"/>
              <w:rPr>
                <w:rFonts w:ascii="宋体" w:hAnsi="宋体" w:eastAsia="宋体" w:cs="宋体"/>
                <w:bCs/>
                <w:szCs w:val="21"/>
              </w:rPr>
            </w:pPr>
          </w:p>
        </w:tc>
        <w:tc>
          <w:tcPr>
            <w:tcW w:w="917" w:type="dxa"/>
            <w:shd w:val="clear" w:color="auto" w:fill="auto"/>
            <w:vAlign w:val="center"/>
          </w:tcPr>
          <w:p w14:paraId="02DD1293">
            <w:pPr>
              <w:spacing w:line="276" w:lineRule="auto"/>
              <w:jc w:val="center"/>
              <w:rPr>
                <w:rFonts w:ascii="宋体" w:hAnsi="宋体" w:eastAsia="宋体" w:cs="宋体"/>
                <w:bCs/>
                <w:szCs w:val="21"/>
              </w:rPr>
            </w:pPr>
          </w:p>
        </w:tc>
        <w:tc>
          <w:tcPr>
            <w:tcW w:w="666" w:type="dxa"/>
            <w:shd w:val="clear" w:color="auto" w:fill="auto"/>
            <w:vAlign w:val="center"/>
          </w:tcPr>
          <w:p w14:paraId="54E91FF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550" w:type="dxa"/>
            <w:shd w:val="clear" w:color="auto" w:fill="auto"/>
            <w:vAlign w:val="center"/>
          </w:tcPr>
          <w:p w14:paraId="0876AA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70DD438E">
            <w:pPr>
              <w:spacing w:line="276" w:lineRule="auto"/>
              <w:jc w:val="center"/>
              <w:rPr>
                <w:rFonts w:ascii="宋体" w:hAnsi="宋体" w:eastAsia="宋体" w:cs="宋体"/>
                <w:bCs/>
                <w:szCs w:val="21"/>
              </w:rPr>
            </w:pPr>
          </w:p>
        </w:tc>
        <w:tc>
          <w:tcPr>
            <w:tcW w:w="983" w:type="dxa"/>
            <w:vAlign w:val="center"/>
          </w:tcPr>
          <w:p w14:paraId="617076C2">
            <w:pPr>
              <w:spacing w:line="276" w:lineRule="auto"/>
              <w:jc w:val="center"/>
              <w:rPr>
                <w:rFonts w:ascii="宋体" w:hAnsi="宋体" w:eastAsia="宋体" w:cs="宋体"/>
                <w:bCs/>
                <w:szCs w:val="21"/>
              </w:rPr>
            </w:pPr>
          </w:p>
        </w:tc>
      </w:tr>
      <w:tr w14:paraId="2478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E81FD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171</w:t>
            </w:r>
          </w:p>
        </w:tc>
        <w:tc>
          <w:tcPr>
            <w:tcW w:w="841" w:type="dxa"/>
            <w:vMerge w:val="continue"/>
          </w:tcPr>
          <w:p w14:paraId="5CB02B0A">
            <w:pPr>
              <w:spacing w:line="276" w:lineRule="auto"/>
              <w:jc w:val="center"/>
              <w:rPr>
                <w:rFonts w:ascii="宋体" w:hAnsi="宋体" w:eastAsia="宋体" w:cs="宋体"/>
                <w:bCs/>
                <w:szCs w:val="21"/>
              </w:rPr>
            </w:pPr>
          </w:p>
        </w:tc>
        <w:tc>
          <w:tcPr>
            <w:tcW w:w="1223" w:type="dxa"/>
            <w:shd w:val="clear" w:color="auto" w:fill="auto"/>
            <w:vAlign w:val="center"/>
          </w:tcPr>
          <w:p w14:paraId="135C6A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视频云存储千兆交换机</w:t>
            </w:r>
          </w:p>
        </w:tc>
        <w:tc>
          <w:tcPr>
            <w:tcW w:w="890" w:type="dxa"/>
            <w:vAlign w:val="center"/>
          </w:tcPr>
          <w:p w14:paraId="154108BE">
            <w:pPr>
              <w:spacing w:line="276" w:lineRule="auto"/>
              <w:jc w:val="center"/>
              <w:rPr>
                <w:rFonts w:ascii="宋体" w:hAnsi="宋体" w:eastAsia="宋体" w:cs="宋体"/>
                <w:bCs/>
                <w:szCs w:val="21"/>
              </w:rPr>
            </w:pPr>
          </w:p>
        </w:tc>
        <w:tc>
          <w:tcPr>
            <w:tcW w:w="508" w:type="dxa"/>
            <w:vAlign w:val="center"/>
          </w:tcPr>
          <w:p w14:paraId="02ECF3D6">
            <w:pPr>
              <w:spacing w:line="276" w:lineRule="auto"/>
              <w:jc w:val="center"/>
              <w:rPr>
                <w:rFonts w:ascii="宋体" w:hAnsi="宋体" w:eastAsia="宋体" w:cs="宋体"/>
                <w:bCs/>
                <w:szCs w:val="21"/>
              </w:rPr>
            </w:pPr>
          </w:p>
        </w:tc>
        <w:tc>
          <w:tcPr>
            <w:tcW w:w="810" w:type="dxa"/>
            <w:vAlign w:val="center"/>
          </w:tcPr>
          <w:p w14:paraId="3B38AC59">
            <w:pPr>
              <w:spacing w:line="276" w:lineRule="auto"/>
              <w:jc w:val="center"/>
              <w:rPr>
                <w:rFonts w:ascii="宋体" w:hAnsi="宋体" w:eastAsia="宋体" w:cs="宋体"/>
                <w:bCs/>
                <w:szCs w:val="21"/>
              </w:rPr>
            </w:pPr>
          </w:p>
        </w:tc>
        <w:tc>
          <w:tcPr>
            <w:tcW w:w="715" w:type="dxa"/>
            <w:vAlign w:val="center"/>
          </w:tcPr>
          <w:p w14:paraId="70358BC3">
            <w:pPr>
              <w:spacing w:line="276" w:lineRule="auto"/>
              <w:jc w:val="center"/>
              <w:rPr>
                <w:rFonts w:ascii="宋体" w:hAnsi="宋体" w:eastAsia="宋体" w:cs="宋体"/>
                <w:bCs/>
                <w:szCs w:val="21"/>
              </w:rPr>
            </w:pPr>
          </w:p>
        </w:tc>
        <w:tc>
          <w:tcPr>
            <w:tcW w:w="1160" w:type="dxa"/>
            <w:vAlign w:val="center"/>
          </w:tcPr>
          <w:p w14:paraId="02997C48">
            <w:pPr>
              <w:spacing w:line="276" w:lineRule="auto"/>
              <w:jc w:val="center"/>
              <w:rPr>
                <w:rFonts w:ascii="宋体" w:hAnsi="宋体" w:eastAsia="宋体" w:cs="宋体"/>
                <w:bCs/>
                <w:szCs w:val="21"/>
              </w:rPr>
            </w:pPr>
          </w:p>
        </w:tc>
        <w:tc>
          <w:tcPr>
            <w:tcW w:w="917" w:type="dxa"/>
            <w:shd w:val="clear" w:color="auto" w:fill="auto"/>
            <w:vAlign w:val="center"/>
          </w:tcPr>
          <w:p w14:paraId="1D617951">
            <w:pPr>
              <w:spacing w:line="276" w:lineRule="auto"/>
              <w:jc w:val="center"/>
              <w:rPr>
                <w:rFonts w:ascii="宋体" w:hAnsi="宋体" w:eastAsia="宋体" w:cs="宋体"/>
                <w:bCs/>
                <w:szCs w:val="21"/>
              </w:rPr>
            </w:pPr>
          </w:p>
        </w:tc>
        <w:tc>
          <w:tcPr>
            <w:tcW w:w="666" w:type="dxa"/>
            <w:shd w:val="clear" w:color="auto" w:fill="auto"/>
            <w:vAlign w:val="center"/>
          </w:tcPr>
          <w:p w14:paraId="31DCC11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550" w:type="dxa"/>
            <w:shd w:val="clear" w:color="auto" w:fill="auto"/>
            <w:vAlign w:val="center"/>
          </w:tcPr>
          <w:p w14:paraId="5275D9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0662925F">
            <w:pPr>
              <w:spacing w:line="276" w:lineRule="auto"/>
              <w:jc w:val="center"/>
              <w:rPr>
                <w:rFonts w:ascii="宋体" w:hAnsi="宋体" w:eastAsia="宋体" w:cs="宋体"/>
                <w:bCs/>
                <w:szCs w:val="21"/>
              </w:rPr>
            </w:pPr>
          </w:p>
        </w:tc>
        <w:tc>
          <w:tcPr>
            <w:tcW w:w="983" w:type="dxa"/>
            <w:vAlign w:val="center"/>
          </w:tcPr>
          <w:p w14:paraId="5AC104DB">
            <w:pPr>
              <w:spacing w:line="276" w:lineRule="auto"/>
              <w:jc w:val="center"/>
              <w:rPr>
                <w:rFonts w:ascii="宋体" w:hAnsi="宋体" w:eastAsia="宋体" w:cs="宋体"/>
                <w:bCs/>
                <w:szCs w:val="21"/>
              </w:rPr>
            </w:pPr>
          </w:p>
        </w:tc>
      </w:tr>
      <w:tr w14:paraId="00A04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BF492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172</w:t>
            </w:r>
          </w:p>
        </w:tc>
        <w:tc>
          <w:tcPr>
            <w:tcW w:w="841" w:type="dxa"/>
            <w:vMerge w:val="continue"/>
          </w:tcPr>
          <w:p w14:paraId="31774D30">
            <w:pPr>
              <w:spacing w:line="276" w:lineRule="auto"/>
              <w:jc w:val="center"/>
              <w:rPr>
                <w:rFonts w:ascii="宋体" w:hAnsi="宋体" w:eastAsia="宋体" w:cs="宋体"/>
                <w:bCs/>
                <w:szCs w:val="21"/>
              </w:rPr>
            </w:pPr>
          </w:p>
        </w:tc>
        <w:tc>
          <w:tcPr>
            <w:tcW w:w="1223" w:type="dxa"/>
            <w:shd w:val="clear" w:color="auto" w:fill="auto"/>
            <w:vAlign w:val="center"/>
          </w:tcPr>
          <w:p w14:paraId="343FE7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视频云存储万兆交换机</w:t>
            </w:r>
          </w:p>
        </w:tc>
        <w:tc>
          <w:tcPr>
            <w:tcW w:w="890" w:type="dxa"/>
            <w:vAlign w:val="center"/>
          </w:tcPr>
          <w:p w14:paraId="66A74D03">
            <w:pPr>
              <w:spacing w:line="276" w:lineRule="auto"/>
              <w:jc w:val="center"/>
              <w:rPr>
                <w:rFonts w:ascii="宋体" w:hAnsi="宋体" w:eastAsia="宋体" w:cs="宋体"/>
                <w:bCs/>
                <w:szCs w:val="21"/>
              </w:rPr>
            </w:pPr>
          </w:p>
        </w:tc>
        <w:tc>
          <w:tcPr>
            <w:tcW w:w="508" w:type="dxa"/>
            <w:vAlign w:val="center"/>
          </w:tcPr>
          <w:p w14:paraId="7AA00F5A">
            <w:pPr>
              <w:spacing w:line="276" w:lineRule="auto"/>
              <w:jc w:val="center"/>
              <w:rPr>
                <w:rFonts w:ascii="宋体" w:hAnsi="宋体" w:eastAsia="宋体" w:cs="宋体"/>
                <w:bCs/>
                <w:szCs w:val="21"/>
              </w:rPr>
            </w:pPr>
          </w:p>
        </w:tc>
        <w:tc>
          <w:tcPr>
            <w:tcW w:w="810" w:type="dxa"/>
            <w:vAlign w:val="center"/>
          </w:tcPr>
          <w:p w14:paraId="736B3B6A">
            <w:pPr>
              <w:spacing w:line="276" w:lineRule="auto"/>
              <w:jc w:val="center"/>
              <w:rPr>
                <w:rFonts w:ascii="宋体" w:hAnsi="宋体" w:eastAsia="宋体" w:cs="宋体"/>
                <w:bCs/>
                <w:szCs w:val="21"/>
              </w:rPr>
            </w:pPr>
          </w:p>
        </w:tc>
        <w:tc>
          <w:tcPr>
            <w:tcW w:w="715" w:type="dxa"/>
            <w:vAlign w:val="center"/>
          </w:tcPr>
          <w:p w14:paraId="01778F98">
            <w:pPr>
              <w:spacing w:line="276" w:lineRule="auto"/>
              <w:jc w:val="center"/>
              <w:rPr>
                <w:rFonts w:ascii="宋体" w:hAnsi="宋体" w:eastAsia="宋体" w:cs="宋体"/>
                <w:bCs/>
                <w:szCs w:val="21"/>
              </w:rPr>
            </w:pPr>
          </w:p>
        </w:tc>
        <w:tc>
          <w:tcPr>
            <w:tcW w:w="1160" w:type="dxa"/>
            <w:vAlign w:val="center"/>
          </w:tcPr>
          <w:p w14:paraId="56C703A1">
            <w:pPr>
              <w:spacing w:line="276" w:lineRule="auto"/>
              <w:jc w:val="center"/>
              <w:rPr>
                <w:rFonts w:ascii="宋体" w:hAnsi="宋体" w:eastAsia="宋体" w:cs="宋体"/>
                <w:bCs/>
                <w:szCs w:val="21"/>
              </w:rPr>
            </w:pPr>
          </w:p>
        </w:tc>
        <w:tc>
          <w:tcPr>
            <w:tcW w:w="917" w:type="dxa"/>
            <w:shd w:val="clear" w:color="auto" w:fill="auto"/>
            <w:vAlign w:val="center"/>
          </w:tcPr>
          <w:p w14:paraId="632F215D">
            <w:pPr>
              <w:spacing w:line="276" w:lineRule="auto"/>
              <w:jc w:val="center"/>
              <w:rPr>
                <w:rFonts w:ascii="宋体" w:hAnsi="宋体" w:eastAsia="宋体" w:cs="宋体"/>
                <w:bCs/>
                <w:szCs w:val="21"/>
              </w:rPr>
            </w:pPr>
          </w:p>
        </w:tc>
        <w:tc>
          <w:tcPr>
            <w:tcW w:w="666" w:type="dxa"/>
            <w:shd w:val="clear" w:color="auto" w:fill="auto"/>
            <w:vAlign w:val="center"/>
          </w:tcPr>
          <w:p w14:paraId="7526FBE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550" w:type="dxa"/>
            <w:shd w:val="clear" w:color="auto" w:fill="auto"/>
            <w:vAlign w:val="center"/>
          </w:tcPr>
          <w:p w14:paraId="2035E5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7648E9E2">
            <w:pPr>
              <w:spacing w:line="276" w:lineRule="auto"/>
              <w:jc w:val="center"/>
              <w:rPr>
                <w:rFonts w:ascii="宋体" w:hAnsi="宋体" w:eastAsia="宋体" w:cs="宋体"/>
                <w:bCs/>
                <w:szCs w:val="21"/>
              </w:rPr>
            </w:pPr>
          </w:p>
        </w:tc>
        <w:tc>
          <w:tcPr>
            <w:tcW w:w="983" w:type="dxa"/>
            <w:vAlign w:val="center"/>
          </w:tcPr>
          <w:p w14:paraId="722108F3">
            <w:pPr>
              <w:spacing w:line="276" w:lineRule="auto"/>
              <w:jc w:val="center"/>
              <w:rPr>
                <w:rFonts w:ascii="宋体" w:hAnsi="宋体" w:eastAsia="宋体" w:cs="宋体"/>
                <w:bCs/>
                <w:szCs w:val="21"/>
              </w:rPr>
            </w:pPr>
          </w:p>
        </w:tc>
      </w:tr>
      <w:tr w14:paraId="4A1A2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194F76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173</w:t>
            </w:r>
          </w:p>
        </w:tc>
        <w:tc>
          <w:tcPr>
            <w:tcW w:w="841" w:type="dxa"/>
            <w:vMerge w:val="continue"/>
          </w:tcPr>
          <w:p w14:paraId="2C5E4C89">
            <w:pPr>
              <w:spacing w:line="276" w:lineRule="auto"/>
              <w:jc w:val="center"/>
              <w:rPr>
                <w:rFonts w:ascii="宋体" w:hAnsi="宋体" w:eastAsia="宋体" w:cs="宋体"/>
                <w:bCs/>
                <w:szCs w:val="21"/>
              </w:rPr>
            </w:pPr>
          </w:p>
        </w:tc>
        <w:tc>
          <w:tcPr>
            <w:tcW w:w="1223" w:type="dxa"/>
            <w:shd w:val="clear" w:color="auto" w:fill="auto"/>
            <w:vAlign w:val="center"/>
          </w:tcPr>
          <w:p w14:paraId="25F9F2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BMC交换机</w:t>
            </w:r>
          </w:p>
        </w:tc>
        <w:tc>
          <w:tcPr>
            <w:tcW w:w="890" w:type="dxa"/>
            <w:vAlign w:val="center"/>
          </w:tcPr>
          <w:p w14:paraId="136A1984">
            <w:pPr>
              <w:spacing w:line="276" w:lineRule="auto"/>
              <w:jc w:val="center"/>
              <w:rPr>
                <w:rFonts w:ascii="宋体" w:hAnsi="宋体" w:eastAsia="宋体" w:cs="宋体"/>
                <w:bCs/>
                <w:szCs w:val="21"/>
              </w:rPr>
            </w:pPr>
          </w:p>
        </w:tc>
        <w:tc>
          <w:tcPr>
            <w:tcW w:w="508" w:type="dxa"/>
            <w:vAlign w:val="center"/>
          </w:tcPr>
          <w:p w14:paraId="56B09F10">
            <w:pPr>
              <w:spacing w:line="276" w:lineRule="auto"/>
              <w:jc w:val="center"/>
              <w:rPr>
                <w:rFonts w:ascii="宋体" w:hAnsi="宋体" w:eastAsia="宋体" w:cs="宋体"/>
                <w:bCs/>
                <w:szCs w:val="21"/>
              </w:rPr>
            </w:pPr>
          </w:p>
        </w:tc>
        <w:tc>
          <w:tcPr>
            <w:tcW w:w="810" w:type="dxa"/>
            <w:vAlign w:val="center"/>
          </w:tcPr>
          <w:p w14:paraId="5BC375F2">
            <w:pPr>
              <w:spacing w:line="276" w:lineRule="auto"/>
              <w:jc w:val="center"/>
              <w:rPr>
                <w:rFonts w:ascii="宋体" w:hAnsi="宋体" w:eastAsia="宋体" w:cs="宋体"/>
                <w:bCs/>
                <w:szCs w:val="21"/>
              </w:rPr>
            </w:pPr>
          </w:p>
        </w:tc>
        <w:tc>
          <w:tcPr>
            <w:tcW w:w="715" w:type="dxa"/>
            <w:vAlign w:val="center"/>
          </w:tcPr>
          <w:p w14:paraId="45A3BB08">
            <w:pPr>
              <w:spacing w:line="276" w:lineRule="auto"/>
              <w:jc w:val="center"/>
              <w:rPr>
                <w:rFonts w:ascii="宋体" w:hAnsi="宋体" w:eastAsia="宋体" w:cs="宋体"/>
                <w:bCs/>
                <w:szCs w:val="21"/>
              </w:rPr>
            </w:pPr>
          </w:p>
        </w:tc>
        <w:tc>
          <w:tcPr>
            <w:tcW w:w="1160" w:type="dxa"/>
            <w:vAlign w:val="center"/>
          </w:tcPr>
          <w:p w14:paraId="5306C884">
            <w:pPr>
              <w:spacing w:line="276" w:lineRule="auto"/>
              <w:jc w:val="center"/>
              <w:rPr>
                <w:rFonts w:ascii="宋体" w:hAnsi="宋体" w:eastAsia="宋体" w:cs="宋体"/>
                <w:bCs/>
                <w:szCs w:val="21"/>
              </w:rPr>
            </w:pPr>
          </w:p>
        </w:tc>
        <w:tc>
          <w:tcPr>
            <w:tcW w:w="917" w:type="dxa"/>
            <w:shd w:val="clear" w:color="auto" w:fill="auto"/>
            <w:vAlign w:val="center"/>
          </w:tcPr>
          <w:p w14:paraId="6B91B93E">
            <w:pPr>
              <w:spacing w:line="276" w:lineRule="auto"/>
              <w:jc w:val="center"/>
              <w:rPr>
                <w:rFonts w:ascii="宋体" w:hAnsi="宋体" w:eastAsia="宋体" w:cs="宋体"/>
                <w:bCs/>
                <w:szCs w:val="21"/>
              </w:rPr>
            </w:pPr>
          </w:p>
        </w:tc>
        <w:tc>
          <w:tcPr>
            <w:tcW w:w="666" w:type="dxa"/>
            <w:shd w:val="clear" w:color="auto" w:fill="auto"/>
            <w:vAlign w:val="center"/>
          </w:tcPr>
          <w:p w14:paraId="7D65B55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475EF5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588A33EB">
            <w:pPr>
              <w:spacing w:line="276" w:lineRule="auto"/>
              <w:jc w:val="center"/>
              <w:rPr>
                <w:rFonts w:ascii="宋体" w:hAnsi="宋体" w:eastAsia="宋体" w:cs="宋体"/>
                <w:bCs/>
                <w:szCs w:val="21"/>
              </w:rPr>
            </w:pPr>
          </w:p>
        </w:tc>
        <w:tc>
          <w:tcPr>
            <w:tcW w:w="983" w:type="dxa"/>
            <w:vAlign w:val="center"/>
          </w:tcPr>
          <w:p w14:paraId="5C508B80">
            <w:pPr>
              <w:spacing w:line="276" w:lineRule="auto"/>
              <w:jc w:val="center"/>
              <w:rPr>
                <w:rFonts w:ascii="宋体" w:hAnsi="宋体" w:eastAsia="宋体" w:cs="宋体"/>
                <w:bCs/>
                <w:szCs w:val="21"/>
              </w:rPr>
            </w:pPr>
          </w:p>
        </w:tc>
      </w:tr>
      <w:tr w14:paraId="2ECF4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313A5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174</w:t>
            </w:r>
          </w:p>
        </w:tc>
        <w:tc>
          <w:tcPr>
            <w:tcW w:w="841" w:type="dxa"/>
            <w:vMerge w:val="continue"/>
          </w:tcPr>
          <w:p w14:paraId="3F3A3B0E">
            <w:pPr>
              <w:spacing w:line="276" w:lineRule="auto"/>
              <w:jc w:val="center"/>
              <w:rPr>
                <w:rFonts w:ascii="宋体" w:hAnsi="宋体" w:eastAsia="宋体" w:cs="宋体"/>
                <w:bCs/>
                <w:szCs w:val="21"/>
              </w:rPr>
            </w:pPr>
          </w:p>
        </w:tc>
        <w:tc>
          <w:tcPr>
            <w:tcW w:w="1223" w:type="dxa"/>
            <w:shd w:val="clear" w:color="auto" w:fill="auto"/>
            <w:vAlign w:val="center"/>
          </w:tcPr>
          <w:p w14:paraId="301DC5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OLT设备</w:t>
            </w:r>
          </w:p>
        </w:tc>
        <w:tc>
          <w:tcPr>
            <w:tcW w:w="890" w:type="dxa"/>
            <w:vAlign w:val="center"/>
          </w:tcPr>
          <w:p w14:paraId="30143C8D">
            <w:pPr>
              <w:spacing w:line="276" w:lineRule="auto"/>
              <w:jc w:val="center"/>
              <w:rPr>
                <w:rFonts w:ascii="宋体" w:hAnsi="宋体" w:eastAsia="宋体" w:cs="宋体"/>
                <w:bCs/>
                <w:szCs w:val="21"/>
              </w:rPr>
            </w:pPr>
          </w:p>
        </w:tc>
        <w:tc>
          <w:tcPr>
            <w:tcW w:w="508" w:type="dxa"/>
            <w:vAlign w:val="center"/>
          </w:tcPr>
          <w:p w14:paraId="690A0C57">
            <w:pPr>
              <w:spacing w:line="276" w:lineRule="auto"/>
              <w:jc w:val="center"/>
              <w:rPr>
                <w:rFonts w:ascii="宋体" w:hAnsi="宋体" w:eastAsia="宋体" w:cs="宋体"/>
                <w:bCs/>
                <w:szCs w:val="21"/>
              </w:rPr>
            </w:pPr>
          </w:p>
        </w:tc>
        <w:tc>
          <w:tcPr>
            <w:tcW w:w="810" w:type="dxa"/>
            <w:vAlign w:val="center"/>
          </w:tcPr>
          <w:p w14:paraId="7CCD79E7">
            <w:pPr>
              <w:spacing w:line="276" w:lineRule="auto"/>
              <w:jc w:val="center"/>
              <w:rPr>
                <w:rFonts w:ascii="宋体" w:hAnsi="宋体" w:eastAsia="宋体" w:cs="宋体"/>
                <w:bCs/>
                <w:szCs w:val="21"/>
              </w:rPr>
            </w:pPr>
          </w:p>
        </w:tc>
        <w:tc>
          <w:tcPr>
            <w:tcW w:w="715" w:type="dxa"/>
            <w:vAlign w:val="center"/>
          </w:tcPr>
          <w:p w14:paraId="52DCA5F4">
            <w:pPr>
              <w:spacing w:line="276" w:lineRule="auto"/>
              <w:jc w:val="center"/>
              <w:rPr>
                <w:rFonts w:ascii="宋体" w:hAnsi="宋体" w:eastAsia="宋体" w:cs="宋体"/>
                <w:bCs/>
                <w:szCs w:val="21"/>
              </w:rPr>
            </w:pPr>
          </w:p>
        </w:tc>
        <w:tc>
          <w:tcPr>
            <w:tcW w:w="1160" w:type="dxa"/>
            <w:vAlign w:val="center"/>
          </w:tcPr>
          <w:p w14:paraId="6350AD05">
            <w:pPr>
              <w:spacing w:line="276" w:lineRule="auto"/>
              <w:jc w:val="center"/>
              <w:rPr>
                <w:rFonts w:ascii="宋体" w:hAnsi="宋体" w:eastAsia="宋体" w:cs="宋体"/>
                <w:bCs/>
                <w:szCs w:val="21"/>
              </w:rPr>
            </w:pPr>
          </w:p>
        </w:tc>
        <w:tc>
          <w:tcPr>
            <w:tcW w:w="917" w:type="dxa"/>
            <w:shd w:val="clear" w:color="auto" w:fill="auto"/>
            <w:vAlign w:val="center"/>
          </w:tcPr>
          <w:p w14:paraId="4A09D0C9">
            <w:pPr>
              <w:spacing w:line="276" w:lineRule="auto"/>
              <w:jc w:val="center"/>
              <w:rPr>
                <w:rFonts w:ascii="宋体" w:hAnsi="宋体" w:eastAsia="宋体" w:cs="宋体"/>
                <w:bCs/>
                <w:szCs w:val="21"/>
              </w:rPr>
            </w:pPr>
          </w:p>
        </w:tc>
        <w:tc>
          <w:tcPr>
            <w:tcW w:w="666" w:type="dxa"/>
            <w:shd w:val="clear" w:color="auto" w:fill="auto"/>
            <w:vAlign w:val="center"/>
          </w:tcPr>
          <w:p w14:paraId="3F3FD53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618E59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967" w:type="dxa"/>
            <w:vAlign w:val="center"/>
          </w:tcPr>
          <w:p w14:paraId="006A99EA">
            <w:pPr>
              <w:spacing w:line="276" w:lineRule="auto"/>
              <w:jc w:val="center"/>
              <w:rPr>
                <w:rFonts w:ascii="宋体" w:hAnsi="宋体" w:eastAsia="宋体" w:cs="宋体"/>
                <w:bCs/>
                <w:szCs w:val="21"/>
              </w:rPr>
            </w:pPr>
          </w:p>
        </w:tc>
        <w:tc>
          <w:tcPr>
            <w:tcW w:w="983" w:type="dxa"/>
            <w:vAlign w:val="center"/>
          </w:tcPr>
          <w:p w14:paraId="1D07771C">
            <w:pPr>
              <w:spacing w:line="276" w:lineRule="auto"/>
              <w:jc w:val="center"/>
              <w:rPr>
                <w:rFonts w:ascii="宋体" w:hAnsi="宋体" w:eastAsia="宋体" w:cs="宋体"/>
                <w:bCs/>
                <w:szCs w:val="21"/>
              </w:rPr>
            </w:pPr>
          </w:p>
        </w:tc>
      </w:tr>
      <w:tr w14:paraId="63B66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5EC3F8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175</w:t>
            </w:r>
          </w:p>
        </w:tc>
        <w:tc>
          <w:tcPr>
            <w:tcW w:w="841" w:type="dxa"/>
            <w:vMerge w:val="continue"/>
          </w:tcPr>
          <w:p w14:paraId="50034264">
            <w:pPr>
              <w:spacing w:line="276" w:lineRule="auto"/>
              <w:jc w:val="center"/>
              <w:rPr>
                <w:rFonts w:ascii="宋体" w:hAnsi="宋体" w:eastAsia="宋体" w:cs="宋体"/>
                <w:bCs/>
                <w:szCs w:val="21"/>
              </w:rPr>
            </w:pPr>
          </w:p>
        </w:tc>
        <w:tc>
          <w:tcPr>
            <w:tcW w:w="1223" w:type="dxa"/>
            <w:shd w:val="clear" w:color="auto" w:fill="auto"/>
            <w:vAlign w:val="center"/>
          </w:tcPr>
          <w:p w14:paraId="3E704D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10GE多模光模块</w:t>
            </w:r>
          </w:p>
        </w:tc>
        <w:tc>
          <w:tcPr>
            <w:tcW w:w="890" w:type="dxa"/>
            <w:vAlign w:val="center"/>
          </w:tcPr>
          <w:p w14:paraId="077AEEE5">
            <w:pPr>
              <w:spacing w:line="276" w:lineRule="auto"/>
              <w:jc w:val="center"/>
              <w:rPr>
                <w:rFonts w:ascii="宋体" w:hAnsi="宋体" w:eastAsia="宋体" w:cs="宋体"/>
                <w:bCs/>
                <w:szCs w:val="21"/>
              </w:rPr>
            </w:pPr>
          </w:p>
        </w:tc>
        <w:tc>
          <w:tcPr>
            <w:tcW w:w="508" w:type="dxa"/>
            <w:vAlign w:val="center"/>
          </w:tcPr>
          <w:p w14:paraId="75A41D66">
            <w:pPr>
              <w:spacing w:line="276" w:lineRule="auto"/>
              <w:jc w:val="center"/>
              <w:rPr>
                <w:rFonts w:ascii="宋体" w:hAnsi="宋体" w:eastAsia="宋体" w:cs="宋体"/>
                <w:bCs/>
                <w:szCs w:val="21"/>
              </w:rPr>
            </w:pPr>
          </w:p>
        </w:tc>
        <w:tc>
          <w:tcPr>
            <w:tcW w:w="810" w:type="dxa"/>
            <w:vAlign w:val="center"/>
          </w:tcPr>
          <w:p w14:paraId="7DEE1C6E">
            <w:pPr>
              <w:spacing w:line="276" w:lineRule="auto"/>
              <w:jc w:val="center"/>
              <w:rPr>
                <w:rFonts w:ascii="宋体" w:hAnsi="宋体" w:eastAsia="宋体" w:cs="宋体"/>
                <w:bCs/>
                <w:szCs w:val="21"/>
              </w:rPr>
            </w:pPr>
          </w:p>
        </w:tc>
        <w:tc>
          <w:tcPr>
            <w:tcW w:w="715" w:type="dxa"/>
            <w:vAlign w:val="center"/>
          </w:tcPr>
          <w:p w14:paraId="78C9014B">
            <w:pPr>
              <w:spacing w:line="276" w:lineRule="auto"/>
              <w:jc w:val="center"/>
              <w:rPr>
                <w:rFonts w:ascii="宋体" w:hAnsi="宋体" w:eastAsia="宋体" w:cs="宋体"/>
                <w:bCs/>
                <w:szCs w:val="21"/>
              </w:rPr>
            </w:pPr>
          </w:p>
        </w:tc>
        <w:tc>
          <w:tcPr>
            <w:tcW w:w="1160" w:type="dxa"/>
            <w:vAlign w:val="center"/>
          </w:tcPr>
          <w:p w14:paraId="636F66B0">
            <w:pPr>
              <w:spacing w:line="276" w:lineRule="auto"/>
              <w:jc w:val="center"/>
              <w:rPr>
                <w:rFonts w:ascii="宋体" w:hAnsi="宋体" w:eastAsia="宋体" w:cs="宋体"/>
                <w:bCs/>
                <w:szCs w:val="21"/>
              </w:rPr>
            </w:pPr>
          </w:p>
        </w:tc>
        <w:tc>
          <w:tcPr>
            <w:tcW w:w="917" w:type="dxa"/>
            <w:shd w:val="clear" w:color="auto" w:fill="auto"/>
            <w:vAlign w:val="center"/>
          </w:tcPr>
          <w:p w14:paraId="7702E727">
            <w:pPr>
              <w:spacing w:line="276" w:lineRule="auto"/>
              <w:jc w:val="center"/>
              <w:rPr>
                <w:rFonts w:ascii="宋体" w:hAnsi="宋体" w:eastAsia="宋体" w:cs="宋体"/>
                <w:bCs/>
                <w:szCs w:val="21"/>
              </w:rPr>
            </w:pPr>
          </w:p>
        </w:tc>
        <w:tc>
          <w:tcPr>
            <w:tcW w:w="666" w:type="dxa"/>
            <w:shd w:val="clear" w:color="auto" w:fill="auto"/>
            <w:vAlign w:val="center"/>
          </w:tcPr>
          <w:p w14:paraId="63BF7C8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88</w:t>
            </w:r>
          </w:p>
        </w:tc>
        <w:tc>
          <w:tcPr>
            <w:tcW w:w="550" w:type="dxa"/>
            <w:shd w:val="clear" w:color="auto" w:fill="auto"/>
            <w:vAlign w:val="center"/>
          </w:tcPr>
          <w:p w14:paraId="7DE6B9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个</w:t>
            </w:r>
          </w:p>
        </w:tc>
        <w:tc>
          <w:tcPr>
            <w:tcW w:w="967" w:type="dxa"/>
            <w:vAlign w:val="center"/>
          </w:tcPr>
          <w:p w14:paraId="68D8413D">
            <w:pPr>
              <w:spacing w:line="276" w:lineRule="auto"/>
              <w:jc w:val="center"/>
              <w:rPr>
                <w:rFonts w:ascii="宋体" w:hAnsi="宋体" w:eastAsia="宋体" w:cs="宋体"/>
                <w:bCs/>
                <w:szCs w:val="21"/>
              </w:rPr>
            </w:pPr>
          </w:p>
        </w:tc>
        <w:tc>
          <w:tcPr>
            <w:tcW w:w="983" w:type="dxa"/>
            <w:vAlign w:val="center"/>
          </w:tcPr>
          <w:p w14:paraId="36F3FFCE">
            <w:pPr>
              <w:spacing w:line="276" w:lineRule="auto"/>
              <w:jc w:val="center"/>
              <w:rPr>
                <w:rFonts w:ascii="宋体" w:hAnsi="宋体" w:eastAsia="宋体" w:cs="宋体"/>
                <w:bCs/>
                <w:szCs w:val="21"/>
              </w:rPr>
            </w:pPr>
          </w:p>
        </w:tc>
      </w:tr>
      <w:tr w14:paraId="298F1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648520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176</w:t>
            </w:r>
          </w:p>
        </w:tc>
        <w:tc>
          <w:tcPr>
            <w:tcW w:w="841" w:type="dxa"/>
            <w:vMerge w:val="continue"/>
          </w:tcPr>
          <w:p w14:paraId="1627BF30">
            <w:pPr>
              <w:spacing w:line="276" w:lineRule="auto"/>
              <w:jc w:val="center"/>
              <w:rPr>
                <w:rFonts w:ascii="宋体" w:hAnsi="宋体" w:eastAsia="宋体" w:cs="宋体"/>
                <w:bCs/>
                <w:szCs w:val="21"/>
              </w:rPr>
            </w:pPr>
          </w:p>
        </w:tc>
        <w:tc>
          <w:tcPr>
            <w:tcW w:w="1223" w:type="dxa"/>
            <w:shd w:val="clear" w:color="auto" w:fill="auto"/>
            <w:vAlign w:val="center"/>
          </w:tcPr>
          <w:p w14:paraId="3B5260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100GE多模光模块</w:t>
            </w:r>
          </w:p>
        </w:tc>
        <w:tc>
          <w:tcPr>
            <w:tcW w:w="890" w:type="dxa"/>
            <w:vAlign w:val="center"/>
          </w:tcPr>
          <w:p w14:paraId="7EA788C2">
            <w:pPr>
              <w:spacing w:line="276" w:lineRule="auto"/>
              <w:jc w:val="center"/>
              <w:rPr>
                <w:rFonts w:ascii="宋体" w:hAnsi="宋体" w:eastAsia="宋体" w:cs="宋体"/>
                <w:bCs/>
                <w:szCs w:val="21"/>
              </w:rPr>
            </w:pPr>
          </w:p>
        </w:tc>
        <w:tc>
          <w:tcPr>
            <w:tcW w:w="508" w:type="dxa"/>
            <w:vAlign w:val="center"/>
          </w:tcPr>
          <w:p w14:paraId="091632E4">
            <w:pPr>
              <w:spacing w:line="276" w:lineRule="auto"/>
              <w:jc w:val="center"/>
              <w:rPr>
                <w:rFonts w:ascii="宋体" w:hAnsi="宋体" w:eastAsia="宋体" w:cs="宋体"/>
                <w:bCs/>
                <w:szCs w:val="21"/>
              </w:rPr>
            </w:pPr>
          </w:p>
        </w:tc>
        <w:tc>
          <w:tcPr>
            <w:tcW w:w="810" w:type="dxa"/>
            <w:vAlign w:val="center"/>
          </w:tcPr>
          <w:p w14:paraId="6E0C77FD">
            <w:pPr>
              <w:spacing w:line="276" w:lineRule="auto"/>
              <w:jc w:val="center"/>
              <w:rPr>
                <w:rFonts w:ascii="宋体" w:hAnsi="宋体" w:eastAsia="宋体" w:cs="宋体"/>
                <w:bCs/>
                <w:szCs w:val="21"/>
              </w:rPr>
            </w:pPr>
          </w:p>
        </w:tc>
        <w:tc>
          <w:tcPr>
            <w:tcW w:w="715" w:type="dxa"/>
            <w:vAlign w:val="center"/>
          </w:tcPr>
          <w:p w14:paraId="39BD59A7">
            <w:pPr>
              <w:spacing w:line="276" w:lineRule="auto"/>
              <w:jc w:val="center"/>
              <w:rPr>
                <w:rFonts w:ascii="宋体" w:hAnsi="宋体" w:eastAsia="宋体" w:cs="宋体"/>
                <w:bCs/>
                <w:szCs w:val="21"/>
              </w:rPr>
            </w:pPr>
          </w:p>
        </w:tc>
        <w:tc>
          <w:tcPr>
            <w:tcW w:w="1160" w:type="dxa"/>
            <w:vAlign w:val="center"/>
          </w:tcPr>
          <w:p w14:paraId="61C98A59">
            <w:pPr>
              <w:spacing w:line="276" w:lineRule="auto"/>
              <w:jc w:val="center"/>
              <w:rPr>
                <w:rFonts w:ascii="宋体" w:hAnsi="宋体" w:eastAsia="宋体" w:cs="宋体"/>
                <w:bCs/>
                <w:szCs w:val="21"/>
              </w:rPr>
            </w:pPr>
          </w:p>
        </w:tc>
        <w:tc>
          <w:tcPr>
            <w:tcW w:w="917" w:type="dxa"/>
            <w:shd w:val="clear" w:color="auto" w:fill="auto"/>
            <w:vAlign w:val="center"/>
          </w:tcPr>
          <w:p w14:paraId="7B7AAEA9">
            <w:pPr>
              <w:spacing w:line="276" w:lineRule="auto"/>
              <w:jc w:val="center"/>
              <w:rPr>
                <w:rFonts w:ascii="宋体" w:hAnsi="宋体" w:eastAsia="宋体" w:cs="宋体"/>
                <w:bCs/>
                <w:szCs w:val="21"/>
              </w:rPr>
            </w:pPr>
          </w:p>
        </w:tc>
        <w:tc>
          <w:tcPr>
            <w:tcW w:w="666" w:type="dxa"/>
            <w:shd w:val="clear" w:color="auto" w:fill="auto"/>
            <w:vAlign w:val="center"/>
          </w:tcPr>
          <w:p w14:paraId="3212D50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w:t>
            </w:r>
          </w:p>
        </w:tc>
        <w:tc>
          <w:tcPr>
            <w:tcW w:w="550" w:type="dxa"/>
            <w:shd w:val="clear" w:color="auto" w:fill="auto"/>
            <w:vAlign w:val="center"/>
          </w:tcPr>
          <w:p w14:paraId="197D0E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个</w:t>
            </w:r>
          </w:p>
        </w:tc>
        <w:tc>
          <w:tcPr>
            <w:tcW w:w="967" w:type="dxa"/>
            <w:vAlign w:val="center"/>
          </w:tcPr>
          <w:p w14:paraId="4F0DEE62">
            <w:pPr>
              <w:spacing w:line="276" w:lineRule="auto"/>
              <w:jc w:val="center"/>
              <w:rPr>
                <w:rFonts w:ascii="宋体" w:hAnsi="宋体" w:eastAsia="宋体" w:cs="宋体"/>
                <w:bCs/>
                <w:szCs w:val="21"/>
              </w:rPr>
            </w:pPr>
          </w:p>
        </w:tc>
        <w:tc>
          <w:tcPr>
            <w:tcW w:w="983" w:type="dxa"/>
            <w:vAlign w:val="center"/>
          </w:tcPr>
          <w:p w14:paraId="3FE69D3B">
            <w:pPr>
              <w:spacing w:line="276" w:lineRule="auto"/>
              <w:jc w:val="center"/>
              <w:rPr>
                <w:rFonts w:ascii="宋体" w:hAnsi="宋体" w:eastAsia="宋体" w:cs="宋体"/>
                <w:bCs/>
                <w:szCs w:val="21"/>
              </w:rPr>
            </w:pPr>
          </w:p>
        </w:tc>
      </w:tr>
      <w:tr w14:paraId="48D80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73387E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t>（二）</w:t>
            </w:r>
          </w:p>
        </w:tc>
        <w:tc>
          <w:tcPr>
            <w:tcW w:w="841" w:type="dxa"/>
            <w:vMerge w:val="continue"/>
          </w:tcPr>
          <w:p w14:paraId="71B6F654">
            <w:pPr>
              <w:spacing w:line="276" w:lineRule="auto"/>
              <w:jc w:val="center"/>
              <w:rPr>
                <w:rFonts w:ascii="宋体" w:hAnsi="宋体" w:eastAsia="宋体" w:cs="宋体"/>
                <w:bCs/>
                <w:szCs w:val="21"/>
              </w:rPr>
            </w:pPr>
          </w:p>
        </w:tc>
        <w:tc>
          <w:tcPr>
            <w:tcW w:w="9389" w:type="dxa"/>
            <w:gridSpan w:val="11"/>
            <w:vAlign w:val="center"/>
          </w:tcPr>
          <w:p w14:paraId="62D36D06">
            <w:pPr>
              <w:spacing w:line="276" w:lineRule="auto"/>
              <w:jc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智慧道路网络安全及后台资源</w:t>
            </w:r>
          </w:p>
        </w:tc>
      </w:tr>
      <w:tr w14:paraId="60E5E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4D13F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177</w:t>
            </w:r>
          </w:p>
        </w:tc>
        <w:tc>
          <w:tcPr>
            <w:tcW w:w="841" w:type="dxa"/>
            <w:vMerge w:val="continue"/>
          </w:tcPr>
          <w:p w14:paraId="257165CC">
            <w:pPr>
              <w:spacing w:line="276" w:lineRule="auto"/>
              <w:jc w:val="center"/>
              <w:rPr>
                <w:rFonts w:ascii="宋体" w:hAnsi="宋体" w:eastAsia="宋体" w:cs="宋体"/>
                <w:bCs/>
                <w:szCs w:val="21"/>
              </w:rPr>
            </w:pPr>
          </w:p>
        </w:tc>
        <w:tc>
          <w:tcPr>
            <w:tcW w:w="1223" w:type="dxa"/>
            <w:shd w:val="clear" w:color="auto" w:fill="auto"/>
            <w:vAlign w:val="center"/>
          </w:tcPr>
          <w:p w14:paraId="001A91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视频云存储设备</w:t>
            </w:r>
          </w:p>
        </w:tc>
        <w:tc>
          <w:tcPr>
            <w:tcW w:w="890" w:type="dxa"/>
            <w:vAlign w:val="center"/>
          </w:tcPr>
          <w:p w14:paraId="15B95B74">
            <w:pPr>
              <w:spacing w:line="276" w:lineRule="auto"/>
              <w:jc w:val="center"/>
              <w:rPr>
                <w:rFonts w:ascii="宋体" w:hAnsi="宋体" w:eastAsia="宋体" w:cs="宋体"/>
                <w:bCs/>
                <w:szCs w:val="21"/>
              </w:rPr>
            </w:pPr>
          </w:p>
        </w:tc>
        <w:tc>
          <w:tcPr>
            <w:tcW w:w="508" w:type="dxa"/>
            <w:vAlign w:val="center"/>
          </w:tcPr>
          <w:p w14:paraId="23502EA0">
            <w:pPr>
              <w:spacing w:line="276" w:lineRule="auto"/>
              <w:jc w:val="center"/>
              <w:rPr>
                <w:rFonts w:ascii="宋体" w:hAnsi="宋体" w:eastAsia="宋体" w:cs="宋体"/>
                <w:bCs/>
                <w:szCs w:val="21"/>
              </w:rPr>
            </w:pPr>
          </w:p>
        </w:tc>
        <w:tc>
          <w:tcPr>
            <w:tcW w:w="810" w:type="dxa"/>
            <w:vAlign w:val="center"/>
          </w:tcPr>
          <w:p w14:paraId="670F6A9D">
            <w:pPr>
              <w:spacing w:line="276" w:lineRule="auto"/>
              <w:jc w:val="center"/>
              <w:rPr>
                <w:rFonts w:ascii="宋体" w:hAnsi="宋体" w:eastAsia="宋体" w:cs="宋体"/>
                <w:bCs/>
                <w:szCs w:val="21"/>
              </w:rPr>
            </w:pPr>
          </w:p>
        </w:tc>
        <w:tc>
          <w:tcPr>
            <w:tcW w:w="715" w:type="dxa"/>
            <w:vAlign w:val="center"/>
          </w:tcPr>
          <w:p w14:paraId="280B73CC">
            <w:pPr>
              <w:spacing w:line="276" w:lineRule="auto"/>
              <w:jc w:val="center"/>
              <w:rPr>
                <w:rFonts w:ascii="宋体" w:hAnsi="宋体" w:eastAsia="宋体" w:cs="宋体"/>
                <w:bCs/>
                <w:szCs w:val="21"/>
              </w:rPr>
            </w:pPr>
          </w:p>
        </w:tc>
        <w:tc>
          <w:tcPr>
            <w:tcW w:w="1160" w:type="dxa"/>
            <w:vAlign w:val="center"/>
          </w:tcPr>
          <w:p w14:paraId="226F6619">
            <w:pPr>
              <w:spacing w:line="276" w:lineRule="auto"/>
              <w:jc w:val="center"/>
              <w:rPr>
                <w:rFonts w:ascii="宋体" w:hAnsi="宋体" w:eastAsia="宋体" w:cs="宋体"/>
                <w:bCs/>
                <w:szCs w:val="21"/>
              </w:rPr>
            </w:pPr>
          </w:p>
        </w:tc>
        <w:tc>
          <w:tcPr>
            <w:tcW w:w="917" w:type="dxa"/>
            <w:shd w:val="clear" w:color="auto" w:fill="auto"/>
            <w:vAlign w:val="center"/>
          </w:tcPr>
          <w:p w14:paraId="16F56307">
            <w:pPr>
              <w:spacing w:line="276" w:lineRule="auto"/>
              <w:jc w:val="center"/>
              <w:rPr>
                <w:rFonts w:ascii="宋体" w:hAnsi="宋体" w:eastAsia="宋体" w:cs="宋体"/>
                <w:bCs/>
                <w:szCs w:val="21"/>
              </w:rPr>
            </w:pPr>
          </w:p>
        </w:tc>
        <w:tc>
          <w:tcPr>
            <w:tcW w:w="666" w:type="dxa"/>
            <w:shd w:val="clear" w:color="auto" w:fill="auto"/>
            <w:vAlign w:val="center"/>
          </w:tcPr>
          <w:p w14:paraId="36D91B9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550" w:type="dxa"/>
            <w:shd w:val="clear" w:color="auto" w:fill="auto"/>
            <w:vAlign w:val="center"/>
          </w:tcPr>
          <w:p w14:paraId="13032F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7C575C41">
            <w:pPr>
              <w:spacing w:line="276" w:lineRule="auto"/>
              <w:jc w:val="center"/>
              <w:rPr>
                <w:rFonts w:ascii="宋体" w:hAnsi="宋体" w:eastAsia="宋体" w:cs="宋体"/>
                <w:bCs/>
                <w:szCs w:val="21"/>
              </w:rPr>
            </w:pPr>
          </w:p>
        </w:tc>
        <w:tc>
          <w:tcPr>
            <w:tcW w:w="983" w:type="dxa"/>
            <w:vAlign w:val="center"/>
          </w:tcPr>
          <w:p w14:paraId="072691C5">
            <w:pPr>
              <w:spacing w:line="276" w:lineRule="auto"/>
              <w:jc w:val="center"/>
              <w:rPr>
                <w:rFonts w:ascii="宋体" w:hAnsi="宋体" w:eastAsia="宋体" w:cs="宋体"/>
                <w:bCs/>
                <w:szCs w:val="21"/>
              </w:rPr>
            </w:pPr>
          </w:p>
        </w:tc>
      </w:tr>
      <w:tr w14:paraId="11B20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89090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178</w:t>
            </w:r>
          </w:p>
        </w:tc>
        <w:tc>
          <w:tcPr>
            <w:tcW w:w="841" w:type="dxa"/>
            <w:vMerge w:val="continue"/>
          </w:tcPr>
          <w:p w14:paraId="098130BE">
            <w:pPr>
              <w:spacing w:line="276" w:lineRule="auto"/>
              <w:jc w:val="center"/>
              <w:rPr>
                <w:rFonts w:ascii="宋体" w:hAnsi="宋体" w:eastAsia="宋体" w:cs="宋体"/>
                <w:bCs/>
                <w:szCs w:val="21"/>
              </w:rPr>
            </w:pPr>
          </w:p>
        </w:tc>
        <w:tc>
          <w:tcPr>
            <w:tcW w:w="1223" w:type="dxa"/>
            <w:shd w:val="clear" w:color="auto" w:fill="auto"/>
            <w:vAlign w:val="center"/>
          </w:tcPr>
          <w:p w14:paraId="354628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视频云存储万兆交换机</w:t>
            </w:r>
          </w:p>
        </w:tc>
        <w:tc>
          <w:tcPr>
            <w:tcW w:w="890" w:type="dxa"/>
            <w:vAlign w:val="center"/>
          </w:tcPr>
          <w:p w14:paraId="7B508FD6">
            <w:pPr>
              <w:spacing w:line="276" w:lineRule="auto"/>
              <w:jc w:val="center"/>
              <w:rPr>
                <w:rFonts w:ascii="宋体" w:hAnsi="宋体" w:eastAsia="宋体" w:cs="宋体"/>
                <w:bCs/>
                <w:szCs w:val="21"/>
              </w:rPr>
            </w:pPr>
          </w:p>
        </w:tc>
        <w:tc>
          <w:tcPr>
            <w:tcW w:w="508" w:type="dxa"/>
            <w:vAlign w:val="center"/>
          </w:tcPr>
          <w:p w14:paraId="7F4A65DA">
            <w:pPr>
              <w:spacing w:line="276" w:lineRule="auto"/>
              <w:jc w:val="center"/>
              <w:rPr>
                <w:rFonts w:ascii="宋体" w:hAnsi="宋体" w:eastAsia="宋体" w:cs="宋体"/>
                <w:bCs/>
                <w:szCs w:val="21"/>
              </w:rPr>
            </w:pPr>
          </w:p>
        </w:tc>
        <w:tc>
          <w:tcPr>
            <w:tcW w:w="810" w:type="dxa"/>
            <w:vAlign w:val="center"/>
          </w:tcPr>
          <w:p w14:paraId="3FC69A46">
            <w:pPr>
              <w:spacing w:line="276" w:lineRule="auto"/>
              <w:jc w:val="center"/>
              <w:rPr>
                <w:rFonts w:ascii="宋体" w:hAnsi="宋体" w:eastAsia="宋体" w:cs="宋体"/>
                <w:bCs/>
                <w:szCs w:val="21"/>
              </w:rPr>
            </w:pPr>
          </w:p>
        </w:tc>
        <w:tc>
          <w:tcPr>
            <w:tcW w:w="715" w:type="dxa"/>
            <w:vAlign w:val="center"/>
          </w:tcPr>
          <w:p w14:paraId="286675D6">
            <w:pPr>
              <w:spacing w:line="276" w:lineRule="auto"/>
              <w:jc w:val="center"/>
              <w:rPr>
                <w:rFonts w:ascii="宋体" w:hAnsi="宋体" w:eastAsia="宋体" w:cs="宋体"/>
                <w:bCs/>
                <w:szCs w:val="21"/>
              </w:rPr>
            </w:pPr>
          </w:p>
        </w:tc>
        <w:tc>
          <w:tcPr>
            <w:tcW w:w="1160" w:type="dxa"/>
            <w:vAlign w:val="center"/>
          </w:tcPr>
          <w:p w14:paraId="18882859">
            <w:pPr>
              <w:spacing w:line="276" w:lineRule="auto"/>
              <w:jc w:val="center"/>
              <w:rPr>
                <w:rFonts w:ascii="宋体" w:hAnsi="宋体" w:eastAsia="宋体" w:cs="宋体"/>
                <w:bCs/>
                <w:szCs w:val="21"/>
              </w:rPr>
            </w:pPr>
          </w:p>
        </w:tc>
        <w:tc>
          <w:tcPr>
            <w:tcW w:w="917" w:type="dxa"/>
            <w:shd w:val="clear" w:color="auto" w:fill="auto"/>
            <w:vAlign w:val="center"/>
          </w:tcPr>
          <w:p w14:paraId="64BB2F67">
            <w:pPr>
              <w:spacing w:line="276" w:lineRule="auto"/>
              <w:jc w:val="center"/>
              <w:rPr>
                <w:rFonts w:ascii="宋体" w:hAnsi="宋体" w:eastAsia="宋体" w:cs="宋体"/>
                <w:bCs/>
                <w:szCs w:val="21"/>
              </w:rPr>
            </w:pPr>
          </w:p>
        </w:tc>
        <w:tc>
          <w:tcPr>
            <w:tcW w:w="666" w:type="dxa"/>
            <w:shd w:val="clear" w:color="auto" w:fill="auto"/>
            <w:vAlign w:val="center"/>
          </w:tcPr>
          <w:p w14:paraId="4891E1F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550" w:type="dxa"/>
            <w:shd w:val="clear" w:color="auto" w:fill="auto"/>
            <w:vAlign w:val="center"/>
          </w:tcPr>
          <w:p w14:paraId="77618F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7D707B63">
            <w:pPr>
              <w:spacing w:line="276" w:lineRule="auto"/>
              <w:jc w:val="center"/>
              <w:rPr>
                <w:rFonts w:ascii="宋体" w:hAnsi="宋体" w:eastAsia="宋体" w:cs="宋体"/>
                <w:bCs/>
                <w:szCs w:val="21"/>
              </w:rPr>
            </w:pPr>
          </w:p>
        </w:tc>
        <w:tc>
          <w:tcPr>
            <w:tcW w:w="983" w:type="dxa"/>
            <w:vAlign w:val="center"/>
          </w:tcPr>
          <w:p w14:paraId="6AF6F7E2">
            <w:pPr>
              <w:spacing w:line="276" w:lineRule="auto"/>
              <w:jc w:val="center"/>
              <w:rPr>
                <w:rFonts w:ascii="宋体" w:hAnsi="宋体" w:eastAsia="宋体" w:cs="宋体"/>
                <w:bCs/>
                <w:szCs w:val="21"/>
              </w:rPr>
            </w:pPr>
          </w:p>
        </w:tc>
      </w:tr>
      <w:tr w14:paraId="7B0D0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7BCC60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179</w:t>
            </w:r>
          </w:p>
        </w:tc>
        <w:tc>
          <w:tcPr>
            <w:tcW w:w="841" w:type="dxa"/>
            <w:vMerge w:val="continue"/>
          </w:tcPr>
          <w:p w14:paraId="61E078EF">
            <w:pPr>
              <w:spacing w:line="276" w:lineRule="auto"/>
              <w:jc w:val="center"/>
              <w:rPr>
                <w:rFonts w:ascii="宋体" w:hAnsi="宋体" w:eastAsia="宋体" w:cs="宋体"/>
                <w:bCs/>
                <w:szCs w:val="21"/>
              </w:rPr>
            </w:pPr>
          </w:p>
        </w:tc>
        <w:tc>
          <w:tcPr>
            <w:tcW w:w="1223" w:type="dxa"/>
            <w:shd w:val="clear" w:color="auto" w:fill="auto"/>
            <w:vAlign w:val="center"/>
          </w:tcPr>
          <w:p w14:paraId="7AF325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视频云存储千兆交换机</w:t>
            </w:r>
          </w:p>
        </w:tc>
        <w:tc>
          <w:tcPr>
            <w:tcW w:w="890" w:type="dxa"/>
            <w:vAlign w:val="center"/>
          </w:tcPr>
          <w:p w14:paraId="2C43056B">
            <w:pPr>
              <w:spacing w:line="276" w:lineRule="auto"/>
              <w:jc w:val="center"/>
              <w:rPr>
                <w:rFonts w:ascii="宋体" w:hAnsi="宋体" w:eastAsia="宋体" w:cs="宋体"/>
                <w:bCs/>
                <w:szCs w:val="21"/>
              </w:rPr>
            </w:pPr>
          </w:p>
        </w:tc>
        <w:tc>
          <w:tcPr>
            <w:tcW w:w="508" w:type="dxa"/>
            <w:vAlign w:val="center"/>
          </w:tcPr>
          <w:p w14:paraId="2551C99B">
            <w:pPr>
              <w:spacing w:line="276" w:lineRule="auto"/>
              <w:jc w:val="center"/>
              <w:rPr>
                <w:rFonts w:ascii="宋体" w:hAnsi="宋体" w:eastAsia="宋体" w:cs="宋体"/>
                <w:bCs/>
                <w:szCs w:val="21"/>
              </w:rPr>
            </w:pPr>
          </w:p>
        </w:tc>
        <w:tc>
          <w:tcPr>
            <w:tcW w:w="810" w:type="dxa"/>
            <w:vAlign w:val="center"/>
          </w:tcPr>
          <w:p w14:paraId="3275DBDD">
            <w:pPr>
              <w:spacing w:line="276" w:lineRule="auto"/>
              <w:jc w:val="center"/>
              <w:rPr>
                <w:rFonts w:ascii="宋体" w:hAnsi="宋体" w:eastAsia="宋体" w:cs="宋体"/>
                <w:bCs/>
                <w:szCs w:val="21"/>
              </w:rPr>
            </w:pPr>
          </w:p>
        </w:tc>
        <w:tc>
          <w:tcPr>
            <w:tcW w:w="715" w:type="dxa"/>
            <w:vAlign w:val="center"/>
          </w:tcPr>
          <w:p w14:paraId="0E9AABD3">
            <w:pPr>
              <w:spacing w:line="276" w:lineRule="auto"/>
              <w:jc w:val="center"/>
              <w:rPr>
                <w:rFonts w:ascii="宋体" w:hAnsi="宋体" w:eastAsia="宋体" w:cs="宋体"/>
                <w:bCs/>
                <w:szCs w:val="21"/>
              </w:rPr>
            </w:pPr>
          </w:p>
        </w:tc>
        <w:tc>
          <w:tcPr>
            <w:tcW w:w="1160" w:type="dxa"/>
            <w:vAlign w:val="center"/>
          </w:tcPr>
          <w:p w14:paraId="461CCB2C">
            <w:pPr>
              <w:spacing w:line="276" w:lineRule="auto"/>
              <w:jc w:val="center"/>
              <w:rPr>
                <w:rFonts w:ascii="宋体" w:hAnsi="宋体" w:eastAsia="宋体" w:cs="宋体"/>
                <w:bCs/>
                <w:szCs w:val="21"/>
              </w:rPr>
            </w:pPr>
          </w:p>
        </w:tc>
        <w:tc>
          <w:tcPr>
            <w:tcW w:w="917" w:type="dxa"/>
            <w:shd w:val="clear" w:color="auto" w:fill="auto"/>
            <w:vAlign w:val="center"/>
          </w:tcPr>
          <w:p w14:paraId="62E56734">
            <w:pPr>
              <w:spacing w:line="276" w:lineRule="auto"/>
              <w:jc w:val="center"/>
              <w:rPr>
                <w:rFonts w:ascii="宋体" w:hAnsi="宋体" w:eastAsia="宋体" w:cs="宋体"/>
                <w:bCs/>
                <w:szCs w:val="21"/>
              </w:rPr>
            </w:pPr>
          </w:p>
        </w:tc>
        <w:tc>
          <w:tcPr>
            <w:tcW w:w="666" w:type="dxa"/>
            <w:shd w:val="clear" w:color="auto" w:fill="auto"/>
            <w:vAlign w:val="center"/>
          </w:tcPr>
          <w:p w14:paraId="78F207D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550" w:type="dxa"/>
            <w:shd w:val="clear" w:color="auto" w:fill="auto"/>
            <w:vAlign w:val="center"/>
          </w:tcPr>
          <w:p w14:paraId="292AFF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0A8B1E97">
            <w:pPr>
              <w:spacing w:line="276" w:lineRule="auto"/>
              <w:jc w:val="center"/>
              <w:rPr>
                <w:rFonts w:ascii="宋体" w:hAnsi="宋体" w:eastAsia="宋体" w:cs="宋体"/>
                <w:bCs/>
                <w:szCs w:val="21"/>
              </w:rPr>
            </w:pPr>
          </w:p>
        </w:tc>
        <w:tc>
          <w:tcPr>
            <w:tcW w:w="983" w:type="dxa"/>
            <w:vAlign w:val="center"/>
          </w:tcPr>
          <w:p w14:paraId="26E1B4F2">
            <w:pPr>
              <w:spacing w:line="276" w:lineRule="auto"/>
              <w:jc w:val="center"/>
              <w:rPr>
                <w:rFonts w:ascii="宋体" w:hAnsi="宋体" w:eastAsia="宋体" w:cs="宋体"/>
                <w:bCs/>
                <w:szCs w:val="21"/>
              </w:rPr>
            </w:pPr>
          </w:p>
        </w:tc>
      </w:tr>
      <w:tr w14:paraId="16F0B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54FDC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180</w:t>
            </w:r>
          </w:p>
        </w:tc>
        <w:tc>
          <w:tcPr>
            <w:tcW w:w="841" w:type="dxa"/>
            <w:vMerge w:val="continue"/>
          </w:tcPr>
          <w:p w14:paraId="148C35A2">
            <w:pPr>
              <w:spacing w:line="276" w:lineRule="auto"/>
              <w:jc w:val="center"/>
              <w:rPr>
                <w:rFonts w:ascii="宋体" w:hAnsi="宋体" w:eastAsia="宋体" w:cs="宋体"/>
                <w:bCs/>
                <w:szCs w:val="21"/>
              </w:rPr>
            </w:pPr>
          </w:p>
        </w:tc>
        <w:tc>
          <w:tcPr>
            <w:tcW w:w="1223" w:type="dxa"/>
            <w:shd w:val="clear" w:color="auto" w:fill="auto"/>
            <w:vAlign w:val="center"/>
          </w:tcPr>
          <w:p w14:paraId="13DB1A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BMC交换机</w:t>
            </w:r>
          </w:p>
        </w:tc>
        <w:tc>
          <w:tcPr>
            <w:tcW w:w="890" w:type="dxa"/>
            <w:vAlign w:val="center"/>
          </w:tcPr>
          <w:p w14:paraId="50154CDF">
            <w:pPr>
              <w:spacing w:line="276" w:lineRule="auto"/>
              <w:jc w:val="center"/>
              <w:rPr>
                <w:rFonts w:ascii="宋体" w:hAnsi="宋体" w:eastAsia="宋体" w:cs="宋体"/>
                <w:bCs/>
                <w:szCs w:val="21"/>
              </w:rPr>
            </w:pPr>
          </w:p>
        </w:tc>
        <w:tc>
          <w:tcPr>
            <w:tcW w:w="508" w:type="dxa"/>
            <w:vAlign w:val="center"/>
          </w:tcPr>
          <w:p w14:paraId="4429C086">
            <w:pPr>
              <w:spacing w:line="276" w:lineRule="auto"/>
              <w:jc w:val="center"/>
              <w:rPr>
                <w:rFonts w:ascii="宋体" w:hAnsi="宋体" w:eastAsia="宋体" w:cs="宋体"/>
                <w:bCs/>
                <w:szCs w:val="21"/>
              </w:rPr>
            </w:pPr>
          </w:p>
        </w:tc>
        <w:tc>
          <w:tcPr>
            <w:tcW w:w="810" w:type="dxa"/>
            <w:vAlign w:val="center"/>
          </w:tcPr>
          <w:p w14:paraId="7E91C330">
            <w:pPr>
              <w:spacing w:line="276" w:lineRule="auto"/>
              <w:jc w:val="center"/>
              <w:rPr>
                <w:rFonts w:ascii="宋体" w:hAnsi="宋体" w:eastAsia="宋体" w:cs="宋体"/>
                <w:bCs/>
                <w:szCs w:val="21"/>
              </w:rPr>
            </w:pPr>
          </w:p>
        </w:tc>
        <w:tc>
          <w:tcPr>
            <w:tcW w:w="715" w:type="dxa"/>
            <w:vAlign w:val="center"/>
          </w:tcPr>
          <w:p w14:paraId="69B81C8E">
            <w:pPr>
              <w:spacing w:line="276" w:lineRule="auto"/>
              <w:jc w:val="center"/>
              <w:rPr>
                <w:rFonts w:ascii="宋体" w:hAnsi="宋体" w:eastAsia="宋体" w:cs="宋体"/>
                <w:bCs/>
                <w:szCs w:val="21"/>
              </w:rPr>
            </w:pPr>
          </w:p>
        </w:tc>
        <w:tc>
          <w:tcPr>
            <w:tcW w:w="1160" w:type="dxa"/>
            <w:vAlign w:val="center"/>
          </w:tcPr>
          <w:p w14:paraId="6043476D">
            <w:pPr>
              <w:spacing w:line="276" w:lineRule="auto"/>
              <w:jc w:val="center"/>
              <w:rPr>
                <w:rFonts w:ascii="宋体" w:hAnsi="宋体" w:eastAsia="宋体" w:cs="宋体"/>
                <w:bCs/>
                <w:szCs w:val="21"/>
              </w:rPr>
            </w:pPr>
          </w:p>
        </w:tc>
        <w:tc>
          <w:tcPr>
            <w:tcW w:w="917" w:type="dxa"/>
            <w:shd w:val="clear" w:color="auto" w:fill="auto"/>
            <w:vAlign w:val="center"/>
          </w:tcPr>
          <w:p w14:paraId="25EE223A">
            <w:pPr>
              <w:spacing w:line="276" w:lineRule="auto"/>
              <w:jc w:val="center"/>
              <w:rPr>
                <w:rFonts w:ascii="宋体" w:hAnsi="宋体" w:eastAsia="宋体" w:cs="宋体"/>
                <w:bCs/>
                <w:szCs w:val="21"/>
              </w:rPr>
            </w:pPr>
          </w:p>
        </w:tc>
        <w:tc>
          <w:tcPr>
            <w:tcW w:w="666" w:type="dxa"/>
            <w:shd w:val="clear" w:color="auto" w:fill="auto"/>
            <w:vAlign w:val="center"/>
          </w:tcPr>
          <w:p w14:paraId="137E58B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571DE3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08140709">
            <w:pPr>
              <w:spacing w:line="276" w:lineRule="auto"/>
              <w:jc w:val="center"/>
              <w:rPr>
                <w:rFonts w:ascii="宋体" w:hAnsi="宋体" w:eastAsia="宋体" w:cs="宋体"/>
                <w:bCs/>
                <w:szCs w:val="21"/>
              </w:rPr>
            </w:pPr>
          </w:p>
        </w:tc>
        <w:tc>
          <w:tcPr>
            <w:tcW w:w="983" w:type="dxa"/>
            <w:vAlign w:val="center"/>
          </w:tcPr>
          <w:p w14:paraId="6BA420D4">
            <w:pPr>
              <w:spacing w:line="276" w:lineRule="auto"/>
              <w:jc w:val="center"/>
              <w:rPr>
                <w:rFonts w:ascii="宋体" w:hAnsi="宋体" w:eastAsia="宋体" w:cs="宋体"/>
                <w:bCs/>
                <w:szCs w:val="21"/>
              </w:rPr>
            </w:pPr>
          </w:p>
        </w:tc>
      </w:tr>
      <w:tr w14:paraId="2E2E1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7438C8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181</w:t>
            </w:r>
          </w:p>
        </w:tc>
        <w:tc>
          <w:tcPr>
            <w:tcW w:w="841" w:type="dxa"/>
            <w:vMerge w:val="continue"/>
          </w:tcPr>
          <w:p w14:paraId="292167BF">
            <w:pPr>
              <w:spacing w:line="276" w:lineRule="auto"/>
              <w:jc w:val="center"/>
              <w:rPr>
                <w:rFonts w:ascii="宋体" w:hAnsi="宋体" w:eastAsia="宋体" w:cs="宋体"/>
                <w:bCs/>
                <w:szCs w:val="21"/>
              </w:rPr>
            </w:pPr>
          </w:p>
        </w:tc>
        <w:tc>
          <w:tcPr>
            <w:tcW w:w="1223" w:type="dxa"/>
            <w:shd w:val="clear" w:color="auto" w:fill="auto"/>
            <w:vAlign w:val="center"/>
          </w:tcPr>
          <w:p w14:paraId="2EFA7F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10GE多模光模块</w:t>
            </w:r>
          </w:p>
        </w:tc>
        <w:tc>
          <w:tcPr>
            <w:tcW w:w="890" w:type="dxa"/>
            <w:vAlign w:val="center"/>
          </w:tcPr>
          <w:p w14:paraId="2B083779">
            <w:pPr>
              <w:spacing w:line="276" w:lineRule="auto"/>
              <w:jc w:val="center"/>
              <w:rPr>
                <w:rFonts w:ascii="宋体" w:hAnsi="宋体" w:eastAsia="宋体" w:cs="宋体"/>
                <w:bCs/>
                <w:szCs w:val="21"/>
              </w:rPr>
            </w:pPr>
          </w:p>
        </w:tc>
        <w:tc>
          <w:tcPr>
            <w:tcW w:w="508" w:type="dxa"/>
            <w:vAlign w:val="center"/>
          </w:tcPr>
          <w:p w14:paraId="3D887386">
            <w:pPr>
              <w:spacing w:line="276" w:lineRule="auto"/>
              <w:jc w:val="center"/>
              <w:rPr>
                <w:rFonts w:ascii="宋体" w:hAnsi="宋体" w:eastAsia="宋体" w:cs="宋体"/>
                <w:bCs/>
                <w:szCs w:val="21"/>
              </w:rPr>
            </w:pPr>
          </w:p>
        </w:tc>
        <w:tc>
          <w:tcPr>
            <w:tcW w:w="810" w:type="dxa"/>
            <w:vAlign w:val="center"/>
          </w:tcPr>
          <w:p w14:paraId="59AA8D1E">
            <w:pPr>
              <w:spacing w:line="276" w:lineRule="auto"/>
              <w:jc w:val="center"/>
              <w:rPr>
                <w:rFonts w:ascii="宋体" w:hAnsi="宋体" w:eastAsia="宋体" w:cs="宋体"/>
                <w:bCs/>
                <w:szCs w:val="21"/>
              </w:rPr>
            </w:pPr>
          </w:p>
        </w:tc>
        <w:tc>
          <w:tcPr>
            <w:tcW w:w="715" w:type="dxa"/>
            <w:vAlign w:val="center"/>
          </w:tcPr>
          <w:p w14:paraId="585D50C3">
            <w:pPr>
              <w:spacing w:line="276" w:lineRule="auto"/>
              <w:jc w:val="center"/>
              <w:rPr>
                <w:rFonts w:ascii="宋体" w:hAnsi="宋体" w:eastAsia="宋体" w:cs="宋体"/>
                <w:bCs/>
                <w:szCs w:val="21"/>
              </w:rPr>
            </w:pPr>
          </w:p>
        </w:tc>
        <w:tc>
          <w:tcPr>
            <w:tcW w:w="1160" w:type="dxa"/>
            <w:vAlign w:val="center"/>
          </w:tcPr>
          <w:p w14:paraId="250BF0F2">
            <w:pPr>
              <w:spacing w:line="276" w:lineRule="auto"/>
              <w:jc w:val="center"/>
              <w:rPr>
                <w:rFonts w:ascii="宋体" w:hAnsi="宋体" w:eastAsia="宋体" w:cs="宋体"/>
                <w:bCs/>
                <w:szCs w:val="21"/>
              </w:rPr>
            </w:pPr>
          </w:p>
        </w:tc>
        <w:tc>
          <w:tcPr>
            <w:tcW w:w="917" w:type="dxa"/>
            <w:shd w:val="clear" w:color="auto" w:fill="auto"/>
            <w:vAlign w:val="center"/>
          </w:tcPr>
          <w:p w14:paraId="0182796C">
            <w:pPr>
              <w:spacing w:line="276" w:lineRule="auto"/>
              <w:jc w:val="center"/>
              <w:rPr>
                <w:rFonts w:ascii="宋体" w:hAnsi="宋体" w:eastAsia="宋体" w:cs="宋体"/>
                <w:bCs/>
                <w:szCs w:val="21"/>
              </w:rPr>
            </w:pPr>
          </w:p>
        </w:tc>
        <w:tc>
          <w:tcPr>
            <w:tcW w:w="666" w:type="dxa"/>
            <w:shd w:val="clear" w:color="auto" w:fill="auto"/>
            <w:vAlign w:val="center"/>
          </w:tcPr>
          <w:p w14:paraId="281F10A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88</w:t>
            </w:r>
          </w:p>
        </w:tc>
        <w:tc>
          <w:tcPr>
            <w:tcW w:w="550" w:type="dxa"/>
            <w:shd w:val="clear" w:color="auto" w:fill="auto"/>
            <w:vAlign w:val="center"/>
          </w:tcPr>
          <w:p w14:paraId="431D3B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个</w:t>
            </w:r>
          </w:p>
        </w:tc>
        <w:tc>
          <w:tcPr>
            <w:tcW w:w="967" w:type="dxa"/>
            <w:vAlign w:val="center"/>
          </w:tcPr>
          <w:p w14:paraId="20F7FF21">
            <w:pPr>
              <w:spacing w:line="276" w:lineRule="auto"/>
              <w:jc w:val="center"/>
              <w:rPr>
                <w:rFonts w:ascii="宋体" w:hAnsi="宋体" w:eastAsia="宋体" w:cs="宋体"/>
                <w:bCs/>
                <w:szCs w:val="21"/>
              </w:rPr>
            </w:pPr>
          </w:p>
        </w:tc>
        <w:tc>
          <w:tcPr>
            <w:tcW w:w="983" w:type="dxa"/>
            <w:vAlign w:val="center"/>
          </w:tcPr>
          <w:p w14:paraId="0027B816">
            <w:pPr>
              <w:spacing w:line="276" w:lineRule="auto"/>
              <w:jc w:val="center"/>
              <w:rPr>
                <w:rFonts w:ascii="宋体" w:hAnsi="宋体" w:eastAsia="宋体" w:cs="宋体"/>
                <w:bCs/>
                <w:szCs w:val="21"/>
              </w:rPr>
            </w:pPr>
          </w:p>
        </w:tc>
      </w:tr>
      <w:tr w14:paraId="1E2EF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6DB7DD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182</w:t>
            </w:r>
          </w:p>
        </w:tc>
        <w:tc>
          <w:tcPr>
            <w:tcW w:w="841" w:type="dxa"/>
            <w:vMerge w:val="continue"/>
          </w:tcPr>
          <w:p w14:paraId="2C492936">
            <w:pPr>
              <w:spacing w:line="276" w:lineRule="auto"/>
              <w:jc w:val="center"/>
              <w:rPr>
                <w:rFonts w:ascii="宋体" w:hAnsi="宋体" w:eastAsia="宋体" w:cs="宋体"/>
                <w:bCs/>
                <w:szCs w:val="21"/>
              </w:rPr>
            </w:pPr>
          </w:p>
        </w:tc>
        <w:tc>
          <w:tcPr>
            <w:tcW w:w="1223" w:type="dxa"/>
            <w:shd w:val="clear" w:color="auto" w:fill="auto"/>
            <w:vAlign w:val="center"/>
          </w:tcPr>
          <w:p w14:paraId="5FFF8C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100GE多模光模块</w:t>
            </w:r>
          </w:p>
        </w:tc>
        <w:tc>
          <w:tcPr>
            <w:tcW w:w="890" w:type="dxa"/>
            <w:vAlign w:val="center"/>
          </w:tcPr>
          <w:p w14:paraId="3C72E383">
            <w:pPr>
              <w:spacing w:line="276" w:lineRule="auto"/>
              <w:jc w:val="center"/>
              <w:rPr>
                <w:rFonts w:ascii="宋体" w:hAnsi="宋体" w:eastAsia="宋体" w:cs="宋体"/>
                <w:bCs/>
                <w:szCs w:val="21"/>
              </w:rPr>
            </w:pPr>
          </w:p>
        </w:tc>
        <w:tc>
          <w:tcPr>
            <w:tcW w:w="508" w:type="dxa"/>
            <w:vAlign w:val="center"/>
          </w:tcPr>
          <w:p w14:paraId="159E0B3C">
            <w:pPr>
              <w:spacing w:line="276" w:lineRule="auto"/>
              <w:jc w:val="center"/>
              <w:rPr>
                <w:rFonts w:ascii="宋体" w:hAnsi="宋体" w:eastAsia="宋体" w:cs="宋体"/>
                <w:bCs/>
                <w:szCs w:val="21"/>
              </w:rPr>
            </w:pPr>
          </w:p>
        </w:tc>
        <w:tc>
          <w:tcPr>
            <w:tcW w:w="810" w:type="dxa"/>
            <w:vAlign w:val="center"/>
          </w:tcPr>
          <w:p w14:paraId="5025E1BD">
            <w:pPr>
              <w:spacing w:line="276" w:lineRule="auto"/>
              <w:jc w:val="center"/>
              <w:rPr>
                <w:rFonts w:ascii="宋体" w:hAnsi="宋体" w:eastAsia="宋体" w:cs="宋体"/>
                <w:bCs/>
                <w:szCs w:val="21"/>
              </w:rPr>
            </w:pPr>
          </w:p>
        </w:tc>
        <w:tc>
          <w:tcPr>
            <w:tcW w:w="715" w:type="dxa"/>
            <w:vAlign w:val="center"/>
          </w:tcPr>
          <w:p w14:paraId="4290C069">
            <w:pPr>
              <w:spacing w:line="276" w:lineRule="auto"/>
              <w:jc w:val="center"/>
              <w:rPr>
                <w:rFonts w:ascii="宋体" w:hAnsi="宋体" w:eastAsia="宋体" w:cs="宋体"/>
                <w:bCs/>
                <w:szCs w:val="21"/>
              </w:rPr>
            </w:pPr>
          </w:p>
        </w:tc>
        <w:tc>
          <w:tcPr>
            <w:tcW w:w="1160" w:type="dxa"/>
            <w:vAlign w:val="center"/>
          </w:tcPr>
          <w:p w14:paraId="3C2D96C2">
            <w:pPr>
              <w:spacing w:line="276" w:lineRule="auto"/>
              <w:jc w:val="center"/>
              <w:rPr>
                <w:rFonts w:ascii="宋体" w:hAnsi="宋体" w:eastAsia="宋体" w:cs="宋体"/>
                <w:bCs/>
                <w:szCs w:val="21"/>
              </w:rPr>
            </w:pPr>
          </w:p>
        </w:tc>
        <w:tc>
          <w:tcPr>
            <w:tcW w:w="917" w:type="dxa"/>
            <w:shd w:val="clear" w:color="auto" w:fill="auto"/>
            <w:vAlign w:val="center"/>
          </w:tcPr>
          <w:p w14:paraId="4B096A5A">
            <w:pPr>
              <w:spacing w:line="276" w:lineRule="auto"/>
              <w:jc w:val="center"/>
              <w:rPr>
                <w:rFonts w:ascii="宋体" w:hAnsi="宋体" w:eastAsia="宋体" w:cs="宋体"/>
                <w:bCs/>
                <w:szCs w:val="21"/>
              </w:rPr>
            </w:pPr>
          </w:p>
        </w:tc>
        <w:tc>
          <w:tcPr>
            <w:tcW w:w="666" w:type="dxa"/>
            <w:shd w:val="clear" w:color="auto" w:fill="auto"/>
            <w:vAlign w:val="center"/>
          </w:tcPr>
          <w:p w14:paraId="0BA1C8A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w:t>
            </w:r>
          </w:p>
        </w:tc>
        <w:tc>
          <w:tcPr>
            <w:tcW w:w="550" w:type="dxa"/>
            <w:shd w:val="clear" w:color="auto" w:fill="auto"/>
            <w:vAlign w:val="center"/>
          </w:tcPr>
          <w:p w14:paraId="4BD465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个</w:t>
            </w:r>
          </w:p>
        </w:tc>
        <w:tc>
          <w:tcPr>
            <w:tcW w:w="967" w:type="dxa"/>
            <w:vAlign w:val="center"/>
          </w:tcPr>
          <w:p w14:paraId="3DED32A3">
            <w:pPr>
              <w:spacing w:line="276" w:lineRule="auto"/>
              <w:jc w:val="center"/>
              <w:rPr>
                <w:rFonts w:ascii="宋体" w:hAnsi="宋体" w:eastAsia="宋体" w:cs="宋体"/>
                <w:bCs/>
                <w:szCs w:val="21"/>
              </w:rPr>
            </w:pPr>
          </w:p>
        </w:tc>
        <w:tc>
          <w:tcPr>
            <w:tcW w:w="983" w:type="dxa"/>
            <w:vAlign w:val="center"/>
          </w:tcPr>
          <w:p w14:paraId="51473EA7">
            <w:pPr>
              <w:spacing w:line="276" w:lineRule="auto"/>
              <w:jc w:val="center"/>
              <w:rPr>
                <w:rFonts w:ascii="宋体" w:hAnsi="宋体" w:eastAsia="宋体" w:cs="宋体"/>
                <w:bCs/>
                <w:szCs w:val="21"/>
              </w:rPr>
            </w:pPr>
          </w:p>
        </w:tc>
      </w:tr>
      <w:tr w14:paraId="2CC30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230D52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183</w:t>
            </w:r>
          </w:p>
        </w:tc>
        <w:tc>
          <w:tcPr>
            <w:tcW w:w="841" w:type="dxa"/>
            <w:vMerge w:val="continue"/>
          </w:tcPr>
          <w:p w14:paraId="491368EE">
            <w:pPr>
              <w:spacing w:line="276" w:lineRule="auto"/>
              <w:jc w:val="center"/>
              <w:rPr>
                <w:rFonts w:ascii="宋体" w:hAnsi="宋体" w:eastAsia="宋体" w:cs="宋体"/>
                <w:bCs/>
                <w:szCs w:val="21"/>
              </w:rPr>
            </w:pPr>
          </w:p>
        </w:tc>
        <w:tc>
          <w:tcPr>
            <w:tcW w:w="1223" w:type="dxa"/>
            <w:shd w:val="clear" w:color="auto" w:fill="auto"/>
            <w:vAlign w:val="center"/>
          </w:tcPr>
          <w:p w14:paraId="11F6B3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AC管理器</w:t>
            </w:r>
          </w:p>
        </w:tc>
        <w:tc>
          <w:tcPr>
            <w:tcW w:w="890" w:type="dxa"/>
            <w:vAlign w:val="center"/>
          </w:tcPr>
          <w:p w14:paraId="189B4D44">
            <w:pPr>
              <w:spacing w:line="276" w:lineRule="auto"/>
              <w:jc w:val="center"/>
              <w:rPr>
                <w:rFonts w:ascii="宋体" w:hAnsi="宋体" w:eastAsia="宋体" w:cs="宋体"/>
                <w:bCs/>
                <w:szCs w:val="21"/>
              </w:rPr>
            </w:pPr>
          </w:p>
        </w:tc>
        <w:tc>
          <w:tcPr>
            <w:tcW w:w="508" w:type="dxa"/>
            <w:vAlign w:val="center"/>
          </w:tcPr>
          <w:p w14:paraId="3B977404">
            <w:pPr>
              <w:spacing w:line="276" w:lineRule="auto"/>
              <w:jc w:val="center"/>
              <w:rPr>
                <w:rFonts w:ascii="宋体" w:hAnsi="宋体" w:eastAsia="宋体" w:cs="宋体"/>
                <w:bCs/>
                <w:szCs w:val="21"/>
              </w:rPr>
            </w:pPr>
          </w:p>
        </w:tc>
        <w:tc>
          <w:tcPr>
            <w:tcW w:w="810" w:type="dxa"/>
            <w:vAlign w:val="center"/>
          </w:tcPr>
          <w:p w14:paraId="2CBAFCEB">
            <w:pPr>
              <w:spacing w:line="276" w:lineRule="auto"/>
              <w:jc w:val="center"/>
              <w:rPr>
                <w:rFonts w:ascii="宋体" w:hAnsi="宋体" w:eastAsia="宋体" w:cs="宋体"/>
                <w:bCs/>
                <w:szCs w:val="21"/>
              </w:rPr>
            </w:pPr>
          </w:p>
        </w:tc>
        <w:tc>
          <w:tcPr>
            <w:tcW w:w="715" w:type="dxa"/>
            <w:vAlign w:val="center"/>
          </w:tcPr>
          <w:p w14:paraId="3F3AB21B">
            <w:pPr>
              <w:spacing w:line="276" w:lineRule="auto"/>
              <w:jc w:val="center"/>
              <w:rPr>
                <w:rFonts w:ascii="宋体" w:hAnsi="宋体" w:eastAsia="宋体" w:cs="宋体"/>
                <w:bCs/>
                <w:szCs w:val="21"/>
              </w:rPr>
            </w:pPr>
          </w:p>
        </w:tc>
        <w:tc>
          <w:tcPr>
            <w:tcW w:w="1160" w:type="dxa"/>
            <w:vAlign w:val="center"/>
          </w:tcPr>
          <w:p w14:paraId="4CF6AC34">
            <w:pPr>
              <w:spacing w:line="276" w:lineRule="auto"/>
              <w:jc w:val="center"/>
              <w:rPr>
                <w:rFonts w:ascii="宋体" w:hAnsi="宋体" w:eastAsia="宋体" w:cs="宋体"/>
                <w:bCs/>
                <w:szCs w:val="21"/>
              </w:rPr>
            </w:pPr>
          </w:p>
        </w:tc>
        <w:tc>
          <w:tcPr>
            <w:tcW w:w="917" w:type="dxa"/>
            <w:shd w:val="clear" w:color="auto" w:fill="auto"/>
            <w:vAlign w:val="center"/>
          </w:tcPr>
          <w:p w14:paraId="4C855820">
            <w:pPr>
              <w:spacing w:line="276" w:lineRule="auto"/>
              <w:jc w:val="center"/>
              <w:rPr>
                <w:rFonts w:ascii="宋体" w:hAnsi="宋体" w:eastAsia="宋体" w:cs="宋体"/>
                <w:bCs/>
                <w:szCs w:val="21"/>
              </w:rPr>
            </w:pPr>
          </w:p>
        </w:tc>
        <w:tc>
          <w:tcPr>
            <w:tcW w:w="666" w:type="dxa"/>
            <w:shd w:val="clear" w:color="auto" w:fill="auto"/>
            <w:vAlign w:val="center"/>
          </w:tcPr>
          <w:p w14:paraId="68DD2F3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6B6DE2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76B64E24">
            <w:pPr>
              <w:spacing w:line="276" w:lineRule="auto"/>
              <w:jc w:val="center"/>
              <w:rPr>
                <w:rFonts w:ascii="宋体" w:hAnsi="宋体" w:eastAsia="宋体" w:cs="宋体"/>
                <w:bCs/>
                <w:szCs w:val="21"/>
              </w:rPr>
            </w:pPr>
          </w:p>
        </w:tc>
        <w:tc>
          <w:tcPr>
            <w:tcW w:w="983" w:type="dxa"/>
            <w:vAlign w:val="center"/>
          </w:tcPr>
          <w:p w14:paraId="0E4154FA">
            <w:pPr>
              <w:spacing w:line="276" w:lineRule="auto"/>
              <w:jc w:val="center"/>
              <w:rPr>
                <w:rFonts w:ascii="宋体" w:hAnsi="宋体" w:eastAsia="宋体" w:cs="宋体"/>
                <w:bCs/>
                <w:szCs w:val="21"/>
              </w:rPr>
            </w:pPr>
          </w:p>
        </w:tc>
      </w:tr>
      <w:tr w14:paraId="1BFFE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624CD3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184</w:t>
            </w:r>
          </w:p>
        </w:tc>
        <w:tc>
          <w:tcPr>
            <w:tcW w:w="841" w:type="dxa"/>
            <w:vMerge w:val="continue"/>
          </w:tcPr>
          <w:p w14:paraId="188CC4AF">
            <w:pPr>
              <w:spacing w:line="276" w:lineRule="auto"/>
              <w:jc w:val="center"/>
              <w:rPr>
                <w:rFonts w:ascii="宋体" w:hAnsi="宋体" w:eastAsia="宋体" w:cs="宋体"/>
                <w:bCs/>
                <w:szCs w:val="21"/>
              </w:rPr>
            </w:pPr>
          </w:p>
        </w:tc>
        <w:tc>
          <w:tcPr>
            <w:tcW w:w="1223" w:type="dxa"/>
            <w:shd w:val="clear" w:color="auto" w:fill="auto"/>
            <w:vAlign w:val="center"/>
          </w:tcPr>
          <w:p w14:paraId="6E9AA8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安全单向导入系统(万兆)-导入前置机</w:t>
            </w:r>
          </w:p>
        </w:tc>
        <w:tc>
          <w:tcPr>
            <w:tcW w:w="890" w:type="dxa"/>
            <w:vAlign w:val="center"/>
          </w:tcPr>
          <w:p w14:paraId="4D212803">
            <w:pPr>
              <w:spacing w:line="276" w:lineRule="auto"/>
              <w:jc w:val="center"/>
              <w:rPr>
                <w:rFonts w:ascii="宋体" w:hAnsi="宋体" w:eastAsia="宋体" w:cs="宋体"/>
                <w:bCs/>
                <w:szCs w:val="21"/>
              </w:rPr>
            </w:pPr>
          </w:p>
        </w:tc>
        <w:tc>
          <w:tcPr>
            <w:tcW w:w="508" w:type="dxa"/>
            <w:vAlign w:val="center"/>
          </w:tcPr>
          <w:p w14:paraId="24C06C02">
            <w:pPr>
              <w:spacing w:line="276" w:lineRule="auto"/>
              <w:jc w:val="center"/>
              <w:rPr>
                <w:rFonts w:ascii="宋体" w:hAnsi="宋体" w:eastAsia="宋体" w:cs="宋体"/>
                <w:bCs/>
                <w:szCs w:val="21"/>
              </w:rPr>
            </w:pPr>
          </w:p>
        </w:tc>
        <w:tc>
          <w:tcPr>
            <w:tcW w:w="810" w:type="dxa"/>
            <w:vAlign w:val="center"/>
          </w:tcPr>
          <w:p w14:paraId="79248D67">
            <w:pPr>
              <w:spacing w:line="276" w:lineRule="auto"/>
              <w:jc w:val="center"/>
              <w:rPr>
                <w:rFonts w:ascii="宋体" w:hAnsi="宋体" w:eastAsia="宋体" w:cs="宋体"/>
                <w:bCs/>
                <w:szCs w:val="21"/>
              </w:rPr>
            </w:pPr>
          </w:p>
        </w:tc>
        <w:tc>
          <w:tcPr>
            <w:tcW w:w="715" w:type="dxa"/>
            <w:vAlign w:val="center"/>
          </w:tcPr>
          <w:p w14:paraId="35699DC0">
            <w:pPr>
              <w:spacing w:line="276" w:lineRule="auto"/>
              <w:jc w:val="center"/>
              <w:rPr>
                <w:rFonts w:ascii="宋体" w:hAnsi="宋体" w:eastAsia="宋体" w:cs="宋体"/>
                <w:bCs/>
                <w:szCs w:val="21"/>
              </w:rPr>
            </w:pPr>
          </w:p>
        </w:tc>
        <w:tc>
          <w:tcPr>
            <w:tcW w:w="1160" w:type="dxa"/>
            <w:vAlign w:val="center"/>
          </w:tcPr>
          <w:p w14:paraId="2DCCFD3A">
            <w:pPr>
              <w:spacing w:line="276" w:lineRule="auto"/>
              <w:jc w:val="center"/>
              <w:rPr>
                <w:rFonts w:ascii="宋体" w:hAnsi="宋体" w:eastAsia="宋体" w:cs="宋体"/>
                <w:bCs/>
                <w:szCs w:val="21"/>
              </w:rPr>
            </w:pPr>
          </w:p>
        </w:tc>
        <w:tc>
          <w:tcPr>
            <w:tcW w:w="917" w:type="dxa"/>
            <w:shd w:val="clear" w:color="auto" w:fill="auto"/>
            <w:vAlign w:val="center"/>
          </w:tcPr>
          <w:p w14:paraId="2B07C1ED">
            <w:pPr>
              <w:spacing w:line="276" w:lineRule="auto"/>
              <w:jc w:val="center"/>
              <w:rPr>
                <w:rFonts w:ascii="宋体" w:hAnsi="宋体" w:eastAsia="宋体" w:cs="宋体"/>
                <w:bCs/>
                <w:szCs w:val="21"/>
              </w:rPr>
            </w:pPr>
          </w:p>
        </w:tc>
        <w:tc>
          <w:tcPr>
            <w:tcW w:w="666" w:type="dxa"/>
            <w:shd w:val="clear" w:color="auto" w:fill="auto"/>
            <w:vAlign w:val="center"/>
          </w:tcPr>
          <w:p w14:paraId="41B5753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260703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33524D78">
            <w:pPr>
              <w:spacing w:line="276" w:lineRule="auto"/>
              <w:jc w:val="center"/>
              <w:rPr>
                <w:rFonts w:ascii="宋体" w:hAnsi="宋体" w:eastAsia="宋体" w:cs="宋体"/>
                <w:bCs/>
                <w:szCs w:val="21"/>
              </w:rPr>
            </w:pPr>
          </w:p>
        </w:tc>
        <w:tc>
          <w:tcPr>
            <w:tcW w:w="983" w:type="dxa"/>
            <w:vAlign w:val="center"/>
          </w:tcPr>
          <w:p w14:paraId="35A68087">
            <w:pPr>
              <w:spacing w:line="276" w:lineRule="auto"/>
              <w:jc w:val="center"/>
              <w:rPr>
                <w:rFonts w:ascii="宋体" w:hAnsi="宋体" w:eastAsia="宋体" w:cs="宋体"/>
                <w:bCs/>
                <w:szCs w:val="21"/>
              </w:rPr>
            </w:pPr>
          </w:p>
        </w:tc>
      </w:tr>
      <w:tr w14:paraId="1C9AE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73704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185</w:t>
            </w:r>
          </w:p>
        </w:tc>
        <w:tc>
          <w:tcPr>
            <w:tcW w:w="841" w:type="dxa"/>
            <w:vMerge w:val="continue"/>
          </w:tcPr>
          <w:p w14:paraId="734C678D">
            <w:pPr>
              <w:spacing w:line="276" w:lineRule="auto"/>
              <w:jc w:val="center"/>
              <w:rPr>
                <w:rFonts w:ascii="宋体" w:hAnsi="宋体" w:eastAsia="宋体" w:cs="宋体"/>
                <w:bCs/>
                <w:szCs w:val="21"/>
              </w:rPr>
            </w:pPr>
          </w:p>
        </w:tc>
        <w:tc>
          <w:tcPr>
            <w:tcW w:w="1223" w:type="dxa"/>
            <w:shd w:val="clear" w:color="auto" w:fill="auto"/>
            <w:vAlign w:val="center"/>
          </w:tcPr>
          <w:p w14:paraId="6D7378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安全单向导入系统(万兆)-安全单向隔离光闸</w:t>
            </w:r>
          </w:p>
        </w:tc>
        <w:tc>
          <w:tcPr>
            <w:tcW w:w="890" w:type="dxa"/>
            <w:vAlign w:val="center"/>
          </w:tcPr>
          <w:p w14:paraId="0ACB5A3B">
            <w:pPr>
              <w:spacing w:line="276" w:lineRule="auto"/>
              <w:jc w:val="center"/>
              <w:rPr>
                <w:rFonts w:ascii="宋体" w:hAnsi="宋体" w:eastAsia="宋体" w:cs="宋体"/>
                <w:bCs/>
                <w:szCs w:val="21"/>
              </w:rPr>
            </w:pPr>
          </w:p>
        </w:tc>
        <w:tc>
          <w:tcPr>
            <w:tcW w:w="508" w:type="dxa"/>
            <w:vAlign w:val="center"/>
          </w:tcPr>
          <w:p w14:paraId="146F71A7">
            <w:pPr>
              <w:spacing w:line="276" w:lineRule="auto"/>
              <w:jc w:val="center"/>
              <w:rPr>
                <w:rFonts w:ascii="宋体" w:hAnsi="宋体" w:eastAsia="宋体" w:cs="宋体"/>
                <w:bCs/>
                <w:szCs w:val="21"/>
              </w:rPr>
            </w:pPr>
          </w:p>
        </w:tc>
        <w:tc>
          <w:tcPr>
            <w:tcW w:w="810" w:type="dxa"/>
            <w:vAlign w:val="center"/>
          </w:tcPr>
          <w:p w14:paraId="011CCACB">
            <w:pPr>
              <w:spacing w:line="276" w:lineRule="auto"/>
              <w:jc w:val="center"/>
              <w:rPr>
                <w:rFonts w:ascii="宋体" w:hAnsi="宋体" w:eastAsia="宋体" w:cs="宋体"/>
                <w:bCs/>
                <w:szCs w:val="21"/>
              </w:rPr>
            </w:pPr>
          </w:p>
        </w:tc>
        <w:tc>
          <w:tcPr>
            <w:tcW w:w="715" w:type="dxa"/>
            <w:vAlign w:val="center"/>
          </w:tcPr>
          <w:p w14:paraId="2255CA6E">
            <w:pPr>
              <w:spacing w:line="276" w:lineRule="auto"/>
              <w:jc w:val="center"/>
              <w:rPr>
                <w:rFonts w:ascii="宋体" w:hAnsi="宋体" w:eastAsia="宋体" w:cs="宋体"/>
                <w:bCs/>
                <w:szCs w:val="21"/>
              </w:rPr>
            </w:pPr>
          </w:p>
        </w:tc>
        <w:tc>
          <w:tcPr>
            <w:tcW w:w="1160" w:type="dxa"/>
            <w:vAlign w:val="center"/>
          </w:tcPr>
          <w:p w14:paraId="1BA35047">
            <w:pPr>
              <w:spacing w:line="276" w:lineRule="auto"/>
              <w:jc w:val="center"/>
              <w:rPr>
                <w:rFonts w:ascii="宋体" w:hAnsi="宋体" w:eastAsia="宋体" w:cs="宋体"/>
                <w:bCs/>
                <w:szCs w:val="21"/>
              </w:rPr>
            </w:pPr>
          </w:p>
        </w:tc>
        <w:tc>
          <w:tcPr>
            <w:tcW w:w="917" w:type="dxa"/>
            <w:shd w:val="clear" w:color="auto" w:fill="auto"/>
            <w:vAlign w:val="center"/>
          </w:tcPr>
          <w:p w14:paraId="58A3709E">
            <w:pPr>
              <w:spacing w:line="276" w:lineRule="auto"/>
              <w:jc w:val="center"/>
              <w:rPr>
                <w:rFonts w:ascii="宋体" w:hAnsi="宋体" w:eastAsia="宋体" w:cs="宋体"/>
                <w:bCs/>
                <w:szCs w:val="21"/>
              </w:rPr>
            </w:pPr>
          </w:p>
        </w:tc>
        <w:tc>
          <w:tcPr>
            <w:tcW w:w="666" w:type="dxa"/>
            <w:shd w:val="clear" w:color="auto" w:fill="auto"/>
            <w:vAlign w:val="center"/>
          </w:tcPr>
          <w:p w14:paraId="3F80DCE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28CDBA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5DC03FAD">
            <w:pPr>
              <w:spacing w:line="276" w:lineRule="auto"/>
              <w:jc w:val="center"/>
              <w:rPr>
                <w:rFonts w:ascii="宋体" w:hAnsi="宋体" w:eastAsia="宋体" w:cs="宋体"/>
                <w:bCs/>
                <w:szCs w:val="21"/>
              </w:rPr>
            </w:pPr>
          </w:p>
        </w:tc>
        <w:tc>
          <w:tcPr>
            <w:tcW w:w="983" w:type="dxa"/>
            <w:vAlign w:val="center"/>
          </w:tcPr>
          <w:p w14:paraId="030B3EB3">
            <w:pPr>
              <w:spacing w:line="276" w:lineRule="auto"/>
              <w:jc w:val="center"/>
              <w:rPr>
                <w:rFonts w:ascii="宋体" w:hAnsi="宋体" w:eastAsia="宋体" w:cs="宋体"/>
                <w:bCs/>
                <w:szCs w:val="21"/>
              </w:rPr>
            </w:pPr>
          </w:p>
        </w:tc>
      </w:tr>
      <w:tr w14:paraId="153FB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59BD9D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186</w:t>
            </w:r>
          </w:p>
        </w:tc>
        <w:tc>
          <w:tcPr>
            <w:tcW w:w="841" w:type="dxa"/>
            <w:vMerge w:val="continue"/>
          </w:tcPr>
          <w:p w14:paraId="2B76AB9A">
            <w:pPr>
              <w:spacing w:line="276" w:lineRule="auto"/>
              <w:jc w:val="center"/>
              <w:rPr>
                <w:rFonts w:ascii="宋体" w:hAnsi="宋体" w:eastAsia="宋体" w:cs="宋体"/>
                <w:bCs/>
                <w:szCs w:val="21"/>
              </w:rPr>
            </w:pPr>
          </w:p>
        </w:tc>
        <w:tc>
          <w:tcPr>
            <w:tcW w:w="1223" w:type="dxa"/>
            <w:shd w:val="clear" w:color="auto" w:fill="auto"/>
            <w:vAlign w:val="center"/>
          </w:tcPr>
          <w:p w14:paraId="49C8DB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安全单向导入系统(万兆)</w:t>
            </w:r>
          </w:p>
        </w:tc>
        <w:tc>
          <w:tcPr>
            <w:tcW w:w="890" w:type="dxa"/>
            <w:vAlign w:val="center"/>
          </w:tcPr>
          <w:p w14:paraId="4E688A9F">
            <w:pPr>
              <w:spacing w:line="276" w:lineRule="auto"/>
              <w:jc w:val="center"/>
              <w:rPr>
                <w:rFonts w:ascii="宋体" w:hAnsi="宋体" w:eastAsia="宋体" w:cs="宋体"/>
                <w:bCs/>
                <w:szCs w:val="21"/>
              </w:rPr>
            </w:pPr>
          </w:p>
        </w:tc>
        <w:tc>
          <w:tcPr>
            <w:tcW w:w="508" w:type="dxa"/>
            <w:vAlign w:val="center"/>
          </w:tcPr>
          <w:p w14:paraId="5A1AC692">
            <w:pPr>
              <w:spacing w:line="276" w:lineRule="auto"/>
              <w:jc w:val="center"/>
              <w:rPr>
                <w:rFonts w:ascii="宋体" w:hAnsi="宋体" w:eastAsia="宋体" w:cs="宋体"/>
                <w:bCs/>
                <w:szCs w:val="21"/>
              </w:rPr>
            </w:pPr>
          </w:p>
        </w:tc>
        <w:tc>
          <w:tcPr>
            <w:tcW w:w="810" w:type="dxa"/>
            <w:vAlign w:val="center"/>
          </w:tcPr>
          <w:p w14:paraId="683B2B9A">
            <w:pPr>
              <w:spacing w:line="276" w:lineRule="auto"/>
              <w:jc w:val="center"/>
              <w:rPr>
                <w:rFonts w:ascii="宋体" w:hAnsi="宋体" w:eastAsia="宋体" w:cs="宋体"/>
                <w:bCs/>
                <w:szCs w:val="21"/>
              </w:rPr>
            </w:pPr>
          </w:p>
        </w:tc>
        <w:tc>
          <w:tcPr>
            <w:tcW w:w="715" w:type="dxa"/>
            <w:vAlign w:val="center"/>
          </w:tcPr>
          <w:p w14:paraId="48CEDF70">
            <w:pPr>
              <w:spacing w:line="276" w:lineRule="auto"/>
              <w:jc w:val="center"/>
              <w:rPr>
                <w:rFonts w:ascii="宋体" w:hAnsi="宋体" w:eastAsia="宋体" w:cs="宋体"/>
                <w:bCs/>
                <w:szCs w:val="21"/>
              </w:rPr>
            </w:pPr>
          </w:p>
        </w:tc>
        <w:tc>
          <w:tcPr>
            <w:tcW w:w="1160" w:type="dxa"/>
            <w:vAlign w:val="center"/>
          </w:tcPr>
          <w:p w14:paraId="256FB085">
            <w:pPr>
              <w:spacing w:line="276" w:lineRule="auto"/>
              <w:jc w:val="center"/>
              <w:rPr>
                <w:rFonts w:ascii="宋体" w:hAnsi="宋体" w:eastAsia="宋体" w:cs="宋体"/>
                <w:bCs/>
                <w:szCs w:val="21"/>
              </w:rPr>
            </w:pPr>
          </w:p>
        </w:tc>
        <w:tc>
          <w:tcPr>
            <w:tcW w:w="917" w:type="dxa"/>
            <w:shd w:val="clear" w:color="auto" w:fill="auto"/>
            <w:vAlign w:val="center"/>
          </w:tcPr>
          <w:p w14:paraId="66BDF88E">
            <w:pPr>
              <w:spacing w:line="276" w:lineRule="auto"/>
              <w:jc w:val="center"/>
              <w:rPr>
                <w:rFonts w:ascii="宋体" w:hAnsi="宋体" w:eastAsia="宋体" w:cs="宋体"/>
                <w:bCs/>
                <w:szCs w:val="21"/>
              </w:rPr>
            </w:pPr>
          </w:p>
        </w:tc>
        <w:tc>
          <w:tcPr>
            <w:tcW w:w="666" w:type="dxa"/>
            <w:shd w:val="clear" w:color="auto" w:fill="auto"/>
            <w:vAlign w:val="center"/>
          </w:tcPr>
          <w:p w14:paraId="46CA8C9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3070DA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30A69FAF">
            <w:pPr>
              <w:spacing w:line="276" w:lineRule="auto"/>
              <w:jc w:val="center"/>
              <w:rPr>
                <w:rFonts w:ascii="宋体" w:hAnsi="宋体" w:eastAsia="宋体" w:cs="宋体"/>
                <w:bCs/>
                <w:szCs w:val="21"/>
              </w:rPr>
            </w:pPr>
          </w:p>
        </w:tc>
        <w:tc>
          <w:tcPr>
            <w:tcW w:w="983" w:type="dxa"/>
            <w:vAlign w:val="center"/>
          </w:tcPr>
          <w:p w14:paraId="10655A69">
            <w:pPr>
              <w:spacing w:line="276" w:lineRule="auto"/>
              <w:jc w:val="center"/>
              <w:rPr>
                <w:rFonts w:ascii="宋体" w:hAnsi="宋体" w:eastAsia="宋体" w:cs="宋体"/>
                <w:bCs/>
                <w:szCs w:val="21"/>
              </w:rPr>
            </w:pPr>
          </w:p>
        </w:tc>
      </w:tr>
      <w:tr w14:paraId="10F21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48888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187</w:t>
            </w:r>
          </w:p>
        </w:tc>
        <w:tc>
          <w:tcPr>
            <w:tcW w:w="841" w:type="dxa"/>
            <w:vMerge w:val="continue"/>
          </w:tcPr>
          <w:p w14:paraId="4D4C5B52">
            <w:pPr>
              <w:spacing w:line="276" w:lineRule="auto"/>
              <w:jc w:val="center"/>
              <w:rPr>
                <w:rFonts w:ascii="宋体" w:hAnsi="宋体" w:eastAsia="宋体" w:cs="宋体"/>
                <w:bCs/>
                <w:szCs w:val="21"/>
              </w:rPr>
            </w:pPr>
          </w:p>
        </w:tc>
        <w:tc>
          <w:tcPr>
            <w:tcW w:w="1223" w:type="dxa"/>
            <w:shd w:val="clear" w:color="auto" w:fill="auto"/>
            <w:vAlign w:val="center"/>
          </w:tcPr>
          <w:p w14:paraId="6F2894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集控探针</w:t>
            </w:r>
          </w:p>
        </w:tc>
        <w:tc>
          <w:tcPr>
            <w:tcW w:w="890" w:type="dxa"/>
            <w:vAlign w:val="center"/>
          </w:tcPr>
          <w:p w14:paraId="3F64E7F2">
            <w:pPr>
              <w:spacing w:line="276" w:lineRule="auto"/>
              <w:jc w:val="center"/>
              <w:rPr>
                <w:rFonts w:ascii="宋体" w:hAnsi="宋体" w:eastAsia="宋体" w:cs="宋体"/>
                <w:bCs/>
                <w:szCs w:val="21"/>
              </w:rPr>
            </w:pPr>
          </w:p>
        </w:tc>
        <w:tc>
          <w:tcPr>
            <w:tcW w:w="508" w:type="dxa"/>
            <w:vAlign w:val="center"/>
          </w:tcPr>
          <w:p w14:paraId="262F05AC">
            <w:pPr>
              <w:spacing w:line="276" w:lineRule="auto"/>
              <w:jc w:val="center"/>
              <w:rPr>
                <w:rFonts w:ascii="宋体" w:hAnsi="宋体" w:eastAsia="宋体" w:cs="宋体"/>
                <w:bCs/>
                <w:szCs w:val="21"/>
              </w:rPr>
            </w:pPr>
          </w:p>
        </w:tc>
        <w:tc>
          <w:tcPr>
            <w:tcW w:w="810" w:type="dxa"/>
            <w:vAlign w:val="center"/>
          </w:tcPr>
          <w:p w14:paraId="56871BE6">
            <w:pPr>
              <w:spacing w:line="276" w:lineRule="auto"/>
              <w:jc w:val="center"/>
              <w:rPr>
                <w:rFonts w:ascii="宋体" w:hAnsi="宋体" w:eastAsia="宋体" w:cs="宋体"/>
                <w:bCs/>
                <w:szCs w:val="21"/>
              </w:rPr>
            </w:pPr>
          </w:p>
        </w:tc>
        <w:tc>
          <w:tcPr>
            <w:tcW w:w="715" w:type="dxa"/>
            <w:vAlign w:val="center"/>
          </w:tcPr>
          <w:p w14:paraId="28DE68EC">
            <w:pPr>
              <w:spacing w:line="276" w:lineRule="auto"/>
              <w:jc w:val="center"/>
              <w:rPr>
                <w:rFonts w:ascii="宋体" w:hAnsi="宋体" w:eastAsia="宋体" w:cs="宋体"/>
                <w:bCs/>
                <w:szCs w:val="21"/>
              </w:rPr>
            </w:pPr>
          </w:p>
        </w:tc>
        <w:tc>
          <w:tcPr>
            <w:tcW w:w="1160" w:type="dxa"/>
            <w:vAlign w:val="center"/>
          </w:tcPr>
          <w:p w14:paraId="04ABBE32">
            <w:pPr>
              <w:spacing w:line="276" w:lineRule="auto"/>
              <w:jc w:val="center"/>
              <w:rPr>
                <w:rFonts w:ascii="宋体" w:hAnsi="宋体" w:eastAsia="宋体" w:cs="宋体"/>
                <w:bCs/>
                <w:szCs w:val="21"/>
              </w:rPr>
            </w:pPr>
          </w:p>
        </w:tc>
        <w:tc>
          <w:tcPr>
            <w:tcW w:w="917" w:type="dxa"/>
            <w:shd w:val="clear" w:color="auto" w:fill="auto"/>
            <w:vAlign w:val="center"/>
          </w:tcPr>
          <w:p w14:paraId="34F2B0E9">
            <w:pPr>
              <w:spacing w:line="276" w:lineRule="auto"/>
              <w:jc w:val="center"/>
              <w:rPr>
                <w:rFonts w:ascii="宋体" w:hAnsi="宋体" w:eastAsia="宋体" w:cs="宋体"/>
                <w:bCs/>
                <w:szCs w:val="21"/>
              </w:rPr>
            </w:pPr>
          </w:p>
        </w:tc>
        <w:tc>
          <w:tcPr>
            <w:tcW w:w="666" w:type="dxa"/>
            <w:shd w:val="clear" w:color="auto" w:fill="auto"/>
            <w:vAlign w:val="center"/>
          </w:tcPr>
          <w:p w14:paraId="2D73D3B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1D271E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42B53DD9">
            <w:pPr>
              <w:spacing w:line="276" w:lineRule="auto"/>
              <w:jc w:val="center"/>
              <w:rPr>
                <w:rFonts w:ascii="宋体" w:hAnsi="宋体" w:eastAsia="宋体" w:cs="宋体"/>
                <w:bCs/>
                <w:szCs w:val="21"/>
              </w:rPr>
            </w:pPr>
          </w:p>
        </w:tc>
        <w:tc>
          <w:tcPr>
            <w:tcW w:w="983" w:type="dxa"/>
            <w:vAlign w:val="center"/>
          </w:tcPr>
          <w:p w14:paraId="04EFF362">
            <w:pPr>
              <w:spacing w:line="276" w:lineRule="auto"/>
              <w:jc w:val="center"/>
              <w:rPr>
                <w:rFonts w:ascii="宋体" w:hAnsi="宋体" w:eastAsia="宋体" w:cs="宋体"/>
                <w:bCs/>
                <w:szCs w:val="21"/>
              </w:rPr>
            </w:pPr>
          </w:p>
        </w:tc>
      </w:tr>
      <w:tr w14:paraId="2FE92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42247B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188</w:t>
            </w:r>
          </w:p>
        </w:tc>
        <w:tc>
          <w:tcPr>
            <w:tcW w:w="841" w:type="dxa"/>
            <w:vMerge w:val="continue"/>
          </w:tcPr>
          <w:p w14:paraId="7F088204">
            <w:pPr>
              <w:spacing w:line="276" w:lineRule="auto"/>
              <w:jc w:val="center"/>
              <w:rPr>
                <w:rFonts w:ascii="宋体" w:hAnsi="宋体" w:eastAsia="宋体" w:cs="宋体"/>
                <w:bCs/>
                <w:szCs w:val="21"/>
              </w:rPr>
            </w:pPr>
          </w:p>
        </w:tc>
        <w:tc>
          <w:tcPr>
            <w:tcW w:w="1223" w:type="dxa"/>
            <w:shd w:val="clear" w:color="auto" w:fill="auto"/>
            <w:vAlign w:val="center"/>
          </w:tcPr>
          <w:p w14:paraId="78FE3E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可信边界安全网关（万兆）</w:t>
            </w:r>
          </w:p>
        </w:tc>
        <w:tc>
          <w:tcPr>
            <w:tcW w:w="890" w:type="dxa"/>
            <w:vAlign w:val="center"/>
          </w:tcPr>
          <w:p w14:paraId="433FB8C2">
            <w:pPr>
              <w:spacing w:line="276" w:lineRule="auto"/>
              <w:jc w:val="center"/>
              <w:rPr>
                <w:rFonts w:ascii="宋体" w:hAnsi="宋体" w:eastAsia="宋体" w:cs="宋体"/>
                <w:bCs/>
                <w:szCs w:val="21"/>
              </w:rPr>
            </w:pPr>
          </w:p>
        </w:tc>
        <w:tc>
          <w:tcPr>
            <w:tcW w:w="508" w:type="dxa"/>
            <w:vAlign w:val="center"/>
          </w:tcPr>
          <w:p w14:paraId="6AB36A8F">
            <w:pPr>
              <w:spacing w:line="276" w:lineRule="auto"/>
              <w:jc w:val="center"/>
              <w:rPr>
                <w:rFonts w:ascii="宋体" w:hAnsi="宋体" w:eastAsia="宋体" w:cs="宋体"/>
                <w:bCs/>
                <w:szCs w:val="21"/>
              </w:rPr>
            </w:pPr>
          </w:p>
        </w:tc>
        <w:tc>
          <w:tcPr>
            <w:tcW w:w="810" w:type="dxa"/>
            <w:vAlign w:val="center"/>
          </w:tcPr>
          <w:p w14:paraId="367C001B">
            <w:pPr>
              <w:spacing w:line="276" w:lineRule="auto"/>
              <w:jc w:val="center"/>
              <w:rPr>
                <w:rFonts w:ascii="宋体" w:hAnsi="宋体" w:eastAsia="宋体" w:cs="宋体"/>
                <w:bCs/>
                <w:szCs w:val="21"/>
              </w:rPr>
            </w:pPr>
          </w:p>
        </w:tc>
        <w:tc>
          <w:tcPr>
            <w:tcW w:w="715" w:type="dxa"/>
            <w:vAlign w:val="center"/>
          </w:tcPr>
          <w:p w14:paraId="5088C9F7">
            <w:pPr>
              <w:spacing w:line="276" w:lineRule="auto"/>
              <w:jc w:val="center"/>
              <w:rPr>
                <w:rFonts w:ascii="宋体" w:hAnsi="宋体" w:eastAsia="宋体" w:cs="宋体"/>
                <w:bCs/>
                <w:szCs w:val="21"/>
              </w:rPr>
            </w:pPr>
          </w:p>
        </w:tc>
        <w:tc>
          <w:tcPr>
            <w:tcW w:w="1160" w:type="dxa"/>
            <w:vAlign w:val="center"/>
          </w:tcPr>
          <w:p w14:paraId="48DB29B5">
            <w:pPr>
              <w:spacing w:line="276" w:lineRule="auto"/>
              <w:jc w:val="center"/>
              <w:rPr>
                <w:rFonts w:ascii="宋体" w:hAnsi="宋体" w:eastAsia="宋体" w:cs="宋体"/>
                <w:bCs/>
                <w:szCs w:val="21"/>
              </w:rPr>
            </w:pPr>
          </w:p>
        </w:tc>
        <w:tc>
          <w:tcPr>
            <w:tcW w:w="917" w:type="dxa"/>
            <w:shd w:val="clear" w:color="auto" w:fill="auto"/>
            <w:vAlign w:val="center"/>
          </w:tcPr>
          <w:p w14:paraId="3C40BCCD">
            <w:pPr>
              <w:spacing w:line="276" w:lineRule="auto"/>
              <w:jc w:val="center"/>
              <w:rPr>
                <w:rFonts w:ascii="宋体" w:hAnsi="宋体" w:eastAsia="宋体" w:cs="宋体"/>
                <w:bCs/>
                <w:szCs w:val="21"/>
              </w:rPr>
            </w:pPr>
          </w:p>
        </w:tc>
        <w:tc>
          <w:tcPr>
            <w:tcW w:w="666" w:type="dxa"/>
            <w:shd w:val="clear" w:color="auto" w:fill="auto"/>
            <w:vAlign w:val="center"/>
          </w:tcPr>
          <w:p w14:paraId="519ABE7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1744DC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238A2A87">
            <w:pPr>
              <w:spacing w:line="276" w:lineRule="auto"/>
              <w:jc w:val="center"/>
              <w:rPr>
                <w:rFonts w:ascii="宋体" w:hAnsi="宋体" w:eastAsia="宋体" w:cs="宋体"/>
                <w:bCs/>
                <w:szCs w:val="21"/>
              </w:rPr>
            </w:pPr>
          </w:p>
        </w:tc>
        <w:tc>
          <w:tcPr>
            <w:tcW w:w="983" w:type="dxa"/>
            <w:vAlign w:val="center"/>
          </w:tcPr>
          <w:p w14:paraId="607B81F6">
            <w:pPr>
              <w:spacing w:line="276" w:lineRule="auto"/>
              <w:jc w:val="center"/>
              <w:rPr>
                <w:rFonts w:ascii="宋体" w:hAnsi="宋体" w:eastAsia="宋体" w:cs="宋体"/>
                <w:bCs/>
                <w:szCs w:val="21"/>
              </w:rPr>
            </w:pPr>
          </w:p>
        </w:tc>
      </w:tr>
      <w:tr w14:paraId="71DDD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692858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189</w:t>
            </w:r>
          </w:p>
        </w:tc>
        <w:tc>
          <w:tcPr>
            <w:tcW w:w="841" w:type="dxa"/>
            <w:vMerge w:val="continue"/>
          </w:tcPr>
          <w:p w14:paraId="6016FA54">
            <w:pPr>
              <w:spacing w:line="276" w:lineRule="auto"/>
              <w:jc w:val="center"/>
              <w:rPr>
                <w:rFonts w:ascii="宋体" w:hAnsi="宋体" w:eastAsia="宋体" w:cs="宋体"/>
                <w:bCs/>
                <w:szCs w:val="21"/>
              </w:rPr>
            </w:pPr>
          </w:p>
        </w:tc>
        <w:tc>
          <w:tcPr>
            <w:tcW w:w="1223" w:type="dxa"/>
            <w:shd w:val="clear" w:color="auto" w:fill="auto"/>
            <w:vAlign w:val="center"/>
          </w:tcPr>
          <w:p w14:paraId="7F8960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防火墙（万兆）</w:t>
            </w:r>
          </w:p>
        </w:tc>
        <w:tc>
          <w:tcPr>
            <w:tcW w:w="890" w:type="dxa"/>
            <w:vAlign w:val="center"/>
          </w:tcPr>
          <w:p w14:paraId="4E74C06A">
            <w:pPr>
              <w:spacing w:line="276" w:lineRule="auto"/>
              <w:jc w:val="center"/>
              <w:rPr>
                <w:rFonts w:ascii="宋体" w:hAnsi="宋体" w:eastAsia="宋体" w:cs="宋体"/>
                <w:bCs/>
                <w:szCs w:val="21"/>
              </w:rPr>
            </w:pPr>
          </w:p>
        </w:tc>
        <w:tc>
          <w:tcPr>
            <w:tcW w:w="508" w:type="dxa"/>
            <w:vAlign w:val="center"/>
          </w:tcPr>
          <w:p w14:paraId="3913B1BA">
            <w:pPr>
              <w:spacing w:line="276" w:lineRule="auto"/>
              <w:jc w:val="center"/>
              <w:rPr>
                <w:rFonts w:ascii="宋体" w:hAnsi="宋体" w:eastAsia="宋体" w:cs="宋体"/>
                <w:bCs/>
                <w:szCs w:val="21"/>
              </w:rPr>
            </w:pPr>
          </w:p>
        </w:tc>
        <w:tc>
          <w:tcPr>
            <w:tcW w:w="810" w:type="dxa"/>
            <w:vAlign w:val="center"/>
          </w:tcPr>
          <w:p w14:paraId="69C50B31">
            <w:pPr>
              <w:spacing w:line="276" w:lineRule="auto"/>
              <w:jc w:val="center"/>
              <w:rPr>
                <w:rFonts w:ascii="宋体" w:hAnsi="宋体" w:eastAsia="宋体" w:cs="宋体"/>
                <w:bCs/>
                <w:szCs w:val="21"/>
              </w:rPr>
            </w:pPr>
          </w:p>
        </w:tc>
        <w:tc>
          <w:tcPr>
            <w:tcW w:w="715" w:type="dxa"/>
            <w:vAlign w:val="center"/>
          </w:tcPr>
          <w:p w14:paraId="5AAE71D6">
            <w:pPr>
              <w:spacing w:line="276" w:lineRule="auto"/>
              <w:jc w:val="center"/>
              <w:rPr>
                <w:rFonts w:ascii="宋体" w:hAnsi="宋体" w:eastAsia="宋体" w:cs="宋体"/>
                <w:bCs/>
                <w:szCs w:val="21"/>
              </w:rPr>
            </w:pPr>
          </w:p>
        </w:tc>
        <w:tc>
          <w:tcPr>
            <w:tcW w:w="1160" w:type="dxa"/>
            <w:vAlign w:val="center"/>
          </w:tcPr>
          <w:p w14:paraId="28FEB041">
            <w:pPr>
              <w:spacing w:line="276" w:lineRule="auto"/>
              <w:jc w:val="center"/>
              <w:rPr>
                <w:rFonts w:ascii="宋体" w:hAnsi="宋体" w:eastAsia="宋体" w:cs="宋体"/>
                <w:bCs/>
                <w:szCs w:val="21"/>
              </w:rPr>
            </w:pPr>
          </w:p>
        </w:tc>
        <w:tc>
          <w:tcPr>
            <w:tcW w:w="917" w:type="dxa"/>
            <w:shd w:val="clear" w:color="auto" w:fill="auto"/>
            <w:vAlign w:val="center"/>
          </w:tcPr>
          <w:p w14:paraId="67380889">
            <w:pPr>
              <w:spacing w:line="276" w:lineRule="auto"/>
              <w:jc w:val="center"/>
              <w:rPr>
                <w:rFonts w:ascii="宋体" w:hAnsi="宋体" w:eastAsia="宋体" w:cs="宋体"/>
                <w:bCs/>
                <w:szCs w:val="21"/>
              </w:rPr>
            </w:pPr>
          </w:p>
        </w:tc>
        <w:tc>
          <w:tcPr>
            <w:tcW w:w="666" w:type="dxa"/>
            <w:shd w:val="clear" w:color="auto" w:fill="auto"/>
            <w:vAlign w:val="center"/>
          </w:tcPr>
          <w:p w14:paraId="5F80D61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754A2F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63BA48BB">
            <w:pPr>
              <w:spacing w:line="276" w:lineRule="auto"/>
              <w:jc w:val="center"/>
              <w:rPr>
                <w:rFonts w:ascii="宋体" w:hAnsi="宋体" w:eastAsia="宋体" w:cs="宋体"/>
                <w:bCs/>
                <w:szCs w:val="21"/>
              </w:rPr>
            </w:pPr>
          </w:p>
        </w:tc>
        <w:tc>
          <w:tcPr>
            <w:tcW w:w="983" w:type="dxa"/>
            <w:vAlign w:val="center"/>
          </w:tcPr>
          <w:p w14:paraId="34CE92FD">
            <w:pPr>
              <w:spacing w:line="276" w:lineRule="auto"/>
              <w:jc w:val="center"/>
              <w:rPr>
                <w:rFonts w:ascii="宋体" w:hAnsi="宋体" w:eastAsia="宋体" w:cs="宋体"/>
                <w:bCs/>
                <w:szCs w:val="21"/>
              </w:rPr>
            </w:pPr>
          </w:p>
        </w:tc>
      </w:tr>
      <w:tr w14:paraId="46FB2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7B6AF6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190</w:t>
            </w:r>
          </w:p>
        </w:tc>
        <w:tc>
          <w:tcPr>
            <w:tcW w:w="841" w:type="dxa"/>
            <w:vMerge w:val="continue"/>
          </w:tcPr>
          <w:p w14:paraId="6CC83982">
            <w:pPr>
              <w:spacing w:line="276" w:lineRule="auto"/>
              <w:jc w:val="center"/>
              <w:rPr>
                <w:rFonts w:ascii="宋体" w:hAnsi="宋体" w:eastAsia="宋体" w:cs="宋体"/>
                <w:bCs/>
                <w:szCs w:val="21"/>
              </w:rPr>
            </w:pPr>
          </w:p>
        </w:tc>
        <w:tc>
          <w:tcPr>
            <w:tcW w:w="1223" w:type="dxa"/>
            <w:shd w:val="clear" w:color="auto" w:fill="auto"/>
            <w:vAlign w:val="center"/>
          </w:tcPr>
          <w:p w14:paraId="020386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入侵防御系统（万兆）</w:t>
            </w:r>
          </w:p>
        </w:tc>
        <w:tc>
          <w:tcPr>
            <w:tcW w:w="890" w:type="dxa"/>
            <w:vAlign w:val="center"/>
          </w:tcPr>
          <w:p w14:paraId="65FFC30D">
            <w:pPr>
              <w:spacing w:line="276" w:lineRule="auto"/>
              <w:jc w:val="center"/>
              <w:rPr>
                <w:rFonts w:ascii="宋体" w:hAnsi="宋体" w:eastAsia="宋体" w:cs="宋体"/>
                <w:bCs/>
                <w:szCs w:val="21"/>
              </w:rPr>
            </w:pPr>
          </w:p>
        </w:tc>
        <w:tc>
          <w:tcPr>
            <w:tcW w:w="508" w:type="dxa"/>
            <w:vAlign w:val="center"/>
          </w:tcPr>
          <w:p w14:paraId="2DC8C962">
            <w:pPr>
              <w:spacing w:line="276" w:lineRule="auto"/>
              <w:jc w:val="center"/>
              <w:rPr>
                <w:rFonts w:ascii="宋体" w:hAnsi="宋体" w:eastAsia="宋体" w:cs="宋体"/>
                <w:bCs/>
                <w:szCs w:val="21"/>
              </w:rPr>
            </w:pPr>
          </w:p>
        </w:tc>
        <w:tc>
          <w:tcPr>
            <w:tcW w:w="810" w:type="dxa"/>
            <w:vAlign w:val="center"/>
          </w:tcPr>
          <w:p w14:paraId="4417B90B">
            <w:pPr>
              <w:spacing w:line="276" w:lineRule="auto"/>
              <w:jc w:val="center"/>
              <w:rPr>
                <w:rFonts w:ascii="宋体" w:hAnsi="宋体" w:eastAsia="宋体" w:cs="宋体"/>
                <w:bCs/>
                <w:szCs w:val="21"/>
              </w:rPr>
            </w:pPr>
          </w:p>
        </w:tc>
        <w:tc>
          <w:tcPr>
            <w:tcW w:w="715" w:type="dxa"/>
            <w:vAlign w:val="center"/>
          </w:tcPr>
          <w:p w14:paraId="1A07AD38">
            <w:pPr>
              <w:spacing w:line="276" w:lineRule="auto"/>
              <w:jc w:val="center"/>
              <w:rPr>
                <w:rFonts w:ascii="宋体" w:hAnsi="宋体" w:eastAsia="宋体" w:cs="宋体"/>
                <w:bCs/>
                <w:szCs w:val="21"/>
              </w:rPr>
            </w:pPr>
          </w:p>
        </w:tc>
        <w:tc>
          <w:tcPr>
            <w:tcW w:w="1160" w:type="dxa"/>
            <w:vAlign w:val="center"/>
          </w:tcPr>
          <w:p w14:paraId="744B9466">
            <w:pPr>
              <w:spacing w:line="276" w:lineRule="auto"/>
              <w:jc w:val="center"/>
              <w:rPr>
                <w:rFonts w:ascii="宋体" w:hAnsi="宋体" w:eastAsia="宋体" w:cs="宋体"/>
                <w:bCs/>
                <w:szCs w:val="21"/>
              </w:rPr>
            </w:pPr>
          </w:p>
        </w:tc>
        <w:tc>
          <w:tcPr>
            <w:tcW w:w="917" w:type="dxa"/>
            <w:shd w:val="clear" w:color="auto" w:fill="auto"/>
            <w:vAlign w:val="center"/>
          </w:tcPr>
          <w:p w14:paraId="10A5D279">
            <w:pPr>
              <w:spacing w:line="276" w:lineRule="auto"/>
              <w:jc w:val="center"/>
              <w:rPr>
                <w:rFonts w:ascii="宋体" w:hAnsi="宋体" w:eastAsia="宋体" w:cs="宋体"/>
                <w:bCs/>
                <w:szCs w:val="21"/>
              </w:rPr>
            </w:pPr>
          </w:p>
        </w:tc>
        <w:tc>
          <w:tcPr>
            <w:tcW w:w="666" w:type="dxa"/>
            <w:shd w:val="clear" w:color="auto" w:fill="auto"/>
            <w:vAlign w:val="center"/>
          </w:tcPr>
          <w:p w14:paraId="681BEEA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604B3E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75FF44F3">
            <w:pPr>
              <w:spacing w:line="276" w:lineRule="auto"/>
              <w:jc w:val="center"/>
              <w:rPr>
                <w:rFonts w:ascii="宋体" w:hAnsi="宋体" w:eastAsia="宋体" w:cs="宋体"/>
                <w:bCs/>
                <w:szCs w:val="21"/>
              </w:rPr>
            </w:pPr>
          </w:p>
        </w:tc>
        <w:tc>
          <w:tcPr>
            <w:tcW w:w="983" w:type="dxa"/>
            <w:vAlign w:val="center"/>
          </w:tcPr>
          <w:p w14:paraId="3500D0E1">
            <w:pPr>
              <w:spacing w:line="276" w:lineRule="auto"/>
              <w:jc w:val="center"/>
              <w:rPr>
                <w:rFonts w:ascii="宋体" w:hAnsi="宋体" w:eastAsia="宋体" w:cs="宋体"/>
                <w:bCs/>
                <w:szCs w:val="21"/>
              </w:rPr>
            </w:pPr>
          </w:p>
        </w:tc>
      </w:tr>
      <w:tr w14:paraId="47BF3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567C71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191</w:t>
            </w:r>
          </w:p>
        </w:tc>
        <w:tc>
          <w:tcPr>
            <w:tcW w:w="841" w:type="dxa"/>
            <w:vMerge w:val="continue"/>
          </w:tcPr>
          <w:p w14:paraId="22B6186E">
            <w:pPr>
              <w:spacing w:line="276" w:lineRule="auto"/>
              <w:jc w:val="center"/>
              <w:rPr>
                <w:rFonts w:ascii="宋体" w:hAnsi="宋体" w:eastAsia="宋体" w:cs="宋体"/>
                <w:bCs/>
                <w:szCs w:val="21"/>
              </w:rPr>
            </w:pPr>
          </w:p>
        </w:tc>
        <w:tc>
          <w:tcPr>
            <w:tcW w:w="1223" w:type="dxa"/>
            <w:shd w:val="clear" w:color="auto" w:fill="auto"/>
            <w:vAlign w:val="center"/>
          </w:tcPr>
          <w:p w14:paraId="3DA48E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集中监控审计系统</w:t>
            </w:r>
          </w:p>
        </w:tc>
        <w:tc>
          <w:tcPr>
            <w:tcW w:w="890" w:type="dxa"/>
            <w:vAlign w:val="center"/>
          </w:tcPr>
          <w:p w14:paraId="1EA26B77">
            <w:pPr>
              <w:spacing w:line="276" w:lineRule="auto"/>
              <w:jc w:val="center"/>
              <w:rPr>
                <w:rFonts w:ascii="宋体" w:hAnsi="宋体" w:eastAsia="宋体" w:cs="宋体"/>
                <w:bCs/>
                <w:szCs w:val="21"/>
              </w:rPr>
            </w:pPr>
          </w:p>
        </w:tc>
        <w:tc>
          <w:tcPr>
            <w:tcW w:w="508" w:type="dxa"/>
            <w:vAlign w:val="center"/>
          </w:tcPr>
          <w:p w14:paraId="5F0A08BD">
            <w:pPr>
              <w:spacing w:line="276" w:lineRule="auto"/>
              <w:jc w:val="center"/>
              <w:rPr>
                <w:rFonts w:ascii="宋体" w:hAnsi="宋体" w:eastAsia="宋体" w:cs="宋体"/>
                <w:bCs/>
                <w:szCs w:val="21"/>
              </w:rPr>
            </w:pPr>
          </w:p>
        </w:tc>
        <w:tc>
          <w:tcPr>
            <w:tcW w:w="810" w:type="dxa"/>
            <w:vAlign w:val="center"/>
          </w:tcPr>
          <w:p w14:paraId="155385B2">
            <w:pPr>
              <w:spacing w:line="276" w:lineRule="auto"/>
              <w:jc w:val="center"/>
              <w:rPr>
                <w:rFonts w:ascii="宋体" w:hAnsi="宋体" w:eastAsia="宋体" w:cs="宋体"/>
                <w:bCs/>
                <w:szCs w:val="21"/>
              </w:rPr>
            </w:pPr>
          </w:p>
        </w:tc>
        <w:tc>
          <w:tcPr>
            <w:tcW w:w="715" w:type="dxa"/>
            <w:vAlign w:val="center"/>
          </w:tcPr>
          <w:p w14:paraId="731FC1B3">
            <w:pPr>
              <w:spacing w:line="276" w:lineRule="auto"/>
              <w:jc w:val="center"/>
              <w:rPr>
                <w:rFonts w:ascii="宋体" w:hAnsi="宋体" w:eastAsia="宋体" w:cs="宋体"/>
                <w:bCs/>
                <w:szCs w:val="21"/>
              </w:rPr>
            </w:pPr>
          </w:p>
        </w:tc>
        <w:tc>
          <w:tcPr>
            <w:tcW w:w="1160" w:type="dxa"/>
            <w:vAlign w:val="center"/>
          </w:tcPr>
          <w:p w14:paraId="6AA016E9">
            <w:pPr>
              <w:spacing w:line="276" w:lineRule="auto"/>
              <w:jc w:val="center"/>
              <w:rPr>
                <w:rFonts w:ascii="宋体" w:hAnsi="宋体" w:eastAsia="宋体" w:cs="宋体"/>
                <w:bCs/>
                <w:szCs w:val="21"/>
              </w:rPr>
            </w:pPr>
          </w:p>
        </w:tc>
        <w:tc>
          <w:tcPr>
            <w:tcW w:w="917" w:type="dxa"/>
            <w:shd w:val="clear" w:color="auto" w:fill="auto"/>
            <w:vAlign w:val="center"/>
          </w:tcPr>
          <w:p w14:paraId="17275279">
            <w:pPr>
              <w:spacing w:line="276" w:lineRule="auto"/>
              <w:jc w:val="center"/>
              <w:rPr>
                <w:rFonts w:ascii="宋体" w:hAnsi="宋体" w:eastAsia="宋体" w:cs="宋体"/>
                <w:bCs/>
                <w:szCs w:val="21"/>
              </w:rPr>
            </w:pPr>
          </w:p>
        </w:tc>
        <w:tc>
          <w:tcPr>
            <w:tcW w:w="666" w:type="dxa"/>
            <w:shd w:val="clear" w:color="auto" w:fill="auto"/>
            <w:vAlign w:val="center"/>
          </w:tcPr>
          <w:p w14:paraId="3C8C405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4B7281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6282BD69">
            <w:pPr>
              <w:spacing w:line="276" w:lineRule="auto"/>
              <w:jc w:val="center"/>
              <w:rPr>
                <w:rFonts w:ascii="宋体" w:hAnsi="宋体" w:eastAsia="宋体" w:cs="宋体"/>
                <w:bCs/>
                <w:szCs w:val="21"/>
              </w:rPr>
            </w:pPr>
          </w:p>
        </w:tc>
        <w:tc>
          <w:tcPr>
            <w:tcW w:w="983" w:type="dxa"/>
            <w:vAlign w:val="center"/>
          </w:tcPr>
          <w:p w14:paraId="6C00B1F0">
            <w:pPr>
              <w:spacing w:line="276" w:lineRule="auto"/>
              <w:jc w:val="center"/>
              <w:rPr>
                <w:rFonts w:ascii="宋体" w:hAnsi="宋体" w:eastAsia="宋体" w:cs="宋体"/>
                <w:bCs/>
                <w:szCs w:val="21"/>
              </w:rPr>
            </w:pPr>
          </w:p>
        </w:tc>
      </w:tr>
      <w:tr w14:paraId="619AC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72" w:type="dxa"/>
            <w:shd w:val="clear" w:color="auto" w:fill="auto"/>
            <w:vAlign w:val="center"/>
          </w:tcPr>
          <w:p w14:paraId="06B7F1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192</w:t>
            </w:r>
          </w:p>
        </w:tc>
        <w:tc>
          <w:tcPr>
            <w:tcW w:w="841" w:type="dxa"/>
            <w:vMerge w:val="continue"/>
          </w:tcPr>
          <w:p w14:paraId="28A91962">
            <w:pPr>
              <w:spacing w:line="276" w:lineRule="auto"/>
              <w:jc w:val="center"/>
              <w:rPr>
                <w:rFonts w:ascii="宋体" w:hAnsi="宋体" w:eastAsia="宋体" w:cs="宋体"/>
                <w:bCs/>
                <w:szCs w:val="21"/>
              </w:rPr>
            </w:pPr>
          </w:p>
        </w:tc>
        <w:tc>
          <w:tcPr>
            <w:tcW w:w="1223" w:type="dxa"/>
            <w:shd w:val="clear" w:color="auto" w:fill="auto"/>
            <w:vAlign w:val="center"/>
          </w:tcPr>
          <w:p w14:paraId="09CD61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边界三层交换机</w:t>
            </w:r>
          </w:p>
        </w:tc>
        <w:tc>
          <w:tcPr>
            <w:tcW w:w="890" w:type="dxa"/>
            <w:vAlign w:val="center"/>
          </w:tcPr>
          <w:p w14:paraId="6CF4A087">
            <w:pPr>
              <w:spacing w:line="276" w:lineRule="auto"/>
              <w:jc w:val="center"/>
              <w:rPr>
                <w:rFonts w:ascii="宋体" w:hAnsi="宋体" w:eastAsia="宋体" w:cs="宋体"/>
                <w:bCs/>
                <w:szCs w:val="21"/>
              </w:rPr>
            </w:pPr>
          </w:p>
        </w:tc>
        <w:tc>
          <w:tcPr>
            <w:tcW w:w="508" w:type="dxa"/>
            <w:vAlign w:val="center"/>
          </w:tcPr>
          <w:p w14:paraId="702809F2">
            <w:pPr>
              <w:spacing w:line="276" w:lineRule="auto"/>
              <w:jc w:val="center"/>
              <w:rPr>
                <w:rFonts w:ascii="宋体" w:hAnsi="宋体" w:eastAsia="宋体" w:cs="宋体"/>
                <w:bCs/>
                <w:szCs w:val="21"/>
              </w:rPr>
            </w:pPr>
          </w:p>
        </w:tc>
        <w:tc>
          <w:tcPr>
            <w:tcW w:w="810" w:type="dxa"/>
            <w:vAlign w:val="center"/>
          </w:tcPr>
          <w:p w14:paraId="33FAE399">
            <w:pPr>
              <w:spacing w:line="276" w:lineRule="auto"/>
              <w:jc w:val="center"/>
              <w:rPr>
                <w:rFonts w:ascii="宋体" w:hAnsi="宋体" w:eastAsia="宋体" w:cs="宋体"/>
                <w:bCs/>
                <w:szCs w:val="21"/>
              </w:rPr>
            </w:pPr>
          </w:p>
        </w:tc>
        <w:tc>
          <w:tcPr>
            <w:tcW w:w="715" w:type="dxa"/>
            <w:vAlign w:val="center"/>
          </w:tcPr>
          <w:p w14:paraId="7643C574">
            <w:pPr>
              <w:spacing w:line="276" w:lineRule="auto"/>
              <w:jc w:val="center"/>
              <w:rPr>
                <w:rFonts w:ascii="宋体" w:hAnsi="宋体" w:eastAsia="宋体" w:cs="宋体"/>
                <w:bCs/>
                <w:szCs w:val="21"/>
              </w:rPr>
            </w:pPr>
          </w:p>
        </w:tc>
        <w:tc>
          <w:tcPr>
            <w:tcW w:w="1160" w:type="dxa"/>
            <w:vAlign w:val="center"/>
          </w:tcPr>
          <w:p w14:paraId="69E6E40E">
            <w:pPr>
              <w:spacing w:line="276" w:lineRule="auto"/>
              <w:jc w:val="center"/>
              <w:rPr>
                <w:rFonts w:ascii="宋体" w:hAnsi="宋体" w:eastAsia="宋体" w:cs="宋体"/>
                <w:bCs/>
                <w:szCs w:val="21"/>
              </w:rPr>
            </w:pPr>
          </w:p>
        </w:tc>
        <w:tc>
          <w:tcPr>
            <w:tcW w:w="917" w:type="dxa"/>
            <w:shd w:val="clear" w:color="auto" w:fill="auto"/>
            <w:vAlign w:val="center"/>
          </w:tcPr>
          <w:p w14:paraId="0B80D9C2">
            <w:pPr>
              <w:spacing w:line="276" w:lineRule="auto"/>
              <w:jc w:val="center"/>
              <w:rPr>
                <w:rFonts w:ascii="宋体" w:hAnsi="宋体" w:eastAsia="宋体" w:cs="宋体"/>
                <w:bCs/>
                <w:szCs w:val="21"/>
              </w:rPr>
            </w:pPr>
          </w:p>
        </w:tc>
        <w:tc>
          <w:tcPr>
            <w:tcW w:w="666" w:type="dxa"/>
            <w:shd w:val="clear" w:color="auto" w:fill="auto"/>
            <w:vAlign w:val="center"/>
          </w:tcPr>
          <w:p w14:paraId="46796FF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550" w:type="dxa"/>
            <w:shd w:val="clear" w:color="auto" w:fill="auto"/>
            <w:vAlign w:val="center"/>
          </w:tcPr>
          <w:p w14:paraId="54213E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w:t>
            </w:r>
          </w:p>
        </w:tc>
        <w:tc>
          <w:tcPr>
            <w:tcW w:w="967" w:type="dxa"/>
            <w:vAlign w:val="center"/>
          </w:tcPr>
          <w:p w14:paraId="49E126FD">
            <w:pPr>
              <w:spacing w:line="276" w:lineRule="auto"/>
              <w:jc w:val="center"/>
              <w:rPr>
                <w:rFonts w:ascii="宋体" w:hAnsi="宋体" w:eastAsia="宋体" w:cs="宋体"/>
                <w:bCs/>
                <w:szCs w:val="21"/>
              </w:rPr>
            </w:pPr>
          </w:p>
        </w:tc>
        <w:tc>
          <w:tcPr>
            <w:tcW w:w="983" w:type="dxa"/>
            <w:vAlign w:val="center"/>
          </w:tcPr>
          <w:p w14:paraId="38561675">
            <w:pPr>
              <w:spacing w:line="276" w:lineRule="auto"/>
              <w:jc w:val="center"/>
              <w:rPr>
                <w:rFonts w:ascii="宋体" w:hAnsi="宋体" w:eastAsia="宋体" w:cs="宋体"/>
                <w:bCs/>
                <w:szCs w:val="21"/>
              </w:rPr>
            </w:pPr>
          </w:p>
        </w:tc>
      </w:tr>
      <w:tr w14:paraId="2E6A2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0802" w:type="dxa"/>
            <w:gridSpan w:val="13"/>
            <w:shd w:val="clear" w:color="auto" w:fill="auto"/>
            <w:vAlign w:val="center"/>
          </w:tcPr>
          <w:p w14:paraId="1256AE7E">
            <w:pPr>
              <w:spacing w:line="276" w:lineRule="auto"/>
              <w:jc w:val="left"/>
              <w:rPr>
                <w:rFonts w:ascii="宋体" w:hAnsi="宋体" w:eastAsia="宋体" w:cs="宋体"/>
                <w:bCs/>
                <w:szCs w:val="21"/>
              </w:rPr>
            </w:pPr>
            <w:r>
              <w:rPr>
                <w:rFonts w:hint="eastAsia" w:ascii="宋体" w:hAnsi="宋体" w:eastAsia="宋体" w:cs="宋体"/>
                <w:b/>
                <w:bCs w:val="0"/>
                <w:szCs w:val="21"/>
                <w:lang w:val="en-US" w:eastAsia="zh-CN"/>
              </w:rPr>
              <w:t>分项报价小计</w:t>
            </w:r>
            <w:r>
              <w:rPr>
                <w:rFonts w:hint="eastAsia" w:ascii="宋体" w:hAnsi="宋体" w:eastAsia="宋体" w:cs="宋体"/>
                <w:b/>
                <w:bCs w:val="0"/>
                <w:szCs w:val="21"/>
              </w:rPr>
              <w:t>（币种：人民币；单位：元）小写：</w:t>
            </w:r>
          </w:p>
        </w:tc>
      </w:tr>
    </w:tbl>
    <w:p w14:paraId="0630A307">
      <w:pPr>
        <w:spacing w:line="276" w:lineRule="auto"/>
        <w:ind w:firstLine="482" w:firstLineChars="200"/>
        <w:rPr>
          <w:rFonts w:cs="宋体" w:asciiTheme="minorEastAsia" w:hAnsiTheme="minorEastAsia"/>
          <w:b/>
          <w:sz w:val="24"/>
          <w:szCs w:val="24"/>
        </w:rPr>
      </w:pPr>
      <w:r>
        <w:rPr>
          <w:rFonts w:hint="eastAsia" w:cs="宋体" w:asciiTheme="minorEastAsia" w:hAnsiTheme="minorEastAsia"/>
          <w:b/>
          <w:sz w:val="24"/>
          <w:szCs w:val="24"/>
        </w:rPr>
        <w:t>1.本表可按同样格式扩展。上表中“招标文件货物名称”根据用户需求书中货物需求明细表对应的“货物名称（标的名称）”填写。</w:t>
      </w:r>
    </w:p>
    <w:p w14:paraId="6629B429">
      <w:pPr>
        <w:spacing w:after="120"/>
        <w:ind w:firstLine="482" w:firstLineChars="200"/>
        <w:rPr>
          <w:rFonts w:cs="Times New Roman" w:asciiTheme="minorEastAsia" w:hAnsiTheme="minorEastAsia"/>
          <w:b/>
          <w:sz w:val="24"/>
          <w:szCs w:val="24"/>
        </w:rPr>
      </w:pPr>
      <w:r>
        <w:rPr>
          <w:rFonts w:hint="eastAsia" w:cs="Times New Roman" w:asciiTheme="minorEastAsia" w:hAnsiTheme="minorEastAsia"/>
          <w:b/>
          <w:sz w:val="24"/>
          <w:szCs w:val="24"/>
        </w:rPr>
        <w:t>2.“品牌”可以与商标一致，也可以填写便于区分其他公司商品的制造商简称或者制造商认可的品牌名称。此类填写错误或缺漏的不利后果由供应商承担。经评审委员会认定，在使用综合评分法的项目中一项此类填写错误或缺漏将按照一项普通招标技术要求（一般参数/普通参数）负偏离扣分处理。</w:t>
      </w:r>
    </w:p>
    <w:p w14:paraId="08BE8466">
      <w:pPr>
        <w:spacing w:line="276" w:lineRule="auto"/>
        <w:ind w:firstLine="482" w:firstLineChars="200"/>
        <w:rPr>
          <w:rFonts w:cs="宋体" w:asciiTheme="minorEastAsia" w:hAnsiTheme="minorEastAsia"/>
          <w:b/>
          <w:sz w:val="24"/>
          <w:szCs w:val="24"/>
        </w:rPr>
      </w:pPr>
      <w:r>
        <w:rPr>
          <w:rFonts w:hint="eastAsia" w:cs="宋体" w:asciiTheme="minorEastAsia" w:hAnsiTheme="minorEastAsia"/>
          <w:b/>
          <w:sz w:val="24"/>
          <w:szCs w:val="24"/>
        </w:rPr>
        <w:t>3.“规格/型号”一栏填写全部或任一信息即可；若为定制类，“品牌”应填写为“定制”，在“规格/型号”一栏填写规格信息即可。此类填写错误或缺漏的不利后果由供应商承担。经评审委员会认定，在使用综合评分法的项目中一项此类填写错误或缺漏将按照一项普通招标技术要求（一般参数/普通参数）负偏离扣分处理。</w:t>
      </w:r>
    </w:p>
    <w:p w14:paraId="5B567D6D">
      <w:pPr>
        <w:spacing w:line="276" w:lineRule="auto"/>
        <w:ind w:firstLine="482" w:firstLineChars="200"/>
        <w:rPr>
          <w:rFonts w:cs="宋体" w:asciiTheme="minorEastAsia" w:hAnsiTheme="minorEastAsia"/>
          <w:b/>
          <w:sz w:val="24"/>
          <w:szCs w:val="24"/>
          <w:highlight w:val="none"/>
        </w:rPr>
      </w:pPr>
      <w:r>
        <w:rPr>
          <w:rFonts w:hint="eastAsia" w:cs="宋体" w:asciiTheme="minorEastAsia" w:hAnsiTheme="minorEastAsia"/>
          <w:b/>
          <w:sz w:val="24"/>
          <w:szCs w:val="24"/>
          <w:highlight w:val="none"/>
        </w:rPr>
        <w:t>4.</w:t>
      </w:r>
      <w:bookmarkStart w:id="64" w:name="_Hlk72074795"/>
      <w:r>
        <w:rPr>
          <w:rFonts w:hint="eastAsia" w:cs="宋体" w:asciiTheme="minorEastAsia" w:hAnsiTheme="minorEastAsia"/>
          <w:b/>
          <w:sz w:val="24"/>
          <w:szCs w:val="24"/>
          <w:highlight w:val="none"/>
        </w:rPr>
        <w:t>“原产地”是指货物的实际生产加工地，非品牌所在地</w:t>
      </w:r>
      <w:bookmarkEnd w:id="64"/>
      <w:r>
        <w:rPr>
          <w:rFonts w:hint="eastAsia" w:cs="宋体" w:asciiTheme="minorEastAsia" w:hAnsiTheme="minorEastAsia"/>
          <w:b/>
          <w:sz w:val="24"/>
          <w:szCs w:val="24"/>
          <w:highlight w:val="none"/>
        </w:rPr>
        <w:t>。</w:t>
      </w:r>
    </w:p>
    <w:p w14:paraId="41BA00C3">
      <w:pPr>
        <w:spacing w:line="276" w:lineRule="auto"/>
        <w:ind w:firstLine="482" w:firstLineChars="200"/>
        <w:rPr>
          <w:rFonts w:cs="宋体" w:asciiTheme="minorEastAsia" w:hAnsiTheme="minorEastAsia"/>
          <w:b/>
          <w:sz w:val="24"/>
          <w:szCs w:val="24"/>
          <w:highlight w:val="none"/>
        </w:rPr>
      </w:pPr>
      <w:r>
        <w:rPr>
          <w:rFonts w:hint="eastAsia" w:cs="宋体" w:asciiTheme="minorEastAsia" w:hAnsiTheme="minorEastAsia"/>
          <w:b/>
          <w:sz w:val="24"/>
          <w:szCs w:val="24"/>
          <w:highlight w:val="none"/>
        </w:rPr>
        <w:t>5.“制造商名称”列中“制造商”是指产品品牌厂商。</w:t>
      </w:r>
    </w:p>
    <w:p w14:paraId="1D6A443F">
      <w:pPr>
        <w:spacing w:line="276" w:lineRule="auto"/>
        <w:ind w:firstLine="482" w:firstLineChars="200"/>
        <w:rPr>
          <w:rFonts w:cs="宋体" w:asciiTheme="minorEastAsia" w:hAnsiTheme="minorEastAsia"/>
          <w:b/>
          <w:sz w:val="24"/>
          <w:szCs w:val="24"/>
        </w:rPr>
      </w:pPr>
      <w:r>
        <w:rPr>
          <w:rFonts w:hint="eastAsia" w:cs="宋体" w:asciiTheme="minorEastAsia" w:hAnsiTheme="minorEastAsia"/>
          <w:b/>
          <w:sz w:val="24"/>
          <w:szCs w:val="24"/>
          <w:highlight w:val="none"/>
        </w:rPr>
        <w:t>6.“代工厂商”列，当不涉及委托代工生产情形时，在“代工厂商”列填“/”；当产品委托代工生产时，在“代工厂商”列按实际情况填写。</w:t>
      </w:r>
    </w:p>
    <w:p w14:paraId="55154546">
      <w:pPr>
        <w:spacing w:line="276" w:lineRule="auto"/>
        <w:ind w:firstLine="482" w:firstLineChars="200"/>
        <w:rPr>
          <w:rFonts w:cs="宋体" w:asciiTheme="minorEastAsia" w:hAnsiTheme="minorEastAsia"/>
          <w:b/>
          <w:sz w:val="24"/>
          <w:szCs w:val="24"/>
        </w:rPr>
      </w:pPr>
      <w:r>
        <w:rPr>
          <w:rFonts w:hint="eastAsia" w:cs="宋体" w:asciiTheme="minorEastAsia" w:hAnsiTheme="minorEastAsia"/>
          <w:b/>
          <w:sz w:val="24"/>
          <w:szCs w:val="24"/>
          <w:lang w:val="en-US" w:eastAsia="zh-CN"/>
        </w:rPr>
        <w:t>7</w:t>
      </w:r>
      <w:r>
        <w:rPr>
          <w:rFonts w:hint="eastAsia" w:cs="宋体" w:asciiTheme="minorEastAsia" w:hAnsiTheme="minorEastAsia"/>
          <w:b/>
          <w:sz w:val="24"/>
          <w:szCs w:val="24"/>
        </w:rPr>
        <w:t>.单价、合价和投标总价为包干价，即三者均应包含货物的价款、包装、运输、装卸、安装、调试、技术指导、培训、咨询、服务、保险、税费、检测、验收合格交付使用之前以及技术和售后服务等其他各项有关费用。（若招标文件商务要求中对于报价有要求的以商务要求中的条款为准）</w:t>
      </w:r>
    </w:p>
    <w:p w14:paraId="3FFEF587">
      <w:pPr>
        <w:spacing w:line="276" w:lineRule="auto"/>
        <w:ind w:firstLine="482" w:firstLineChars="200"/>
        <w:rPr>
          <w:rFonts w:hint="eastAsia" w:cs="宋体" w:asciiTheme="minorEastAsia" w:hAnsiTheme="minorEastAsia"/>
          <w:b/>
          <w:sz w:val="24"/>
          <w:szCs w:val="24"/>
        </w:rPr>
      </w:pPr>
      <w:r>
        <w:rPr>
          <w:rFonts w:hint="eastAsia" w:cs="宋体" w:asciiTheme="minorEastAsia" w:hAnsiTheme="minorEastAsia"/>
          <w:b/>
          <w:sz w:val="24"/>
          <w:szCs w:val="24"/>
          <w:lang w:val="en-US" w:eastAsia="zh-CN"/>
        </w:rPr>
        <w:t>8</w:t>
      </w:r>
      <w:r>
        <w:rPr>
          <w:rFonts w:hint="eastAsia" w:cs="宋体" w:asciiTheme="minorEastAsia" w:hAnsiTheme="minorEastAsia"/>
          <w:b/>
          <w:sz w:val="24"/>
          <w:szCs w:val="24"/>
        </w:rPr>
        <w:t>.所有价格应按“招标文件”中规定的货币单位填写；投标总价应为以上各分项价格之和；投标总价和项目报价表中单个采购预算条目报价均不得超过对应的预算金额，否则将导致投标无效。</w:t>
      </w:r>
    </w:p>
    <w:p w14:paraId="2A2C9DB2">
      <w:pPr>
        <w:spacing w:line="276" w:lineRule="auto"/>
        <w:ind w:firstLine="482" w:firstLineChars="200"/>
        <w:rPr>
          <w:rFonts w:hint="eastAsia" w:cs="宋体" w:asciiTheme="minorEastAsia" w:hAnsiTheme="minorEastAsia"/>
          <w:b/>
          <w:sz w:val="24"/>
          <w:szCs w:val="24"/>
        </w:rPr>
      </w:pPr>
    </w:p>
    <w:p w14:paraId="1C77F84C">
      <w:pPr>
        <w:pStyle w:val="19"/>
        <w:spacing w:before="78" w:line="218" w:lineRule="auto"/>
        <w:ind w:left="128"/>
        <w:outlineLvl w:val="3"/>
        <w:rPr>
          <w:sz w:val="24"/>
          <w:szCs w:val="24"/>
        </w:rPr>
      </w:pPr>
      <w:r>
        <w:rPr>
          <w:b/>
          <w:bCs/>
          <w:spacing w:val="-8"/>
          <w:sz w:val="24"/>
          <w:szCs w:val="24"/>
        </w:rPr>
        <w:t>（二）</w:t>
      </w:r>
      <w:r>
        <w:rPr>
          <w:spacing w:val="-62"/>
          <w:sz w:val="24"/>
          <w:szCs w:val="24"/>
        </w:rPr>
        <w:t xml:space="preserve"> </w:t>
      </w:r>
      <w:r>
        <w:rPr>
          <w:b/>
          <w:bCs/>
          <w:spacing w:val="-8"/>
          <w:sz w:val="24"/>
          <w:szCs w:val="24"/>
        </w:rPr>
        <w:t>软件开发服务详细报价</w:t>
      </w:r>
    </w:p>
    <w:p w14:paraId="429DF214">
      <w:pPr>
        <w:pStyle w:val="19"/>
        <w:widowControl/>
        <w:kinsoku w:val="0"/>
        <w:autoSpaceDE w:val="0"/>
        <w:autoSpaceDN w:val="0"/>
        <w:adjustRightInd w:val="0"/>
        <w:snapToGrid w:val="0"/>
        <w:spacing w:before="225" w:after="0" w:line="220" w:lineRule="auto"/>
        <w:ind w:left="139"/>
        <w:jc w:val="left"/>
        <w:textAlignment w:val="baseline"/>
        <w:outlineLvl w:val="4"/>
        <w:rPr>
          <w:rFonts w:hint="eastAsia" w:ascii="宋体" w:hAnsi="宋体" w:eastAsia="宋体" w:cs="宋体"/>
          <w:b/>
          <w:bCs/>
          <w:snapToGrid w:val="0"/>
          <w:color w:val="000000"/>
          <w:spacing w:val="-4"/>
          <w:kern w:val="0"/>
          <w:sz w:val="24"/>
          <w:szCs w:val="24"/>
          <w:lang w:val="en-US" w:eastAsia="zh-CN"/>
        </w:rPr>
      </w:pPr>
      <w:r>
        <w:rPr>
          <w:rFonts w:hint="eastAsia" w:ascii="宋体" w:hAnsi="宋体" w:eastAsia="宋体" w:cs="宋体"/>
          <w:b/>
          <w:bCs/>
          <w:snapToGrid w:val="0"/>
          <w:color w:val="000000"/>
          <w:spacing w:val="-4"/>
          <w:kern w:val="0"/>
          <w:sz w:val="24"/>
          <w:szCs w:val="24"/>
          <w:lang w:val="en-US" w:eastAsia="zh-CN"/>
        </w:rPr>
        <w:t>1、数字道路实时三维引擎</w:t>
      </w:r>
    </w:p>
    <w:tbl>
      <w:tblPr>
        <w:tblStyle w:val="44"/>
        <w:tblW w:w="828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43"/>
        <w:gridCol w:w="644"/>
        <w:gridCol w:w="924"/>
        <w:gridCol w:w="1348"/>
        <w:gridCol w:w="2113"/>
        <w:gridCol w:w="485"/>
        <w:gridCol w:w="485"/>
        <w:gridCol w:w="819"/>
        <w:gridCol w:w="819"/>
      </w:tblGrid>
      <w:tr w14:paraId="13914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tcBorders>
              <w:top w:val="single" w:color="000000" w:sz="8" w:space="0"/>
              <w:left w:val="single" w:color="000000" w:sz="8" w:space="0"/>
              <w:bottom w:val="single" w:color="000000" w:sz="8" w:space="0"/>
              <w:right w:val="single" w:color="000000" w:sz="8" w:space="0"/>
            </w:tcBorders>
            <w:shd w:val="clear" w:color="auto" w:fill="DDEBF7"/>
            <w:vAlign w:val="center"/>
          </w:tcPr>
          <w:p w14:paraId="1028F5A0">
            <w:pPr>
              <w:keepNext w:val="0"/>
              <w:keepLines w:val="0"/>
              <w:widowControl/>
              <w:suppressLineNumbers w:val="0"/>
              <w:jc w:val="center"/>
              <w:textAlignment w:val="center"/>
              <w:rPr>
                <w:rFonts w:hint="eastAsia" w:ascii="宋体" w:hAnsi="宋体" w:eastAsia="宋体" w:cs="宋体"/>
                <w:b/>
                <w:bCs/>
                <w:i w:val="0"/>
                <w:iCs w:val="0"/>
                <w:color w:val="08090C"/>
                <w:sz w:val="20"/>
                <w:szCs w:val="20"/>
                <w:u w:val="none"/>
              </w:rPr>
            </w:pPr>
            <w:r>
              <w:rPr>
                <w:rFonts w:hint="eastAsia" w:ascii="宋体" w:hAnsi="宋体" w:eastAsia="宋体" w:cs="宋体"/>
                <w:b/>
                <w:bCs/>
                <w:i w:val="0"/>
                <w:iCs w:val="0"/>
                <w:color w:val="08090C"/>
                <w:kern w:val="0"/>
                <w:sz w:val="20"/>
                <w:szCs w:val="20"/>
                <w:u w:val="none"/>
                <w:lang w:val="en-US" w:eastAsia="zh-CN" w:bidi="ar"/>
              </w:rPr>
              <w:t>一级模块</w:t>
            </w:r>
          </w:p>
        </w:tc>
        <w:tc>
          <w:tcPr>
            <w:tcW w:w="660" w:type="dxa"/>
            <w:tcBorders>
              <w:top w:val="single" w:color="000000" w:sz="8" w:space="0"/>
              <w:left w:val="nil"/>
              <w:bottom w:val="single" w:color="000000" w:sz="8" w:space="0"/>
              <w:right w:val="single" w:color="000000" w:sz="8" w:space="0"/>
            </w:tcBorders>
            <w:shd w:val="clear" w:color="auto" w:fill="DDEBF7"/>
            <w:vAlign w:val="center"/>
          </w:tcPr>
          <w:p w14:paraId="4C46A05D">
            <w:pPr>
              <w:keepNext w:val="0"/>
              <w:keepLines w:val="0"/>
              <w:widowControl/>
              <w:suppressLineNumbers w:val="0"/>
              <w:jc w:val="center"/>
              <w:textAlignment w:val="center"/>
              <w:rPr>
                <w:rFonts w:hint="eastAsia" w:ascii="宋体" w:hAnsi="宋体" w:eastAsia="宋体" w:cs="宋体"/>
                <w:b/>
                <w:bCs/>
                <w:i w:val="0"/>
                <w:iCs w:val="0"/>
                <w:color w:val="08090C"/>
                <w:sz w:val="20"/>
                <w:szCs w:val="20"/>
                <w:u w:val="none"/>
              </w:rPr>
            </w:pPr>
            <w:r>
              <w:rPr>
                <w:rFonts w:hint="eastAsia" w:ascii="宋体" w:hAnsi="宋体" w:eastAsia="宋体" w:cs="宋体"/>
                <w:b/>
                <w:bCs/>
                <w:i w:val="0"/>
                <w:iCs w:val="0"/>
                <w:color w:val="08090C"/>
                <w:kern w:val="0"/>
                <w:sz w:val="20"/>
                <w:szCs w:val="20"/>
                <w:u w:val="none"/>
                <w:lang w:val="en-US" w:eastAsia="zh-CN" w:bidi="ar"/>
              </w:rPr>
              <w:t>二级模块</w:t>
            </w:r>
          </w:p>
        </w:tc>
        <w:tc>
          <w:tcPr>
            <w:tcW w:w="960" w:type="dxa"/>
            <w:tcBorders>
              <w:top w:val="single" w:color="000000" w:sz="8" w:space="0"/>
              <w:left w:val="nil"/>
              <w:bottom w:val="single" w:color="000000" w:sz="8" w:space="0"/>
              <w:right w:val="single" w:color="000000" w:sz="8" w:space="0"/>
            </w:tcBorders>
            <w:shd w:val="clear" w:color="auto" w:fill="DDEBF7"/>
            <w:vAlign w:val="center"/>
          </w:tcPr>
          <w:p w14:paraId="4BFE66C3">
            <w:pPr>
              <w:keepNext w:val="0"/>
              <w:keepLines w:val="0"/>
              <w:widowControl/>
              <w:suppressLineNumbers w:val="0"/>
              <w:jc w:val="center"/>
              <w:textAlignment w:val="center"/>
              <w:rPr>
                <w:rFonts w:hint="eastAsia" w:ascii="宋体" w:hAnsi="宋体" w:eastAsia="宋体" w:cs="宋体"/>
                <w:b/>
                <w:bCs/>
                <w:i w:val="0"/>
                <w:iCs w:val="0"/>
                <w:color w:val="08090C"/>
                <w:sz w:val="20"/>
                <w:szCs w:val="20"/>
                <w:u w:val="none"/>
              </w:rPr>
            </w:pPr>
            <w:r>
              <w:rPr>
                <w:rFonts w:hint="eastAsia" w:ascii="宋体" w:hAnsi="宋体" w:eastAsia="宋体" w:cs="宋体"/>
                <w:b/>
                <w:bCs/>
                <w:i w:val="0"/>
                <w:iCs w:val="0"/>
                <w:color w:val="08090C"/>
                <w:kern w:val="0"/>
                <w:sz w:val="20"/>
                <w:szCs w:val="20"/>
                <w:u w:val="none"/>
                <w:lang w:val="en-US" w:eastAsia="zh-CN" w:bidi="ar"/>
              </w:rPr>
              <w:t>三级模块</w:t>
            </w:r>
          </w:p>
        </w:tc>
        <w:tc>
          <w:tcPr>
            <w:tcW w:w="1400" w:type="dxa"/>
            <w:tcBorders>
              <w:top w:val="single" w:color="000000" w:sz="8" w:space="0"/>
              <w:left w:val="nil"/>
              <w:bottom w:val="single" w:color="000000" w:sz="8" w:space="0"/>
              <w:right w:val="single" w:color="000000" w:sz="8" w:space="0"/>
            </w:tcBorders>
            <w:shd w:val="clear" w:color="auto" w:fill="DDEBF7"/>
            <w:vAlign w:val="center"/>
          </w:tcPr>
          <w:p w14:paraId="27E9FBE1">
            <w:pPr>
              <w:keepNext w:val="0"/>
              <w:keepLines w:val="0"/>
              <w:widowControl/>
              <w:suppressLineNumbers w:val="0"/>
              <w:jc w:val="center"/>
              <w:textAlignment w:val="center"/>
              <w:rPr>
                <w:rFonts w:hint="eastAsia" w:ascii="宋体" w:hAnsi="宋体" w:eastAsia="宋体" w:cs="宋体"/>
                <w:b/>
                <w:bCs/>
                <w:i w:val="0"/>
                <w:iCs w:val="0"/>
                <w:color w:val="08090C"/>
                <w:sz w:val="20"/>
                <w:szCs w:val="20"/>
                <w:u w:val="none"/>
              </w:rPr>
            </w:pPr>
            <w:r>
              <w:rPr>
                <w:rFonts w:hint="eastAsia" w:ascii="宋体" w:hAnsi="宋体" w:eastAsia="宋体" w:cs="宋体"/>
                <w:b/>
                <w:bCs/>
                <w:i w:val="0"/>
                <w:iCs w:val="0"/>
                <w:color w:val="08090C"/>
                <w:kern w:val="0"/>
                <w:sz w:val="20"/>
                <w:szCs w:val="20"/>
                <w:u w:val="none"/>
                <w:lang w:val="en-US" w:eastAsia="zh-CN" w:bidi="ar"/>
              </w:rPr>
              <w:t>四级模块</w:t>
            </w:r>
          </w:p>
        </w:tc>
        <w:tc>
          <w:tcPr>
            <w:tcW w:w="2220" w:type="dxa"/>
            <w:tcBorders>
              <w:top w:val="single" w:color="000000" w:sz="8" w:space="0"/>
              <w:left w:val="nil"/>
              <w:bottom w:val="single" w:color="000000" w:sz="8" w:space="0"/>
              <w:right w:val="single" w:color="000000" w:sz="8" w:space="0"/>
            </w:tcBorders>
            <w:shd w:val="clear" w:color="auto" w:fill="DDEBF7"/>
            <w:vAlign w:val="center"/>
          </w:tcPr>
          <w:p w14:paraId="2154BB01">
            <w:pPr>
              <w:keepNext w:val="0"/>
              <w:keepLines w:val="0"/>
              <w:widowControl/>
              <w:suppressLineNumbers w:val="0"/>
              <w:jc w:val="center"/>
              <w:textAlignment w:val="center"/>
              <w:rPr>
                <w:rFonts w:hint="eastAsia" w:ascii="宋体" w:hAnsi="宋体" w:eastAsia="宋体" w:cs="宋体"/>
                <w:b/>
                <w:bCs/>
                <w:i w:val="0"/>
                <w:iCs w:val="0"/>
                <w:color w:val="08090C"/>
                <w:sz w:val="20"/>
                <w:szCs w:val="20"/>
                <w:u w:val="none"/>
              </w:rPr>
            </w:pPr>
            <w:r>
              <w:rPr>
                <w:rFonts w:hint="eastAsia" w:ascii="宋体" w:hAnsi="宋体" w:eastAsia="宋体" w:cs="宋体"/>
                <w:b/>
                <w:bCs/>
                <w:i w:val="0"/>
                <w:iCs w:val="0"/>
                <w:color w:val="08090C"/>
                <w:kern w:val="0"/>
                <w:sz w:val="20"/>
                <w:szCs w:val="20"/>
                <w:u w:val="none"/>
                <w:lang w:val="en-US" w:eastAsia="zh-CN" w:bidi="ar"/>
              </w:rPr>
              <w:t>软件 (功能)内容和技术要求</w:t>
            </w:r>
          </w:p>
        </w:tc>
        <w:tc>
          <w:tcPr>
            <w:tcW w:w="490" w:type="dxa"/>
            <w:tcBorders>
              <w:top w:val="single" w:color="000000" w:sz="8" w:space="0"/>
              <w:left w:val="nil"/>
              <w:bottom w:val="single" w:color="000000" w:sz="8" w:space="0"/>
              <w:right w:val="single" w:color="000000" w:sz="8" w:space="0"/>
            </w:tcBorders>
            <w:shd w:val="clear" w:color="auto" w:fill="DDEBF7"/>
            <w:vAlign w:val="center"/>
          </w:tcPr>
          <w:p w14:paraId="1AD75161">
            <w:pPr>
              <w:keepNext w:val="0"/>
              <w:keepLines w:val="0"/>
              <w:widowControl/>
              <w:suppressLineNumbers w:val="0"/>
              <w:jc w:val="center"/>
              <w:textAlignment w:val="center"/>
              <w:rPr>
                <w:rFonts w:hint="eastAsia" w:ascii="宋体" w:hAnsi="宋体" w:eastAsia="宋体" w:cs="宋体"/>
                <w:b/>
                <w:bCs/>
                <w:i w:val="0"/>
                <w:iCs w:val="0"/>
                <w:color w:val="08090C"/>
                <w:sz w:val="20"/>
                <w:szCs w:val="20"/>
                <w:u w:val="none"/>
              </w:rPr>
            </w:pPr>
            <w:r>
              <w:rPr>
                <w:rFonts w:hint="eastAsia" w:ascii="宋体" w:hAnsi="宋体" w:eastAsia="宋体" w:cs="宋体"/>
                <w:b/>
                <w:bCs/>
                <w:i w:val="0"/>
                <w:iCs w:val="0"/>
                <w:color w:val="08090C"/>
                <w:kern w:val="0"/>
                <w:sz w:val="20"/>
                <w:szCs w:val="20"/>
                <w:u w:val="none"/>
                <w:lang w:val="en-US" w:eastAsia="zh-CN" w:bidi="ar"/>
              </w:rPr>
              <w:t>数量</w:t>
            </w:r>
          </w:p>
        </w:tc>
        <w:tc>
          <w:tcPr>
            <w:tcW w:w="490" w:type="dxa"/>
            <w:tcBorders>
              <w:top w:val="single" w:color="000000" w:sz="8" w:space="0"/>
              <w:left w:val="nil"/>
              <w:bottom w:val="single" w:color="000000" w:sz="8" w:space="0"/>
              <w:right w:val="single" w:color="000000" w:sz="8" w:space="0"/>
            </w:tcBorders>
            <w:shd w:val="clear" w:color="auto" w:fill="DDEBF7"/>
            <w:vAlign w:val="center"/>
          </w:tcPr>
          <w:p w14:paraId="603EF5FC">
            <w:pPr>
              <w:keepNext w:val="0"/>
              <w:keepLines w:val="0"/>
              <w:widowControl/>
              <w:suppressLineNumbers w:val="0"/>
              <w:jc w:val="center"/>
              <w:textAlignment w:val="center"/>
              <w:rPr>
                <w:rFonts w:hint="eastAsia" w:ascii="宋体" w:hAnsi="宋体" w:eastAsia="宋体" w:cs="宋体"/>
                <w:b/>
                <w:bCs/>
                <w:i w:val="0"/>
                <w:iCs w:val="0"/>
                <w:color w:val="08090C"/>
                <w:sz w:val="20"/>
                <w:szCs w:val="20"/>
                <w:u w:val="none"/>
              </w:rPr>
            </w:pPr>
            <w:r>
              <w:rPr>
                <w:rFonts w:hint="eastAsia" w:ascii="宋体" w:hAnsi="宋体" w:eastAsia="宋体" w:cs="宋体"/>
                <w:b/>
                <w:bCs/>
                <w:i w:val="0"/>
                <w:iCs w:val="0"/>
                <w:color w:val="08090C"/>
                <w:kern w:val="0"/>
                <w:sz w:val="20"/>
                <w:szCs w:val="20"/>
                <w:u w:val="none"/>
                <w:lang w:val="en-US" w:eastAsia="zh-CN" w:bidi="ar"/>
              </w:rPr>
              <w:t>单位</w:t>
            </w:r>
          </w:p>
        </w:tc>
        <w:tc>
          <w:tcPr>
            <w:tcW w:w="700" w:type="dxa"/>
            <w:tcBorders>
              <w:top w:val="single" w:color="000000" w:sz="8" w:space="0"/>
              <w:left w:val="nil"/>
              <w:bottom w:val="single" w:color="000000" w:sz="8" w:space="0"/>
              <w:right w:val="single" w:color="000000" w:sz="8" w:space="0"/>
            </w:tcBorders>
            <w:shd w:val="clear" w:color="auto" w:fill="DDEBF7"/>
            <w:vAlign w:val="center"/>
          </w:tcPr>
          <w:p w14:paraId="5680EB52">
            <w:pPr>
              <w:keepNext w:val="0"/>
              <w:keepLines w:val="0"/>
              <w:widowControl/>
              <w:suppressLineNumbers w:val="0"/>
              <w:jc w:val="center"/>
              <w:textAlignment w:val="center"/>
              <w:rPr>
                <w:rFonts w:hint="eastAsia" w:ascii="宋体" w:hAnsi="宋体" w:eastAsia="宋体" w:cs="宋体"/>
                <w:b/>
                <w:bCs/>
                <w:i w:val="0"/>
                <w:iCs w:val="0"/>
                <w:color w:val="08090C"/>
                <w:sz w:val="20"/>
                <w:szCs w:val="20"/>
                <w:u w:val="none"/>
              </w:rPr>
            </w:pPr>
            <w:r>
              <w:rPr>
                <w:rFonts w:hint="eastAsia" w:ascii="宋体" w:hAnsi="宋体" w:eastAsia="宋体" w:cs="宋体"/>
                <w:b/>
                <w:bCs/>
                <w:i w:val="0"/>
                <w:iCs w:val="0"/>
                <w:color w:val="08090C"/>
                <w:kern w:val="0"/>
                <w:sz w:val="20"/>
                <w:szCs w:val="20"/>
                <w:u w:val="none"/>
                <w:lang w:val="en-US" w:eastAsia="zh-CN" w:bidi="ar"/>
              </w:rPr>
              <w:t>单价（元）</w:t>
            </w:r>
          </w:p>
        </w:tc>
        <w:tc>
          <w:tcPr>
            <w:tcW w:w="700" w:type="dxa"/>
            <w:tcBorders>
              <w:top w:val="single" w:color="000000" w:sz="8" w:space="0"/>
              <w:left w:val="nil"/>
              <w:bottom w:val="single" w:color="000000" w:sz="8" w:space="0"/>
              <w:right w:val="single" w:color="000000" w:sz="8" w:space="0"/>
            </w:tcBorders>
            <w:shd w:val="clear" w:color="auto" w:fill="DDEBF7"/>
            <w:vAlign w:val="center"/>
          </w:tcPr>
          <w:p w14:paraId="173421F7">
            <w:pPr>
              <w:keepNext w:val="0"/>
              <w:keepLines w:val="0"/>
              <w:widowControl/>
              <w:suppressLineNumbers w:val="0"/>
              <w:jc w:val="center"/>
              <w:textAlignment w:val="center"/>
              <w:rPr>
                <w:rFonts w:hint="eastAsia" w:ascii="宋体" w:hAnsi="宋体" w:eastAsia="宋体" w:cs="宋体"/>
                <w:b/>
                <w:bCs/>
                <w:i w:val="0"/>
                <w:iCs w:val="0"/>
                <w:color w:val="08090C"/>
                <w:sz w:val="20"/>
                <w:szCs w:val="20"/>
                <w:u w:val="none"/>
              </w:rPr>
            </w:pPr>
            <w:r>
              <w:rPr>
                <w:rFonts w:hint="eastAsia" w:ascii="宋体" w:hAnsi="宋体" w:eastAsia="宋体" w:cs="宋体"/>
                <w:b/>
                <w:bCs/>
                <w:i w:val="0"/>
                <w:iCs w:val="0"/>
                <w:color w:val="08090C"/>
                <w:kern w:val="0"/>
                <w:sz w:val="20"/>
                <w:szCs w:val="20"/>
                <w:u w:val="none"/>
                <w:lang w:val="en-US" w:eastAsia="zh-CN" w:bidi="ar"/>
              </w:rPr>
              <w:t>合价（元）</w:t>
            </w:r>
          </w:p>
        </w:tc>
      </w:tr>
      <w:tr w14:paraId="347FF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restart"/>
            <w:tcBorders>
              <w:top w:val="nil"/>
              <w:left w:val="single" w:color="000000" w:sz="8" w:space="0"/>
              <w:bottom w:val="single" w:color="000000" w:sz="8" w:space="0"/>
              <w:right w:val="single" w:color="000000" w:sz="8" w:space="0"/>
            </w:tcBorders>
            <w:shd w:val="clear" w:color="auto" w:fill="auto"/>
            <w:vAlign w:val="center"/>
          </w:tcPr>
          <w:p w14:paraId="11A3A4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启动器</w:t>
            </w:r>
          </w:p>
        </w:tc>
        <w:tc>
          <w:tcPr>
            <w:tcW w:w="660" w:type="dxa"/>
            <w:vMerge w:val="restart"/>
            <w:tcBorders>
              <w:top w:val="nil"/>
              <w:left w:val="nil"/>
              <w:bottom w:val="single" w:color="000000" w:sz="8" w:space="0"/>
              <w:right w:val="single" w:color="000000" w:sz="8" w:space="0"/>
            </w:tcBorders>
            <w:shd w:val="clear" w:color="auto" w:fill="auto"/>
            <w:vAlign w:val="center"/>
          </w:tcPr>
          <w:p w14:paraId="31BA97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项目管理模块</w:t>
            </w:r>
          </w:p>
        </w:tc>
        <w:tc>
          <w:tcPr>
            <w:tcW w:w="960" w:type="dxa"/>
            <w:tcBorders>
              <w:top w:val="nil"/>
              <w:left w:val="nil"/>
              <w:bottom w:val="single" w:color="000000" w:sz="8" w:space="0"/>
              <w:right w:val="single" w:color="000000" w:sz="8" w:space="0"/>
            </w:tcBorders>
            <w:shd w:val="clear" w:color="auto" w:fill="auto"/>
            <w:vAlign w:val="center"/>
          </w:tcPr>
          <w:p w14:paraId="6145DC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新建项目</w:t>
            </w:r>
          </w:p>
        </w:tc>
        <w:tc>
          <w:tcPr>
            <w:tcW w:w="1400" w:type="dxa"/>
            <w:tcBorders>
              <w:top w:val="nil"/>
              <w:left w:val="nil"/>
              <w:bottom w:val="single" w:color="000000" w:sz="8" w:space="0"/>
              <w:right w:val="single" w:color="000000" w:sz="8" w:space="0"/>
            </w:tcBorders>
            <w:shd w:val="clear" w:color="auto" w:fill="auto"/>
            <w:vAlign w:val="center"/>
          </w:tcPr>
          <w:p w14:paraId="403411C0">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5C824C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5699A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BBFAB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800D98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48F5469">
            <w:pPr>
              <w:jc w:val="center"/>
              <w:rPr>
                <w:rFonts w:hint="eastAsia" w:ascii="宋体" w:hAnsi="宋体" w:eastAsia="宋体" w:cs="宋体"/>
                <w:i w:val="0"/>
                <w:iCs w:val="0"/>
                <w:color w:val="000000"/>
                <w:sz w:val="20"/>
                <w:szCs w:val="20"/>
                <w:u w:val="none"/>
              </w:rPr>
            </w:pPr>
          </w:p>
        </w:tc>
      </w:tr>
      <w:tr w14:paraId="79439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09B5FAB">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0A0B748">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22FB79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导入项目</w:t>
            </w:r>
          </w:p>
        </w:tc>
        <w:tc>
          <w:tcPr>
            <w:tcW w:w="1400" w:type="dxa"/>
            <w:tcBorders>
              <w:top w:val="nil"/>
              <w:left w:val="nil"/>
              <w:bottom w:val="single" w:color="000000" w:sz="8" w:space="0"/>
              <w:right w:val="single" w:color="000000" w:sz="8" w:space="0"/>
            </w:tcBorders>
            <w:shd w:val="clear" w:color="auto" w:fill="auto"/>
            <w:vAlign w:val="center"/>
          </w:tcPr>
          <w:p w14:paraId="776E2010">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3C56CB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84F57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009E3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F3D543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1D34E0C">
            <w:pPr>
              <w:jc w:val="center"/>
              <w:rPr>
                <w:rFonts w:hint="eastAsia" w:ascii="宋体" w:hAnsi="宋体" w:eastAsia="宋体" w:cs="宋体"/>
                <w:i w:val="0"/>
                <w:iCs w:val="0"/>
                <w:color w:val="000000"/>
                <w:sz w:val="20"/>
                <w:szCs w:val="20"/>
                <w:u w:val="none"/>
              </w:rPr>
            </w:pPr>
          </w:p>
        </w:tc>
      </w:tr>
      <w:tr w14:paraId="15D32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670546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4059DFB">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511856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扫描项目</w:t>
            </w:r>
          </w:p>
        </w:tc>
        <w:tc>
          <w:tcPr>
            <w:tcW w:w="1400" w:type="dxa"/>
            <w:tcBorders>
              <w:top w:val="nil"/>
              <w:left w:val="nil"/>
              <w:bottom w:val="single" w:color="000000" w:sz="8" w:space="0"/>
              <w:right w:val="single" w:color="000000" w:sz="8" w:space="0"/>
            </w:tcBorders>
            <w:shd w:val="clear" w:color="auto" w:fill="auto"/>
            <w:vAlign w:val="center"/>
          </w:tcPr>
          <w:p w14:paraId="5BF94621">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5E6810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333C8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30AF3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ABABE6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17DA1E9">
            <w:pPr>
              <w:jc w:val="center"/>
              <w:rPr>
                <w:rFonts w:hint="eastAsia" w:ascii="宋体" w:hAnsi="宋体" w:eastAsia="宋体" w:cs="宋体"/>
                <w:i w:val="0"/>
                <w:iCs w:val="0"/>
                <w:color w:val="000000"/>
                <w:sz w:val="20"/>
                <w:szCs w:val="20"/>
                <w:u w:val="none"/>
              </w:rPr>
            </w:pPr>
          </w:p>
        </w:tc>
      </w:tr>
      <w:tr w14:paraId="696EA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086692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6A64983">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32DD98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编辑项目</w:t>
            </w:r>
          </w:p>
        </w:tc>
        <w:tc>
          <w:tcPr>
            <w:tcW w:w="1400" w:type="dxa"/>
            <w:tcBorders>
              <w:top w:val="nil"/>
              <w:left w:val="nil"/>
              <w:bottom w:val="single" w:color="000000" w:sz="8" w:space="0"/>
              <w:right w:val="single" w:color="000000" w:sz="8" w:space="0"/>
            </w:tcBorders>
            <w:shd w:val="clear" w:color="auto" w:fill="auto"/>
            <w:vAlign w:val="center"/>
          </w:tcPr>
          <w:p w14:paraId="181122E1">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5DC6CF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B9689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675EE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C8062A2">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96A3717">
            <w:pPr>
              <w:jc w:val="center"/>
              <w:rPr>
                <w:rFonts w:hint="eastAsia" w:ascii="宋体" w:hAnsi="宋体" w:eastAsia="宋体" w:cs="宋体"/>
                <w:i w:val="0"/>
                <w:iCs w:val="0"/>
                <w:color w:val="000000"/>
                <w:sz w:val="20"/>
                <w:szCs w:val="20"/>
                <w:u w:val="none"/>
              </w:rPr>
            </w:pPr>
          </w:p>
        </w:tc>
      </w:tr>
      <w:tr w14:paraId="566B3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C023FB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FFD50F0">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4F1EB8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运行项目</w:t>
            </w:r>
          </w:p>
        </w:tc>
        <w:tc>
          <w:tcPr>
            <w:tcW w:w="1400" w:type="dxa"/>
            <w:tcBorders>
              <w:top w:val="nil"/>
              <w:left w:val="nil"/>
              <w:bottom w:val="single" w:color="000000" w:sz="8" w:space="0"/>
              <w:right w:val="single" w:color="000000" w:sz="8" w:space="0"/>
            </w:tcBorders>
            <w:shd w:val="clear" w:color="auto" w:fill="auto"/>
            <w:vAlign w:val="center"/>
          </w:tcPr>
          <w:p w14:paraId="7A0BD803">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4F90F1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F224F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108CC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D9C505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4A5C34F">
            <w:pPr>
              <w:jc w:val="center"/>
              <w:rPr>
                <w:rFonts w:hint="eastAsia" w:ascii="宋体" w:hAnsi="宋体" w:eastAsia="宋体" w:cs="宋体"/>
                <w:i w:val="0"/>
                <w:iCs w:val="0"/>
                <w:color w:val="000000"/>
                <w:sz w:val="20"/>
                <w:szCs w:val="20"/>
                <w:u w:val="none"/>
              </w:rPr>
            </w:pPr>
          </w:p>
        </w:tc>
      </w:tr>
      <w:tr w14:paraId="12467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F018F3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A5F90B5">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0E2D8F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项目重命名</w:t>
            </w:r>
          </w:p>
        </w:tc>
        <w:tc>
          <w:tcPr>
            <w:tcW w:w="1400" w:type="dxa"/>
            <w:tcBorders>
              <w:top w:val="nil"/>
              <w:left w:val="nil"/>
              <w:bottom w:val="single" w:color="000000" w:sz="8" w:space="0"/>
              <w:right w:val="single" w:color="000000" w:sz="8" w:space="0"/>
            </w:tcBorders>
            <w:shd w:val="clear" w:color="auto" w:fill="auto"/>
            <w:vAlign w:val="center"/>
          </w:tcPr>
          <w:p w14:paraId="7968F7F3">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7773D9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4249E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120DC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012961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49F906A">
            <w:pPr>
              <w:jc w:val="center"/>
              <w:rPr>
                <w:rFonts w:hint="eastAsia" w:ascii="宋体" w:hAnsi="宋体" w:eastAsia="宋体" w:cs="宋体"/>
                <w:i w:val="0"/>
                <w:iCs w:val="0"/>
                <w:color w:val="000000"/>
                <w:sz w:val="20"/>
                <w:szCs w:val="20"/>
                <w:u w:val="none"/>
              </w:rPr>
            </w:pPr>
          </w:p>
        </w:tc>
      </w:tr>
      <w:tr w14:paraId="6659E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F002333">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99294B6">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10DE5D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移除项目</w:t>
            </w:r>
          </w:p>
        </w:tc>
        <w:tc>
          <w:tcPr>
            <w:tcW w:w="1400" w:type="dxa"/>
            <w:tcBorders>
              <w:top w:val="nil"/>
              <w:left w:val="nil"/>
              <w:bottom w:val="single" w:color="000000" w:sz="8" w:space="0"/>
              <w:right w:val="single" w:color="000000" w:sz="8" w:space="0"/>
            </w:tcBorders>
            <w:shd w:val="clear" w:color="auto" w:fill="auto"/>
            <w:vAlign w:val="center"/>
          </w:tcPr>
          <w:p w14:paraId="05205D19">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70B747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75F74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33CC8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227568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D7CF446">
            <w:pPr>
              <w:jc w:val="center"/>
              <w:rPr>
                <w:rFonts w:hint="eastAsia" w:ascii="宋体" w:hAnsi="宋体" w:eastAsia="宋体" w:cs="宋体"/>
                <w:i w:val="0"/>
                <w:iCs w:val="0"/>
                <w:color w:val="000000"/>
                <w:sz w:val="20"/>
                <w:szCs w:val="20"/>
                <w:u w:val="none"/>
              </w:rPr>
            </w:pPr>
          </w:p>
        </w:tc>
      </w:tr>
      <w:tr w14:paraId="7BD5A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F1BE629">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576DED6">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0C3F66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删除缺失项目</w:t>
            </w:r>
          </w:p>
        </w:tc>
        <w:tc>
          <w:tcPr>
            <w:tcW w:w="1400" w:type="dxa"/>
            <w:tcBorders>
              <w:top w:val="nil"/>
              <w:left w:val="nil"/>
              <w:bottom w:val="single" w:color="000000" w:sz="8" w:space="0"/>
              <w:right w:val="single" w:color="000000" w:sz="8" w:space="0"/>
            </w:tcBorders>
            <w:shd w:val="clear" w:color="auto" w:fill="auto"/>
            <w:vAlign w:val="center"/>
          </w:tcPr>
          <w:p w14:paraId="44F41A7D">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1945B1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E66C6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A2141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3B4767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47AB437">
            <w:pPr>
              <w:jc w:val="center"/>
              <w:rPr>
                <w:rFonts w:hint="eastAsia" w:ascii="宋体" w:hAnsi="宋体" w:eastAsia="宋体" w:cs="宋体"/>
                <w:i w:val="0"/>
                <w:iCs w:val="0"/>
                <w:color w:val="000000"/>
                <w:sz w:val="20"/>
                <w:szCs w:val="20"/>
                <w:u w:val="none"/>
              </w:rPr>
            </w:pPr>
          </w:p>
        </w:tc>
      </w:tr>
      <w:tr w14:paraId="0FFCB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3E7760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65DF7E3">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4BF498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搜索项目</w:t>
            </w:r>
          </w:p>
        </w:tc>
        <w:tc>
          <w:tcPr>
            <w:tcW w:w="1400" w:type="dxa"/>
            <w:tcBorders>
              <w:top w:val="nil"/>
              <w:left w:val="nil"/>
              <w:bottom w:val="single" w:color="000000" w:sz="8" w:space="0"/>
              <w:right w:val="single" w:color="000000" w:sz="8" w:space="0"/>
            </w:tcBorders>
            <w:shd w:val="clear" w:color="auto" w:fill="auto"/>
            <w:vAlign w:val="center"/>
          </w:tcPr>
          <w:p w14:paraId="5AA9F9AD">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324472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2329A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9EA03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72334F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BB54B18">
            <w:pPr>
              <w:jc w:val="center"/>
              <w:rPr>
                <w:rFonts w:hint="eastAsia" w:ascii="宋体" w:hAnsi="宋体" w:eastAsia="宋体" w:cs="宋体"/>
                <w:i w:val="0"/>
                <w:iCs w:val="0"/>
                <w:color w:val="000000"/>
                <w:sz w:val="20"/>
                <w:szCs w:val="20"/>
                <w:u w:val="none"/>
              </w:rPr>
            </w:pPr>
          </w:p>
        </w:tc>
      </w:tr>
      <w:tr w14:paraId="4B93F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restart"/>
            <w:tcBorders>
              <w:top w:val="nil"/>
              <w:left w:val="single" w:color="000000" w:sz="8" w:space="0"/>
              <w:bottom w:val="single" w:color="000000" w:sz="8" w:space="0"/>
              <w:right w:val="single" w:color="000000" w:sz="8" w:space="0"/>
            </w:tcBorders>
            <w:shd w:val="clear" w:color="auto" w:fill="auto"/>
            <w:vAlign w:val="center"/>
          </w:tcPr>
          <w:p w14:paraId="104FE2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编辑器</w:t>
            </w:r>
          </w:p>
        </w:tc>
        <w:tc>
          <w:tcPr>
            <w:tcW w:w="660" w:type="dxa"/>
            <w:vMerge w:val="restart"/>
            <w:tcBorders>
              <w:top w:val="nil"/>
              <w:left w:val="nil"/>
              <w:bottom w:val="single" w:color="000000" w:sz="8" w:space="0"/>
              <w:right w:val="single" w:color="000000" w:sz="8" w:space="0"/>
            </w:tcBorders>
            <w:shd w:val="clear" w:color="auto" w:fill="auto"/>
            <w:vAlign w:val="center"/>
          </w:tcPr>
          <w:p w14:paraId="77FED2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核心基础模块</w:t>
            </w:r>
          </w:p>
        </w:tc>
        <w:tc>
          <w:tcPr>
            <w:tcW w:w="960" w:type="dxa"/>
            <w:vMerge w:val="restart"/>
            <w:tcBorders>
              <w:top w:val="nil"/>
              <w:left w:val="nil"/>
              <w:bottom w:val="single" w:color="000000" w:sz="8" w:space="0"/>
              <w:right w:val="single" w:color="000000" w:sz="8" w:space="0"/>
            </w:tcBorders>
            <w:shd w:val="clear" w:color="auto" w:fill="auto"/>
            <w:vAlign w:val="center"/>
          </w:tcPr>
          <w:p w14:paraId="720CBB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基础和功能配置</w:t>
            </w:r>
          </w:p>
        </w:tc>
        <w:tc>
          <w:tcPr>
            <w:tcW w:w="1400" w:type="dxa"/>
            <w:tcBorders>
              <w:top w:val="nil"/>
              <w:left w:val="nil"/>
              <w:bottom w:val="single" w:color="000000" w:sz="8" w:space="0"/>
              <w:right w:val="single" w:color="000000" w:sz="8" w:space="0"/>
            </w:tcBorders>
            <w:shd w:val="clear" w:color="auto" w:fill="FFFFFF"/>
            <w:vAlign w:val="center"/>
          </w:tcPr>
          <w:p w14:paraId="1C1B46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撤销</w:t>
            </w:r>
          </w:p>
        </w:tc>
        <w:tc>
          <w:tcPr>
            <w:tcW w:w="2220" w:type="dxa"/>
            <w:tcBorders>
              <w:top w:val="nil"/>
              <w:left w:val="nil"/>
              <w:bottom w:val="single" w:color="000000" w:sz="8" w:space="0"/>
              <w:right w:val="single" w:color="000000" w:sz="8" w:space="0"/>
            </w:tcBorders>
            <w:shd w:val="clear" w:color="auto" w:fill="auto"/>
            <w:vAlign w:val="center"/>
          </w:tcPr>
          <w:p w14:paraId="0ECB00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7F475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235A3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02618A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BFAA0E6">
            <w:pPr>
              <w:jc w:val="center"/>
              <w:rPr>
                <w:rFonts w:hint="eastAsia" w:ascii="宋体" w:hAnsi="宋体" w:eastAsia="宋体" w:cs="宋体"/>
                <w:i w:val="0"/>
                <w:iCs w:val="0"/>
                <w:color w:val="000000"/>
                <w:sz w:val="20"/>
                <w:szCs w:val="20"/>
                <w:u w:val="none"/>
              </w:rPr>
            </w:pPr>
          </w:p>
        </w:tc>
      </w:tr>
      <w:tr w14:paraId="6CBB5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1BD6AFF">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E39247E">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25F87B4">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2DCF37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重做</w:t>
            </w:r>
          </w:p>
        </w:tc>
        <w:tc>
          <w:tcPr>
            <w:tcW w:w="2220" w:type="dxa"/>
            <w:tcBorders>
              <w:top w:val="nil"/>
              <w:left w:val="nil"/>
              <w:bottom w:val="single" w:color="000000" w:sz="8" w:space="0"/>
              <w:right w:val="single" w:color="000000" w:sz="8" w:space="0"/>
            </w:tcBorders>
            <w:shd w:val="clear" w:color="auto" w:fill="auto"/>
            <w:vAlign w:val="center"/>
          </w:tcPr>
          <w:p w14:paraId="58E2CA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974CA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07649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159981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51FBFFB">
            <w:pPr>
              <w:jc w:val="center"/>
              <w:rPr>
                <w:rFonts w:hint="eastAsia" w:ascii="宋体" w:hAnsi="宋体" w:eastAsia="宋体" w:cs="宋体"/>
                <w:i w:val="0"/>
                <w:iCs w:val="0"/>
                <w:color w:val="000000"/>
                <w:sz w:val="20"/>
                <w:szCs w:val="20"/>
                <w:u w:val="none"/>
              </w:rPr>
            </w:pPr>
          </w:p>
        </w:tc>
      </w:tr>
      <w:tr w14:paraId="48DEA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168451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B4FBA96">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D56D17C">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26EA65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退出三维场景编辑</w:t>
            </w:r>
          </w:p>
        </w:tc>
        <w:tc>
          <w:tcPr>
            <w:tcW w:w="2220" w:type="dxa"/>
            <w:tcBorders>
              <w:top w:val="nil"/>
              <w:left w:val="nil"/>
              <w:bottom w:val="single" w:color="000000" w:sz="8" w:space="0"/>
              <w:right w:val="single" w:color="000000" w:sz="8" w:space="0"/>
            </w:tcBorders>
            <w:shd w:val="clear" w:color="auto" w:fill="auto"/>
            <w:vAlign w:val="center"/>
          </w:tcPr>
          <w:p w14:paraId="213589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D371F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59870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208B422">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5D70EE1">
            <w:pPr>
              <w:jc w:val="center"/>
              <w:rPr>
                <w:rFonts w:hint="eastAsia" w:ascii="宋体" w:hAnsi="宋体" w:eastAsia="宋体" w:cs="宋体"/>
                <w:i w:val="0"/>
                <w:iCs w:val="0"/>
                <w:color w:val="000000"/>
                <w:sz w:val="20"/>
                <w:szCs w:val="20"/>
                <w:u w:val="none"/>
              </w:rPr>
            </w:pPr>
          </w:p>
        </w:tc>
      </w:tr>
      <w:tr w14:paraId="04293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D9B93E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30222C8">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80045F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44A888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筛选设置</w:t>
            </w:r>
          </w:p>
        </w:tc>
        <w:tc>
          <w:tcPr>
            <w:tcW w:w="2220" w:type="dxa"/>
            <w:tcBorders>
              <w:top w:val="nil"/>
              <w:left w:val="nil"/>
              <w:bottom w:val="single" w:color="000000" w:sz="8" w:space="0"/>
              <w:right w:val="single" w:color="000000" w:sz="8" w:space="0"/>
            </w:tcBorders>
            <w:shd w:val="clear" w:color="auto" w:fill="auto"/>
            <w:vAlign w:val="center"/>
          </w:tcPr>
          <w:p w14:paraId="2D3ECE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2F2AE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07DDC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5395A77">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DE005FA">
            <w:pPr>
              <w:jc w:val="center"/>
              <w:rPr>
                <w:rFonts w:hint="eastAsia" w:ascii="宋体" w:hAnsi="宋体" w:eastAsia="宋体" w:cs="宋体"/>
                <w:i w:val="0"/>
                <w:iCs w:val="0"/>
                <w:color w:val="000000"/>
                <w:sz w:val="20"/>
                <w:szCs w:val="20"/>
                <w:u w:val="none"/>
              </w:rPr>
            </w:pPr>
          </w:p>
        </w:tc>
      </w:tr>
      <w:tr w14:paraId="5E5A4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409C3E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5C87DCB">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FE67A08">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102B01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高级设置</w:t>
            </w:r>
          </w:p>
        </w:tc>
        <w:tc>
          <w:tcPr>
            <w:tcW w:w="2220" w:type="dxa"/>
            <w:tcBorders>
              <w:top w:val="nil"/>
              <w:left w:val="nil"/>
              <w:bottom w:val="single" w:color="000000" w:sz="8" w:space="0"/>
              <w:right w:val="single" w:color="000000" w:sz="8" w:space="0"/>
            </w:tcBorders>
            <w:shd w:val="clear" w:color="auto" w:fill="auto"/>
            <w:vAlign w:val="center"/>
          </w:tcPr>
          <w:p w14:paraId="06DD72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251F3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5F7E4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B14A27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8CEAA53">
            <w:pPr>
              <w:jc w:val="center"/>
              <w:rPr>
                <w:rFonts w:hint="eastAsia" w:ascii="宋体" w:hAnsi="宋体" w:eastAsia="宋体" w:cs="宋体"/>
                <w:i w:val="0"/>
                <w:iCs w:val="0"/>
                <w:color w:val="000000"/>
                <w:sz w:val="20"/>
                <w:szCs w:val="20"/>
                <w:u w:val="none"/>
              </w:rPr>
            </w:pPr>
          </w:p>
        </w:tc>
      </w:tr>
      <w:tr w14:paraId="329EA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88B4B6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AF4035E">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F89F974">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501B6C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基础配置</w:t>
            </w:r>
          </w:p>
        </w:tc>
        <w:tc>
          <w:tcPr>
            <w:tcW w:w="2220" w:type="dxa"/>
            <w:tcBorders>
              <w:top w:val="nil"/>
              <w:left w:val="nil"/>
              <w:bottom w:val="single" w:color="000000" w:sz="8" w:space="0"/>
              <w:right w:val="single" w:color="000000" w:sz="8" w:space="0"/>
            </w:tcBorders>
            <w:shd w:val="clear" w:color="auto" w:fill="auto"/>
            <w:vAlign w:val="center"/>
          </w:tcPr>
          <w:p w14:paraId="7A5AB6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9EEC5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8C136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1A7B8C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02568DA">
            <w:pPr>
              <w:jc w:val="center"/>
              <w:rPr>
                <w:rFonts w:hint="eastAsia" w:ascii="宋体" w:hAnsi="宋体" w:eastAsia="宋体" w:cs="宋体"/>
                <w:i w:val="0"/>
                <w:iCs w:val="0"/>
                <w:color w:val="000000"/>
                <w:sz w:val="20"/>
                <w:szCs w:val="20"/>
                <w:u w:val="none"/>
              </w:rPr>
            </w:pPr>
          </w:p>
        </w:tc>
      </w:tr>
      <w:tr w14:paraId="331EE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BB1719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6636099">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049FD95">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1FDA2E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运行配置</w:t>
            </w:r>
          </w:p>
        </w:tc>
        <w:tc>
          <w:tcPr>
            <w:tcW w:w="2220" w:type="dxa"/>
            <w:tcBorders>
              <w:top w:val="nil"/>
              <w:left w:val="nil"/>
              <w:bottom w:val="single" w:color="000000" w:sz="8" w:space="0"/>
              <w:right w:val="single" w:color="000000" w:sz="8" w:space="0"/>
            </w:tcBorders>
            <w:shd w:val="clear" w:color="auto" w:fill="auto"/>
            <w:vAlign w:val="center"/>
          </w:tcPr>
          <w:p w14:paraId="697A47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FFFFFF"/>
            <w:vAlign w:val="center"/>
          </w:tcPr>
          <w:p w14:paraId="5D0E08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FFFFFF"/>
            <w:vAlign w:val="center"/>
          </w:tcPr>
          <w:p w14:paraId="279397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FFFFFF"/>
            <w:vAlign w:val="center"/>
          </w:tcPr>
          <w:p w14:paraId="4FD68A0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FFFFFF"/>
            <w:vAlign w:val="center"/>
          </w:tcPr>
          <w:p w14:paraId="4AAA2B87">
            <w:pPr>
              <w:jc w:val="center"/>
              <w:rPr>
                <w:rFonts w:hint="eastAsia" w:ascii="宋体" w:hAnsi="宋体" w:eastAsia="宋体" w:cs="宋体"/>
                <w:i w:val="0"/>
                <w:iCs w:val="0"/>
                <w:color w:val="000000"/>
                <w:sz w:val="20"/>
                <w:szCs w:val="20"/>
                <w:u w:val="none"/>
              </w:rPr>
            </w:pPr>
          </w:p>
        </w:tc>
      </w:tr>
      <w:tr w14:paraId="18B31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25A76CF">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CCE9084">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86C2CB8">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4B0721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启动画面配置</w:t>
            </w:r>
          </w:p>
        </w:tc>
        <w:tc>
          <w:tcPr>
            <w:tcW w:w="2220" w:type="dxa"/>
            <w:tcBorders>
              <w:top w:val="nil"/>
              <w:left w:val="nil"/>
              <w:bottom w:val="single" w:color="000000" w:sz="8" w:space="0"/>
              <w:right w:val="single" w:color="000000" w:sz="8" w:space="0"/>
            </w:tcBorders>
            <w:shd w:val="clear" w:color="auto" w:fill="auto"/>
            <w:vAlign w:val="center"/>
          </w:tcPr>
          <w:p w14:paraId="6C73AF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FFFFFF"/>
            <w:vAlign w:val="center"/>
          </w:tcPr>
          <w:p w14:paraId="7B9118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FFFFFF"/>
            <w:vAlign w:val="center"/>
          </w:tcPr>
          <w:p w14:paraId="77CA5E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FFFFFF"/>
            <w:vAlign w:val="center"/>
          </w:tcPr>
          <w:p w14:paraId="08E56660">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FFFFFF"/>
            <w:vAlign w:val="center"/>
          </w:tcPr>
          <w:p w14:paraId="4F359994">
            <w:pPr>
              <w:jc w:val="center"/>
              <w:rPr>
                <w:rFonts w:hint="eastAsia" w:ascii="宋体" w:hAnsi="宋体" w:eastAsia="宋体" w:cs="宋体"/>
                <w:i w:val="0"/>
                <w:iCs w:val="0"/>
                <w:color w:val="000000"/>
                <w:sz w:val="20"/>
                <w:szCs w:val="20"/>
                <w:u w:val="none"/>
              </w:rPr>
            </w:pPr>
          </w:p>
        </w:tc>
      </w:tr>
      <w:tr w14:paraId="52AD7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12DFE9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B3FB7EE">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64F037E">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4E25E1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窗口配置</w:t>
            </w:r>
          </w:p>
        </w:tc>
        <w:tc>
          <w:tcPr>
            <w:tcW w:w="2220" w:type="dxa"/>
            <w:tcBorders>
              <w:top w:val="nil"/>
              <w:left w:val="nil"/>
              <w:bottom w:val="single" w:color="000000" w:sz="8" w:space="0"/>
              <w:right w:val="single" w:color="000000" w:sz="8" w:space="0"/>
            </w:tcBorders>
            <w:shd w:val="clear" w:color="auto" w:fill="auto"/>
            <w:vAlign w:val="center"/>
          </w:tcPr>
          <w:p w14:paraId="60C2A3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FFFFFF"/>
            <w:vAlign w:val="center"/>
          </w:tcPr>
          <w:p w14:paraId="70550E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FFFFFF"/>
            <w:vAlign w:val="center"/>
          </w:tcPr>
          <w:p w14:paraId="6D81FF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FFFFFF"/>
            <w:vAlign w:val="center"/>
          </w:tcPr>
          <w:p w14:paraId="0D7977E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FFFFFF"/>
            <w:vAlign w:val="center"/>
          </w:tcPr>
          <w:p w14:paraId="2162B752">
            <w:pPr>
              <w:jc w:val="center"/>
              <w:rPr>
                <w:rFonts w:hint="eastAsia" w:ascii="宋体" w:hAnsi="宋体" w:eastAsia="宋体" w:cs="宋体"/>
                <w:i w:val="0"/>
                <w:iCs w:val="0"/>
                <w:color w:val="000000"/>
                <w:sz w:val="20"/>
                <w:szCs w:val="20"/>
                <w:u w:val="none"/>
              </w:rPr>
            </w:pPr>
          </w:p>
        </w:tc>
      </w:tr>
      <w:tr w14:paraId="6C2F8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230DBE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D92EF1A">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0DFE774">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1DA1DB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鼠标光标配置</w:t>
            </w:r>
          </w:p>
        </w:tc>
        <w:tc>
          <w:tcPr>
            <w:tcW w:w="2220" w:type="dxa"/>
            <w:tcBorders>
              <w:top w:val="nil"/>
              <w:left w:val="nil"/>
              <w:bottom w:val="single" w:color="000000" w:sz="8" w:space="0"/>
              <w:right w:val="single" w:color="000000" w:sz="8" w:space="0"/>
            </w:tcBorders>
            <w:shd w:val="clear" w:color="auto" w:fill="auto"/>
            <w:vAlign w:val="center"/>
          </w:tcPr>
          <w:p w14:paraId="379317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FFFFFF"/>
            <w:vAlign w:val="center"/>
          </w:tcPr>
          <w:p w14:paraId="72E0E9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FFFFFF"/>
            <w:vAlign w:val="center"/>
          </w:tcPr>
          <w:p w14:paraId="13E6F4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FFFFFF"/>
            <w:vAlign w:val="center"/>
          </w:tcPr>
          <w:p w14:paraId="5233579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FFFFFF"/>
            <w:vAlign w:val="center"/>
          </w:tcPr>
          <w:p w14:paraId="2862A503">
            <w:pPr>
              <w:jc w:val="center"/>
              <w:rPr>
                <w:rFonts w:hint="eastAsia" w:ascii="宋体" w:hAnsi="宋体" w:eastAsia="宋体" w:cs="宋体"/>
                <w:i w:val="0"/>
                <w:iCs w:val="0"/>
                <w:color w:val="000000"/>
                <w:sz w:val="20"/>
                <w:szCs w:val="20"/>
                <w:u w:val="none"/>
              </w:rPr>
            </w:pPr>
          </w:p>
        </w:tc>
      </w:tr>
      <w:tr w14:paraId="1E105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74DF11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6EFF982">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3BAEB0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2F60DF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调试设置</w:t>
            </w:r>
          </w:p>
        </w:tc>
        <w:tc>
          <w:tcPr>
            <w:tcW w:w="2220" w:type="dxa"/>
            <w:tcBorders>
              <w:top w:val="nil"/>
              <w:left w:val="nil"/>
              <w:bottom w:val="single" w:color="000000" w:sz="8" w:space="0"/>
              <w:right w:val="single" w:color="000000" w:sz="8" w:space="0"/>
            </w:tcBorders>
            <w:shd w:val="clear" w:color="auto" w:fill="auto"/>
            <w:vAlign w:val="center"/>
          </w:tcPr>
          <w:p w14:paraId="6DEFF2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A57EF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819E7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56C4E5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82BF663">
            <w:pPr>
              <w:jc w:val="center"/>
              <w:rPr>
                <w:rFonts w:hint="eastAsia" w:ascii="宋体" w:hAnsi="宋体" w:eastAsia="宋体" w:cs="宋体"/>
                <w:i w:val="0"/>
                <w:iCs w:val="0"/>
                <w:color w:val="000000"/>
                <w:sz w:val="20"/>
                <w:szCs w:val="20"/>
                <w:u w:val="none"/>
              </w:rPr>
            </w:pPr>
          </w:p>
        </w:tc>
      </w:tr>
      <w:tr w14:paraId="619AE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A7BCB29">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B2314D0">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32642ED">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6801B9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文件日志配置</w:t>
            </w:r>
          </w:p>
        </w:tc>
        <w:tc>
          <w:tcPr>
            <w:tcW w:w="2220" w:type="dxa"/>
            <w:tcBorders>
              <w:top w:val="nil"/>
              <w:left w:val="nil"/>
              <w:bottom w:val="single" w:color="000000" w:sz="8" w:space="0"/>
              <w:right w:val="single" w:color="000000" w:sz="8" w:space="0"/>
            </w:tcBorders>
            <w:shd w:val="clear" w:color="auto" w:fill="auto"/>
            <w:vAlign w:val="center"/>
          </w:tcPr>
          <w:p w14:paraId="50776A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FFFFFF"/>
            <w:vAlign w:val="center"/>
          </w:tcPr>
          <w:p w14:paraId="6E12BA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FFFFFF"/>
            <w:vAlign w:val="center"/>
          </w:tcPr>
          <w:p w14:paraId="6A4993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FFFFFF"/>
            <w:vAlign w:val="center"/>
          </w:tcPr>
          <w:p w14:paraId="3ED2BB99">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FFFFFF"/>
            <w:vAlign w:val="center"/>
          </w:tcPr>
          <w:p w14:paraId="35443CF9">
            <w:pPr>
              <w:jc w:val="center"/>
              <w:rPr>
                <w:rFonts w:hint="eastAsia" w:ascii="宋体" w:hAnsi="宋体" w:eastAsia="宋体" w:cs="宋体"/>
                <w:i w:val="0"/>
                <w:iCs w:val="0"/>
                <w:color w:val="000000"/>
                <w:sz w:val="20"/>
                <w:szCs w:val="20"/>
                <w:u w:val="none"/>
              </w:rPr>
            </w:pPr>
          </w:p>
        </w:tc>
      </w:tr>
      <w:tr w14:paraId="47564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B7EF8E3">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136534B">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7E3A17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4F0AFA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着色器语言配置</w:t>
            </w:r>
          </w:p>
        </w:tc>
        <w:tc>
          <w:tcPr>
            <w:tcW w:w="2220" w:type="dxa"/>
            <w:tcBorders>
              <w:top w:val="nil"/>
              <w:left w:val="nil"/>
              <w:bottom w:val="single" w:color="000000" w:sz="8" w:space="0"/>
              <w:right w:val="single" w:color="000000" w:sz="8" w:space="0"/>
            </w:tcBorders>
            <w:shd w:val="clear" w:color="auto" w:fill="auto"/>
            <w:vAlign w:val="center"/>
          </w:tcPr>
          <w:p w14:paraId="448F8B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FFFFFF"/>
            <w:vAlign w:val="center"/>
          </w:tcPr>
          <w:p w14:paraId="57F6B8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FFFFFF"/>
            <w:vAlign w:val="center"/>
          </w:tcPr>
          <w:p w14:paraId="72588D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FFFFFF"/>
            <w:vAlign w:val="center"/>
          </w:tcPr>
          <w:p w14:paraId="23BCA6B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FFFFFF"/>
            <w:vAlign w:val="center"/>
          </w:tcPr>
          <w:p w14:paraId="6B54ACBC">
            <w:pPr>
              <w:jc w:val="center"/>
              <w:rPr>
                <w:rFonts w:hint="eastAsia" w:ascii="宋体" w:hAnsi="宋体" w:eastAsia="宋体" w:cs="宋体"/>
                <w:i w:val="0"/>
                <w:iCs w:val="0"/>
                <w:color w:val="000000"/>
                <w:sz w:val="20"/>
                <w:szCs w:val="20"/>
                <w:u w:val="none"/>
              </w:rPr>
            </w:pPr>
          </w:p>
        </w:tc>
      </w:tr>
      <w:tr w14:paraId="3E1CE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38FDDA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E953916">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1FEDA7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57121D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脚本语言配置</w:t>
            </w:r>
          </w:p>
        </w:tc>
        <w:tc>
          <w:tcPr>
            <w:tcW w:w="2220" w:type="dxa"/>
            <w:tcBorders>
              <w:top w:val="nil"/>
              <w:left w:val="nil"/>
              <w:bottom w:val="single" w:color="000000" w:sz="8" w:space="0"/>
              <w:right w:val="single" w:color="000000" w:sz="8" w:space="0"/>
            </w:tcBorders>
            <w:shd w:val="clear" w:color="auto" w:fill="auto"/>
            <w:vAlign w:val="center"/>
          </w:tcPr>
          <w:p w14:paraId="6CDAC9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1A5A9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62FC8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33324C9">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ADAF4EA">
            <w:pPr>
              <w:jc w:val="center"/>
              <w:rPr>
                <w:rFonts w:hint="eastAsia" w:ascii="宋体" w:hAnsi="宋体" w:eastAsia="宋体" w:cs="宋体"/>
                <w:i w:val="0"/>
                <w:iCs w:val="0"/>
                <w:color w:val="000000"/>
                <w:sz w:val="20"/>
                <w:szCs w:val="20"/>
                <w:u w:val="none"/>
              </w:rPr>
            </w:pPr>
          </w:p>
        </w:tc>
      </w:tr>
      <w:tr w14:paraId="5B63D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6A3F22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7714BCB">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819090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7D2191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自动加载配置</w:t>
            </w:r>
          </w:p>
        </w:tc>
        <w:tc>
          <w:tcPr>
            <w:tcW w:w="2220" w:type="dxa"/>
            <w:tcBorders>
              <w:top w:val="nil"/>
              <w:left w:val="nil"/>
              <w:bottom w:val="single" w:color="000000" w:sz="8" w:space="0"/>
              <w:right w:val="single" w:color="000000" w:sz="8" w:space="0"/>
            </w:tcBorders>
            <w:shd w:val="clear" w:color="auto" w:fill="auto"/>
            <w:vAlign w:val="center"/>
          </w:tcPr>
          <w:p w14:paraId="4C20C8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50856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F495D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4C8C97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2B8D120">
            <w:pPr>
              <w:jc w:val="center"/>
              <w:rPr>
                <w:rFonts w:hint="eastAsia" w:ascii="宋体" w:hAnsi="宋体" w:eastAsia="宋体" w:cs="宋体"/>
                <w:i w:val="0"/>
                <w:iCs w:val="0"/>
                <w:color w:val="000000"/>
                <w:sz w:val="20"/>
                <w:szCs w:val="20"/>
                <w:u w:val="none"/>
              </w:rPr>
            </w:pPr>
          </w:p>
        </w:tc>
      </w:tr>
      <w:tr w14:paraId="0813E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34086F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E0730A6">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4B6D43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图形用户界面 相关配置</w:t>
            </w:r>
          </w:p>
        </w:tc>
        <w:tc>
          <w:tcPr>
            <w:tcW w:w="1400" w:type="dxa"/>
            <w:tcBorders>
              <w:top w:val="nil"/>
              <w:left w:val="nil"/>
              <w:bottom w:val="single" w:color="000000" w:sz="8" w:space="0"/>
              <w:right w:val="single" w:color="000000" w:sz="8" w:space="0"/>
            </w:tcBorders>
            <w:shd w:val="clear" w:color="auto" w:fill="FFFFFF"/>
            <w:vAlign w:val="center"/>
          </w:tcPr>
          <w:p w14:paraId="1A64FB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图形用户界面-计时器</w:t>
            </w:r>
          </w:p>
        </w:tc>
        <w:tc>
          <w:tcPr>
            <w:tcW w:w="2220" w:type="dxa"/>
            <w:tcBorders>
              <w:top w:val="nil"/>
              <w:left w:val="nil"/>
              <w:bottom w:val="single" w:color="000000" w:sz="8" w:space="0"/>
              <w:right w:val="single" w:color="000000" w:sz="8" w:space="0"/>
            </w:tcBorders>
            <w:shd w:val="clear" w:color="auto" w:fill="auto"/>
            <w:vAlign w:val="center"/>
          </w:tcPr>
          <w:p w14:paraId="1F2BEC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73C02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B17C6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D65139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20DC778">
            <w:pPr>
              <w:jc w:val="center"/>
              <w:rPr>
                <w:rFonts w:hint="eastAsia" w:ascii="宋体" w:hAnsi="宋体" w:eastAsia="宋体" w:cs="宋体"/>
                <w:i w:val="0"/>
                <w:iCs w:val="0"/>
                <w:color w:val="000000"/>
                <w:sz w:val="20"/>
                <w:szCs w:val="20"/>
                <w:u w:val="none"/>
              </w:rPr>
            </w:pPr>
          </w:p>
        </w:tc>
      </w:tr>
      <w:tr w14:paraId="27AED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BB9A8B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E27A4A4">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9EF355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1D9229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图形用户界面-通用</w:t>
            </w:r>
          </w:p>
        </w:tc>
        <w:tc>
          <w:tcPr>
            <w:tcW w:w="2220" w:type="dxa"/>
            <w:tcBorders>
              <w:top w:val="nil"/>
              <w:left w:val="nil"/>
              <w:bottom w:val="single" w:color="000000" w:sz="8" w:space="0"/>
              <w:right w:val="single" w:color="000000" w:sz="8" w:space="0"/>
            </w:tcBorders>
            <w:shd w:val="clear" w:color="auto" w:fill="auto"/>
            <w:vAlign w:val="center"/>
          </w:tcPr>
          <w:p w14:paraId="5F77B6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AD34F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57662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F5041D0">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E0EC7BB">
            <w:pPr>
              <w:jc w:val="center"/>
              <w:rPr>
                <w:rFonts w:hint="eastAsia" w:ascii="宋体" w:hAnsi="宋体" w:eastAsia="宋体" w:cs="宋体"/>
                <w:i w:val="0"/>
                <w:iCs w:val="0"/>
                <w:color w:val="000000"/>
                <w:sz w:val="20"/>
                <w:szCs w:val="20"/>
                <w:u w:val="none"/>
              </w:rPr>
            </w:pPr>
          </w:p>
        </w:tc>
      </w:tr>
      <w:tr w14:paraId="4A02E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AE2276F">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47265F4">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E854D5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746515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图形用户界面-字体</w:t>
            </w:r>
          </w:p>
        </w:tc>
        <w:tc>
          <w:tcPr>
            <w:tcW w:w="2220" w:type="dxa"/>
            <w:tcBorders>
              <w:top w:val="nil"/>
              <w:left w:val="nil"/>
              <w:bottom w:val="single" w:color="000000" w:sz="8" w:space="0"/>
              <w:right w:val="single" w:color="000000" w:sz="8" w:space="0"/>
            </w:tcBorders>
            <w:shd w:val="clear" w:color="auto" w:fill="auto"/>
            <w:vAlign w:val="center"/>
          </w:tcPr>
          <w:p w14:paraId="080255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365CD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7F84A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6F8CE2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2830606">
            <w:pPr>
              <w:jc w:val="center"/>
              <w:rPr>
                <w:rFonts w:hint="eastAsia" w:ascii="宋体" w:hAnsi="宋体" w:eastAsia="宋体" w:cs="宋体"/>
                <w:i w:val="0"/>
                <w:iCs w:val="0"/>
                <w:color w:val="000000"/>
                <w:sz w:val="20"/>
                <w:szCs w:val="20"/>
                <w:u w:val="none"/>
              </w:rPr>
            </w:pPr>
          </w:p>
        </w:tc>
      </w:tr>
      <w:tr w14:paraId="51EC2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3ECB899">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77E0C4E">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0FA404D">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0E0681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图形用户界面-主题</w:t>
            </w:r>
          </w:p>
        </w:tc>
        <w:tc>
          <w:tcPr>
            <w:tcW w:w="2220" w:type="dxa"/>
            <w:tcBorders>
              <w:top w:val="nil"/>
              <w:left w:val="nil"/>
              <w:bottom w:val="single" w:color="000000" w:sz="8" w:space="0"/>
              <w:right w:val="single" w:color="000000" w:sz="8" w:space="0"/>
            </w:tcBorders>
            <w:shd w:val="clear" w:color="auto" w:fill="auto"/>
            <w:vAlign w:val="center"/>
          </w:tcPr>
          <w:p w14:paraId="0B9125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65A98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A0F24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7E9047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3017216">
            <w:pPr>
              <w:jc w:val="center"/>
              <w:rPr>
                <w:rFonts w:hint="eastAsia" w:ascii="宋体" w:hAnsi="宋体" w:eastAsia="宋体" w:cs="宋体"/>
                <w:i w:val="0"/>
                <w:iCs w:val="0"/>
                <w:color w:val="000000"/>
                <w:sz w:val="20"/>
                <w:szCs w:val="20"/>
                <w:u w:val="none"/>
              </w:rPr>
            </w:pPr>
          </w:p>
        </w:tc>
      </w:tr>
      <w:tr w14:paraId="70420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5B44B0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167AA04">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31B222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界面-编辑器</w:t>
            </w:r>
          </w:p>
        </w:tc>
        <w:tc>
          <w:tcPr>
            <w:tcW w:w="1400" w:type="dxa"/>
            <w:tcBorders>
              <w:top w:val="nil"/>
              <w:left w:val="nil"/>
              <w:bottom w:val="single" w:color="000000" w:sz="8" w:space="0"/>
              <w:right w:val="single" w:color="000000" w:sz="8" w:space="0"/>
            </w:tcBorders>
            <w:shd w:val="clear" w:color="auto" w:fill="FFFFFF"/>
            <w:vAlign w:val="center"/>
          </w:tcPr>
          <w:p w14:paraId="0CDAFE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停靠面板标签样式</w:t>
            </w:r>
          </w:p>
        </w:tc>
        <w:tc>
          <w:tcPr>
            <w:tcW w:w="2220" w:type="dxa"/>
            <w:tcBorders>
              <w:top w:val="nil"/>
              <w:left w:val="nil"/>
              <w:bottom w:val="single" w:color="000000" w:sz="8" w:space="0"/>
              <w:right w:val="single" w:color="000000" w:sz="8" w:space="0"/>
            </w:tcBorders>
            <w:shd w:val="clear" w:color="auto" w:fill="auto"/>
            <w:vAlign w:val="center"/>
          </w:tcPr>
          <w:p w14:paraId="61A378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AE66D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1CDE4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A69E137">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CED2659">
            <w:pPr>
              <w:jc w:val="center"/>
              <w:rPr>
                <w:rFonts w:hint="eastAsia" w:ascii="宋体" w:hAnsi="宋体" w:eastAsia="宋体" w:cs="宋体"/>
                <w:i w:val="0"/>
                <w:iCs w:val="0"/>
                <w:color w:val="000000"/>
                <w:sz w:val="20"/>
                <w:szCs w:val="20"/>
                <w:u w:val="none"/>
              </w:rPr>
            </w:pPr>
          </w:p>
        </w:tc>
      </w:tr>
      <w:tr w14:paraId="6FDEF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8B5398A">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19B227A">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0B5647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65B1DF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界面布局方向</w:t>
            </w:r>
          </w:p>
        </w:tc>
        <w:tc>
          <w:tcPr>
            <w:tcW w:w="2220" w:type="dxa"/>
            <w:tcBorders>
              <w:top w:val="nil"/>
              <w:left w:val="nil"/>
              <w:bottom w:val="single" w:color="000000" w:sz="8" w:space="0"/>
              <w:right w:val="single" w:color="000000" w:sz="8" w:space="0"/>
            </w:tcBorders>
            <w:shd w:val="clear" w:color="auto" w:fill="auto"/>
            <w:vAlign w:val="center"/>
          </w:tcPr>
          <w:p w14:paraId="7E4791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CCB49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0B321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821F30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104559E">
            <w:pPr>
              <w:jc w:val="center"/>
              <w:rPr>
                <w:rFonts w:hint="eastAsia" w:ascii="宋体" w:hAnsi="宋体" w:eastAsia="宋体" w:cs="宋体"/>
                <w:i w:val="0"/>
                <w:iCs w:val="0"/>
                <w:color w:val="000000"/>
                <w:sz w:val="20"/>
                <w:szCs w:val="20"/>
                <w:u w:val="none"/>
              </w:rPr>
            </w:pPr>
          </w:p>
        </w:tc>
      </w:tr>
      <w:tr w14:paraId="7FC7F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79B398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6CD3D6F">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EFF636F">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1B88FD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显示缩放</w:t>
            </w:r>
          </w:p>
        </w:tc>
        <w:tc>
          <w:tcPr>
            <w:tcW w:w="2220" w:type="dxa"/>
            <w:tcBorders>
              <w:top w:val="nil"/>
              <w:left w:val="nil"/>
              <w:bottom w:val="single" w:color="000000" w:sz="8" w:space="0"/>
              <w:right w:val="single" w:color="000000" w:sz="8" w:space="0"/>
            </w:tcBorders>
            <w:shd w:val="clear" w:color="auto" w:fill="auto"/>
            <w:vAlign w:val="center"/>
          </w:tcPr>
          <w:p w14:paraId="603539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774C6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B583B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DB0CFE0">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41C6CFF">
            <w:pPr>
              <w:jc w:val="center"/>
              <w:rPr>
                <w:rFonts w:hint="eastAsia" w:ascii="宋体" w:hAnsi="宋体" w:eastAsia="宋体" w:cs="宋体"/>
                <w:i w:val="0"/>
                <w:iCs w:val="0"/>
                <w:color w:val="000000"/>
                <w:sz w:val="20"/>
                <w:szCs w:val="20"/>
                <w:u w:val="none"/>
              </w:rPr>
            </w:pPr>
          </w:p>
        </w:tc>
      </w:tr>
      <w:tr w14:paraId="6A804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47901AA">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F6E08A6">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C9094C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722505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自定义显示缩放</w:t>
            </w:r>
          </w:p>
        </w:tc>
        <w:tc>
          <w:tcPr>
            <w:tcW w:w="2220" w:type="dxa"/>
            <w:tcBorders>
              <w:top w:val="nil"/>
              <w:left w:val="nil"/>
              <w:bottom w:val="single" w:color="000000" w:sz="8" w:space="0"/>
              <w:right w:val="single" w:color="000000" w:sz="8" w:space="0"/>
            </w:tcBorders>
            <w:shd w:val="clear" w:color="auto" w:fill="auto"/>
            <w:vAlign w:val="center"/>
          </w:tcPr>
          <w:p w14:paraId="05F99D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8036A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D9DA3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C40C37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11AF59B">
            <w:pPr>
              <w:jc w:val="center"/>
              <w:rPr>
                <w:rFonts w:hint="eastAsia" w:ascii="宋体" w:hAnsi="宋体" w:eastAsia="宋体" w:cs="宋体"/>
                <w:i w:val="0"/>
                <w:iCs w:val="0"/>
                <w:color w:val="000000"/>
                <w:sz w:val="20"/>
                <w:szCs w:val="20"/>
                <w:u w:val="none"/>
              </w:rPr>
            </w:pPr>
          </w:p>
        </w:tc>
      </w:tr>
      <w:tr w14:paraId="737B2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81ECE7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C898197">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D32AF8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712488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编辑器屏幕</w:t>
            </w:r>
          </w:p>
        </w:tc>
        <w:tc>
          <w:tcPr>
            <w:tcW w:w="2220" w:type="dxa"/>
            <w:tcBorders>
              <w:top w:val="nil"/>
              <w:left w:val="nil"/>
              <w:bottom w:val="single" w:color="000000" w:sz="8" w:space="0"/>
              <w:right w:val="single" w:color="000000" w:sz="8" w:space="0"/>
            </w:tcBorders>
            <w:shd w:val="clear" w:color="auto" w:fill="auto"/>
            <w:vAlign w:val="center"/>
          </w:tcPr>
          <w:p w14:paraId="6137F0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FCB23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C2342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1E83E60">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E7F7FF9">
            <w:pPr>
              <w:jc w:val="center"/>
              <w:rPr>
                <w:rFonts w:hint="eastAsia" w:ascii="宋体" w:hAnsi="宋体" w:eastAsia="宋体" w:cs="宋体"/>
                <w:i w:val="0"/>
                <w:iCs w:val="0"/>
                <w:color w:val="000000"/>
                <w:sz w:val="20"/>
                <w:szCs w:val="20"/>
                <w:u w:val="none"/>
              </w:rPr>
            </w:pPr>
          </w:p>
        </w:tc>
      </w:tr>
      <w:tr w14:paraId="54183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5FEBF5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9647172">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8AA594D">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5C3EF3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项目管理器屏幕</w:t>
            </w:r>
          </w:p>
        </w:tc>
        <w:tc>
          <w:tcPr>
            <w:tcW w:w="2220" w:type="dxa"/>
            <w:tcBorders>
              <w:top w:val="nil"/>
              <w:left w:val="nil"/>
              <w:bottom w:val="single" w:color="000000" w:sz="8" w:space="0"/>
              <w:right w:val="single" w:color="000000" w:sz="8" w:space="0"/>
            </w:tcBorders>
            <w:shd w:val="clear" w:color="auto" w:fill="auto"/>
            <w:vAlign w:val="center"/>
          </w:tcPr>
          <w:p w14:paraId="22EF37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FB123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B1370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0E22B2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9F1F50A">
            <w:pPr>
              <w:jc w:val="center"/>
              <w:rPr>
                <w:rFonts w:hint="eastAsia" w:ascii="宋体" w:hAnsi="宋体" w:eastAsia="宋体" w:cs="宋体"/>
                <w:i w:val="0"/>
                <w:iCs w:val="0"/>
                <w:color w:val="000000"/>
                <w:sz w:val="20"/>
                <w:szCs w:val="20"/>
                <w:u w:val="none"/>
              </w:rPr>
            </w:pPr>
          </w:p>
        </w:tc>
      </w:tr>
      <w:tr w14:paraId="7A181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EACECC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5B7481D">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57AD2BA">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630162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使用原生文件对话框</w:t>
            </w:r>
          </w:p>
        </w:tc>
        <w:tc>
          <w:tcPr>
            <w:tcW w:w="2220" w:type="dxa"/>
            <w:tcBorders>
              <w:top w:val="nil"/>
              <w:left w:val="nil"/>
              <w:bottom w:val="single" w:color="000000" w:sz="8" w:space="0"/>
              <w:right w:val="single" w:color="000000" w:sz="8" w:space="0"/>
            </w:tcBorders>
            <w:shd w:val="clear" w:color="auto" w:fill="auto"/>
            <w:vAlign w:val="center"/>
          </w:tcPr>
          <w:p w14:paraId="519808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45205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F7B71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E1FED8E">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6C19E13">
            <w:pPr>
              <w:jc w:val="center"/>
              <w:rPr>
                <w:rFonts w:hint="eastAsia" w:ascii="宋体" w:hAnsi="宋体" w:eastAsia="宋体" w:cs="宋体"/>
                <w:i w:val="0"/>
                <w:iCs w:val="0"/>
                <w:color w:val="000000"/>
                <w:sz w:val="20"/>
                <w:szCs w:val="20"/>
                <w:u w:val="none"/>
              </w:rPr>
            </w:pPr>
          </w:p>
        </w:tc>
      </w:tr>
      <w:tr w14:paraId="04998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FF33DD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1096EFA">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6CE3CD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020696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扩展至标题栏</w:t>
            </w:r>
          </w:p>
        </w:tc>
        <w:tc>
          <w:tcPr>
            <w:tcW w:w="2220" w:type="dxa"/>
            <w:tcBorders>
              <w:top w:val="nil"/>
              <w:left w:val="nil"/>
              <w:bottom w:val="single" w:color="000000" w:sz="8" w:space="0"/>
              <w:right w:val="single" w:color="000000" w:sz="8" w:space="0"/>
            </w:tcBorders>
            <w:shd w:val="clear" w:color="auto" w:fill="auto"/>
            <w:vAlign w:val="center"/>
          </w:tcPr>
          <w:p w14:paraId="421599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E7CFE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B003A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BEE8CA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63B8C87">
            <w:pPr>
              <w:jc w:val="center"/>
              <w:rPr>
                <w:rFonts w:hint="eastAsia" w:ascii="宋体" w:hAnsi="宋体" w:eastAsia="宋体" w:cs="宋体"/>
                <w:i w:val="0"/>
                <w:iCs w:val="0"/>
                <w:color w:val="000000"/>
                <w:sz w:val="20"/>
                <w:szCs w:val="20"/>
                <w:u w:val="none"/>
              </w:rPr>
            </w:pPr>
          </w:p>
        </w:tc>
      </w:tr>
      <w:tr w14:paraId="01936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74D97D1">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58C4390">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1342640">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4CE464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代码字体大小</w:t>
            </w:r>
          </w:p>
        </w:tc>
        <w:tc>
          <w:tcPr>
            <w:tcW w:w="2220" w:type="dxa"/>
            <w:tcBorders>
              <w:top w:val="nil"/>
              <w:left w:val="nil"/>
              <w:bottom w:val="single" w:color="000000" w:sz="8" w:space="0"/>
              <w:right w:val="single" w:color="000000" w:sz="8" w:space="0"/>
            </w:tcBorders>
            <w:shd w:val="clear" w:color="auto" w:fill="auto"/>
            <w:vAlign w:val="center"/>
          </w:tcPr>
          <w:p w14:paraId="3A7E90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98D3D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CA276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AF555D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C52E44F">
            <w:pPr>
              <w:jc w:val="center"/>
              <w:rPr>
                <w:rFonts w:hint="eastAsia" w:ascii="宋体" w:hAnsi="宋体" w:eastAsia="宋体" w:cs="宋体"/>
                <w:i w:val="0"/>
                <w:iCs w:val="0"/>
                <w:color w:val="000000"/>
                <w:sz w:val="20"/>
                <w:szCs w:val="20"/>
                <w:u w:val="none"/>
              </w:rPr>
            </w:pPr>
          </w:p>
        </w:tc>
      </w:tr>
      <w:tr w14:paraId="5251E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F82F0F3">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28E8B79">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FA33323">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4781D6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代码字体上下文连字</w:t>
            </w:r>
          </w:p>
        </w:tc>
        <w:tc>
          <w:tcPr>
            <w:tcW w:w="2220" w:type="dxa"/>
            <w:tcBorders>
              <w:top w:val="nil"/>
              <w:left w:val="nil"/>
              <w:bottom w:val="single" w:color="000000" w:sz="8" w:space="0"/>
              <w:right w:val="single" w:color="000000" w:sz="8" w:space="0"/>
            </w:tcBorders>
            <w:shd w:val="clear" w:color="auto" w:fill="auto"/>
            <w:vAlign w:val="center"/>
          </w:tcPr>
          <w:p w14:paraId="2F9875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C9661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BA22E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AB5C859">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582F613">
            <w:pPr>
              <w:jc w:val="center"/>
              <w:rPr>
                <w:rFonts w:hint="eastAsia" w:ascii="宋体" w:hAnsi="宋体" w:eastAsia="宋体" w:cs="宋体"/>
                <w:i w:val="0"/>
                <w:iCs w:val="0"/>
                <w:color w:val="000000"/>
                <w:sz w:val="20"/>
                <w:szCs w:val="20"/>
                <w:u w:val="none"/>
              </w:rPr>
            </w:pPr>
          </w:p>
        </w:tc>
      </w:tr>
      <w:tr w14:paraId="64FB7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71454A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B187B65">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A92FAF2">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60C67F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代码字体自定义开放式字体格式特性</w:t>
            </w:r>
          </w:p>
        </w:tc>
        <w:tc>
          <w:tcPr>
            <w:tcW w:w="2220" w:type="dxa"/>
            <w:tcBorders>
              <w:top w:val="nil"/>
              <w:left w:val="nil"/>
              <w:bottom w:val="single" w:color="000000" w:sz="8" w:space="0"/>
              <w:right w:val="single" w:color="000000" w:sz="8" w:space="0"/>
            </w:tcBorders>
            <w:shd w:val="clear" w:color="auto" w:fill="auto"/>
            <w:vAlign w:val="center"/>
          </w:tcPr>
          <w:p w14:paraId="04BF2E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2488D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A0BD3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C391B72">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3C856FE">
            <w:pPr>
              <w:jc w:val="center"/>
              <w:rPr>
                <w:rFonts w:hint="eastAsia" w:ascii="宋体" w:hAnsi="宋体" w:eastAsia="宋体" w:cs="宋体"/>
                <w:i w:val="0"/>
                <w:iCs w:val="0"/>
                <w:color w:val="000000"/>
                <w:sz w:val="20"/>
                <w:szCs w:val="20"/>
                <w:u w:val="none"/>
              </w:rPr>
            </w:pPr>
          </w:p>
        </w:tc>
      </w:tr>
      <w:tr w14:paraId="3E7DD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2BF447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823089A">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EF3A7FD">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3FE1BB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代码字体自定义变体</w:t>
            </w:r>
          </w:p>
        </w:tc>
        <w:tc>
          <w:tcPr>
            <w:tcW w:w="2220" w:type="dxa"/>
            <w:tcBorders>
              <w:top w:val="nil"/>
              <w:left w:val="nil"/>
              <w:bottom w:val="single" w:color="000000" w:sz="8" w:space="0"/>
              <w:right w:val="single" w:color="000000" w:sz="8" w:space="0"/>
            </w:tcBorders>
            <w:shd w:val="clear" w:color="auto" w:fill="auto"/>
            <w:vAlign w:val="center"/>
          </w:tcPr>
          <w:p w14:paraId="06A965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D149A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CFE24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58123E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02686F3">
            <w:pPr>
              <w:jc w:val="center"/>
              <w:rPr>
                <w:rFonts w:hint="eastAsia" w:ascii="宋体" w:hAnsi="宋体" w:eastAsia="宋体" w:cs="宋体"/>
                <w:i w:val="0"/>
                <w:iCs w:val="0"/>
                <w:color w:val="000000"/>
                <w:sz w:val="20"/>
                <w:szCs w:val="20"/>
                <w:u w:val="none"/>
              </w:rPr>
            </w:pPr>
          </w:p>
        </w:tc>
      </w:tr>
      <w:tr w14:paraId="36ED5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BED7DFC">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3203541">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32C1374">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5D8EF0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字体抗锯齿</w:t>
            </w:r>
          </w:p>
        </w:tc>
        <w:tc>
          <w:tcPr>
            <w:tcW w:w="2220" w:type="dxa"/>
            <w:tcBorders>
              <w:top w:val="nil"/>
              <w:left w:val="nil"/>
              <w:bottom w:val="single" w:color="000000" w:sz="8" w:space="0"/>
              <w:right w:val="single" w:color="000000" w:sz="8" w:space="0"/>
            </w:tcBorders>
            <w:shd w:val="clear" w:color="auto" w:fill="auto"/>
            <w:vAlign w:val="center"/>
          </w:tcPr>
          <w:p w14:paraId="62764E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A0C9F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C5E3B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FBD796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DBD14B8">
            <w:pPr>
              <w:jc w:val="center"/>
              <w:rPr>
                <w:rFonts w:hint="eastAsia" w:ascii="宋体" w:hAnsi="宋体" w:eastAsia="宋体" w:cs="宋体"/>
                <w:i w:val="0"/>
                <w:iCs w:val="0"/>
                <w:color w:val="000000"/>
                <w:sz w:val="20"/>
                <w:szCs w:val="20"/>
                <w:u w:val="none"/>
              </w:rPr>
            </w:pPr>
          </w:p>
        </w:tc>
      </w:tr>
      <w:tr w14:paraId="67CB9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1DC7A4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DFE65E0">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49986AF">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63001D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字体微调</w:t>
            </w:r>
          </w:p>
        </w:tc>
        <w:tc>
          <w:tcPr>
            <w:tcW w:w="2220" w:type="dxa"/>
            <w:tcBorders>
              <w:top w:val="nil"/>
              <w:left w:val="nil"/>
              <w:bottom w:val="single" w:color="000000" w:sz="8" w:space="0"/>
              <w:right w:val="single" w:color="000000" w:sz="8" w:space="0"/>
            </w:tcBorders>
            <w:shd w:val="clear" w:color="auto" w:fill="auto"/>
            <w:vAlign w:val="center"/>
          </w:tcPr>
          <w:p w14:paraId="0DC329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8AFC3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C018B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4C38CD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0DCBA5F">
            <w:pPr>
              <w:jc w:val="center"/>
              <w:rPr>
                <w:rFonts w:hint="eastAsia" w:ascii="宋体" w:hAnsi="宋体" w:eastAsia="宋体" w:cs="宋体"/>
                <w:i w:val="0"/>
                <w:iCs w:val="0"/>
                <w:color w:val="000000"/>
                <w:sz w:val="20"/>
                <w:szCs w:val="20"/>
                <w:u w:val="none"/>
              </w:rPr>
            </w:pPr>
          </w:p>
        </w:tc>
      </w:tr>
      <w:tr w14:paraId="3D50B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70740C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FD9A137">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F2D564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121566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字体次像素定位</w:t>
            </w:r>
          </w:p>
        </w:tc>
        <w:tc>
          <w:tcPr>
            <w:tcW w:w="2220" w:type="dxa"/>
            <w:tcBorders>
              <w:top w:val="nil"/>
              <w:left w:val="nil"/>
              <w:bottom w:val="single" w:color="000000" w:sz="8" w:space="0"/>
              <w:right w:val="single" w:color="000000" w:sz="8" w:space="0"/>
            </w:tcBorders>
            <w:shd w:val="clear" w:color="auto" w:fill="auto"/>
            <w:vAlign w:val="center"/>
          </w:tcPr>
          <w:p w14:paraId="6940D2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718BC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47F3C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85E162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CE2950C">
            <w:pPr>
              <w:jc w:val="center"/>
              <w:rPr>
                <w:rFonts w:hint="eastAsia" w:ascii="宋体" w:hAnsi="宋体" w:eastAsia="宋体" w:cs="宋体"/>
                <w:i w:val="0"/>
                <w:iCs w:val="0"/>
                <w:color w:val="000000"/>
                <w:sz w:val="20"/>
                <w:szCs w:val="20"/>
                <w:u w:val="none"/>
              </w:rPr>
            </w:pPr>
          </w:p>
        </w:tc>
      </w:tr>
      <w:tr w14:paraId="63D45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411400B">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55BF161">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FF0C503">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29592F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字体禁用嵌入式点阵</w:t>
            </w:r>
          </w:p>
        </w:tc>
        <w:tc>
          <w:tcPr>
            <w:tcW w:w="2220" w:type="dxa"/>
            <w:tcBorders>
              <w:top w:val="nil"/>
              <w:left w:val="nil"/>
              <w:bottom w:val="single" w:color="000000" w:sz="8" w:space="0"/>
              <w:right w:val="single" w:color="000000" w:sz="8" w:space="0"/>
            </w:tcBorders>
            <w:shd w:val="clear" w:color="auto" w:fill="auto"/>
            <w:vAlign w:val="center"/>
          </w:tcPr>
          <w:p w14:paraId="3FB4E6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74A2A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B7CAF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7A2229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519FA06">
            <w:pPr>
              <w:jc w:val="center"/>
              <w:rPr>
                <w:rFonts w:hint="eastAsia" w:ascii="宋体" w:hAnsi="宋体" w:eastAsia="宋体" w:cs="宋体"/>
                <w:i w:val="0"/>
                <w:iCs w:val="0"/>
                <w:color w:val="000000"/>
                <w:sz w:val="20"/>
                <w:szCs w:val="20"/>
                <w:u w:val="none"/>
              </w:rPr>
            </w:pPr>
          </w:p>
        </w:tc>
      </w:tr>
      <w:tr w14:paraId="041DC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5CA4F5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ABB64F3">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B311F6E">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4330A2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字体允许多距离有符号距离场</w:t>
            </w:r>
          </w:p>
        </w:tc>
        <w:tc>
          <w:tcPr>
            <w:tcW w:w="2220" w:type="dxa"/>
            <w:tcBorders>
              <w:top w:val="nil"/>
              <w:left w:val="nil"/>
              <w:bottom w:val="single" w:color="000000" w:sz="8" w:space="0"/>
              <w:right w:val="single" w:color="000000" w:sz="8" w:space="0"/>
            </w:tcBorders>
            <w:shd w:val="clear" w:color="auto" w:fill="auto"/>
            <w:vAlign w:val="center"/>
          </w:tcPr>
          <w:p w14:paraId="0062B3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2685B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A2C4F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E704EA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E479231">
            <w:pPr>
              <w:jc w:val="center"/>
              <w:rPr>
                <w:rFonts w:hint="eastAsia" w:ascii="宋体" w:hAnsi="宋体" w:eastAsia="宋体" w:cs="宋体"/>
                <w:i w:val="0"/>
                <w:iCs w:val="0"/>
                <w:color w:val="000000"/>
                <w:sz w:val="20"/>
                <w:szCs w:val="20"/>
                <w:u w:val="none"/>
              </w:rPr>
            </w:pPr>
          </w:p>
        </w:tc>
      </w:tr>
      <w:tr w14:paraId="42435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ADA6FD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C98EC1B">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EAFE4DC">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3E4C7B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主字体</w:t>
            </w:r>
          </w:p>
        </w:tc>
        <w:tc>
          <w:tcPr>
            <w:tcW w:w="2220" w:type="dxa"/>
            <w:tcBorders>
              <w:top w:val="nil"/>
              <w:left w:val="nil"/>
              <w:bottom w:val="single" w:color="000000" w:sz="8" w:space="0"/>
              <w:right w:val="single" w:color="000000" w:sz="8" w:space="0"/>
            </w:tcBorders>
            <w:shd w:val="clear" w:color="auto" w:fill="auto"/>
            <w:vAlign w:val="center"/>
          </w:tcPr>
          <w:p w14:paraId="24AA04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9DD2B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0FD71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A6D488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C17C31B">
            <w:pPr>
              <w:jc w:val="center"/>
              <w:rPr>
                <w:rFonts w:hint="eastAsia" w:ascii="宋体" w:hAnsi="宋体" w:eastAsia="宋体" w:cs="宋体"/>
                <w:i w:val="0"/>
                <w:iCs w:val="0"/>
                <w:color w:val="000000"/>
                <w:sz w:val="20"/>
                <w:szCs w:val="20"/>
                <w:u w:val="none"/>
              </w:rPr>
            </w:pPr>
          </w:p>
        </w:tc>
      </w:tr>
      <w:tr w14:paraId="2EF84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FD7829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F7557B3">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FDFABC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328FC2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主字体粗体</w:t>
            </w:r>
          </w:p>
        </w:tc>
        <w:tc>
          <w:tcPr>
            <w:tcW w:w="2220" w:type="dxa"/>
            <w:tcBorders>
              <w:top w:val="nil"/>
              <w:left w:val="nil"/>
              <w:bottom w:val="single" w:color="000000" w:sz="8" w:space="0"/>
              <w:right w:val="single" w:color="000000" w:sz="8" w:space="0"/>
            </w:tcBorders>
            <w:shd w:val="clear" w:color="auto" w:fill="auto"/>
            <w:vAlign w:val="center"/>
          </w:tcPr>
          <w:p w14:paraId="099AD2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ECA06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14C82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A8C375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A5B3DB4">
            <w:pPr>
              <w:jc w:val="center"/>
              <w:rPr>
                <w:rFonts w:hint="eastAsia" w:ascii="宋体" w:hAnsi="宋体" w:eastAsia="宋体" w:cs="宋体"/>
                <w:i w:val="0"/>
                <w:iCs w:val="0"/>
                <w:color w:val="000000"/>
                <w:sz w:val="20"/>
                <w:szCs w:val="20"/>
                <w:u w:val="none"/>
              </w:rPr>
            </w:pPr>
          </w:p>
        </w:tc>
      </w:tr>
      <w:tr w14:paraId="31A79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AAF3D5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2E0E702">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38A39FC">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234577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代码字体</w:t>
            </w:r>
          </w:p>
        </w:tc>
        <w:tc>
          <w:tcPr>
            <w:tcW w:w="2220" w:type="dxa"/>
            <w:tcBorders>
              <w:top w:val="nil"/>
              <w:left w:val="nil"/>
              <w:bottom w:val="single" w:color="000000" w:sz="8" w:space="0"/>
              <w:right w:val="single" w:color="000000" w:sz="8" w:space="0"/>
            </w:tcBorders>
            <w:shd w:val="clear" w:color="auto" w:fill="auto"/>
            <w:vAlign w:val="center"/>
          </w:tcPr>
          <w:p w14:paraId="7D7053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AD731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DFE6C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A55B0D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053D189">
            <w:pPr>
              <w:jc w:val="center"/>
              <w:rPr>
                <w:rFonts w:hint="eastAsia" w:ascii="宋体" w:hAnsi="宋体" w:eastAsia="宋体" w:cs="宋体"/>
                <w:i w:val="0"/>
                <w:iCs w:val="0"/>
                <w:color w:val="000000"/>
                <w:sz w:val="20"/>
                <w:szCs w:val="20"/>
                <w:u w:val="none"/>
              </w:rPr>
            </w:pPr>
          </w:p>
        </w:tc>
      </w:tr>
      <w:tr w14:paraId="097CD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91AF29A">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BD80A73">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BFBF332">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3F5071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单独的专注模式</w:t>
            </w:r>
          </w:p>
        </w:tc>
        <w:tc>
          <w:tcPr>
            <w:tcW w:w="2220" w:type="dxa"/>
            <w:tcBorders>
              <w:top w:val="nil"/>
              <w:left w:val="nil"/>
              <w:bottom w:val="single" w:color="000000" w:sz="8" w:space="0"/>
              <w:right w:val="single" w:color="000000" w:sz="8" w:space="0"/>
            </w:tcBorders>
            <w:shd w:val="clear" w:color="auto" w:fill="auto"/>
            <w:vAlign w:val="center"/>
          </w:tcPr>
          <w:p w14:paraId="7980BB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D3B8A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3EE2A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7E4C69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3178E8D">
            <w:pPr>
              <w:jc w:val="center"/>
              <w:rPr>
                <w:rFonts w:hint="eastAsia" w:ascii="宋体" w:hAnsi="宋体" w:eastAsia="宋体" w:cs="宋体"/>
                <w:i w:val="0"/>
                <w:iCs w:val="0"/>
                <w:color w:val="000000"/>
                <w:sz w:val="20"/>
                <w:szCs w:val="20"/>
                <w:u w:val="none"/>
              </w:rPr>
            </w:pPr>
          </w:p>
        </w:tc>
      </w:tr>
      <w:tr w14:paraId="299E0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461EA2C">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04F9351">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87C34D7">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7012A1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自动打开截图</w:t>
            </w:r>
          </w:p>
        </w:tc>
        <w:tc>
          <w:tcPr>
            <w:tcW w:w="2220" w:type="dxa"/>
            <w:tcBorders>
              <w:top w:val="nil"/>
              <w:left w:val="nil"/>
              <w:bottom w:val="single" w:color="000000" w:sz="8" w:space="0"/>
              <w:right w:val="single" w:color="000000" w:sz="8" w:space="0"/>
            </w:tcBorders>
            <w:shd w:val="clear" w:color="auto" w:fill="auto"/>
            <w:vAlign w:val="center"/>
          </w:tcPr>
          <w:p w14:paraId="3ADDBB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1AF78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14E19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2A2369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0855D1B">
            <w:pPr>
              <w:jc w:val="center"/>
              <w:rPr>
                <w:rFonts w:hint="eastAsia" w:ascii="宋体" w:hAnsi="宋体" w:eastAsia="宋体" w:cs="宋体"/>
                <w:i w:val="0"/>
                <w:iCs w:val="0"/>
                <w:color w:val="000000"/>
                <w:sz w:val="20"/>
                <w:szCs w:val="20"/>
                <w:u w:val="none"/>
              </w:rPr>
            </w:pPr>
          </w:p>
        </w:tc>
      </w:tr>
      <w:tr w14:paraId="22BB6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B0C5A0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8A500E0">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8C3B16C">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6E9F11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单窗口模式</w:t>
            </w:r>
          </w:p>
        </w:tc>
        <w:tc>
          <w:tcPr>
            <w:tcW w:w="2220" w:type="dxa"/>
            <w:tcBorders>
              <w:top w:val="nil"/>
              <w:left w:val="nil"/>
              <w:bottom w:val="single" w:color="000000" w:sz="8" w:space="0"/>
              <w:right w:val="single" w:color="000000" w:sz="8" w:space="0"/>
            </w:tcBorders>
            <w:shd w:val="clear" w:color="auto" w:fill="auto"/>
            <w:vAlign w:val="center"/>
          </w:tcPr>
          <w:p w14:paraId="2CE27F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2BDDB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DDA2A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5D7AF2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1AEFB65">
            <w:pPr>
              <w:jc w:val="center"/>
              <w:rPr>
                <w:rFonts w:hint="eastAsia" w:ascii="宋体" w:hAnsi="宋体" w:eastAsia="宋体" w:cs="宋体"/>
                <w:i w:val="0"/>
                <w:iCs w:val="0"/>
                <w:color w:val="000000"/>
                <w:sz w:val="20"/>
                <w:szCs w:val="20"/>
                <w:u w:val="none"/>
              </w:rPr>
            </w:pPr>
          </w:p>
        </w:tc>
      </w:tr>
      <w:tr w14:paraId="092DA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372364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94131D5">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0BE2AC4">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1D93BA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使用专门鼠标按键查看历史</w:t>
            </w:r>
          </w:p>
        </w:tc>
        <w:tc>
          <w:tcPr>
            <w:tcW w:w="2220" w:type="dxa"/>
            <w:tcBorders>
              <w:top w:val="nil"/>
              <w:left w:val="nil"/>
              <w:bottom w:val="single" w:color="000000" w:sz="8" w:space="0"/>
              <w:right w:val="single" w:color="000000" w:sz="8" w:space="0"/>
            </w:tcBorders>
            <w:shd w:val="clear" w:color="auto" w:fill="auto"/>
            <w:vAlign w:val="center"/>
          </w:tcPr>
          <w:p w14:paraId="3157D2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DA903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A10A3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2E244A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8950EBB">
            <w:pPr>
              <w:jc w:val="center"/>
              <w:rPr>
                <w:rFonts w:hint="eastAsia" w:ascii="宋体" w:hAnsi="宋体" w:eastAsia="宋体" w:cs="宋体"/>
                <w:i w:val="0"/>
                <w:iCs w:val="0"/>
                <w:color w:val="000000"/>
                <w:sz w:val="20"/>
                <w:szCs w:val="20"/>
                <w:u w:val="none"/>
              </w:rPr>
            </w:pPr>
          </w:p>
        </w:tc>
      </w:tr>
      <w:tr w14:paraId="4A7BC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116E18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0DF735D">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FA5733F">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6C26FC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退出时保存各场景</w:t>
            </w:r>
          </w:p>
        </w:tc>
        <w:tc>
          <w:tcPr>
            <w:tcW w:w="2220" w:type="dxa"/>
            <w:tcBorders>
              <w:top w:val="nil"/>
              <w:left w:val="nil"/>
              <w:bottom w:val="single" w:color="000000" w:sz="8" w:space="0"/>
              <w:right w:val="single" w:color="000000" w:sz="8" w:space="0"/>
            </w:tcBorders>
            <w:shd w:val="clear" w:color="auto" w:fill="auto"/>
            <w:vAlign w:val="center"/>
          </w:tcPr>
          <w:p w14:paraId="4EBC3A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5A2CC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A1255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E2F8C1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5862340">
            <w:pPr>
              <w:jc w:val="center"/>
              <w:rPr>
                <w:rFonts w:hint="eastAsia" w:ascii="宋体" w:hAnsi="宋体" w:eastAsia="宋体" w:cs="宋体"/>
                <w:i w:val="0"/>
                <w:iCs w:val="0"/>
                <w:color w:val="000000"/>
                <w:sz w:val="20"/>
                <w:szCs w:val="20"/>
                <w:u w:val="none"/>
              </w:rPr>
            </w:pPr>
          </w:p>
        </w:tc>
      </w:tr>
      <w:tr w14:paraId="5B434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16E8FF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8D40012">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D2EA54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125E49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节省注意力损失</w:t>
            </w:r>
          </w:p>
        </w:tc>
        <w:tc>
          <w:tcPr>
            <w:tcW w:w="2220" w:type="dxa"/>
            <w:tcBorders>
              <w:top w:val="nil"/>
              <w:left w:val="nil"/>
              <w:bottom w:val="single" w:color="000000" w:sz="8" w:space="0"/>
              <w:right w:val="single" w:color="000000" w:sz="8" w:space="0"/>
            </w:tcBorders>
            <w:shd w:val="clear" w:color="auto" w:fill="auto"/>
            <w:vAlign w:val="center"/>
          </w:tcPr>
          <w:p w14:paraId="78F944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E6E24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8B675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016886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4CECF1C">
            <w:pPr>
              <w:jc w:val="center"/>
              <w:rPr>
                <w:rFonts w:hint="eastAsia" w:ascii="宋体" w:hAnsi="宋体" w:eastAsia="宋体" w:cs="宋体"/>
                <w:i w:val="0"/>
                <w:iCs w:val="0"/>
                <w:color w:val="000000"/>
                <w:sz w:val="20"/>
                <w:szCs w:val="20"/>
                <w:u w:val="none"/>
              </w:rPr>
            </w:pPr>
          </w:p>
        </w:tc>
      </w:tr>
      <w:tr w14:paraId="1F575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C34511B">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76047ED">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FDB4F5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01DF65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接受对话框取消/确定按钮</w:t>
            </w:r>
          </w:p>
        </w:tc>
        <w:tc>
          <w:tcPr>
            <w:tcW w:w="2220" w:type="dxa"/>
            <w:tcBorders>
              <w:top w:val="nil"/>
              <w:left w:val="nil"/>
              <w:bottom w:val="single" w:color="000000" w:sz="8" w:space="0"/>
              <w:right w:val="single" w:color="000000" w:sz="8" w:space="0"/>
            </w:tcBorders>
            <w:shd w:val="clear" w:color="auto" w:fill="auto"/>
            <w:vAlign w:val="center"/>
          </w:tcPr>
          <w:p w14:paraId="6EC299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9CDAF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7ACAB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000668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2DA6001">
            <w:pPr>
              <w:jc w:val="center"/>
              <w:rPr>
                <w:rFonts w:hint="eastAsia" w:ascii="宋体" w:hAnsi="宋体" w:eastAsia="宋体" w:cs="宋体"/>
                <w:i w:val="0"/>
                <w:iCs w:val="0"/>
                <w:color w:val="000000"/>
                <w:sz w:val="20"/>
                <w:szCs w:val="20"/>
                <w:u w:val="none"/>
              </w:rPr>
            </w:pPr>
          </w:p>
        </w:tc>
      </w:tr>
      <w:tr w14:paraId="0CC97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90E120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E84DDF8">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46E082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42538F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显示更新旋转图</w:t>
            </w:r>
          </w:p>
        </w:tc>
        <w:tc>
          <w:tcPr>
            <w:tcW w:w="2220" w:type="dxa"/>
            <w:tcBorders>
              <w:top w:val="nil"/>
              <w:left w:val="nil"/>
              <w:bottom w:val="single" w:color="000000" w:sz="8" w:space="0"/>
              <w:right w:val="single" w:color="000000" w:sz="8" w:space="0"/>
            </w:tcBorders>
            <w:shd w:val="clear" w:color="auto" w:fill="auto"/>
            <w:vAlign w:val="center"/>
          </w:tcPr>
          <w:p w14:paraId="6BE5C7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21B76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59FAF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E07CDF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91BF629">
            <w:pPr>
              <w:jc w:val="center"/>
              <w:rPr>
                <w:rFonts w:hint="eastAsia" w:ascii="宋体" w:hAnsi="宋体" w:eastAsia="宋体" w:cs="宋体"/>
                <w:i w:val="0"/>
                <w:iCs w:val="0"/>
                <w:color w:val="000000"/>
                <w:sz w:val="20"/>
                <w:szCs w:val="20"/>
                <w:u w:val="none"/>
              </w:rPr>
            </w:pPr>
          </w:p>
        </w:tc>
      </w:tr>
      <w:tr w14:paraId="23DAB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BDF770F">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72475DB">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84FF98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590605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屏幕常亮</w:t>
            </w:r>
          </w:p>
        </w:tc>
        <w:tc>
          <w:tcPr>
            <w:tcW w:w="2220" w:type="dxa"/>
            <w:tcBorders>
              <w:top w:val="nil"/>
              <w:left w:val="nil"/>
              <w:bottom w:val="single" w:color="000000" w:sz="8" w:space="0"/>
              <w:right w:val="single" w:color="000000" w:sz="8" w:space="0"/>
            </w:tcBorders>
            <w:shd w:val="clear" w:color="auto" w:fill="auto"/>
            <w:vAlign w:val="center"/>
          </w:tcPr>
          <w:p w14:paraId="39FBA1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BC019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75A30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8F8D20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9D5BE30">
            <w:pPr>
              <w:jc w:val="center"/>
              <w:rPr>
                <w:rFonts w:hint="eastAsia" w:ascii="宋体" w:hAnsi="宋体" w:eastAsia="宋体" w:cs="宋体"/>
                <w:i w:val="0"/>
                <w:iCs w:val="0"/>
                <w:color w:val="000000"/>
                <w:sz w:val="20"/>
                <w:szCs w:val="20"/>
                <w:u w:val="none"/>
              </w:rPr>
            </w:pPr>
          </w:p>
        </w:tc>
      </w:tr>
      <w:tr w14:paraId="68F79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04B06D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3B228A0">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82179FC">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375CF7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低处理器模式睡眠(微秒)</w:t>
            </w:r>
          </w:p>
        </w:tc>
        <w:tc>
          <w:tcPr>
            <w:tcW w:w="2220" w:type="dxa"/>
            <w:tcBorders>
              <w:top w:val="nil"/>
              <w:left w:val="nil"/>
              <w:bottom w:val="single" w:color="000000" w:sz="8" w:space="0"/>
              <w:right w:val="single" w:color="000000" w:sz="8" w:space="0"/>
            </w:tcBorders>
            <w:shd w:val="clear" w:color="auto" w:fill="auto"/>
            <w:vAlign w:val="center"/>
          </w:tcPr>
          <w:p w14:paraId="1A8F35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B9D58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CF605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EAC9DF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A7B2C94">
            <w:pPr>
              <w:jc w:val="center"/>
              <w:rPr>
                <w:rFonts w:hint="eastAsia" w:ascii="宋体" w:hAnsi="宋体" w:eastAsia="宋体" w:cs="宋体"/>
                <w:i w:val="0"/>
                <w:iCs w:val="0"/>
                <w:color w:val="000000"/>
                <w:sz w:val="20"/>
                <w:szCs w:val="20"/>
                <w:u w:val="none"/>
              </w:rPr>
            </w:pPr>
          </w:p>
        </w:tc>
      </w:tr>
      <w:tr w14:paraId="65D13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837B46C">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C40AD46">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CAF564D">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169EFD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未聚焦低处理器模式睡眠(微秒 )</w:t>
            </w:r>
          </w:p>
        </w:tc>
        <w:tc>
          <w:tcPr>
            <w:tcW w:w="2220" w:type="dxa"/>
            <w:tcBorders>
              <w:top w:val="nil"/>
              <w:left w:val="nil"/>
              <w:bottom w:val="single" w:color="000000" w:sz="8" w:space="0"/>
              <w:right w:val="single" w:color="000000" w:sz="8" w:space="0"/>
            </w:tcBorders>
            <w:shd w:val="clear" w:color="auto" w:fill="auto"/>
            <w:vAlign w:val="center"/>
          </w:tcPr>
          <w:p w14:paraId="1499FF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81347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B2F08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F8897C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DCC9B26">
            <w:pPr>
              <w:jc w:val="center"/>
              <w:rPr>
                <w:rFonts w:hint="eastAsia" w:ascii="宋体" w:hAnsi="宋体" w:eastAsia="宋体" w:cs="宋体"/>
                <w:i w:val="0"/>
                <w:iCs w:val="0"/>
                <w:color w:val="000000"/>
                <w:sz w:val="20"/>
                <w:szCs w:val="20"/>
                <w:u w:val="none"/>
              </w:rPr>
            </w:pPr>
          </w:p>
        </w:tc>
      </w:tr>
      <w:tr w14:paraId="33D54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80D8F14">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871FB38">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76D329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4F3A5E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垂直同步模式</w:t>
            </w:r>
          </w:p>
        </w:tc>
        <w:tc>
          <w:tcPr>
            <w:tcW w:w="2220" w:type="dxa"/>
            <w:tcBorders>
              <w:top w:val="nil"/>
              <w:left w:val="nil"/>
              <w:bottom w:val="single" w:color="000000" w:sz="8" w:space="0"/>
              <w:right w:val="single" w:color="000000" w:sz="8" w:space="0"/>
            </w:tcBorders>
            <w:shd w:val="clear" w:color="auto" w:fill="auto"/>
            <w:vAlign w:val="center"/>
          </w:tcPr>
          <w:p w14:paraId="4F4A63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CA09F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A632A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009A22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6F4E2CC">
            <w:pPr>
              <w:jc w:val="center"/>
              <w:rPr>
                <w:rFonts w:hint="eastAsia" w:ascii="宋体" w:hAnsi="宋体" w:eastAsia="宋体" w:cs="宋体"/>
                <w:i w:val="0"/>
                <w:iCs w:val="0"/>
                <w:color w:val="000000"/>
                <w:sz w:val="20"/>
                <w:szCs w:val="20"/>
                <w:u w:val="none"/>
              </w:rPr>
            </w:pPr>
          </w:p>
        </w:tc>
      </w:tr>
      <w:tr w14:paraId="52074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377872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FADA1C8">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E855F85">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73E38D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持续更新</w:t>
            </w:r>
          </w:p>
        </w:tc>
        <w:tc>
          <w:tcPr>
            <w:tcW w:w="2220" w:type="dxa"/>
            <w:tcBorders>
              <w:top w:val="nil"/>
              <w:left w:val="nil"/>
              <w:bottom w:val="single" w:color="000000" w:sz="8" w:space="0"/>
              <w:right w:val="single" w:color="000000" w:sz="8" w:space="0"/>
            </w:tcBorders>
            <w:shd w:val="clear" w:color="auto" w:fill="auto"/>
            <w:vAlign w:val="center"/>
          </w:tcPr>
          <w:p w14:paraId="7B6C79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F47BA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10F45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824D25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4B1E39D">
            <w:pPr>
              <w:jc w:val="center"/>
              <w:rPr>
                <w:rFonts w:hint="eastAsia" w:ascii="宋体" w:hAnsi="宋体" w:eastAsia="宋体" w:cs="宋体"/>
                <w:i w:val="0"/>
                <w:iCs w:val="0"/>
                <w:color w:val="000000"/>
                <w:sz w:val="20"/>
                <w:szCs w:val="20"/>
                <w:u w:val="none"/>
              </w:rPr>
            </w:pPr>
          </w:p>
        </w:tc>
      </w:tr>
      <w:tr w14:paraId="3A6D6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6FAFB9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2268CA3">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E65B3FA">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307D50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主主题 - 白点 - 标签页（刷新间隔 / 微秒）</w:t>
            </w:r>
          </w:p>
        </w:tc>
        <w:tc>
          <w:tcPr>
            <w:tcW w:w="2220" w:type="dxa"/>
            <w:tcBorders>
              <w:top w:val="nil"/>
              <w:left w:val="nil"/>
              <w:bottom w:val="single" w:color="000000" w:sz="8" w:space="0"/>
              <w:right w:val="single" w:color="000000" w:sz="8" w:space="0"/>
            </w:tcBorders>
            <w:shd w:val="clear" w:color="auto" w:fill="auto"/>
            <w:vAlign w:val="center"/>
          </w:tcPr>
          <w:p w14:paraId="1AC321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1163D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88FA3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99045B0">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712C235">
            <w:pPr>
              <w:jc w:val="center"/>
              <w:rPr>
                <w:rFonts w:hint="eastAsia" w:ascii="宋体" w:hAnsi="宋体" w:eastAsia="宋体" w:cs="宋体"/>
                <w:i w:val="0"/>
                <w:iCs w:val="0"/>
                <w:color w:val="000000"/>
                <w:sz w:val="20"/>
                <w:szCs w:val="20"/>
                <w:u w:val="none"/>
              </w:rPr>
            </w:pPr>
          </w:p>
        </w:tc>
      </w:tr>
      <w:tr w14:paraId="649DA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FA4AE0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17310F3">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B11F9F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4E0320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标签页（刷新间隔 / 秒）</w:t>
            </w:r>
          </w:p>
        </w:tc>
        <w:tc>
          <w:tcPr>
            <w:tcW w:w="2220" w:type="dxa"/>
            <w:tcBorders>
              <w:top w:val="nil"/>
              <w:left w:val="nil"/>
              <w:bottom w:val="single" w:color="000000" w:sz="8" w:space="0"/>
              <w:right w:val="single" w:color="000000" w:sz="8" w:space="0"/>
            </w:tcBorders>
            <w:shd w:val="clear" w:color="auto" w:fill="auto"/>
            <w:vAlign w:val="center"/>
          </w:tcPr>
          <w:p w14:paraId="0748CF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F561E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1A83D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9AA10CE">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898F14E">
            <w:pPr>
              <w:jc w:val="center"/>
              <w:rPr>
                <w:rFonts w:hint="eastAsia" w:ascii="宋体" w:hAnsi="宋体" w:eastAsia="宋体" w:cs="宋体"/>
                <w:i w:val="0"/>
                <w:iCs w:val="0"/>
                <w:color w:val="000000"/>
                <w:sz w:val="20"/>
                <w:szCs w:val="20"/>
                <w:u w:val="none"/>
              </w:rPr>
            </w:pPr>
          </w:p>
        </w:tc>
      </w:tr>
      <w:tr w14:paraId="74449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ED724A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B707455">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8486F53">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16A5A3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标签页背景</w:t>
            </w:r>
          </w:p>
        </w:tc>
        <w:tc>
          <w:tcPr>
            <w:tcW w:w="2220" w:type="dxa"/>
            <w:tcBorders>
              <w:top w:val="nil"/>
              <w:left w:val="nil"/>
              <w:bottom w:val="single" w:color="000000" w:sz="8" w:space="0"/>
              <w:right w:val="single" w:color="000000" w:sz="8" w:space="0"/>
            </w:tcBorders>
            <w:shd w:val="clear" w:color="auto" w:fill="auto"/>
            <w:vAlign w:val="center"/>
          </w:tcPr>
          <w:p w14:paraId="422D3B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CDB2C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D372B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BE9DAD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07D29B4">
            <w:pPr>
              <w:jc w:val="center"/>
              <w:rPr>
                <w:rFonts w:hint="eastAsia" w:ascii="宋体" w:hAnsi="宋体" w:eastAsia="宋体" w:cs="宋体"/>
                <w:i w:val="0"/>
                <w:iCs w:val="0"/>
                <w:color w:val="000000"/>
                <w:sz w:val="20"/>
                <w:szCs w:val="20"/>
                <w:u w:val="none"/>
              </w:rPr>
            </w:pPr>
          </w:p>
        </w:tc>
      </w:tr>
      <w:tr w14:paraId="71E68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034888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2ECC5F3">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BDFB5BF">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09C5FF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工具（执行耗时 / 微秒）</w:t>
            </w:r>
          </w:p>
        </w:tc>
        <w:tc>
          <w:tcPr>
            <w:tcW w:w="2220" w:type="dxa"/>
            <w:tcBorders>
              <w:top w:val="nil"/>
              <w:left w:val="nil"/>
              <w:bottom w:val="single" w:color="000000" w:sz="8" w:space="0"/>
              <w:right w:val="single" w:color="000000" w:sz="8" w:space="0"/>
            </w:tcBorders>
            <w:shd w:val="clear" w:color="auto" w:fill="auto"/>
            <w:vAlign w:val="center"/>
          </w:tcPr>
          <w:p w14:paraId="0BDEFA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ED5CD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553F5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BCE6CD7">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6821AFD">
            <w:pPr>
              <w:jc w:val="center"/>
              <w:rPr>
                <w:rFonts w:hint="eastAsia" w:ascii="宋体" w:hAnsi="宋体" w:eastAsia="宋体" w:cs="宋体"/>
                <w:i w:val="0"/>
                <w:iCs w:val="0"/>
                <w:color w:val="000000"/>
                <w:sz w:val="20"/>
                <w:szCs w:val="20"/>
                <w:u w:val="none"/>
              </w:rPr>
            </w:pPr>
          </w:p>
        </w:tc>
      </w:tr>
      <w:tr w14:paraId="08CE3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B173D6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D8241EB">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48A64E9">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0D5933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边框颜色</w:t>
            </w:r>
          </w:p>
        </w:tc>
        <w:tc>
          <w:tcPr>
            <w:tcW w:w="2220" w:type="dxa"/>
            <w:tcBorders>
              <w:top w:val="nil"/>
              <w:left w:val="nil"/>
              <w:bottom w:val="single" w:color="000000" w:sz="8" w:space="0"/>
              <w:right w:val="single" w:color="000000" w:sz="8" w:space="0"/>
            </w:tcBorders>
            <w:shd w:val="clear" w:color="auto" w:fill="auto"/>
            <w:vAlign w:val="center"/>
          </w:tcPr>
          <w:p w14:paraId="1EF13F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CF9DD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007D1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AE251F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55055B6">
            <w:pPr>
              <w:jc w:val="center"/>
              <w:rPr>
                <w:rFonts w:hint="eastAsia" w:ascii="宋体" w:hAnsi="宋体" w:eastAsia="宋体" w:cs="宋体"/>
                <w:i w:val="0"/>
                <w:iCs w:val="0"/>
                <w:color w:val="000000"/>
                <w:sz w:val="20"/>
                <w:szCs w:val="20"/>
                <w:u w:val="none"/>
              </w:rPr>
            </w:pPr>
          </w:p>
        </w:tc>
      </w:tr>
      <w:tr w14:paraId="503B2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CAAF96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A165FAA">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B32CFF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736FF9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主主题 - 黑色 - 标签页（刷新间隔 / 微秒）</w:t>
            </w:r>
          </w:p>
        </w:tc>
        <w:tc>
          <w:tcPr>
            <w:tcW w:w="2220" w:type="dxa"/>
            <w:tcBorders>
              <w:top w:val="nil"/>
              <w:left w:val="nil"/>
              <w:bottom w:val="single" w:color="000000" w:sz="8" w:space="0"/>
              <w:right w:val="single" w:color="000000" w:sz="8" w:space="0"/>
            </w:tcBorders>
            <w:shd w:val="clear" w:color="auto" w:fill="auto"/>
            <w:vAlign w:val="center"/>
          </w:tcPr>
          <w:p w14:paraId="132BA4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0B50B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B8FCA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6FE05D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B828F50">
            <w:pPr>
              <w:jc w:val="center"/>
              <w:rPr>
                <w:rFonts w:hint="eastAsia" w:ascii="宋体" w:hAnsi="宋体" w:eastAsia="宋体" w:cs="宋体"/>
                <w:i w:val="0"/>
                <w:iCs w:val="0"/>
                <w:color w:val="000000"/>
                <w:sz w:val="20"/>
                <w:szCs w:val="20"/>
                <w:u w:val="none"/>
              </w:rPr>
            </w:pPr>
          </w:p>
        </w:tc>
      </w:tr>
      <w:tr w14:paraId="1DB0B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9FC157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5936C60">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D0DF132">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3BCCAF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标签页（刷新间隔 / 秒）</w:t>
            </w:r>
          </w:p>
        </w:tc>
        <w:tc>
          <w:tcPr>
            <w:tcW w:w="2220" w:type="dxa"/>
            <w:tcBorders>
              <w:top w:val="nil"/>
              <w:left w:val="nil"/>
              <w:bottom w:val="single" w:color="000000" w:sz="8" w:space="0"/>
              <w:right w:val="single" w:color="000000" w:sz="8" w:space="0"/>
            </w:tcBorders>
            <w:shd w:val="clear" w:color="auto" w:fill="auto"/>
            <w:vAlign w:val="center"/>
          </w:tcPr>
          <w:p w14:paraId="4CAD3E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8A153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6BD7E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8D501D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48A244C">
            <w:pPr>
              <w:jc w:val="center"/>
              <w:rPr>
                <w:rFonts w:hint="eastAsia" w:ascii="宋体" w:hAnsi="宋体" w:eastAsia="宋体" w:cs="宋体"/>
                <w:i w:val="0"/>
                <w:iCs w:val="0"/>
                <w:color w:val="000000"/>
                <w:sz w:val="20"/>
                <w:szCs w:val="20"/>
                <w:u w:val="none"/>
              </w:rPr>
            </w:pPr>
          </w:p>
        </w:tc>
      </w:tr>
      <w:tr w14:paraId="1B12A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FC7967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0054442">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93203DF">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7097FF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标签页背景</w:t>
            </w:r>
          </w:p>
        </w:tc>
        <w:tc>
          <w:tcPr>
            <w:tcW w:w="2220" w:type="dxa"/>
            <w:tcBorders>
              <w:top w:val="nil"/>
              <w:left w:val="nil"/>
              <w:bottom w:val="single" w:color="000000" w:sz="8" w:space="0"/>
              <w:right w:val="single" w:color="000000" w:sz="8" w:space="0"/>
            </w:tcBorders>
            <w:shd w:val="clear" w:color="auto" w:fill="auto"/>
            <w:vAlign w:val="center"/>
          </w:tcPr>
          <w:p w14:paraId="59AA63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C71C1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811AF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F43FCE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85FC8D2">
            <w:pPr>
              <w:jc w:val="center"/>
              <w:rPr>
                <w:rFonts w:hint="eastAsia" w:ascii="宋体" w:hAnsi="宋体" w:eastAsia="宋体" w:cs="宋体"/>
                <w:i w:val="0"/>
                <w:iCs w:val="0"/>
                <w:color w:val="000000"/>
                <w:sz w:val="20"/>
                <w:szCs w:val="20"/>
                <w:u w:val="none"/>
              </w:rPr>
            </w:pPr>
          </w:p>
        </w:tc>
      </w:tr>
      <w:tr w14:paraId="28F27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D1D9D4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8CAF280">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352818C">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7BB8DC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工具（执行耗时 / 微秒）</w:t>
            </w:r>
          </w:p>
        </w:tc>
        <w:tc>
          <w:tcPr>
            <w:tcW w:w="2220" w:type="dxa"/>
            <w:tcBorders>
              <w:top w:val="nil"/>
              <w:left w:val="nil"/>
              <w:bottom w:val="single" w:color="000000" w:sz="8" w:space="0"/>
              <w:right w:val="single" w:color="000000" w:sz="8" w:space="0"/>
            </w:tcBorders>
            <w:shd w:val="clear" w:color="auto" w:fill="auto"/>
            <w:vAlign w:val="center"/>
          </w:tcPr>
          <w:p w14:paraId="74FDF8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9403F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372B1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D4E188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B60F7C6">
            <w:pPr>
              <w:jc w:val="center"/>
              <w:rPr>
                <w:rFonts w:hint="eastAsia" w:ascii="宋体" w:hAnsi="宋体" w:eastAsia="宋体" w:cs="宋体"/>
                <w:i w:val="0"/>
                <w:iCs w:val="0"/>
                <w:color w:val="000000"/>
                <w:sz w:val="20"/>
                <w:szCs w:val="20"/>
                <w:u w:val="none"/>
              </w:rPr>
            </w:pPr>
          </w:p>
        </w:tc>
      </w:tr>
      <w:tr w14:paraId="50F13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9EC8574">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EA1497D">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F511EE5">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008902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边框颜色</w:t>
            </w:r>
          </w:p>
        </w:tc>
        <w:tc>
          <w:tcPr>
            <w:tcW w:w="2220" w:type="dxa"/>
            <w:tcBorders>
              <w:top w:val="nil"/>
              <w:left w:val="nil"/>
              <w:bottom w:val="single" w:color="000000" w:sz="8" w:space="0"/>
              <w:right w:val="single" w:color="000000" w:sz="8" w:space="0"/>
            </w:tcBorders>
            <w:shd w:val="clear" w:color="auto" w:fill="auto"/>
            <w:vAlign w:val="center"/>
          </w:tcPr>
          <w:p w14:paraId="0B334E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3E3C7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F3860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AA7F13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6B5FE64">
            <w:pPr>
              <w:jc w:val="center"/>
              <w:rPr>
                <w:rFonts w:hint="eastAsia" w:ascii="宋体" w:hAnsi="宋体" w:eastAsia="宋体" w:cs="宋体"/>
                <w:i w:val="0"/>
                <w:iCs w:val="0"/>
                <w:color w:val="000000"/>
                <w:sz w:val="20"/>
                <w:szCs w:val="20"/>
                <w:u w:val="none"/>
              </w:rPr>
            </w:pPr>
          </w:p>
        </w:tc>
      </w:tr>
      <w:tr w14:paraId="32DBC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74D6274">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7D238D5">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3CE464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编辑器-影片写入器</w:t>
            </w:r>
          </w:p>
        </w:tc>
        <w:tc>
          <w:tcPr>
            <w:tcW w:w="1400" w:type="dxa"/>
            <w:tcBorders>
              <w:top w:val="nil"/>
              <w:left w:val="nil"/>
              <w:bottom w:val="single" w:color="000000" w:sz="8" w:space="0"/>
              <w:right w:val="single" w:color="000000" w:sz="8" w:space="0"/>
            </w:tcBorders>
            <w:shd w:val="clear" w:color="auto" w:fill="FFFFFF"/>
            <w:vAlign w:val="center"/>
          </w:tcPr>
          <w:p w14:paraId="18DA72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电影文件</w:t>
            </w:r>
          </w:p>
        </w:tc>
        <w:tc>
          <w:tcPr>
            <w:tcW w:w="2220" w:type="dxa"/>
            <w:tcBorders>
              <w:top w:val="nil"/>
              <w:left w:val="nil"/>
              <w:bottom w:val="single" w:color="000000" w:sz="8" w:space="0"/>
              <w:right w:val="single" w:color="000000" w:sz="8" w:space="0"/>
            </w:tcBorders>
            <w:shd w:val="clear" w:color="auto" w:fill="auto"/>
            <w:vAlign w:val="center"/>
          </w:tcPr>
          <w:p w14:paraId="5AAC86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C134A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86D2C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D91BE8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ACC81FE">
            <w:pPr>
              <w:jc w:val="center"/>
              <w:rPr>
                <w:rFonts w:hint="eastAsia" w:ascii="宋体" w:hAnsi="宋体" w:eastAsia="宋体" w:cs="宋体"/>
                <w:i w:val="0"/>
                <w:iCs w:val="0"/>
                <w:color w:val="000000"/>
                <w:sz w:val="20"/>
                <w:szCs w:val="20"/>
                <w:u w:val="none"/>
              </w:rPr>
            </w:pPr>
          </w:p>
        </w:tc>
      </w:tr>
      <w:tr w14:paraId="4A40F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D35F1EF">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DB65AEB">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9B25ADD">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13E7B5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禁用垂直同步</w:t>
            </w:r>
          </w:p>
        </w:tc>
        <w:tc>
          <w:tcPr>
            <w:tcW w:w="2220" w:type="dxa"/>
            <w:tcBorders>
              <w:top w:val="nil"/>
              <w:left w:val="nil"/>
              <w:bottom w:val="single" w:color="000000" w:sz="8" w:space="0"/>
              <w:right w:val="single" w:color="000000" w:sz="8" w:space="0"/>
            </w:tcBorders>
            <w:shd w:val="clear" w:color="auto" w:fill="auto"/>
            <w:vAlign w:val="center"/>
          </w:tcPr>
          <w:p w14:paraId="0F3480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7F79D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4631B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4E0E10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E2B3AC2">
            <w:pPr>
              <w:jc w:val="center"/>
              <w:rPr>
                <w:rFonts w:hint="eastAsia" w:ascii="宋体" w:hAnsi="宋体" w:eastAsia="宋体" w:cs="宋体"/>
                <w:i w:val="0"/>
                <w:iCs w:val="0"/>
                <w:color w:val="000000"/>
                <w:sz w:val="20"/>
                <w:szCs w:val="20"/>
                <w:u w:val="none"/>
              </w:rPr>
            </w:pPr>
          </w:p>
        </w:tc>
      </w:tr>
      <w:tr w14:paraId="093AC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E8BC22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8D7BD75">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BDAE660">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71387E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帧率</w:t>
            </w:r>
          </w:p>
        </w:tc>
        <w:tc>
          <w:tcPr>
            <w:tcW w:w="2220" w:type="dxa"/>
            <w:tcBorders>
              <w:top w:val="nil"/>
              <w:left w:val="nil"/>
              <w:bottom w:val="single" w:color="000000" w:sz="8" w:space="0"/>
              <w:right w:val="single" w:color="000000" w:sz="8" w:space="0"/>
            </w:tcBorders>
            <w:shd w:val="clear" w:color="auto" w:fill="auto"/>
            <w:vAlign w:val="center"/>
          </w:tcPr>
          <w:p w14:paraId="4C3B77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C11D6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15666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69B4BF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2960D69">
            <w:pPr>
              <w:jc w:val="center"/>
              <w:rPr>
                <w:rFonts w:hint="eastAsia" w:ascii="宋体" w:hAnsi="宋体" w:eastAsia="宋体" w:cs="宋体"/>
                <w:i w:val="0"/>
                <w:iCs w:val="0"/>
                <w:color w:val="000000"/>
                <w:sz w:val="20"/>
                <w:szCs w:val="20"/>
                <w:u w:val="none"/>
              </w:rPr>
            </w:pPr>
          </w:p>
        </w:tc>
      </w:tr>
      <w:tr w14:paraId="4AC3A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C0FBB4C">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8123D0B">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02D2DC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编辑器-命名</w:t>
            </w:r>
          </w:p>
        </w:tc>
        <w:tc>
          <w:tcPr>
            <w:tcW w:w="1400" w:type="dxa"/>
            <w:tcBorders>
              <w:top w:val="nil"/>
              <w:left w:val="nil"/>
              <w:bottom w:val="single" w:color="000000" w:sz="8" w:space="0"/>
              <w:right w:val="single" w:color="000000" w:sz="8" w:space="0"/>
            </w:tcBorders>
            <w:shd w:val="clear" w:color="auto" w:fill="FFFFFF"/>
            <w:vAlign w:val="center"/>
          </w:tcPr>
          <w:p w14:paraId="584BB3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默认信号回调名称</w:t>
            </w:r>
          </w:p>
        </w:tc>
        <w:tc>
          <w:tcPr>
            <w:tcW w:w="2220" w:type="dxa"/>
            <w:tcBorders>
              <w:top w:val="nil"/>
              <w:left w:val="nil"/>
              <w:bottom w:val="single" w:color="000000" w:sz="8" w:space="0"/>
              <w:right w:val="single" w:color="000000" w:sz="8" w:space="0"/>
            </w:tcBorders>
            <w:shd w:val="clear" w:color="auto" w:fill="auto"/>
            <w:vAlign w:val="center"/>
          </w:tcPr>
          <w:p w14:paraId="7C7BBE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A953C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A68C2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40C9417">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CE61564">
            <w:pPr>
              <w:jc w:val="center"/>
              <w:rPr>
                <w:rFonts w:hint="eastAsia" w:ascii="宋体" w:hAnsi="宋体" w:eastAsia="宋体" w:cs="宋体"/>
                <w:i w:val="0"/>
                <w:iCs w:val="0"/>
                <w:color w:val="000000"/>
                <w:sz w:val="20"/>
                <w:szCs w:val="20"/>
                <w:u w:val="none"/>
              </w:rPr>
            </w:pPr>
          </w:p>
        </w:tc>
      </w:tr>
      <w:tr w14:paraId="41E54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CE10E8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9F246AE">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6F3A7E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3169EC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默认信号回调为自身名称</w:t>
            </w:r>
          </w:p>
        </w:tc>
        <w:tc>
          <w:tcPr>
            <w:tcW w:w="2220" w:type="dxa"/>
            <w:tcBorders>
              <w:top w:val="nil"/>
              <w:left w:val="nil"/>
              <w:bottom w:val="single" w:color="000000" w:sz="8" w:space="0"/>
              <w:right w:val="single" w:color="000000" w:sz="8" w:space="0"/>
            </w:tcBorders>
            <w:shd w:val="clear" w:color="auto" w:fill="auto"/>
            <w:vAlign w:val="center"/>
          </w:tcPr>
          <w:p w14:paraId="0F35FF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BCFEF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C32E0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D71863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57F0A8E">
            <w:pPr>
              <w:jc w:val="center"/>
              <w:rPr>
                <w:rFonts w:hint="eastAsia" w:ascii="宋体" w:hAnsi="宋体" w:eastAsia="宋体" w:cs="宋体"/>
                <w:i w:val="0"/>
                <w:iCs w:val="0"/>
                <w:color w:val="000000"/>
                <w:sz w:val="20"/>
                <w:szCs w:val="20"/>
                <w:u w:val="none"/>
              </w:rPr>
            </w:pPr>
          </w:p>
        </w:tc>
      </w:tr>
      <w:tr w14:paraId="6EBC0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C823163">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6DD4588">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429C90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71825C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场景名称大小写</w:t>
            </w:r>
          </w:p>
        </w:tc>
        <w:tc>
          <w:tcPr>
            <w:tcW w:w="2220" w:type="dxa"/>
            <w:tcBorders>
              <w:top w:val="nil"/>
              <w:left w:val="nil"/>
              <w:bottom w:val="single" w:color="000000" w:sz="8" w:space="0"/>
              <w:right w:val="single" w:color="000000" w:sz="8" w:space="0"/>
            </w:tcBorders>
            <w:shd w:val="clear" w:color="auto" w:fill="auto"/>
            <w:vAlign w:val="center"/>
          </w:tcPr>
          <w:p w14:paraId="14A0A6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ECA94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125B2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CA6FBA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7BE3429">
            <w:pPr>
              <w:jc w:val="center"/>
              <w:rPr>
                <w:rFonts w:hint="eastAsia" w:ascii="宋体" w:hAnsi="宋体" w:eastAsia="宋体" w:cs="宋体"/>
                <w:i w:val="0"/>
                <w:iCs w:val="0"/>
                <w:color w:val="000000"/>
                <w:sz w:val="20"/>
                <w:szCs w:val="20"/>
                <w:u w:val="none"/>
              </w:rPr>
            </w:pPr>
          </w:p>
        </w:tc>
      </w:tr>
      <w:tr w14:paraId="18D5F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064800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D3E7F67">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78E7E13">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5C4D73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脚本名称大小写</w:t>
            </w:r>
          </w:p>
        </w:tc>
        <w:tc>
          <w:tcPr>
            <w:tcW w:w="2220" w:type="dxa"/>
            <w:tcBorders>
              <w:top w:val="nil"/>
              <w:left w:val="nil"/>
              <w:bottom w:val="single" w:color="000000" w:sz="8" w:space="0"/>
              <w:right w:val="single" w:color="000000" w:sz="8" w:space="0"/>
            </w:tcBorders>
            <w:shd w:val="clear" w:color="auto" w:fill="auto"/>
            <w:vAlign w:val="center"/>
          </w:tcPr>
          <w:p w14:paraId="018391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19BB4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57DB0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264A90E">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0F5F9E5">
            <w:pPr>
              <w:jc w:val="center"/>
              <w:rPr>
                <w:rFonts w:hint="eastAsia" w:ascii="宋体" w:hAnsi="宋体" w:eastAsia="宋体" w:cs="宋体"/>
                <w:i w:val="0"/>
                <w:iCs w:val="0"/>
                <w:color w:val="000000"/>
                <w:sz w:val="20"/>
                <w:szCs w:val="20"/>
                <w:u w:val="none"/>
              </w:rPr>
            </w:pPr>
          </w:p>
        </w:tc>
      </w:tr>
      <w:tr w14:paraId="47E86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6351F6F">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46F1220">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6153C7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编辑器-脚本</w:t>
            </w:r>
          </w:p>
        </w:tc>
        <w:tc>
          <w:tcPr>
            <w:tcW w:w="1400" w:type="dxa"/>
            <w:tcBorders>
              <w:top w:val="nil"/>
              <w:left w:val="nil"/>
              <w:bottom w:val="single" w:color="000000" w:sz="8" w:space="0"/>
              <w:right w:val="single" w:color="000000" w:sz="8" w:space="0"/>
            </w:tcBorders>
            <w:shd w:val="clear" w:color="auto" w:fill="FFFFFF"/>
            <w:vAlign w:val="center"/>
          </w:tcPr>
          <w:p w14:paraId="2D5B19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搜索文件扩展名</w:t>
            </w:r>
          </w:p>
        </w:tc>
        <w:tc>
          <w:tcPr>
            <w:tcW w:w="2220" w:type="dxa"/>
            <w:tcBorders>
              <w:top w:val="nil"/>
              <w:left w:val="nil"/>
              <w:bottom w:val="single" w:color="000000" w:sz="8" w:space="0"/>
              <w:right w:val="single" w:color="000000" w:sz="8" w:space="0"/>
            </w:tcBorders>
            <w:shd w:val="clear" w:color="auto" w:fill="auto"/>
            <w:vAlign w:val="center"/>
          </w:tcPr>
          <w:p w14:paraId="71B50A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63005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97B96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D2D956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CAA09C4">
            <w:pPr>
              <w:jc w:val="center"/>
              <w:rPr>
                <w:rFonts w:hint="eastAsia" w:ascii="宋体" w:hAnsi="宋体" w:eastAsia="宋体" w:cs="宋体"/>
                <w:i w:val="0"/>
                <w:iCs w:val="0"/>
                <w:color w:val="000000"/>
                <w:sz w:val="20"/>
                <w:szCs w:val="20"/>
                <w:u w:val="none"/>
              </w:rPr>
            </w:pPr>
          </w:p>
        </w:tc>
      </w:tr>
      <w:tr w14:paraId="12355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45F150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8B6D953">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9E9A07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0D5CCD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模板搜索路径</w:t>
            </w:r>
          </w:p>
        </w:tc>
        <w:tc>
          <w:tcPr>
            <w:tcW w:w="2220" w:type="dxa"/>
            <w:tcBorders>
              <w:top w:val="nil"/>
              <w:left w:val="nil"/>
              <w:bottom w:val="single" w:color="000000" w:sz="8" w:space="0"/>
              <w:right w:val="single" w:color="000000" w:sz="8" w:space="0"/>
            </w:tcBorders>
            <w:shd w:val="clear" w:color="auto" w:fill="auto"/>
            <w:vAlign w:val="center"/>
          </w:tcPr>
          <w:p w14:paraId="7620B9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DB7A6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F560B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4684DC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AF5A871">
            <w:pPr>
              <w:jc w:val="center"/>
              <w:rPr>
                <w:rFonts w:hint="eastAsia" w:ascii="宋体" w:hAnsi="宋体" w:eastAsia="宋体" w:cs="宋体"/>
                <w:i w:val="0"/>
                <w:iCs w:val="0"/>
                <w:color w:val="000000"/>
                <w:sz w:val="20"/>
                <w:szCs w:val="20"/>
                <w:u w:val="none"/>
              </w:rPr>
            </w:pPr>
          </w:p>
        </w:tc>
      </w:tr>
      <w:tr w14:paraId="5F526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FD9B7E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25DD4D8">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69F2AC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编辑器-运行</w:t>
            </w:r>
          </w:p>
        </w:tc>
        <w:tc>
          <w:tcPr>
            <w:tcW w:w="1400" w:type="dxa"/>
            <w:tcBorders>
              <w:top w:val="nil"/>
              <w:left w:val="nil"/>
              <w:bottom w:val="single" w:color="000000" w:sz="8" w:space="0"/>
              <w:right w:val="single" w:color="000000" w:sz="8" w:space="0"/>
            </w:tcBorders>
            <w:shd w:val="clear" w:color="auto" w:fill="FFFFFF"/>
            <w:vAlign w:val="center"/>
          </w:tcPr>
          <w:p w14:paraId="330C27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主运行参数</w:t>
            </w:r>
          </w:p>
        </w:tc>
        <w:tc>
          <w:tcPr>
            <w:tcW w:w="2220" w:type="dxa"/>
            <w:tcBorders>
              <w:top w:val="nil"/>
              <w:left w:val="nil"/>
              <w:bottom w:val="single" w:color="000000" w:sz="8" w:space="0"/>
              <w:right w:val="single" w:color="000000" w:sz="8" w:space="0"/>
            </w:tcBorders>
            <w:shd w:val="clear" w:color="auto" w:fill="auto"/>
            <w:vAlign w:val="center"/>
          </w:tcPr>
          <w:p w14:paraId="7D13A1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3DF3C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6A2FD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2C3159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9E182BD">
            <w:pPr>
              <w:jc w:val="center"/>
              <w:rPr>
                <w:rFonts w:hint="eastAsia" w:ascii="宋体" w:hAnsi="宋体" w:eastAsia="宋体" w:cs="宋体"/>
                <w:i w:val="0"/>
                <w:iCs w:val="0"/>
                <w:color w:val="000000"/>
                <w:sz w:val="20"/>
                <w:szCs w:val="20"/>
                <w:u w:val="none"/>
              </w:rPr>
            </w:pPr>
          </w:p>
        </w:tc>
      </w:tr>
      <w:tr w14:paraId="126B6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3AEA74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8E17794">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45B1EE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编辑器-导入</w:t>
            </w:r>
          </w:p>
        </w:tc>
        <w:tc>
          <w:tcPr>
            <w:tcW w:w="1400" w:type="dxa"/>
            <w:tcBorders>
              <w:top w:val="nil"/>
              <w:left w:val="nil"/>
              <w:bottom w:val="single" w:color="000000" w:sz="8" w:space="0"/>
              <w:right w:val="single" w:color="000000" w:sz="8" w:space="0"/>
            </w:tcBorders>
            <w:shd w:val="clear" w:color="auto" w:fill="FFFFFF"/>
            <w:vAlign w:val="center"/>
          </w:tcPr>
          <w:p w14:paraId="4B7F5D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重新导入缺失的已导入文件</w:t>
            </w:r>
          </w:p>
        </w:tc>
        <w:tc>
          <w:tcPr>
            <w:tcW w:w="2220" w:type="dxa"/>
            <w:tcBorders>
              <w:top w:val="nil"/>
              <w:left w:val="nil"/>
              <w:bottom w:val="single" w:color="000000" w:sz="8" w:space="0"/>
              <w:right w:val="single" w:color="000000" w:sz="8" w:space="0"/>
            </w:tcBorders>
            <w:shd w:val="clear" w:color="auto" w:fill="auto"/>
            <w:vAlign w:val="center"/>
          </w:tcPr>
          <w:p w14:paraId="004EA8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8D2AA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8D4D8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D3DD38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4FBCEBA">
            <w:pPr>
              <w:jc w:val="center"/>
              <w:rPr>
                <w:rFonts w:hint="eastAsia" w:ascii="宋体" w:hAnsi="宋体" w:eastAsia="宋体" w:cs="宋体"/>
                <w:i w:val="0"/>
                <w:iCs w:val="0"/>
                <w:color w:val="000000"/>
                <w:sz w:val="20"/>
                <w:szCs w:val="20"/>
                <w:u w:val="none"/>
              </w:rPr>
            </w:pPr>
          </w:p>
        </w:tc>
      </w:tr>
      <w:tr w14:paraId="66FFF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0037911">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371B147">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C5945B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4E2AC0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使用多线程</w:t>
            </w:r>
          </w:p>
        </w:tc>
        <w:tc>
          <w:tcPr>
            <w:tcW w:w="2220" w:type="dxa"/>
            <w:tcBorders>
              <w:top w:val="nil"/>
              <w:left w:val="nil"/>
              <w:bottom w:val="single" w:color="000000" w:sz="8" w:space="0"/>
              <w:right w:val="single" w:color="000000" w:sz="8" w:space="0"/>
            </w:tcBorders>
            <w:shd w:val="clear" w:color="auto" w:fill="auto"/>
            <w:vAlign w:val="center"/>
          </w:tcPr>
          <w:p w14:paraId="2C5DC4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BC077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7DEC9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844C3FE">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762331A">
            <w:pPr>
              <w:jc w:val="center"/>
              <w:rPr>
                <w:rFonts w:hint="eastAsia" w:ascii="宋体" w:hAnsi="宋体" w:eastAsia="宋体" w:cs="宋体"/>
                <w:i w:val="0"/>
                <w:iCs w:val="0"/>
                <w:color w:val="000000"/>
                <w:sz w:val="20"/>
                <w:szCs w:val="20"/>
                <w:u w:val="none"/>
              </w:rPr>
            </w:pPr>
          </w:p>
        </w:tc>
      </w:tr>
      <w:tr w14:paraId="733CC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B01CEBC">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94A0167">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D87731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3727E7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图集最大宽度</w:t>
            </w:r>
          </w:p>
        </w:tc>
        <w:tc>
          <w:tcPr>
            <w:tcW w:w="2220" w:type="dxa"/>
            <w:tcBorders>
              <w:top w:val="nil"/>
              <w:left w:val="nil"/>
              <w:bottom w:val="single" w:color="000000" w:sz="8" w:space="0"/>
              <w:right w:val="single" w:color="000000" w:sz="8" w:space="0"/>
            </w:tcBorders>
            <w:shd w:val="clear" w:color="auto" w:fill="auto"/>
            <w:vAlign w:val="center"/>
          </w:tcPr>
          <w:p w14:paraId="295DE5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C806B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C74FB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11CA08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0CFC9A7">
            <w:pPr>
              <w:jc w:val="center"/>
              <w:rPr>
                <w:rFonts w:hint="eastAsia" w:ascii="宋体" w:hAnsi="宋体" w:eastAsia="宋体" w:cs="宋体"/>
                <w:i w:val="0"/>
                <w:iCs w:val="0"/>
                <w:color w:val="000000"/>
                <w:sz w:val="20"/>
                <w:szCs w:val="20"/>
                <w:u w:val="none"/>
              </w:rPr>
            </w:pPr>
          </w:p>
        </w:tc>
      </w:tr>
      <w:tr w14:paraId="49783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4DFAA63">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8A9E229">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3BD07A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编辑器-导出</w:t>
            </w:r>
          </w:p>
        </w:tc>
        <w:tc>
          <w:tcPr>
            <w:tcW w:w="1400" w:type="dxa"/>
            <w:tcBorders>
              <w:top w:val="nil"/>
              <w:left w:val="nil"/>
              <w:bottom w:val="single" w:color="000000" w:sz="8" w:space="0"/>
              <w:right w:val="single" w:color="000000" w:sz="8" w:space="0"/>
            </w:tcBorders>
            <w:shd w:val="clear" w:color="auto" w:fill="FFFFFF"/>
            <w:vAlign w:val="center"/>
          </w:tcPr>
          <w:p w14:paraId="6DCA6F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将文本资源转换为二进制</w:t>
            </w:r>
          </w:p>
        </w:tc>
        <w:tc>
          <w:tcPr>
            <w:tcW w:w="2220" w:type="dxa"/>
            <w:tcBorders>
              <w:top w:val="nil"/>
              <w:left w:val="nil"/>
              <w:bottom w:val="single" w:color="000000" w:sz="8" w:space="0"/>
              <w:right w:val="single" w:color="000000" w:sz="8" w:space="0"/>
            </w:tcBorders>
            <w:shd w:val="clear" w:color="auto" w:fill="auto"/>
            <w:vAlign w:val="center"/>
          </w:tcPr>
          <w:p w14:paraId="62418D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A77C5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F377B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76565F0">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E39B1C0">
            <w:pPr>
              <w:jc w:val="center"/>
              <w:rPr>
                <w:rFonts w:hint="eastAsia" w:ascii="宋体" w:hAnsi="宋体" w:eastAsia="宋体" w:cs="宋体"/>
                <w:i w:val="0"/>
                <w:iCs w:val="0"/>
                <w:color w:val="000000"/>
                <w:sz w:val="20"/>
                <w:szCs w:val="20"/>
                <w:u w:val="none"/>
              </w:rPr>
            </w:pPr>
          </w:p>
        </w:tc>
      </w:tr>
      <w:tr w14:paraId="40599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736F2A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06C8537">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5C87ED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编辑器-版本控制</w:t>
            </w:r>
          </w:p>
        </w:tc>
        <w:tc>
          <w:tcPr>
            <w:tcW w:w="1400" w:type="dxa"/>
            <w:tcBorders>
              <w:top w:val="nil"/>
              <w:left w:val="nil"/>
              <w:bottom w:val="single" w:color="000000" w:sz="8" w:space="0"/>
              <w:right w:val="single" w:color="000000" w:sz="8" w:space="0"/>
            </w:tcBorders>
            <w:shd w:val="clear" w:color="auto" w:fill="auto"/>
            <w:vAlign w:val="center"/>
          </w:tcPr>
          <w:p w14:paraId="4CF09C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插件名</w:t>
            </w:r>
          </w:p>
        </w:tc>
        <w:tc>
          <w:tcPr>
            <w:tcW w:w="2220" w:type="dxa"/>
            <w:tcBorders>
              <w:top w:val="nil"/>
              <w:left w:val="nil"/>
              <w:bottom w:val="single" w:color="000000" w:sz="8" w:space="0"/>
              <w:right w:val="single" w:color="000000" w:sz="8" w:space="0"/>
            </w:tcBorders>
            <w:shd w:val="clear" w:color="auto" w:fill="auto"/>
            <w:vAlign w:val="center"/>
          </w:tcPr>
          <w:p w14:paraId="4B468E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AEBFA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153DC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83F82A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87F4EF4">
            <w:pPr>
              <w:jc w:val="center"/>
              <w:rPr>
                <w:rFonts w:hint="eastAsia" w:ascii="宋体" w:hAnsi="宋体" w:eastAsia="宋体" w:cs="宋体"/>
                <w:i w:val="0"/>
                <w:iCs w:val="0"/>
                <w:color w:val="000000"/>
                <w:sz w:val="20"/>
                <w:szCs w:val="20"/>
                <w:u w:val="none"/>
              </w:rPr>
            </w:pPr>
          </w:p>
        </w:tc>
      </w:tr>
      <w:tr w14:paraId="515D7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0FA2AC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52E4473">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144D23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CEA20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启动时自动加载</w:t>
            </w:r>
          </w:p>
        </w:tc>
        <w:tc>
          <w:tcPr>
            <w:tcW w:w="2220" w:type="dxa"/>
            <w:tcBorders>
              <w:top w:val="nil"/>
              <w:left w:val="nil"/>
              <w:bottom w:val="single" w:color="000000" w:sz="8" w:space="0"/>
              <w:right w:val="single" w:color="000000" w:sz="8" w:space="0"/>
            </w:tcBorders>
            <w:shd w:val="clear" w:color="auto" w:fill="auto"/>
            <w:vAlign w:val="center"/>
          </w:tcPr>
          <w:p w14:paraId="4EF580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22CB9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A3E7F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4EE7072">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F8724B6">
            <w:pPr>
              <w:jc w:val="center"/>
              <w:rPr>
                <w:rFonts w:hint="eastAsia" w:ascii="宋体" w:hAnsi="宋体" w:eastAsia="宋体" w:cs="宋体"/>
                <w:i w:val="0"/>
                <w:iCs w:val="0"/>
                <w:color w:val="000000"/>
                <w:sz w:val="20"/>
                <w:szCs w:val="20"/>
                <w:u w:val="none"/>
              </w:rPr>
            </w:pPr>
          </w:p>
        </w:tc>
      </w:tr>
      <w:tr w14:paraId="5783E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1FB93FB">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FA3C771">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68B6BB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场景操作</w:t>
            </w:r>
          </w:p>
        </w:tc>
        <w:tc>
          <w:tcPr>
            <w:tcW w:w="1400" w:type="dxa"/>
            <w:tcBorders>
              <w:top w:val="nil"/>
              <w:left w:val="nil"/>
              <w:bottom w:val="single" w:color="000000" w:sz="8" w:space="0"/>
              <w:right w:val="single" w:color="000000" w:sz="8" w:space="0"/>
            </w:tcBorders>
            <w:shd w:val="clear" w:color="auto" w:fill="FFFFFF"/>
            <w:vAlign w:val="center"/>
          </w:tcPr>
          <w:p w14:paraId="2192DF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新建场景</w:t>
            </w:r>
          </w:p>
        </w:tc>
        <w:tc>
          <w:tcPr>
            <w:tcW w:w="2220" w:type="dxa"/>
            <w:tcBorders>
              <w:top w:val="nil"/>
              <w:left w:val="nil"/>
              <w:bottom w:val="single" w:color="000000" w:sz="8" w:space="0"/>
              <w:right w:val="single" w:color="000000" w:sz="8" w:space="0"/>
            </w:tcBorders>
            <w:shd w:val="clear" w:color="auto" w:fill="auto"/>
            <w:vAlign w:val="center"/>
          </w:tcPr>
          <w:p w14:paraId="6E452C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3D956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691B2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2A32A2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6176EF1">
            <w:pPr>
              <w:jc w:val="center"/>
              <w:rPr>
                <w:rFonts w:hint="eastAsia" w:ascii="宋体" w:hAnsi="宋体" w:eastAsia="宋体" w:cs="宋体"/>
                <w:i w:val="0"/>
                <w:iCs w:val="0"/>
                <w:color w:val="000000"/>
                <w:sz w:val="20"/>
                <w:szCs w:val="20"/>
                <w:u w:val="none"/>
              </w:rPr>
            </w:pPr>
          </w:p>
        </w:tc>
      </w:tr>
      <w:tr w14:paraId="3AA32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8AA699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B5C0496">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242859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743088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新建继承场景</w:t>
            </w:r>
          </w:p>
        </w:tc>
        <w:tc>
          <w:tcPr>
            <w:tcW w:w="2220" w:type="dxa"/>
            <w:tcBorders>
              <w:top w:val="nil"/>
              <w:left w:val="nil"/>
              <w:bottom w:val="single" w:color="000000" w:sz="8" w:space="0"/>
              <w:right w:val="single" w:color="000000" w:sz="8" w:space="0"/>
            </w:tcBorders>
            <w:shd w:val="clear" w:color="auto" w:fill="auto"/>
            <w:vAlign w:val="center"/>
          </w:tcPr>
          <w:p w14:paraId="071173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5EDFB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B1BA1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474E6F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4A136E5">
            <w:pPr>
              <w:jc w:val="center"/>
              <w:rPr>
                <w:rFonts w:hint="eastAsia" w:ascii="宋体" w:hAnsi="宋体" w:eastAsia="宋体" w:cs="宋体"/>
                <w:i w:val="0"/>
                <w:iCs w:val="0"/>
                <w:color w:val="000000"/>
                <w:sz w:val="20"/>
                <w:szCs w:val="20"/>
                <w:u w:val="none"/>
              </w:rPr>
            </w:pPr>
          </w:p>
        </w:tc>
      </w:tr>
      <w:tr w14:paraId="122B5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65121A9">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EBCF53C">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12B8A6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1FFA9B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打开场景</w:t>
            </w:r>
          </w:p>
        </w:tc>
        <w:tc>
          <w:tcPr>
            <w:tcW w:w="2220" w:type="dxa"/>
            <w:tcBorders>
              <w:top w:val="nil"/>
              <w:left w:val="nil"/>
              <w:bottom w:val="single" w:color="000000" w:sz="8" w:space="0"/>
              <w:right w:val="single" w:color="000000" w:sz="8" w:space="0"/>
            </w:tcBorders>
            <w:shd w:val="clear" w:color="auto" w:fill="auto"/>
            <w:vAlign w:val="center"/>
          </w:tcPr>
          <w:p w14:paraId="61D69B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6BE33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02236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4ABA8F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5BFCCD5">
            <w:pPr>
              <w:jc w:val="center"/>
              <w:rPr>
                <w:rFonts w:hint="eastAsia" w:ascii="宋体" w:hAnsi="宋体" w:eastAsia="宋体" w:cs="宋体"/>
                <w:i w:val="0"/>
                <w:iCs w:val="0"/>
                <w:color w:val="000000"/>
                <w:sz w:val="20"/>
                <w:szCs w:val="20"/>
                <w:u w:val="none"/>
              </w:rPr>
            </w:pPr>
          </w:p>
        </w:tc>
      </w:tr>
      <w:tr w14:paraId="1305E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592AAF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FF26D4A">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74B65BD">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250BF7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重新打开关闭的场景</w:t>
            </w:r>
          </w:p>
        </w:tc>
        <w:tc>
          <w:tcPr>
            <w:tcW w:w="2220" w:type="dxa"/>
            <w:tcBorders>
              <w:top w:val="nil"/>
              <w:left w:val="nil"/>
              <w:bottom w:val="single" w:color="000000" w:sz="8" w:space="0"/>
              <w:right w:val="single" w:color="000000" w:sz="8" w:space="0"/>
            </w:tcBorders>
            <w:shd w:val="clear" w:color="auto" w:fill="auto"/>
            <w:vAlign w:val="center"/>
          </w:tcPr>
          <w:p w14:paraId="1D1778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A3807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74D7B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B837FC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B5C77EE">
            <w:pPr>
              <w:jc w:val="center"/>
              <w:rPr>
                <w:rFonts w:hint="eastAsia" w:ascii="宋体" w:hAnsi="宋体" w:eastAsia="宋体" w:cs="宋体"/>
                <w:i w:val="0"/>
                <w:iCs w:val="0"/>
                <w:color w:val="000000"/>
                <w:sz w:val="20"/>
                <w:szCs w:val="20"/>
                <w:u w:val="none"/>
              </w:rPr>
            </w:pPr>
          </w:p>
        </w:tc>
      </w:tr>
      <w:tr w14:paraId="59DDD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0796409">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B997D0A">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4819BE2">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3B0419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最近打开</w:t>
            </w:r>
          </w:p>
        </w:tc>
        <w:tc>
          <w:tcPr>
            <w:tcW w:w="2220" w:type="dxa"/>
            <w:tcBorders>
              <w:top w:val="nil"/>
              <w:left w:val="nil"/>
              <w:bottom w:val="single" w:color="000000" w:sz="8" w:space="0"/>
              <w:right w:val="single" w:color="000000" w:sz="8" w:space="0"/>
            </w:tcBorders>
            <w:shd w:val="clear" w:color="auto" w:fill="auto"/>
            <w:vAlign w:val="center"/>
          </w:tcPr>
          <w:p w14:paraId="5786D2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9A549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42391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9361C62">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AFBFB9D">
            <w:pPr>
              <w:jc w:val="center"/>
              <w:rPr>
                <w:rFonts w:hint="eastAsia" w:ascii="宋体" w:hAnsi="宋体" w:eastAsia="宋体" w:cs="宋体"/>
                <w:i w:val="0"/>
                <w:iCs w:val="0"/>
                <w:color w:val="000000"/>
                <w:sz w:val="20"/>
                <w:szCs w:val="20"/>
                <w:u w:val="none"/>
              </w:rPr>
            </w:pPr>
          </w:p>
        </w:tc>
      </w:tr>
      <w:tr w14:paraId="54D4A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76CCEF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9C7CAEE">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CA53A6D">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59990C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保存场景</w:t>
            </w:r>
          </w:p>
        </w:tc>
        <w:tc>
          <w:tcPr>
            <w:tcW w:w="2220" w:type="dxa"/>
            <w:tcBorders>
              <w:top w:val="nil"/>
              <w:left w:val="nil"/>
              <w:bottom w:val="single" w:color="000000" w:sz="8" w:space="0"/>
              <w:right w:val="single" w:color="000000" w:sz="8" w:space="0"/>
            </w:tcBorders>
            <w:shd w:val="clear" w:color="auto" w:fill="auto"/>
            <w:vAlign w:val="center"/>
          </w:tcPr>
          <w:p w14:paraId="7B2430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A503B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96D21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1CB52E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DD93E14">
            <w:pPr>
              <w:jc w:val="center"/>
              <w:rPr>
                <w:rFonts w:hint="eastAsia" w:ascii="宋体" w:hAnsi="宋体" w:eastAsia="宋体" w:cs="宋体"/>
                <w:i w:val="0"/>
                <w:iCs w:val="0"/>
                <w:color w:val="000000"/>
                <w:sz w:val="20"/>
                <w:szCs w:val="20"/>
                <w:u w:val="none"/>
              </w:rPr>
            </w:pPr>
          </w:p>
        </w:tc>
      </w:tr>
      <w:tr w14:paraId="3020A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2076FCF">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C7D585D">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1306695">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23F3AA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场景另存为</w:t>
            </w:r>
          </w:p>
        </w:tc>
        <w:tc>
          <w:tcPr>
            <w:tcW w:w="2220" w:type="dxa"/>
            <w:tcBorders>
              <w:top w:val="nil"/>
              <w:left w:val="nil"/>
              <w:bottom w:val="single" w:color="000000" w:sz="8" w:space="0"/>
              <w:right w:val="single" w:color="000000" w:sz="8" w:space="0"/>
            </w:tcBorders>
            <w:shd w:val="clear" w:color="auto" w:fill="auto"/>
            <w:vAlign w:val="center"/>
          </w:tcPr>
          <w:p w14:paraId="5C5A0D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030C3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5EFE0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18F3230">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2B90399">
            <w:pPr>
              <w:jc w:val="center"/>
              <w:rPr>
                <w:rFonts w:hint="eastAsia" w:ascii="宋体" w:hAnsi="宋体" w:eastAsia="宋体" w:cs="宋体"/>
                <w:i w:val="0"/>
                <w:iCs w:val="0"/>
                <w:color w:val="000000"/>
                <w:sz w:val="20"/>
                <w:szCs w:val="20"/>
                <w:u w:val="none"/>
              </w:rPr>
            </w:pPr>
          </w:p>
        </w:tc>
      </w:tr>
      <w:tr w14:paraId="25C27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F3C68C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05EF064">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104D004">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6CD76B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保存所有场景</w:t>
            </w:r>
          </w:p>
        </w:tc>
        <w:tc>
          <w:tcPr>
            <w:tcW w:w="2220" w:type="dxa"/>
            <w:tcBorders>
              <w:top w:val="nil"/>
              <w:left w:val="nil"/>
              <w:bottom w:val="single" w:color="000000" w:sz="8" w:space="0"/>
              <w:right w:val="single" w:color="000000" w:sz="8" w:space="0"/>
            </w:tcBorders>
            <w:shd w:val="clear" w:color="auto" w:fill="auto"/>
            <w:vAlign w:val="center"/>
          </w:tcPr>
          <w:p w14:paraId="08D1E5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03A1D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58936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1A6CD0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EAE2E26">
            <w:pPr>
              <w:jc w:val="center"/>
              <w:rPr>
                <w:rFonts w:hint="eastAsia" w:ascii="宋体" w:hAnsi="宋体" w:eastAsia="宋体" w:cs="宋体"/>
                <w:i w:val="0"/>
                <w:iCs w:val="0"/>
                <w:color w:val="000000"/>
                <w:sz w:val="20"/>
                <w:szCs w:val="20"/>
                <w:u w:val="none"/>
              </w:rPr>
            </w:pPr>
          </w:p>
        </w:tc>
      </w:tr>
      <w:tr w14:paraId="575BA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30A6BC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B95B5B0">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7F4D9C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13C844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快速打开</w:t>
            </w:r>
          </w:p>
        </w:tc>
        <w:tc>
          <w:tcPr>
            <w:tcW w:w="2220" w:type="dxa"/>
            <w:tcBorders>
              <w:top w:val="nil"/>
              <w:left w:val="nil"/>
              <w:bottom w:val="single" w:color="000000" w:sz="8" w:space="0"/>
              <w:right w:val="single" w:color="000000" w:sz="8" w:space="0"/>
            </w:tcBorders>
            <w:shd w:val="clear" w:color="auto" w:fill="auto"/>
            <w:vAlign w:val="center"/>
          </w:tcPr>
          <w:p w14:paraId="0D5D55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096E4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19EE2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7F885F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9F2A597">
            <w:pPr>
              <w:jc w:val="center"/>
              <w:rPr>
                <w:rFonts w:hint="eastAsia" w:ascii="宋体" w:hAnsi="宋体" w:eastAsia="宋体" w:cs="宋体"/>
                <w:i w:val="0"/>
                <w:iCs w:val="0"/>
                <w:color w:val="000000"/>
                <w:sz w:val="20"/>
                <w:szCs w:val="20"/>
                <w:u w:val="none"/>
              </w:rPr>
            </w:pPr>
          </w:p>
        </w:tc>
      </w:tr>
      <w:tr w14:paraId="5F086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BD63BAC">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C15CDD6">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228C7D3">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08E09B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快速打开场景</w:t>
            </w:r>
          </w:p>
        </w:tc>
        <w:tc>
          <w:tcPr>
            <w:tcW w:w="2220" w:type="dxa"/>
            <w:tcBorders>
              <w:top w:val="nil"/>
              <w:left w:val="nil"/>
              <w:bottom w:val="single" w:color="000000" w:sz="8" w:space="0"/>
              <w:right w:val="single" w:color="000000" w:sz="8" w:space="0"/>
            </w:tcBorders>
            <w:shd w:val="clear" w:color="auto" w:fill="auto"/>
            <w:vAlign w:val="center"/>
          </w:tcPr>
          <w:p w14:paraId="7E2740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C2148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0B110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4D354D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D85095B">
            <w:pPr>
              <w:jc w:val="center"/>
              <w:rPr>
                <w:rFonts w:hint="eastAsia" w:ascii="宋体" w:hAnsi="宋体" w:eastAsia="宋体" w:cs="宋体"/>
                <w:i w:val="0"/>
                <w:iCs w:val="0"/>
                <w:color w:val="000000"/>
                <w:sz w:val="20"/>
                <w:szCs w:val="20"/>
                <w:u w:val="none"/>
              </w:rPr>
            </w:pPr>
          </w:p>
        </w:tc>
      </w:tr>
      <w:tr w14:paraId="66E0F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C6085D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728940A">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D6D1E2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7F9486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重载已保存场景</w:t>
            </w:r>
          </w:p>
        </w:tc>
        <w:tc>
          <w:tcPr>
            <w:tcW w:w="2220" w:type="dxa"/>
            <w:tcBorders>
              <w:top w:val="nil"/>
              <w:left w:val="nil"/>
              <w:bottom w:val="single" w:color="000000" w:sz="8" w:space="0"/>
              <w:right w:val="single" w:color="000000" w:sz="8" w:space="0"/>
            </w:tcBorders>
            <w:shd w:val="clear" w:color="auto" w:fill="auto"/>
            <w:vAlign w:val="center"/>
          </w:tcPr>
          <w:p w14:paraId="502823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03AE4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8E6B7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E31749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662CFB2">
            <w:pPr>
              <w:jc w:val="center"/>
              <w:rPr>
                <w:rFonts w:hint="eastAsia" w:ascii="宋体" w:hAnsi="宋体" w:eastAsia="宋体" w:cs="宋体"/>
                <w:i w:val="0"/>
                <w:iCs w:val="0"/>
                <w:color w:val="000000"/>
                <w:sz w:val="20"/>
                <w:szCs w:val="20"/>
                <w:u w:val="none"/>
              </w:rPr>
            </w:pPr>
          </w:p>
        </w:tc>
      </w:tr>
      <w:tr w14:paraId="39D22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EE5B10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6B00216">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9506CDD">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1A84BE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关闭场景</w:t>
            </w:r>
          </w:p>
        </w:tc>
        <w:tc>
          <w:tcPr>
            <w:tcW w:w="2220" w:type="dxa"/>
            <w:tcBorders>
              <w:top w:val="nil"/>
              <w:left w:val="nil"/>
              <w:bottom w:val="single" w:color="000000" w:sz="8" w:space="0"/>
              <w:right w:val="single" w:color="000000" w:sz="8" w:space="0"/>
            </w:tcBorders>
            <w:shd w:val="clear" w:color="auto" w:fill="auto"/>
            <w:vAlign w:val="center"/>
          </w:tcPr>
          <w:p w14:paraId="19D51D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7BAFF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498BA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CF67F60">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2E42E44">
            <w:pPr>
              <w:jc w:val="center"/>
              <w:rPr>
                <w:rFonts w:hint="eastAsia" w:ascii="宋体" w:hAnsi="宋体" w:eastAsia="宋体" w:cs="宋体"/>
                <w:i w:val="0"/>
                <w:iCs w:val="0"/>
                <w:color w:val="000000"/>
                <w:sz w:val="20"/>
                <w:szCs w:val="20"/>
                <w:u w:val="none"/>
              </w:rPr>
            </w:pPr>
          </w:p>
        </w:tc>
      </w:tr>
      <w:tr w14:paraId="741D1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D8F256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2B63C88">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7F7789F">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74C6BD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添加子节点</w:t>
            </w:r>
          </w:p>
        </w:tc>
        <w:tc>
          <w:tcPr>
            <w:tcW w:w="2220" w:type="dxa"/>
            <w:tcBorders>
              <w:top w:val="nil"/>
              <w:left w:val="nil"/>
              <w:bottom w:val="single" w:color="000000" w:sz="8" w:space="0"/>
              <w:right w:val="single" w:color="000000" w:sz="8" w:space="0"/>
            </w:tcBorders>
            <w:shd w:val="clear" w:color="auto" w:fill="auto"/>
            <w:vAlign w:val="center"/>
          </w:tcPr>
          <w:p w14:paraId="681373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90854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34A16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7A2F9E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2D49642">
            <w:pPr>
              <w:jc w:val="center"/>
              <w:rPr>
                <w:rFonts w:hint="eastAsia" w:ascii="宋体" w:hAnsi="宋体" w:eastAsia="宋体" w:cs="宋体"/>
                <w:i w:val="0"/>
                <w:iCs w:val="0"/>
                <w:color w:val="000000"/>
                <w:sz w:val="20"/>
                <w:szCs w:val="20"/>
                <w:u w:val="none"/>
              </w:rPr>
            </w:pPr>
          </w:p>
        </w:tc>
      </w:tr>
      <w:tr w14:paraId="002A8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602E6A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C9C7262">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56CE09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257B43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实例化子场景</w:t>
            </w:r>
          </w:p>
        </w:tc>
        <w:tc>
          <w:tcPr>
            <w:tcW w:w="2220" w:type="dxa"/>
            <w:tcBorders>
              <w:top w:val="nil"/>
              <w:left w:val="nil"/>
              <w:bottom w:val="single" w:color="000000" w:sz="8" w:space="0"/>
              <w:right w:val="single" w:color="000000" w:sz="8" w:space="0"/>
            </w:tcBorders>
            <w:shd w:val="clear" w:color="auto" w:fill="auto"/>
            <w:vAlign w:val="center"/>
          </w:tcPr>
          <w:p w14:paraId="7B5494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D7EFE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EEE09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9081CF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0F44A18">
            <w:pPr>
              <w:jc w:val="center"/>
              <w:rPr>
                <w:rFonts w:hint="eastAsia" w:ascii="宋体" w:hAnsi="宋体" w:eastAsia="宋体" w:cs="宋体"/>
                <w:i w:val="0"/>
                <w:iCs w:val="0"/>
                <w:color w:val="000000"/>
                <w:sz w:val="20"/>
                <w:szCs w:val="20"/>
                <w:u w:val="none"/>
              </w:rPr>
            </w:pPr>
          </w:p>
        </w:tc>
      </w:tr>
      <w:tr w14:paraId="337F8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DB2CCB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8BE8E65">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57E58A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2C9AF6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筛选节点</w:t>
            </w:r>
          </w:p>
        </w:tc>
        <w:tc>
          <w:tcPr>
            <w:tcW w:w="2220" w:type="dxa"/>
            <w:tcBorders>
              <w:top w:val="nil"/>
              <w:left w:val="nil"/>
              <w:bottom w:val="single" w:color="000000" w:sz="8" w:space="0"/>
              <w:right w:val="single" w:color="000000" w:sz="8" w:space="0"/>
            </w:tcBorders>
            <w:shd w:val="clear" w:color="auto" w:fill="auto"/>
            <w:vAlign w:val="center"/>
          </w:tcPr>
          <w:p w14:paraId="77F8D3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9355B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AC0F1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5292B82">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AB23962">
            <w:pPr>
              <w:jc w:val="center"/>
              <w:rPr>
                <w:rFonts w:hint="eastAsia" w:ascii="宋体" w:hAnsi="宋体" w:eastAsia="宋体" w:cs="宋体"/>
                <w:i w:val="0"/>
                <w:iCs w:val="0"/>
                <w:color w:val="000000"/>
                <w:sz w:val="20"/>
                <w:szCs w:val="20"/>
                <w:u w:val="none"/>
              </w:rPr>
            </w:pPr>
          </w:p>
        </w:tc>
      </w:tr>
      <w:tr w14:paraId="48911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B61CD9B">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7E53B23">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982EBC7">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0EA624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脚本路径</w:t>
            </w:r>
          </w:p>
        </w:tc>
        <w:tc>
          <w:tcPr>
            <w:tcW w:w="2220" w:type="dxa"/>
            <w:tcBorders>
              <w:top w:val="nil"/>
              <w:left w:val="nil"/>
              <w:bottom w:val="single" w:color="000000" w:sz="8" w:space="0"/>
              <w:right w:val="single" w:color="000000" w:sz="8" w:space="0"/>
            </w:tcBorders>
            <w:shd w:val="clear" w:color="auto" w:fill="auto"/>
            <w:vAlign w:val="center"/>
          </w:tcPr>
          <w:p w14:paraId="2461F9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19A91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4239B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60FE8C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112AC3F">
            <w:pPr>
              <w:jc w:val="center"/>
              <w:rPr>
                <w:rFonts w:hint="eastAsia" w:ascii="宋体" w:hAnsi="宋体" w:eastAsia="宋体" w:cs="宋体"/>
                <w:i w:val="0"/>
                <w:iCs w:val="0"/>
                <w:color w:val="000000"/>
                <w:sz w:val="20"/>
                <w:szCs w:val="20"/>
                <w:u w:val="none"/>
              </w:rPr>
            </w:pPr>
          </w:p>
        </w:tc>
      </w:tr>
      <w:tr w14:paraId="7D281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4E05509">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4E65E6C">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54D99C9">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8DA7B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切换可见性</w:t>
            </w:r>
          </w:p>
        </w:tc>
        <w:tc>
          <w:tcPr>
            <w:tcW w:w="2220" w:type="dxa"/>
            <w:tcBorders>
              <w:top w:val="nil"/>
              <w:left w:val="nil"/>
              <w:bottom w:val="single" w:color="000000" w:sz="8" w:space="0"/>
              <w:right w:val="single" w:color="000000" w:sz="8" w:space="0"/>
            </w:tcBorders>
            <w:shd w:val="clear" w:color="auto" w:fill="auto"/>
            <w:vAlign w:val="center"/>
          </w:tcPr>
          <w:p w14:paraId="2EC656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D5778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2870A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221B279">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86BC009">
            <w:pPr>
              <w:jc w:val="center"/>
              <w:rPr>
                <w:rFonts w:hint="eastAsia" w:ascii="宋体" w:hAnsi="宋体" w:eastAsia="宋体" w:cs="宋体"/>
                <w:i w:val="0"/>
                <w:iCs w:val="0"/>
                <w:color w:val="000000"/>
                <w:sz w:val="20"/>
                <w:szCs w:val="20"/>
                <w:u w:val="none"/>
              </w:rPr>
            </w:pPr>
          </w:p>
        </w:tc>
      </w:tr>
      <w:tr w14:paraId="570B9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228EB4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5AF72DF">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48CE112">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7751CB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选中节点</w:t>
            </w:r>
          </w:p>
        </w:tc>
        <w:tc>
          <w:tcPr>
            <w:tcW w:w="2220" w:type="dxa"/>
            <w:tcBorders>
              <w:top w:val="nil"/>
              <w:left w:val="nil"/>
              <w:bottom w:val="single" w:color="000000" w:sz="8" w:space="0"/>
              <w:right w:val="single" w:color="000000" w:sz="8" w:space="0"/>
            </w:tcBorders>
            <w:shd w:val="clear" w:color="auto" w:fill="auto"/>
            <w:vAlign w:val="center"/>
          </w:tcPr>
          <w:p w14:paraId="762F10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86561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99CB8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5E9AF79">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96BC508">
            <w:pPr>
              <w:jc w:val="center"/>
              <w:rPr>
                <w:rFonts w:hint="eastAsia" w:ascii="宋体" w:hAnsi="宋体" w:eastAsia="宋体" w:cs="宋体"/>
                <w:i w:val="0"/>
                <w:iCs w:val="0"/>
                <w:color w:val="000000"/>
                <w:sz w:val="20"/>
                <w:szCs w:val="20"/>
                <w:u w:val="none"/>
              </w:rPr>
            </w:pPr>
          </w:p>
        </w:tc>
      </w:tr>
      <w:tr w14:paraId="6DB56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9635D7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291A17B">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36CF3C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属性</w:t>
            </w:r>
          </w:p>
        </w:tc>
        <w:tc>
          <w:tcPr>
            <w:tcW w:w="1400" w:type="dxa"/>
            <w:tcBorders>
              <w:top w:val="nil"/>
              <w:left w:val="nil"/>
              <w:bottom w:val="single" w:color="000000" w:sz="8" w:space="0"/>
              <w:right w:val="single" w:color="000000" w:sz="8" w:space="0"/>
            </w:tcBorders>
            <w:shd w:val="clear" w:color="auto" w:fill="auto"/>
            <w:vAlign w:val="center"/>
          </w:tcPr>
          <w:p w14:paraId="5B9894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筛选属性</w:t>
            </w:r>
          </w:p>
        </w:tc>
        <w:tc>
          <w:tcPr>
            <w:tcW w:w="2220" w:type="dxa"/>
            <w:tcBorders>
              <w:top w:val="nil"/>
              <w:left w:val="nil"/>
              <w:bottom w:val="single" w:color="000000" w:sz="8" w:space="0"/>
              <w:right w:val="single" w:color="000000" w:sz="8" w:space="0"/>
            </w:tcBorders>
            <w:shd w:val="clear" w:color="auto" w:fill="auto"/>
            <w:vAlign w:val="center"/>
          </w:tcPr>
          <w:p w14:paraId="4B1A61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43763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080E8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E285BB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A57C098">
            <w:pPr>
              <w:jc w:val="center"/>
              <w:rPr>
                <w:rFonts w:hint="eastAsia" w:ascii="宋体" w:hAnsi="宋体" w:eastAsia="宋体" w:cs="宋体"/>
                <w:i w:val="0"/>
                <w:iCs w:val="0"/>
                <w:color w:val="000000"/>
                <w:sz w:val="20"/>
                <w:szCs w:val="20"/>
                <w:u w:val="none"/>
              </w:rPr>
            </w:pPr>
          </w:p>
        </w:tc>
      </w:tr>
      <w:tr w14:paraId="44F51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D02C4C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0C7B9BF">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120DF4F">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A7646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全部展开</w:t>
            </w:r>
          </w:p>
        </w:tc>
        <w:tc>
          <w:tcPr>
            <w:tcW w:w="2220" w:type="dxa"/>
            <w:tcBorders>
              <w:top w:val="nil"/>
              <w:left w:val="nil"/>
              <w:bottom w:val="single" w:color="000000" w:sz="8" w:space="0"/>
              <w:right w:val="single" w:color="000000" w:sz="8" w:space="0"/>
            </w:tcBorders>
            <w:shd w:val="clear" w:color="auto" w:fill="auto"/>
            <w:vAlign w:val="center"/>
          </w:tcPr>
          <w:p w14:paraId="6EB121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AA7BB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0B5DB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10CD2E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ED08C69">
            <w:pPr>
              <w:jc w:val="center"/>
              <w:rPr>
                <w:rFonts w:hint="eastAsia" w:ascii="宋体" w:hAnsi="宋体" w:eastAsia="宋体" w:cs="宋体"/>
                <w:i w:val="0"/>
                <w:iCs w:val="0"/>
                <w:color w:val="000000"/>
                <w:sz w:val="20"/>
                <w:szCs w:val="20"/>
                <w:u w:val="none"/>
              </w:rPr>
            </w:pPr>
          </w:p>
        </w:tc>
      </w:tr>
      <w:tr w14:paraId="07DEB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D1FEB01">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34D39B5">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BF59DA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29C4EE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全部折叠</w:t>
            </w:r>
          </w:p>
        </w:tc>
        <w:tc>
          <w:tcPr>
            <w:tcW w:w="2220" w:type="dxa"/>
            <w:tcBorders>
              <w:top w:val="nil"/>
              <w:left w:val="nil"/>
              <w:bottom w:val="single" w:color="000000" w:sz="8" w:space="0"/>
              <w:right w:val="single" w:color="000000" w:sz="8" w:space="0"/>
            </w:tcBorders>
            <w:shd w:val="clear" w:color="auto" w:fill="auto"/>
            <w:vAlign w:val="center"/>
          </w:tcPr>
          <w:p w14:paraId="5BBF5F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C574C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6519F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E306C3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0F9725E">
            <w:pPr>
              <w:jc w:val="center"/>
              <w:rPr>
                <w:rFonts w:hint="eastAsia" w:ascii="宋体" w:hAnsi="宋体" w:eastAsia="宋体" w:cs="宋体"/>
                <w:i w:val="0"/>
                <w:iCs w:val="0"/>
                <w:color w:val="000000"/>
                <w:sz w:val="20"/>
                <w:szCs w:val="20"/>
                <w:u w:val="none"/>
              </w:rPr>
            </w:pPr>
          </w:p>
        </w:tc>
      </w:tr>
      <w:tr w14:paraId="4EEAF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4EC9FD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9F80C02">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557D5D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节点</w:t>
            </w:r>
          </w:p>
        </w:tc>
        <w:tc>
          <w:tcPr>
            <w:tcW w:w="1400" w:type="dxa"/>
            <w:tcBorders>
              <w:top w:val="nil"/>
              <w:left w:val="nil"/>
              <w:bottom w:val="single" w:color="000000" w:sz="8" w:space="0"/>
              <w:right w:val="single" w:color="000000" w:sz="8" w:space="0"/>
            </w:tcBorders>
            <w:shd w:val="clear" w:color="auto" w:fill="auto"/>
            <w:vAlign w:val="center"/>
          </w:tcPr>
          <w:p w14:paraId="2EA907DF">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322254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965B3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FC182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3D163A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DF1B732">
            <w:pPr>
              <w:jc w:val="center"/>
              <w:rPr>
                <w:rFonts w:hint="eastAsia" w:ascii="宋体" w:hAnsi="宋体" w:eastAsia="宋体" w:cs="宋体"/>
                <w:i w:val="0"/>
                <w:iCs w:val="0"/>
                <w:color w:val="000000"/>
                <w:sz w:val="20"/>
                <w:szCs w:val="20"/>
                <w:u w:val="none"/>
              </w:rPr>
            </w:pPr>
          </w:p>
        </w:tc>
      </w:tr>
      <w:tr w14:paraId="6F4AD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AF1A22B">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0BC75AE">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013E01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历史</w:t>
            </w:r>
          </w:p>
        </w:tc>
        <w:tc>
          <w:tcPr>
            <w:tcW w:w="1400" w:type="dxa"/>
            <w:tcBorders>
              <w:top w:val="nil"/>
              <w:left w:val="nil"/>
              <w:bottom w:val="single" w:color="000000" w:sz="8" w:space="0"/>
              <w:right w:val="single" w:color="000000" w:sz="8" w:space="0"/>
            </w:tcBorders>
            <w:shd w:val="clear" w:color="auto" w:fill="auto"/>
            <w:vAlign w:val="center"/>
          </w:tcPr>
          <w:p w14:paraId="3146BB48">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30AED4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81E8F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D5DEE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C43C4F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B00AFAB">
            <w:pPr>
              <w:jc w:val="center"/>
              <w:rPr>
                <w:rFonts w:hint="eastAsia" w:ascii="宋体" w:hAnsi="宋体" w:eastAsia="宋体" w:cs="宋体"/>
                <w:i w:val="0"/>
                <w:iCs w:val="0"/>
                <w:color w:val="000000"/>
                <w:sz w:val="20"/>
                <w:szCs w:val="20"/>
                <w:u w:val="none"/>
              </w:rPr>
            </w:pPr>
          </w:p>
        </w:tc>
      </w:tr>
      <w:tr w14:paraId="3690F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192BD8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9F38033">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3A94CB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w:t>
            </w:r>
          </w:p>
        </w:tc>
        <w:tc>
          <w:tcPr>
            <w:tcW w:w="1400" w:type="dxa"/>
            <w:tcBorders>
              <w:top w:val="nil"/>
              <w:left w:val="nil"/>
              <w:bottom w:val="single" w:color="000000" w:sz="8" w:space="0"/>
              <w:right w:val="single" w:color="000000" w:sz="8" w:space="0"/>
            </w:tcBorders>
            <w:shd w:val="clear" w:color="auto" w:fill="auto"/>
            <w:vAlign w:val="center"/>
          </w:tcPr>
          <w:p w14:paraId="74DE5E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停靠面板场景树</w:t>
            </w:r>
          </w:p>
        </w:tc>
        <w:tc>
          <w:tcPr>
            <w:tcW w:w="2220" w:type="dxa"/>
            <w:tcBorders>
              <w:top w:val="nil"/>
              <w:left w:val="nil"/>
              <w:bottom w:val="single" w:color="000000" w:sz="8" w:space="0"/>
              <w:right w:val="single" w:color="000000" w:sz="8" w:space="0"/>
            </w:tcBorders>
            <w:shd w:val="clear" w:color="auto" w:fill="auto"/>
            <w:vAlign w:val="center"/>
          </w:tcPr>
          <w:p w14:paraId="3D0080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9BA8A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E2939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8AAD95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7F144E9">
            <w:pPr>
              <w:jc w:val="center"/>
              <w:rPr>
                <w:rFonts w:hint="eastAsia" w:ascii="宋体" w:hAnsi="宋体" w:eastAsia="宋体" w:cs="宋体"/>
                <w:i w:val="0"/>
                <w:iCs w:val="0"/>
                <w:color w:val="000000"/>
                <w:sz w:val="20"/>
                <w:szCs w:val="20"/>
                <w:u w:val="none"/>
              </w:rPr>
            </w:pPr>
          </w:p>
        </w:tc>
      </w:tr>
      <w:tr w14:paraId="3BF1D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F78D75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E750E42">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012C994">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3D5BA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停靠面板文件系统</w:t>
            </w:r>
          </w:p>
        </w:tc>
        <w:tc>
          <w:tcPr>
            <w:tcW w:w="2220" w:type="dxa"/>
            <w:tcBorders>
              <w:top w:val="nil"/>
              <w:left w:val="nil"/>
              <w:bottom w:val="single" w:color="000000" w:sz="8" w:space="0"/>
              <w:right w:val="single" w:color="000000" w:sz="8" w:space="0"/>
            </w:tcBorders>
            <w:shd w:val="clear" w:color="auto" w:fill="auto"/>
            <w:vAlign w:val="center"/>
          </w:tcPr>
          <w:p w14:paraId="305120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DB49B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C6388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70F9CB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4A7BC19">
            <w:pPr>
              <w:jc w:val="center"/>
              <w:rPr>
                <w:rFonts w:hint="eastAsia" w:ascii="宋体" w:hAnsi="宋体" w:eastAsia="宋体" w:cs="宋体"/>
                <w:i w:val="0"/>
                <w:iCs w:val="0"/>
                <w:color w:val="000000"/>
                <w:sz w:val="20"/>
                <w:szCs w:val="20"/>
                <w:u w:val="none"/>
              </w:rPr>
            </w:pPr>
          </w:p>
        </w:tc>
      </w:tr>
      <w:tr w14:paraId="1B192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64FD6C1">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36B7086">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E65714A">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46FECA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停靠面板属性编辑器</w:t>
            </w:r>
          </w:p>
        </w:tc>
        <w:tc>
          <w:tcPr>
            <w:tcW w:w="2220" w:type="dxa"/>
            <w:tcBorders>
              <w:top w:val="nil"/>
              <w:left w:val="nil"/>
              <w:bottom w:val="single" w:color="000000" w:sz="8" w:space="0"/>
              <w:right w:val="single" w:color="000000" w:sz="8" w:space="0"/>
            </w:tcBorders>
            <w:shd w:val="clear" w:color="auto" w:fill="auto"/>
            <w:vAlign w:val="center"/>
          </w:tcPr>
          <w:p w14:paraId="769A4E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22712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CFA1C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19AAAB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3E0C46E">
            <w:pPr>
              <w:jc w:val="center"/>
              <w:rPr>
                <w:rFonts w:hint="eastAsia" w:ascii="宋体" w:hAnsi="宋体" w:eastAsia="宋体" w:cs="宋体"/>
                <w:i w:val="0"/>
                <w:iCs w:val="0"/>
                <w:color w:val="000000"/>
                <w:sz w:val="20"/>
                <w:szCs w:val="20"/>
                <w:u w:val="none"/>
              </w:rPr>
            </w:pPr>
          </w:p>
        </w:tc>
      </w:tr>
      <w:tr w14:paraId="378A1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CA1362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7FA89A8">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16825B9">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5358F4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文件系统目录</w:t>
            </w:r>
          </w:p>
        </w:tc>
        <w:tc>
          <w:tcPr>
            <w:tcW w:w="2220" w:type="dxa"/>
            <w:tcBorders>
              <w:top w:val="nil"/>
              <w:left w:val="nil"/>
              <w:bottom w:val="single" w:color="000000" w:sz="8" w:space="0"/>
              <w:right w:val="single" w:color="000000" w:sz="8" w:space="0"/>
            </w:tcBorders>
            <w:shd w:val="clear" w:color="auto" w:fill="auto"/>
            <w:vAlign w:val="center"/>
          </w:tcPr>
          <w:p w14:paraId="24E695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C5ECE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8CACE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6DBA9A9">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B79281E">
            <w:pPr>
              <w:jc w:val="center"/>
              <w:rPr>
                <w:rFonts w:hint="eastAsia" w:ascii="宋体" w:hAnsi="宋体" w:eastAsia="宋体" w:cs="宋体"/>
                <w:i w:val="0"/>
                <w:iCs w:val="0"/>
                <w:color w:val="000000"/>
                <w:sz w:val="20"/>
                <w:szCs w:val="20"/>
                <w:u w:val="none"/>
              </w:rPr>
            </w:pPr>
          </w:p>
        </w:tc>
      </w:tr>
      <w:tr w14:paraId="31973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86DCEB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E4C6876">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2D18629">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564CC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文件系统保存时</w:t>
            </w:r>
          </w:p>
        </w:tc>
        <w:tc>
          <w:tcPr>
            <w:tcW w:w="2220" w:type="dxa"/>
            <w:tcBorders>
              <w:top w:val="nil"/>
              <w:left w:val="nil"/>
              <w:bottom w:val="single" w:color="000000" w:sz="8" w:space="0"/>
              <w:right w:val="single" w:color="000000" w:sz="8" w:space="0"/>
            </w:tcBorders>
            <w:shd w:val="clear" w:color="auto" w:fill="auto"/>
            <w:vAlign w:val="center"/>
          </w:tcPr>
          <w:p w14:paraId="385640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A2335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24F1C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1DE2D02">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A296661">
            <w:pPr>
              <w:jc w:val="center"/>
              <w:rPr>
                <w:rFonts w:hint="eastAsia" w:ascii="宋体" w:hAnsi="宋体" w:eastAsia="宋体" w:cs="宋体"/>
                <w:i w:val="0"/>
                <w:iCs w:val="0"/>
                <w:color w:val="000000"/>
                <w:sz w:val="20"/>
                <w:szCs w:val="20"/>
                <w:u w:val="none"/>
              </w:rPr>
            </w:pPr>
          </w:p>
        </w:tc>
      </w:tr>
      <w:tr w14:paraId="77937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C9A3DB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23924D0">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0650D42">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01E8FC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文件系统文件服务</w:t>
            </w:r>
          </w:p>
        </w:tc>
        <w:tc>
          <w:tcPr>
            <w:tcW w:w="2220" w:type="dxa"/>
            <w:tcBorders>
              <w:top w:val="nil"/>
              <w:left w:val="nil"/>
              <w:bottom w:val="single" w:color="000000" w:sz="8" w:space="0"/>
              <w:right w:val="single" w:color="000000" w:sz="8" w:space="0"/>
            </w:tcBorders>
            <w:shd w:val="clear" w:color="auto" w:fill="auto"/>
            <w:vAlign w:val="center"/>
          </w:tcPr>
          <w:p w14:paraId="0BE7C3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99B0E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821BF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25D8AD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66EF5BA">
            <w:pPr>
              <w:jc w:val="center"/>
              <w:rPr>
                <w:rFonts w:hint="eastAsia" w:ascii="宋体" w:hAnsi="宋体" w:eastAsia="宋体" w:cs="宋体"/>
                <w:i w:val="0"/>
                <w:iCs w:val="0"/>
                <w:color w:val="000000"/>
                <w:sz w:val="20"/>
                <w:szCs w:val="20"/>
                <w:u w:val="none"/>
              </w:rPr>
            </w:pPr>
          </w:p>
        </w:tc>
      </w:tr>
      <w:tr w14:paraId="72CEE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9366023">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4D2CF5B">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B6817F5">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4F6097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文件系统文件对话框</w:t>
            </w:r>
          </w:p>
        </w:tc>
        <w:tc>
          <w:tcPr>
            <w:tcW w:w="2220" w:type="dxa"/>
            <w:tcBorders>
              <w:top w:val="nil"/>
              <w:left w:val="nil"/>
              <w:bottom w:val="single" w:color="000000" w:sz="8" w:space="0"/>
              <w:right w:val="single" w:color="000000" w:sz="8" w:space="0"/>
            </w:tcBorders>
            <w:shd w:val="clear" w:color="auto" w:fill="auto"/>
            <w:vAlign w:val="center"/>
          </w:tcPr>
          <w:p w14:paraId="7EFFEC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6E163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FE1BC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9571B3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FE022A3">
            <w:pPr>
              <w:jc w:val="center"/>
              <w:rPr>
                <w:rFonts w:hint="eastAsia" w:ascii="宋体" w:hAnsi="宋体" w:eastAsia="宋体" w:cs="宋体"/>
                <w:i w:val="0"/>
                <w:iCs w:val="0"/>
                <w:color w:val="000000"/>
                <w:sz w:val="20"/>
                <w:szCs w:val="20"/>
                <w:u w:val="none"/>
              </w:rPr>
            </w:pPr>
          </w:p>
        </w:tc>
      </w:tr>
      <w:tr w14:paraId="5220D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156D934">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CB40500">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4171E2E">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0CD387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文件系统快速打开对话框</w:t>
            </w:r>
          </w:p>
        </w:tc>
        <w:tc>
          <w:tcPr>
            <w:tcW w:w="2220" w:type="dxa"/>
            <w:tcBorders>
              <w:top w:val="nil"/>
              <w:left w:val="nil"/>
              <w:bottom w:val="single" w:color="000000" w:sz="8" w:space="0"/>
              <w:right w:val="single" w:color="000000" w:sz="8" w:space="0"/>
            </w:tcBorders>
            <w:shd w:val="clear" w:color="auto" w:fill="auto"/>
            <w:vAlign w:val="center"/>
          </w:tcPr>
          <w:p w14:paraId="33B7D3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CC737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EE5B8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83F013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2D5C5FB">
            <w:pPr>
              <w:jc w:val="center"/>
              <w:rPr>
                <w:rFonts w:hint="eastAsia" w:ascii="宋体" w:hAnsi="宋体" w:eastAsia="宋体" w:cs="宋体"/>
                <w:i w:val="0"/>
                <w:iCs w:val="0"/>
                <w:color w:val="000000"/>
                <w:sz w:val="20"/>
                <w:szCs w:val="20"/>
                <w:u w:val="none"/>
              </w:rPr>
            </w:pPr>
          </w:p>
        </w:tc>
      </w:tr>
      <w:tr w14:paraId="3E001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0EC6F4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99A5704">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8ED988A">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41ED2B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文件系统-工具</w:t>
            </w:r>
          </w:p>
        </w:tc>
        <w:tc>
          <w:tcPr>
            <w:tcW w:w="2220" w:type="dxa"/>
            <w:tcBorders>
              <w:top w:val="nil"/>
              <w:left w:val="nil"/>
              <w:bottom w:val="single" w:color="000000" w:sz="8" w:space="0"/>
              <w:right w:val="single" w:color="000000" w:sz="8" w:space="0"/>
            </w:tcBorders>
            <w:shd w:val="clear" w:color="auto" w:fill="auto"/>
            <w:vAlign w:val="center"/>
          </w:tcPr>
          <w:p w14:paraId="19469A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26E73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431B5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C84AFA7">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C9422BC">
            <w:pPr>
              <w:jc w:val="center"/>
              <w:rPr>
                <w:rFonts w:hint="eastAsia" w:ascii="宋体" w:hAnsi="宋体" w:eastAsia="宋体" w:cs="宋体"/>
                <w:i w:val="0"/>
                <w:iCs w:val="0"/>
                <w:color w:val="000000"/>
                <w:sz w:val="20"/>
                <w:szCs w:val="20"/>
                <w:u w:val="none"/>
              </w:rPr>
            </w:pPr>
          </w:p>
        </w:tc>
      </w:tr>
      <w:tr w14:paraId="0AD25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9EA0334">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A7D9136">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1FE7FA2">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479DD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文本编辑器主题</w:t>
            </w:r>
          </w:p>
        </w:tc>
        <w:tc>
          <w:tcPr>
            <w:tcW w:w="2220" w:type="dxa"/>
            <w:tcBorders>
              <w:top w:val="nil"/>
              <w:left w:val="nil"/>
              <w:bottom w:val="single" w:color="000000" w:sz="8" w:space="0"/>
              <w:right w:val="single" w:color="000000" w:sz="8" w:space="0"/>
            </w:tcBorders>
            <w:shd w:val="clear" w:color="auto" w:fill="auto"/>
            <w:vAlign w:val="center"/>
          </w:tcPr>
          <w:p w14:paraId="315540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AED5D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1F0A1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93A1719">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6119EBC">
            <w:pPr>
              <w:jc w:val="center"/>
              <w:rPr>
                <w:rFonts w:hint="eastAsia" w:ascii="宋体" w:hAnsi="宋体" w:eastAsia="宋体" w:cs="宋体"/>
                <w:i w:val="0"/>
                <w:iCs w:val="0"/>
                <w:color w:val="000000"/>
                <w:sz w:val="20"/>
                <w:szCs w:val="20"/>
                <w:u w:val="none"/>
              </w:rPr>
            </w:pPr>
          </w:p>
        </w:tc>
      </w:tr>
      <w:tr w14:paraId="5003A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229538B">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7C1A564">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EB547A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6BDA04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文件编辑器外观</w:t>
            </w:r>
          </w:p>
        </w:tc>
        <w:tc>
          <w:tcPr>
            <w:tcW w:w="2220" w:type="dxa"/>
            <w:tcBorders>
              <w:top w:val="nil"/>
              <w:left w:val="nil"/>
              <w:bottom w:val="single" w:color="000000" w:sz="8" w:space="0"/>
              <w:right w:val="single" w:color="000000" w:sz="8" w:space="0"/>
            </w:tcBorders>
            <w:shd w:val="clear" w:color="auto" w:fill="auto"/>
            <w:vAlign w:val="center"/>
          </w:tcPr>
          <w:p w14:paraId="4434A1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8A7F9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CDA6A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8BD8B52">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79AE075">
            <w:pPr>
              <w:jc w:val="center"/>
              <w:rPr>
                <w:rFonts w:hint="eastAsia" w:ascii="宋体" w:hAnsi="宋体" w:eastAsia="宋体" w:cs="宋体"/>
                <w:i w:val="0"/>
                <w:iCs w:val="0"/>
                <w:color w:val="000000"/>
                <w:sz w:val="20"/>
                <w:szCs w:val="20"/>
                <w:u w:val="none"/>
              </w:rPr>
            </w:pPr>
          </w:p>
        </w:tc>
      </w:tr>
      <w:tr w14:paraId="289B0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0A447C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CF78F9A">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4D3D7F7">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2786B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文本编辑器行为</w:t>
            </w:r>
          </w:p>
        </w:tc>
        <w:tc>
          <w:tcPr>
            <w:tcW w:w="2220" w:type="dxa"/>
            <w:tcBorders>
              <w:top w:val="nil"/>
              <w:left w:val="nil"/>
              <w:bottom w:val="single" w:color="000000" w:sz="8" w:space="0"/>
              <w:right w:val="single" w:color="000000" w:sz="8" w:space="0"/>
            </w:tcBorders>
            <w:shd w:val="clear" w:color="auto" w:fill="auto"/>
            <w:vAlign w:val="center"/>
          </w:tcPr>
          <w:p w14:paraId="044D01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0B435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BF5B4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853B64E">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F8A5EBE">
            <w:pPr>
              <w:jc w:val="center"/>
              <w:rPr>
                <w:rFonts w:hint="eastAsia" w:ascii="宋体" w:hAnsi="宋体" w:eastAsia="宋体" w:cs="宋体"/>
                <w:i w:val="0"/>
                <w:iCs w:val="0"/>
                <w:color w:val="000000"/>
                <w:sz w:val="20"/>
                <w:szCs w:val="20"/>
                <w:u w:val="none"/>
              </w:rPr>
            </w:pPr>
          </w:p>
        </w:tc>
      </w:tr>
      <w:tr w14:paraId="31E61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8D156B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BD0013C">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883F962">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E386A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文本编辑器脚本列表</w:t>
            </w:r>
          </w:p>
        </w:tc>
        <w:tc>
          <w:tcPr>
            <w:tcW w:w="2220" w:type="dxa"/>
            <w:tcBorders>
              <w:top w:val="nil"/>
              <w:left w:val="nil"/>
              <w:bottom w:val="single" w:color="000000" w:sz="8" w:space="0"/>
              <w:right w:val="single" w:color="000000" w:sz="8" w:space="0"/>
            </w:tcBorders>
            <w:shd w:val="clear" w:color="auto" w:fill="auto"/>
            <w:vAlign w:val="center"/>
          </w:tcPr>
          <w:p w14:paraId="1E50FC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08BF2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C9F81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66F3A8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B9E0DFB">
            <w:pPr>
              <w:jc w:val="center"/>
              <w:rPr>
                <w:rFonts w:hint="eastAsia" w:ascii="宋体" w:hAnsi="宋体" w:eastAsia="宋体" w:cs="宋体"/>
                <w:i w:val="0"/>
                <w:iCs w:val="0"/>
                <w:color w:val="000000"/>
                <w:sz w:val="20"/>
                <w:szCs w:val="20"/>
                <w:u w:val="none"/>
              </w:rPr>
            </w:pPr>
          </w:p>
        </w:tc>
      </w:tr>
      <w:tr w14:paraId="2FE0D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E139941">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FAF6499">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913C73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78A630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文本编辑器外部</w:t>
            </w:r>
          </w:p>
        </w:tc>
        <w:tc>
          <w:tcPr>
            <w:tcW w:w="2220" w:type="dxa"/>
            <w:tcBorders>
              <w:top w:val="nil"/>
              <w:left w:val="nil"/>
              <w:bottom w:val="single" w:color="000000" w:sz="8" w:space="0"/>
              <w:right w:val="single" w:color="000000" w:sz="8" w:space="0"/>
            </w:tcBorders>
            <w:shd w:val="clear" w:color="auto" w:fill="auto"/>
            <w:vAlign w:val="center"/>
          </w:tcPr>
          <w:p w14:paraId="51438C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C9676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5388D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992008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90D890B">
            <w:pPr>
              <w:jc w:val="center"/>
              <w:rPr>
                <w:rFonts w:hint="eastAsia" w:ascii="宋体" w:hAnsi="宋体" w:eastAsia="宋体" w:cs="宋体"/>
                <w:i w:val="0"/>
                <w:iCs w:val="0"/>
                <w:color w:val="000000"/>
                <w:sz w:val="20"/>
                <w:szCs w:val="20"/>
                <w:u w:val="none"/>
              </w:rPr>
            </w:pPr>
          </w:p>
        </w:tc>
      </w:tr>
      <w:tr w14:paraId="13BD5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71A44D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C962CDC">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24EE497">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8608B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文本编辑器补全</w:t>
            </w:r>
          </w:p>
        </w:tc>
        <w:tc>
          <w:tcPr>
            <w:tcW w:w="2220" w:type="dxa"/>
            <w:tcBorders>
              <w:top w:val="nil"/>
              <w:left w:val="nil"/>
              <w:bottom w:val="single" w:color="000000" w:sz="8" w:space="0"/>
              <w:right w:val="single" w:color="000000" w:sz="8" w:space="0"/>
            </w:tcBorders>
            <w:shd w:val="clear" w:color="auto" w:fill="auto"/>
            <w:vAlign w:val="center"/>
          </w:tcPr>
          <w:p w14:paraId="427CAC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7E7F0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38E8A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66E9DD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8615577">
            <w:pPr>
              <w:jc w:val="center"/>
              <w:rPr>
                <w:rFonts w:hint="eastAsia" w:ascii="宋体" w:hAnsi="宋体" w:eastAsia="宋体" w:cs="宋体"/>
                <w:i w:val="0"/>
                <w:iCs w:val="0"/>
                <w:color w:val="000000"/>
                <w:sz w:val="20"/>
                <w:szCs w:val="20"/>
                <w:u w:val="none"/>
              </w:rPr>
            </w:pPr>
          </w:p>
        </w:tc>
      </w:tr>
      <w:tr w14:paraId="197B0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7EA2FE4">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47914D0">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16A85A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编辑器布局</w:t>
            </w:r>
          </w:p>
        </w:tc>
        <w:tc>
          <w:tcPr>
            <w:tcW w:w="1400" w:type="dxa"/>
            <w:tcBorders>
              <w:top w:val="nil"/>
              <w:left w:val="nil"/>
              <w:bottom w:val="single" w:color="000000" w:sz="8" w:space="0"/>
              <w:right w:val="single" w:color="000000" w:sz="8" w:space="0"/>
            </w:tcBorders>
            <w:shd w:val="clear" w:color="auto" w:fill="auto"/>
            <w:vAlign w:val="center"/>
          </w:tcPr>
          <w:p w14:paraId="53801D1E">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2DC76A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F34CB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FAA80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A10FA52">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D093515">
            <w:pPr>
              <w:jc w:val="center"/>
              <w:rPr>
                <w:rFonts w:hint="eastAsia" w:ascii="宋体" w:hAnsi="宋体" w:eastAsia="宋体" w:cs="宋体"/>
                <w:i w:val="0"/>
                <w:iCs w:val="0"/>
                <w:color w:val="000000"/>
                <w:sz w:val="20"/>
                <w:szCs w:val="20"/>
                <w:u w:val="none"/>
              </w:rPr>
            </w:pPr>
          </w:p>
        </w:tc>
      </w:tr>
      <w:tr w14:paraId="29EE4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3921AE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FF396AC">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70ECA7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切换全屏模式</w:t>
            </w:r>
          </w:p>
        </w:tc>
        <w:tc>
          <w:tcPr>
            <w:tcW w:w="1400" w:type="dxa"/>
            <w:tcBorders>
              <w:top w:val="nil"/>
              <w:left w:val="nil"/>
              <w:bottom w:val="single" w:color="000000" w:sz="8" w:space="0"/>
              <w:right w:val="single" w:color="000000" w:sz="8" w:space="0"/>
            </w:tcBorders>
            <w:shd w:val="clear" w:color="auto" w:fill="auto"/>
            <w:vAlign w:val="center"/>
          </w:tcPr>
          <w:p w14:paraId="1D2AF9B3">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73A85F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EC388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619A1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E2D717E">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883E288">
            <w:pPr>
              <w:jc w:val="center"/>
              <w:rPr>
                <w:rFonts w:hint="eastAsia" w:ascii="宋体" w:hAnsi="宋体" w:eastAsia="宋体" w:cs="宋体"/>
                <w:i w:val="0"/>
                <w:iCs w:val="0"/>
                <w:color w:val="000000"/>
                <w:sz w:val="20"/>
                <w:szCs w:val="20"/>
                <w:u w:val="none"/>
              </w:rPr>
            </w:pPr>
          </w:p>
        </w:tc>
      </w:tr>
      <w:tr w14:paraId="41459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6031C1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0E23F11">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423FB1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管理编辑器功能</w:t>
            </w:r>
          </w:p>
        </w:tc>
        <w:tc>
          <w:tcPr>
            <w:tcW w:w="1400" w:type="dxa"/>
            <w:tcBorders>
              <w:top w:val="nil"/>
              <w:left w:val="nil"/>
              <w:bottom w:val="single" w:color="000000" w:sz="8" w:space="0"/>
              <w:right w:val="single" w:color="000000" w:sz="8" w:space="0"/>
            </w:tcBorders>
            <w:shd w:val="clear" w:color="auto" w:fill="auto"/>
            <w:vAlign w:val="center"/>
          </w:tcPr>
          <w:p w14:paraId="5825D618">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5B22E9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4125A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5676B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AF141B0">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5F94AFA">
            <w:pPr>
              <w:jc w:val="center"/>
              <w:rPr>
                <w:rFonts w:hint="eastAsia" w:ascii="宋体" w:hAnsi="宋体" w:eastAsia="宋体" w:cs="宋体"/>
                <w:i w:val="0"/>
                <w:iCs w:val="0"/>
                <w:color w:val="000000"/>
                <w:sz w:val="20"/>
                <w:szCs w:val="20"/>
                <w:u w:val="none"/>
              </w:rPr>
            </w:pPr>
          </w:p>
        </w:tc>
      </w:tr>
      <w:tr w14:paraId="0C971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F7AA88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AC63283">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579FCE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重新加载当前项目</w:t>
            </w:r>
          </w:p>
        </w:tc>
        <w:tc>
          <w:tcPr>
            <w:tcW w:w="1400" w:type="dxa"/>
            <w:tcBorders>
              <w:top w:val="nil"/>
              <w:left w:val="nil"/>
              <w:bottom w:val="single" w:color="000000" w:sz="8" w:space="0"/>
              <w:right w:val="single" w:color="000000" w:sz="8" w:space="0"/>
            </w:tcBorders>
            <w:shd w:val="clear" w:color="auto" w:fill="auto"/>
            <w:vAlign w:val="center"/>
          </w:tcPr>
          <w:p w14:paraId="020BE8A6">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131EC5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C1663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B4DA6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65C6FE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4EE192A">
            <w:pPr>
              <w:jc w:val="center"/>
              <w:rPr>
                <w:rFonts w:hint="eastAsia" w:ascii="宋体" w:hAnsi="宋体" w:eastAsia="宋体" w:cs="宋体"/>
                <w:i w:val="0"/>
                <w:iCs w:val="0"/>
                <w:color w:val="000000"/>
                <w:sz w:val="20"/>
                <w:szCs w:val="20"/>
                <w:u w:val="none"/>
              </w:rPr>
            </w:pPr>
          </w:p>
        </w:tc>
      </w:tr>
      <w:tr w14:paraId="3B14A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D027709">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387D7D8">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5A25B8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退出到项目列表</w:t>
            </w:r>
          </w:p>
        </w:tc>
        <w:tc>
          <w:tcPr>
            <w:tcW w:w="1400" w:type="dxa"/>
            <w:tcBorders>
              <w:top w:val="nil"/>
              <w:left w:val="nil"/>
              <w:bottom w:val="single" w:color="000000" w:sz="8" w:space="0"/>
              <w:right w:val="single" w:color="000000" w:sz="8" w:space="0"/>
            </w:tcBorders>
            <w:shd w:val="clear" w:color="auto" w:fill="auto"/>
            <w:vAlign w:val="center"/>
          </w:tcPr>
          <w:p w14:paraId="2DA0BE1B">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2BB35F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E294F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BBD7F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9C8708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28B5837">
            <w:pPr>
              <w:jc w:val="center"/>
              <w:rPr>
                <w:rFonts w:hint="eastAsia" w:ascii="宋体" w:hAnsi="宋体" w:eastAsia="宋体" w:cs="宋体"/>
                <w:i w:val="0"/>
                <w:iCs w:val="0"/>
                <w:color w:val="000000"/>
                <w:sz w:val="20"/>
                <w:szCs w:val="20"/>
                <w:u w:val="none"/>
              </w:rPr>
            </w:pPr>
          </w:p>
        </w:tc>
      </w:tr>
      <w:tr w14:paraId="781C2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55440E7">
            <w:pPr>
              <w:jc w:val="center"/>
              <w:rPr>
                <w:rFonts w:hint="eastAsia" w:ascii="宋体" w:hAnsi="宋体" w:eastAsia="宋体" w:cs="宋体"/>
                <w:i w:val="0"/>
                <w:iCs w:val="0"/>
                <w:color w:val="000000"/>
                <w:sz w:val="20"/>
                <w:szCs w:val="20"/>
                <w:u w:val="none"/>
              </w:rPr>
            </w:pPr>
          </w:p>
        </w:tc>
        <w:tc>
          <w:tcPr>
            <w:tcW w:w="660" w:type="dxa"/>
            <w:vMerge w:val="restart"/>
            <w:tcBorders>
              <w:top w:val="nil"/>
              <w:left w:val="nil"/>
              <w:bottom w:val="single" w:color="000000" w:sz="8" w:space="0"/>
              <w:right w:val="single" w:color="000000" w:sz="8" w:space="0"/>
            </w:tcBorders>
            <w:shd w:val="clear" w:color="auto" w:fill="auto"/>
            <w:vAlign w:val="center"/>
          </w:tcPr>
          <w:p w14:paraId="1B8FC7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渲染模块</w:t>
            </w:r>
          </w:p>
        </w:tc>
        <w:tc>
          <w:tcPr>
            <w:tcW w:w="960" w:type="dxa"/>
            <w:tcBorders>
              <w:top w:val="nil"/>
              <w:left w:val="nil"/>
              <w:bottom w:val="single" w:color="000000" w:sz="8" w:space="0"/>
              <w:right w:val="single" w:color="000000" w:sz="8" w:space="0"/>
            </w:tcBorders>
            <w:shd w:val="clear" w:color="auto" w:fill="auto"/>
            <w:vAlign w:val="center"/>
          </w:tcPr>
          <w:p w14:paraId="67549C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高性能渲染</w:t>
            </w:r>
          </w:p>
        </w:tc>
        <w:tc>
          <w:tcPr>
            <w:tcW w:w="1400" w:type="dxa"/>
            <w:tcBorders>
              <w:top w:val="nil"/>
              <w:left w:val="nil"/>
              <w:bottom w:val="single" w:color="000000" w:sz="8" w:space="0"/>
              <w:right w:val="single" w:color="000000" w:sz="8" w:space="0"/>
            </w:tcBorders>
            <w:shd w:val="clear" w:color="auto" w:fill="auto"/>
            <w:vAlign w:val="center"/>
          </w:tcPr>
          <w:p w14:paraId="17D7A029">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01D6D9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A97EC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FEDB1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989DA5E">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CF3867D">
            <w:pPr>
              <w:jc w:val="center"/>
              <w:rPr>
                <w:rFonts w:hint="eastAsia" w:ascii="宋体" w:hAnsi="宋体" w:eastAsia="宋体" w:cs="宋体"/>
                <w:i w:val="0"/>
                <w:iCs w:val="0"/>
                <w:color w:val="000000"/>
                <w:sz w:val="20"/>
                <w:szCs w:val="20"/>
                <w:u w:val="none"/>
              </w:rPr>
            </w:pPr>
          </w:p>
        </w:tc>
      </w:tr>
      <w:tr w14:paraId="69A1A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369CFC4">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174FC8D">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24D42B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移动端渲染</w:t>
            </w:r>
          </w:p>
        </w:tc>
        <w:tc>
          <w:tcPr>
            <w:tcW w:w="1400" w:type="dxa"/>
            <w:tcBorders>
              <w:top w:val="nil"/>
              <w:left w:val="nil"/>
              <w:bottom w:val="single" w:color="000000" w:sz="8" w:space="0"/>
              <w:right w:val="single" w:color="000000" w:sz="8" w:space="0"/>
            </w:tcBorders>
            <w:shd w:val="clear" w:color="auto" w:fill="auto"/>
            <w:vAlign w:val="center"/>
          </w:tcPr>
          <w:p w14:paraId="0A349367">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618BDB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C7EA2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67316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7266742">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B3A8609">
            <w:pPr>
              <w:jc w:val="center"/>
              <w:rPr>
                <w:rFonts w:hint="eastAsia" w:ascii="宋体" w:hAnsi="宋体" w:eastAsia="宋体" w:cs="宋体"/>
                <w:i w:val="0"/>
                <w:iCs w:val="0"/>
                <w:color w:val="000000"/>
                <w:sz w:val="20"/>
                <w:szCs w:val="20"/>
                <w:u w:val="none"/>
              </w:rPr>
            </w:pPr>
          </w:p>
        </w:tc>
      </w:tr>
      <w:tr w14:paraId="263D1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7CDAA4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A63FCF8">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202D72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传统渲染</w:t>
            </w:r>
          </w:p>
        </w:tc>
        <w:tc>
          <w:tcPr>
            <w:tcW w:w="1400" w:type="dxa"/>
            <w:tcBorders>
              <w:top w:val="nil"/>
              <w:left w:val="nil"/>
              <w:bottom w:val="single" w:color="000000" w:sz="8" w:space="0"/>
              <w:right w:val="single" w:color="000000" w:sz="8" w:space="0"/>
            </w:tcBorders>
            <w:shd w:val="clear" w:color="auto" w:fill="auto"/>
            <w:vAlign w:val="center"/>
          </w:tcPr>
          <w:p w14:paraId="5FDB5F58">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768A12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44A90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89F7F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59A757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0A39F8C">
            <w:pPr>
              <w:jc w:val="center"/>
              <w:rPr>
                <w:rFonts w:hint="eastAsia" w:ascii="宋体" w:hAnsi="宋体" w:eastAsia="宋体" w:cs="宋体"/>
                <w:i w:val="0"/>
                <w:iCs w:val="0"/>
                <w:color w:val="000000"/>
                <w:sz w:val="20"/>
                <w:szCs w:val="20"/>
                <w:u w:val="none"/>
              </w:rPr>
            </w:pPr>
          </w:p>
        </w:tc>
      </w:tr>
      <w:tr w14:paraId="18B6E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8EFF33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03ACDAA">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0D615C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渲染-纹理</w:t>
            </w:r>
          </w:p>
        </w:tc>
        <w:tc>
          <w:tcPr>
            <w:tcW w:w="1400" w:type="dxa"/>
            <w:tcBorders>
              <w:top w:val="nil"/>
              <w:left w:val="nil"/>
              <w:bottom w:val="single" w:color="000000" w:sz="8" w:space="0"/>
              <w:right w:val="single" w:color="000000" w:sz="8" w:space="0"/>
            </w:tcBorders>
            <w:shd w:val="clear" w:color="auto" w:fill="auto"/>
            <w:vAlign w:val="center"/>
          </w:tcPr>
          <w:p w14:paraId="6C510E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默认纹理过滤 / 重复</w:t>
            </w:r>
          </w:p>
        </w:tc>
        <w:tc>
          <w:tcPr>
            <w:tcW w:w="2220" w:type="dxa"/>
            <w:tcBorders>
              <w:top w:val="nil"/>
              <w:left w:val="nil"/>
              <w:bottom w:val="single" w:color="000000" w:sz="8" w:space="0"/>
              <w:right w:val="single" w:color="000000" w:sz="8" w:space="0"/>
            </w:tcBorders>
            <w:shd w:val="clear" w:color="auto" w:fill="auto"/>
            <w:vAlign w:val="center"/>
          </w:tcPr>
          <w:p w14:paraId="0217B2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7BDDF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B7C9A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A54B54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39126DE">
            <w:pPr>
              <w:jc w:val="center"/>
              <w:rPr>
                <w:rFonts w:hint="eastAsia" w:ascii="宋体" w:hAnsi="宋体" w:eastAsia="宋体" w:cs="宋体"/>
                <w:i w:val="0"/>
                <w:iCs w:val="0"/>
                <w:color w:val="000000"/>
                <w:sz w:val="20"/>
                <w:szCs w:val="20"/>
                <w:u w:val="none"/>
              </w:rPr>
            </w:pPr>
          </w:p>
        </w:tc>
      </w:tr>
      <w:tr w14:paraId="7F86A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A500933">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98A6F39">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404009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25820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纹理导入压缩</w:t>
            </w:r>
          </w:p>
        </w:tc>
        <w:tc>
          <w:tcPr>
            <w:tcW w:w="2220" w:type="dxa"/>
            <w:tcBorders>
              <w:top w:val="nil"/>
              <w:left w:val="nil"/>
              <w:bottom w:val="single" w:color="000000" w:sz="8" w:space="0"/>
              <w:right w:val="single" w:color="000000" w:sz="8" w:space="0"/>
            </w:tcBorders>
            <w:shd w:val="clear" w:color="auto" w:fill="auto"/>
            <w:vAlign w:val="center"/>
          </w:tcPr>
          <w:p w14:paraId="587434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188C2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0AFAE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D30FDB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CF37A88">
            <w:pPr>
              <w:jc w:val="center"/>
              <w:rPr>
                <w:rFonts w:hint="eastAsia" w:ascii="宋体" w:hAnsi="宋体" w:eastAsia="宋体" w:cs="宋体"/>
                <w:i w:val="0"/>
                <w:iCs w:val="0"/>
                <w:color w:val="000000"/>
                <w:sz w:val="20"/>
                <w:szCs w:val="20"/>
                <w:u w:val="none"/>
              </w:rPr>
            </w:pPr>
          </w:p>
        </w:tc>
      </w:tr>
      <w:tr w14:paraId="0714D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F6525C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704D7AC">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7BBB2A8">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4203B1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使用 图形处理器压缩</w:t>
            </w:r>
          </w:p>
        </w:tc>
        <w:tc>
          <w:tcPr>
            <w:tcW w:w="2220" w:type="dxa"/>
            <w:tcBorders>
              <w:top w:val="nil"/>
              <w:left w:val="nil"/>
              <w:bottom w:val="single" w:color="000000" w:sz="8" w:space="0"/>
              <w:right w:val="single" w:color="000000" w:sz="8" w:space="0"/>
            </w:tcBorders>
            <w:shd w:val="clear" w:color="auto" w:fill="auto"/>
            <w:vAlign w:val="center"/>
          </w:tcPr>
          <w:p w14:paraId="2AFA8C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5873C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8B772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DF7E49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91995B5">
            <w:pPr>
              <w:jc w:val="center"/>
              <w:rPr>
                <w:rFonts w:hint="eastAsia" w:ascii="宋体" w:hAnsi="宋体" w:eastAsia="宋体" w:cs="宋体"/>
                <w:i w:val="0"/>
                <w:iCs w:val="0"/>
                <w:color w:val="000000"/>
                <w:sz w:val="20"/>
                <w:szCs w:val="20"/>
                <w:u w:val="none"/>
              </w:rPr>
            </w:pPr>
          </w:p>
        </w:tc>
      </w:tr>
      <w:tr w14:paraId="19E26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E4F378B">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76F2F67">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60A333D">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FC102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缓存 图形处理器压缩</w:t>
            </w:r>
          </w:p>
        </w:tc>
        <w:tc>
          <w:tcPr>
            <w:tcW w:w="2220" w:type="dxa"/>
            <w:tcBorders>
              <w:top w:val="nil"/>
              <w:left w:val="nil"/>
              <w:bottom w:val="single" w:color="000000" w:sz="8" w:space="0"/>
              <w:right w:val="single" w:color="000000" w:sz="8" w:space="0"/>
            </w:tcBorders>
            <w:shd w:val="clear" w:color="auto" w:fill="auto"/>
            <w:vAlign w:val="center"/>
          </w:tcPr>
          <w:p w14:paraId="1BD7E1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93B04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F7A14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8F11842">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F3D0975">
            <w:pPr>
              <w:jc w:val="center"/>
              <w:rPr>
                <w:rFonts w:hint="eastAsia" w:ascii="宋体" w:hAnsi="宋体" w:eastAsia="宋体" w:cs="宋体"/>
                <w:i w:val="0"/>
                <w:iCs w:val="0"/>
                <w:color w:val="000000"/>
                <w:sz w:val="20"/>
                <w:szCs w:val="20"/>
                <w:u w:val="none"/>
              </w:rPr>
            </w:pPr>
          </w:p>
        </w:tc>
      </w:tr>
      <w:tr w14:paraId="35948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F59919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F0901A8">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BAE36F7">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510249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图像压缩配置</w:t>
            </w:r>
          </w:p>
        </w:tc>
        <w:tc>
          <w:tcPr>
            <w:tcW w:w="2220" w:type="dxa"/>
            <w:tcBorders>
              <w:top w:val="nil"/>
              <w:left w:val="nil"/>
              <w:bottom w:val="single" w:color="000000" w:sz="8" w:space="0"/>
              <w:right w:val="single" w:color="000000" w:sz="8" w:space="0"/>
            </w:tcBorders>
            <w:shd w:val="clear" w:color="auto" w:fill="auto"/>
            <w:vAlign w:val="center"/>
          </w:tcPr>
          <w:p w14:paraId="427F88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58B51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D8112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4D676E2">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1055BC7">
            <w:pPr>
              <w:jc w:val="center"/>
              <w:rPr>
                <w:rFonts w:hint="eastAsia" w:ascii="宋体" w:hAnsi="宋体" w:eastAsia="宋体" w:cs="宋体"/>
                <w:i w:val="0"/>
                <w:iCs w:val="0"/>
                <w:color w:val="000000"/>
                <w:sz w:val="20"/>
                <w:szCs w:val="20"/>
                <w:u w:val="none"/>
              </w:rPr>
            </w:pPr>
          </w:p>
        </w:tc>
      </w:tr>
      <w:tr w14:paraId="17EAF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912CBB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83AFEB9">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17D3D83">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4BB636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纹理过滤模式</w:t>
            </w:r>
          </w:p>
        </w:tc>
        <w:tc>
          <w:tcPr>
            <w:tcW w:w="2220" w:type="dxa"/>
            <w:tcBorders>
              <w:top w:val="nil"/>
              <w:left w:val="nil"/>
              <w:bottom w:val="single" w:color="000000" w:sz="8" w:space="0"/>
              <w:right w:val="single" w:color="000000" w:sz="8" w:space="0"/>
            </w:tcBorders>
            <w:shd w:val="clear" w:color="auto" w:fill="auto"/>
            <w:vAlign w:val="center"/>
          </w:tcPr>
          <w:p w14:paraId="593C32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1D780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4DCBB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3F74E39">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A613AC3">
            <w:pPr>
              <w:jc w:val="center"/>
              <w:rPr>
                <w:rFonts w:hint="eastAsia" w:ascii="宋体" w:hAnsi="宋体" w:eastAsia="宋体" w:cs="宋体"/>
                <w:i w:val="0"/>
                <w:iCs w:val="0"/>
                <w:color w:val="000000"/>
                <w:sz w:val="20"/>
                <w:szCs w:val="20"/>
                <w:u w:val="none"/>
              </w:rPr>
            </w:pPr>
          </w:p>
        </w:tc>
      </w:tr>
      <w:tr w14:paraId="5EBA5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0668B8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613FF86">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894A16F">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219A44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各向异性过滤级别</w:t>
            </w:r>
          </w:p>
        </w:tc>
        <w:tc>
          <w:tcPr>
            <w:tcW w:w="2220" w:type="dxa"/>
            <w:tcBorders>
              <w:top w:val="nil"/>
              <w:left w:val="nil"/>
              <w:bottom w:val="single" w:color="000000" w:sz="8" w:space="0"/>
              <w:right w:val="single" w:color="000000" w:sz="8" w:space="0"/>
            </w:tcBorders>
            <w:shd w:val="clear" w:color="auto" w:fill="auto"/>
            <w:vAlign w:val="center"/>
          </w:tcPr>
          <w:p w14:paraId="271846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3EBEE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B688E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B42666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EA41365">
            <w:pPr>
              <w:jc w:val="center"/>
              <w:rPr>
                <w:rFonts w:hint="eastAsia" w:ascii="宋体" w:hAnsi="宋体" w:eastAsia="宋体" w:cs="宋体"/>
                <w:i w:val="0"/>
                <w:iCs w:val="0"/>
                <w:color w:val="000000"/>
                <w:sz w:val="20"/>
                <w:szCs w:val="20"/>
                <w:u w:val="none"/>
              </w:rPr>
            </w:pPr>
          </w:p>
        </w:tc>
      </w:tr>
      <w:tr w14:paraId="192C2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7F2ACFA">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E3CEC3D">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76E067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7E7EF0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纹理多级近远配置</w:t>
            </w:r>
          </w:p>
        </w:tc>
        <w:tc>
          <w:tcPr>
            <w:tcW w:w="2220" w:type="dxa"/>
            <w:tcBorders>
              <w:top w:val="nil"/>
              <w:left w:val="nil"/>
              <w:bottom w:val="single" w:color="000000" w:sz="8" w:space="0"/>
              <w:right w:val="single" w:color="000000" w:sz="8" w:space="0"/>
            </w:tcBorders>
            <w:shd w:val="clear" w:color="auto" w:fill="auto"/>
            <w:vAlign w:val="center"/>
          </w:tcPr>
          <w:p w14:paraId="4C030C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C63AE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82BCC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70A77A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1129D3D">
            <w:pPr>
              <w:jc w:val="center"/>
              <w:rPr>
                <w:rFonts w:hint="eastAsia" w:ascii="宋体" w:hAnsi="宋体" w:eastAsia="宋体" w:cs="宋体"/>
                <w:i w:val="0"/>
                <w:iCs w:val="0"/>
                <w:color w:val="000000"/>
                <w:sz w:val="20"/>
                <w:szCs w:val="20"/>
                <w:u w:val="none"/>
              </w:rPr>
            </w:pPr>
          </w:p>
        </w:tc>
      </w:tr>
      <w:tr w14:paraId="24DC2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AAFF75A">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53E8BE9">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6B81D3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06789B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贴花 / 光投射器过滤</w:t>
            </w:r>
          </w:p>
        </w:tc>
        <w:tc>
          <w:tcPr>
            <w:tcW w:w="2220" w:type="dxa"/>
            <w:tcBorders>
              <w:top w:val="nil"/>
              <w:left w:val="nil"/>
              <w:bottom w:val="single" w:color="000000" w:sz="8" w:space="0"/>
              <w:right w:val="single" w:color="000000" w:sz="8" w:space="0"/>
            </w:tcBorders>
            <w:shd w:val="clear" w:color="auto" w:fill="auto"/>
            <w:vAlign w:val="center"/>
          </w:tcPr>
          <w:p w14:paraId="4F83F3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4348D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23AB8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92B955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E3F10C5">
            <w:pPr>
              <w:jc w:val="center"/>
              <w:rPr>
                <w:rFonts w:hint="eastAsia" w:ascii="宋体" w:hAnsi="宋体" w:eastAsia="宋体" w:cs="宋体"/>
                <w:i w:val="0"/>
                <w:iCs w:val="0"/>
                <w:color w:val="000000"/>
                <w:sz w:val="20"/>
                <w:szCs w:val="20"/>
                <w:u w:val="none"/>
              </w:rPr>
            </w:pPr>
          </w:p>
        </w:tc>
      </w:tr>
      <w:tr w14:paraId="76964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0CEF48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93BCC21">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1A70B6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渲染-相机</w:t>
            </w:r>
          </w:p>
        </w:tc>
        <w:tc>
          <w:tcPr>
            <w:tcW w:w="1400" w:type="dxa"/>
            <w:tcBorders>
              <w:top w:val="nil"/>
              <w:left w:val="nil"/>
              <w:bottom w:val="single" w:color="000000" w:sz="8" w:space="0"/>
              <w:right w:val="single" w:color="000000" w:sz="8" w:space="0"/>
            </w:tcBorders>
            <w:shd w:val="clear" w:color="auto" w:fill="auto"/>
            <w:vAlign w:val="center"/>
          </w:tcPr>
          <w:p w14:paraId="0A68BD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景深散景形状</w:t>
            </w:r>
          </w:p>
        </w:tc>
        <w:tc>
          <w:tcPr>
            <w:tcW w:w="2220" w:type="dxa"/>
            <w:tcBorders>
              <w:top w:val="nil"/>
              <w:left w:val="nil"/>
              <w:bottom w:val="single" w:color="000000" w:sz="8" w:space="0"/>
              <w:right w:val="single" w:color="000000" w:sz="8" w:space="0"/>
            </w:tcBorders>
            <w:shd w:val="clear" w:color="auto" w:fill="auto"/>
            <w:vAlign w:val="center"/>
          </w:tcPr>
          <w:p w14:paraId="0E92B7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2F8F0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4A63F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80AD5AE">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E9E30A8">
            <w:pPr>
              <w:jc w:val="center"/>
              <w:rPr>
                <w:rFonts w:hint="eastAsia" w:ascii="宋体" w:hAnsi="宋体" w:eastAsia="宋体" w:cs="宋体"/>
                <w:i w:val="0"/>
                <w:iCs w:val="0"/>
                <w:color w:val="000000"/>
                <w:sz w:val="20"/>
                <w:szCs w:val="20"/>
                <w:u w:val="none"/>
              </w:rPr>
            </w:pPr>
          </w:p>
        </w:tc>
      </w:tr>
      <w:tr w14:paraId="213CF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35252CB">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DDFDD14">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46DD03F">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503538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景深散景质量</w:t>
            </w:r>
          </w:p>
        </w:tc>
        <w:tc>
          <w:tcPr>
            <w:tcW w:w="2220" w:type="dxa"/>
            <w:tcBorders>
              <w:top w:val="nil"/>
              <w:left w:val="nil"/>
              <w:bottom w:val="single" w:color="000000" w:sz="8" w:space="0"/>
              <w:right w:val="single" w:color="000000" w:sz="8" w:space="0"/>
            </w:tcBorders>
            <w:shd w:val="clear" w:color="auto" w:fill="auto"/>
            <w:vAlign w:val="center"/>
          </w:tcPr>
          <w:p w14:paraId="2588C9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52606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E4108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2388D9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E0A411E">
            <w:pPr>
              <w:jc w:val="center"/>
              <w:rPr>
                <w:rFonts w:hint="eastAsia" w:ascii="宋体" w:hAnsi="宋体" w:eastAsia="宋体" w:cs="宋体"/>
                <w:i w:val="0"/>
                <w:iCs w:val="0"/>
                <w:color w:val="000000"/>
                <w:sz w:val="20"/>
                <w:szCs w:val="20"/>
                <w:u w:val="none"/>
              </w:rPr>
            </w:pPr>
          </w:p>
        </w:tc>
      </w:tr>
      <w:tr w14:paraId="408E9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77A0EC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D98D4E5">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599A10C">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6F4641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景深使用抖动</w:t>
            </w:r>
          </w:p>
        </w:tc>
        <w:tc>
          <w:tcPr>
            <w:tcW w:w="2220" w:type="dxa"/>
            <w:tcBorders>
              <w:top w:val="nil"/>
              <w:left w:val="nil"/>
              <w:bottom w:val="single" w:color="000000" w:sz="8" w:space="0"/>
              <w:right w:val="single" w:color="000000" w:sz="8" w:space="0"/>
            </w:tcBorders>
            <w:shd w:val="clear" w:color="auto" w:fill="auto"/>
            <w:vAlign w:val="center"/>
          </w:tcPr>
          <w:p w14:paraId="771B36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819DC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FC40E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3C8BB87">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DCD5094">
            <w:pPr>
              <w:jc w:val="center"/>
              <w:rPr>
                <w:rFonts w:hint="eastAsia" w:ascii="宋体" w:hAnsi="宋体" w:eastAsia="宋体" w:cs="宋体"/>
                <w:i w:val="0"/>
                <w:iCs w:val="0"/>
                <w:color w:val="000000"/>
                <w:sz w:val="20"/>
                <w:szCs w:val="20"/>
                <w:u w:val="none"/>
              </w:rPr>
            </w:pPr>
          </w:p>
        </w:tc>
      </w:tr>
      <w:tr w14:paraId="50AF2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59D9F0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A0F4BAD">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49E276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渲染-环境</w:t>
            </w:r>
          </w:p>
        </w:tc>
        <w:tc>
          <w:tcPr>
            <w:tcW w:w="1400" w:type="dxa"/>
            <w:tcBorders>
              <w:top w:val="nil"/>
              <w:left w:val="nil"/>
              <w:bottom w:val="single" w:color="000000" w:sz="8" w:space="0"/>
              <w:right w:val="single" w:color="000000" w:sz="8" w:space="0"/>
            </w:tcBorders>
            <w:shd w:val="clear" w:color="auto" w:fill="auto"/>
            <w:vAlign w:val="center"/>
          </w:tcPr>
          <w:p w14:paraId="78232F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屏幕空间环境光遮蔽质量</w:t>
            </w:r>
          </w:p>
        </w:tc>
        <w:tc>
          <w:tcPr>
            <w:tcW w:w="2220" w:type="dxa"/>
            <w:tcBorders>
              <w:top w:val="nil"/>
              <w:left w:val="nil"/>
              <w:bottom w:val="single" w:color="000000" w:sz="8" w:space="0"/>
              <w:right w:val="single" w:color="000000" w:sz="8" w:space="0"/>
            </w:tcBorders>
            <w:shd w:val="clear" w:color="auto" w:fill="auto"/>
            <w:vAlign w:val="center"/>
          </w:tcPr>
          <w:p w14:paraId="653C36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72638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290A4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ABB58F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4672284">
            <w:pPr>
              <w:jc w:val="center"/>
              <w:rPr>
                <w:rFonts w:hint="eastAsia" w:ascii="宋体" w:hAnsi="宋体" w:eastAsia="宋体" w:cs="宋体"/>
                <w:i w:val="0"/>
                <w:iCs w:val="0"/>
                <w:color w:val="000000"/>
                <w:sz w:val="20"/>
                <w:szCs w:val="20"/>
                <w:u w:val="none"/>
              </w:rPr>
            </w:pPr>
          </w:p>
        </w:tc>
      </w:tr>
      <w:tr w14:paraId="7FC09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8973F3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4B85ABE">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7E7E357">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764FC4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一半大小</w:t>
            </w:r>
          </w:p>
        </w:tc>
        <w:tc>
          <w:tcPr>
            <w:tcW w:w="2220" w:type="dxa"/>
            <w:tcBorders>
              <w:top w:val="nil"/>
              <w:left w:val="nil"/>
              <w:bottom w:val="single" w:color="000000" w:sz="8" w:space="0"/>
              <w:right w:val="single" w:color="000000" w:sz="8" w:space="0"/>
            </w:tcBorders>
            <w:shd w:val="clear" w:color="auto" w:fill="auto"/>
            <w:vAlign w:val="center"/>
          </w:tcPr>
          <w:p w14:paraId="2ACC1F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CC09A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412EF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E7B039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54077A2">
            <w:pPr>
              <w:jc w:val="center"/>
              <w:rPr>
                <w:rFonts w:hint="eastAsia" w:ascii="宋体" w:hAnsi="宋体" w:eastAsia="宋体" w:cs="宋体"/>
                <w:i w:val="0"/>
                <w:iCs w:val="0"/>
                <w:color w:val="000000"/>
                <w:sz w:val="20"/>
                <w:szCs w:val="20"/>
                <w:u w:val="none"/>
              </w:rPr>
            </w:pPr>
          </w:p>
        </w:tc>
      </w:tr>
      <w:tr w14:paraId="6BFDA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38E704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F949B17">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9CE0D4F">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665D53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适应目标</w:t>
            </w:r>
          </w:p>
        </w:tc>
        <w:tc>
          <w:tcPr>
            <w:tcW w:w="2220" w:type="dxa"/>
            <w:tcBorders>
              <w:top w:val="nil"/>
              <w:left w:val="nil"/>
              <w:bottom w:val="single" w:color="000000" w:sz="8" w:space="0"/>
              <w:right w:val="single" w:color="000000" w:sz="8" w:space="0"/>
            </w:tcBorders>
            <w:shd w:val="clear" w:color="auto" w:fill="auto"/>
            <w:vAlign w:val="center"/>
          </w:tcPr>
          <w:p w14:paraId="665D91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B0680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AE623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FAAA11E">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D26CE78">
            <w:pPr>
              <w:jc w:val="center"/>
              <w:rPr>
                <w:rFonts w:hint="eastAsia" w:ascii="宋体" w:hAnsi="宋体" w:eastAsia="宋体" w:cs="宋体"/>
                <w:i w:val="0"/>
                <w:iCs w:val="0"/>
                <w:color w:val="000000"/>
                <w:sz w:val="20"/>
                <w:szCs w:val="20"/>
                <w:u w:val="none"/>
              </w:rPr>
            </w:pPr>
          </w:p>
        </w:tc>
      </w:tr>
      <w:tr w14:paraId="4350D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3F0FB74">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86EDB39">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ACEBD3A">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C99D4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模糊通道</w:t>
            </w:r>
          </w:p>
        </w:tc>
        <w:tc>
          <w:tcPr>
            <w:tcW w:w="2220" w:type="dxa"/>
            <w:tcBorders>
              <w:top w:val="nil"/>
              <w:left w:val="nil"/>
              <w:bottom w:val="single" w:color="000000" w:sz="8" w:space="0"/>
              <w:right w:val="single" w:color="000000" w:sz="8" w:space="0"/>
            </w:tcBorders>
            <w:shd w:val="clear" w:color="auto" w:fill="auto"/>
            <w:vAlign w:val="center"/>
          </w:tcPr>
          <w:p w14:paraId="07F57F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FD3D1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42CB8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B2A176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0D3EFD5">
            <w:pPr>
              <w:jc w:val="center"/>
              <w:rPr>
                <w:rFonts w:hint="eastAsia" w:ascii="宋体" w:hAnsi="宋体" w:eastAsia="宋体" w:cs="宋体"/>
                <w:i w:val="0"/>
                <w:iCs w:val="0"/>
                <w:color w:val="000000"/>
                <w:sz w:val="20"/>
                <w:szCs w:val="20"/>
                <w:u w:val="none"/>
              </w:rPr>
            </w:pPr>
          </w:p>
        </w:tc>
      </w:tr>
      <w:tr w14:paraId="7561B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CC80AF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EAC63C5">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556521D">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03F68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淡出起点</w:t>
            </w:r>
          </w:p>
        </w:tc>
        <w:tc>
          <w:tcPr>
            <w:tcW w:w="2220" w:type="dxa"/>
            <w:tcBorders>
              <w:top w:val="nil"/>
              <w:left w:val="nil"/>
              <w:bottom w:val="single" w:color="000000" w:sz="8" w:space="0"/>
              <w:right w:val="single" w:color="000000" w:sz="8" w:space="0"/>
            </w:tcBorders>
            <w:shd w:val="clear" w:color="auto" w:fill="auto"/>
            <w:vAlign w:val="center"/>
          </w:tcPr>
          <w:p w14:paraId="384F9D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48544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61E3A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0F868C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EE486E5">
            <w:pPr>
              <w:jc w:val="center"/>
              <w:rPr>
                <w:rFonts w:hint="eastAsia" w:ascii="宋体" w:hAnsi="宋体" w:eastAsia="宋体" w:cs="宋体"/>
                <w:i w:val="0"/>
                <w:iCs w:val="0"/>
                <w:color w:val="000000"/>
                <w:sz w:val="20"/>
                <w:szCs w:val="20"/>
                <w:u w:val="none"/>
              </w:rPr>
            </w:pPr>
          </w:p>
        </w:tc>
      </w:tr>
      <w:tr w14:paraId="667C2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68A6E6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05935F4">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894CF69">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08F5E8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淡出终点</w:t>
            </w:r>
          </w:p>
        </w:tc>
        <w:tc>
          <w:tcPr>
            <w:tcW w:w="2220" w:type="dxa"/>
            <w:tcBorders>
              <w:top w:val="nil"/>
              <w:left w:val="nil"/>
              <w:bottom w:val="single" w:color="000000" w:sz="8" w:space="0"/>
              <w:right w:val="single" w:color="000000" w:sz="8" w:space="0"/>
            </w:tcBorders>
            <w:shd w:val="clear" w:color="auto" w:fill="auto"/>
            <w:vAlign w:val="center"/>
          </w:tcPr>
          <w:p w14:paraId="5FB6A1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B474A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13205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E1316E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ED837B9">
            <w:pPr>
              <w:jc w:val="center"/>
              <w:rPr>
                <w:rFonts w:hint="eastAsia" w:ascii="宋体" w:hAnsi="宋体" w:eastAsia="宋体" w:cs="宋体"/>
                <w:i w:val="0"/>
                <w:iCs w:val="0"/>
                <w:color w:val="000000"/>
                <w:sz w:val="20"/>
                <w:szCs w:val="20"/>
                <w:u w:val="none"/>
              </w:rPr>
            </w:pPr>
          </w:p>
        </w:tc>
      </w:tr>
      <w:tr w14:paraId="610C9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6D2051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B53D681">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53AC620">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41328B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屏幕空间间接光照-质量</w:t>
            </w:r>
          </w:p>
        </w:tc>
        <w:tc>
          <w:tcPr>
            <w:tcW w:w="2220" w:type="dxa"/>
            <w:tcBorders>
              <w:top w:val="nil"/>
              <w:left w:val="nil"/>
              <w:bottom w:val="single" w:color="000000" w:sz="8" w:space="0"/>
              <w:right w:val="single" w:color="000000" w:sz="8" w:space="0"/>
            </w:tcBorders>
            <w:shd w:val="clear" w:color="auto" w:fill="auto"/>
            <w:vAlign w:val="center"/>
          </w:tcPr>
          <w:p w14:paraId="0D2536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51040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9CB64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1AE58F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296820B">
            <w:pPr>
              <w:jc w:val="center"/>
              <w:rPr>
                <w:rFonts w:hint="eastAsia" w:ascii="宋体" w:hAnsi="宋体" w:eastAsia="宋体" w:cs="宋体"/>
                <w:i w:val="0"/>
                <w:iCs w:val="0"/>
                <w:color w:val="000000"/>
                <w:sz w:val="20"/>
                <w:szCs w:val="20"/>
                <w:u w:val="none"/>
              </w:rPr>
            </w:pPr>
          </w:p>
        </w:tc>
      </w:tr>
      <w:tr w14:paraId="3965F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F93A00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846E254">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2D479C8">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5E3E08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辉光-放大模式</w:t>
            </w:r>
          </w:p>
        </w:tc>
        <w:tc>
          <w:tcPr>
            <w:tcW w:w="2220" w:type="dxa"/>
            <w:tcBorders>
              <w:top w:val="nil"/>
              <w:left w:val="nil"/>
              <w:bottom w:val="single" w:color="000000" w:sz="8" w:space="0"/>
              <w:right w:val="single" w:color="000000" w:sz="8" w:space="0"/>
            </w:tcBorders>
            <w:shd w:val="clear" w:color="auto" w:fill="auto"/>
            <w:vAlign w:val="center"/>
          </w:tcPr>
          <w:p w14:paraId="349F12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9326F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C172A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FF177B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3E3B400">
            <w:pPr>
              <w:jc w:val="center"/>
              <w:rPr>
                <w:rFonts w:hint="eastAsia" w:ascii="宋体" w:hAnsi="宋体" w:eastAsia="宋体" w:cs="宋体"/>
                <w:i w:val="0"/>
                <w:iCs w:val="0"/>
                <w:color w:val="000000"/>
                <w:sz w:val="20"/>
                <w:szCs w:val="20"/>
                <w:u w:val="none"/>
              </w:rPr>
            </w:pPr>
          </w:p>
        </w:tc>
      </w:tr>
      <w:tr w14:paraId="74F65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5D4B75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D5CF65A">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C373419">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0FAFF7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放大模式.移动</w:t>
            </w:r>
          </w:p>
        </w:tc>
        <w:tc>
          <w:tcPr>
            <w:tcW w:w="2220" w:type="dxa"/>
            <w:tcBorders>
              <w:top w:val="nil"/>
              <w:left w:val="nil"/>
              <w:bottom w:val="single" w:color="000000" w:sz="8" w:space="0"/>
              <w:right w:val="single" w:color="000000" w:sz="8" w:space="0"/>
            </w:tcBorders>
            <w:shd w:val="clear" w:color="auto" w:fill="auto"/>
            <w:vAlign w:val="center"/>
          </w:tcPr>
          <w:p w14:paraId="08CC71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F4476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2C34E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8D5ECE7">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DA09324">
            <w:pPr>
              <w:jc w:val="center"/>
              <w:rPr>
                <w:rFonts w:hint="eastAsia" w:ascii="宋体" w:hAnsi="宋体" w:eastAsia="宋体" w:cs="宋体"/>
                <w:i w:val="0"/>
                <w:iCs w:val="0"/>
                <w:color w:val="000000"/>
                <w:sz w:val="20"/>
                <w:szCs w:val="20"/>
                <w:u w:val="none"/>
              </w:rPr>
            </w:pPr>
          </w:p>
        </w:tc>
      </w:tr>
      <w:tr w14:paraId="114C4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623729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D634060">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677C32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5E5F32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屏幕空间反射-粗糙度质量</w:t>
            </w:r>
          </w:p>
        </w:tc>
        <w:tc>
          <w:tcPr>
            <w:tcW w:w="2220" w:type="dxa"/>
            <w:tcBorders>
              <w:top w:val="nil"/>
              <w:left w:val="nil"/>
              <w:bottom w:val="single" w:color="000000" w:sz="8" w:space="0"/>
              <w:right w:val="single" w:color="000000" w:sz="8" w:space="0"/>
            </w:tcBorders>
            <w:shd w:val="clear" w:color="auto" w:fill="auto"/>
            <w:vAlign w:val="center"/>
          </w:tcPr>
          <w:p w14:paraId="50ADF1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779E2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00FB8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E97171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402BC03">
            <w:pPr>
              <w:jc w:val="center"/>
              <w:rPr>
                <w:rFonts w:hint="eastAsia" w:ascii="宋体" w:hAnsi="宋体" w:eastAsia="宋体" w:cs="宋体"/>
                <w:i w:val="0"/>
                <w:iCs w:val="0"/>
                <w:color w:val="000000"/>
                <w:sz w:val="20"/>
                <w:szCs w:val="20"/>
                <w:u w:val="none"/>
              </w:rPr>
            </w:pPr>
          </w:p>
        </w:tc>
      </w:tr>
      <w:tr w14:paraId="72F74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CC6332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9B5BA3C">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9AA8C8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5A2D65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次表面散射质量</w:t>
            </w:r>
          </w:p>
        </w:tc>
        <w:tc>
          <w:tcPr>
            <w:tcW w:w="2220" w:type="dxa"/>
            <w:tcBorders>
              <w:top w:val="nil"/>
              <w:left w:val="nil"/>
              <w:bottom w:val="single" w:color="000000" w:sz="8" w:space="0"/>
              <w:right w:val="single" w:color="000000" w:sz="8" w:space="0"/>
            </w:tcBorders>
            <w:shd w:val="clear" w:color="auto" w:fill="auto"/>
            <w:vAlign w:val="center"/>
          </w:tcPr>
          <w:p w14:paraId="08F4BB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2EB7A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85EA3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74838BE">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3F17501">
            <w:pPr>
              <w:jc w:val="center"/>
              <w:rPr>
                <w:rFonts w:hint="eastAsia" w:ascii="宋体" w:hAnsi="宋体" w:eastAsia="宋体" w:cs="宋体"/>
                <w:i w:val="0"/>
                <w:iCs w:val="0"/>
                <w:color w:val="000000"/>
                <w:sz w:val="20"/>
                <w:szCs w:val="20"/>
                <w:u w:val="none"/>
              </w:rPr>
            </w:pPr>
          </w:p>
        </w:tc>
      </w:tr>
      <w:tr w14:paraId="0B103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FEFEED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0F470DB">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FB6838C">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9B314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次表面散射比例</w:t>
            </w:r>
          </w:p>
        </w:tc>
        <w:tc>
          <w:tcPr>
            <w:tcW w:w="2220" w:type="dxa"/>
            <w:tcBorders>
              <w:top w:val="nil"/>
              <w:left w:val="nil"/>
              <w:bottom w:val="single" w:color="000000" w:sz="8" w:space="0"/>
              <w:right w:val="single" w:color="000000" w:sz="8" w:space="0"/>
            </w:tcBorders>
            <w:shd w:val="clear" w:color="auto" w:fill="auto"/>
            <w:vAlign w:val="center"/>
          </w:tcPr>
          <w:p w14:paraId="33754D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8301B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0FC97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AA099D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E4CB1CF">
            <w:pPr>
              <w:jc w:val="center"/>
              <w:rPr>
                <w:rFonts w:hint="eastAsia" w:ascii="宋体" w:hAnsi="宋体" w:eastAsia="宋体" w:cs="宋体"/>
                <w:i w:val="0"/>
                <w:iCs w:val="0"/>
                <w:color w:val="000000"/>
                <w:sz w:val="20"/>
                <w:szCs w:val="20"/>
                <w:u w:val="none"/>
              </w:rPr>
            </w:pPr>
          </w:p>
        </w:tc>
      </w:tr>
      <w:tr w14:paraId="4AD43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4B1BBE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EF81EA3">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02072D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45BDA2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次表面散射深度比例</w:t>
            </w:r>
          </w:p>
        </w:tc>
        <w:tc>
          <w:tcPr>
            <w:tcW w:w="2220" w:type="dxa"/>
            <w:tcBorders>
              <w:top w:val="nil"/>
              <w:left w:val="nil"/>
              <w:bottom w:val="single" w:color="000000" w:sz="8" w:space="0"/>
              <w:right w:val="single" w:color="000000" w:sz="8" w:space="0"/>
            </w:tcBorders>
            <w:shd w:val="clear" w:color="auto" w:fill="auto"/>
            <w:vAlign w:val="center"/>
          </w:tcPr>
          <w:p w14:paraId="15F112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3A04A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ACA90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DDBB9D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CDC968E">
            <w:pPr>
              <w:jc w:val="center"/>
              <w:rPr>
                <w:rFonts w:hint="eastAsia" w:ascii="宋体" w:hAnsi="宋体" w:eastAsia="宋体" w:cs="宋体"/>
                <w:i w:val="0"/>
                <w:iCs w:val="0"/>
                <w:color w:val="000000"/>
                <w:sz w:val="20"/>
                <w:szCs w:val="20"/>
                <w:u w:val="none"/>
              </w:rPr>
            </w:pPr>
          </w:p>
        </w:tc>
      </w:tr>
      <w:tr w14:paraId="1E843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914FE4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DE9B0D1">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FB67BCF">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784CFD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体积雾-体积尺寸</w:t>
            </w:r>
          </w:p>
        </w:tc>
        <w:tc>
          <w:tcPr>
            <w:tcW w:w="2220" w:type="dxa"/>
            <w:tcBorders>
              <w:top w:val="nil"/>
              <w:left w:val="nil"/>
              <w:bottom w:val="single" w:color="000000" w:sz="8" w:space="0"/>
              <w:right w:val="single" w:color="000000" w:sz="8" w:space="0"/>
            </w:tcBorders>
            <w:shd w:val="clear" w:color="auto" w:fill="auto"/>
            <w:vAlign w:val="center"/>
          </w:tcPr>
          <w:p w14:paraId="630154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2712E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4F1A0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F4F344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4738C86">
            <w:pPr>
              <w:jc w:val="center"/>
              <w:rPr>
                <w:rFonts w:hint="eastAsia" w:ascii="宋体" w:hAnsi="宋体" w:eastAsia="宋体" w:cs="宋体"/>
                <w:i w:val="0"/>
                <w:iCs w:val="0"/>
                <w:color w:val="000000"/>
                <w:sz w:val="20"/>
                <w:szCs w:val="20"/>
                <w:u w:val="none"/>
              </w:rPr>
            </w:pPr>
          </w:p>
        </w:tc>
      </w:tr>
      <w:tr w14:paraId="16D97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DA666FA">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5C53EB8">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0B33B5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69E41C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体积深度</w:t>
            </w:r>
          </w:p>
        </w:tc>
        <w:tc>
          <w:tcPr>
            <w:tcW w:w="2220" w:type="dxa"/>
            <w:tcBorders>
              <w:top w:val="nil"/>
              <w:left w:val="nil"/>
              <w:bottom w:val="single" w:color="000000" w:sz="8" w:space="0"/>
              <w:right w:val="single" w:color="000000" w:sz="8" w:space="0"/>
            </w:tcBorders>
            <w:shd w:val="clear" w:color="auto" w:fill="auto"/>
            <w:vAlign w:val="center"/>
          </w:tcPr>
          <w:p w14:paraId="0D6514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3A22A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B6EF9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B3A70A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8BFE5DC">
            <w:pPr>
              <w:jc w:val="center"/>
              <w:rPr>
                <w:rFonts w:hint="eastAsia" w:ascii="宋体" w:hAnsi="宋体" w:eastAsia="宋体" w:cs="宋体"/>
                <w:i w:val="0"/>
                <w:iCs w:val="0"/>
                <w:color w:val="000000"/>
                <w:sz w:val="20"/>
                <w:szCs w:val="20"/>
                <w:u w:val="none"/>
              </w:rPr>
            </w:pPr>
          </w:p>
        </w:tc>
      </w:tr>
      <w:tr w14:paraId="0C102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D15627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EBAF1CC">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6392A27">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3142A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使用过滤</w:t>
            </w:r>
          </w:p>
        </w:tc>
        <w:tc>
          <w:tcPr>
            <w:tcW w:w="2220" w:type="dxa"/>
            <w:tcBorders>
              <w:top w:val="nil"/>
              <w:left w:val="nil"/>
              <w:bottom w:val="single" w:color="000000" w:sz="8" w:space="0"/>
              <w:right w:val="single" w:color="000000" w:sz="8" w:space="0"/>
            </w:tcBorders>
            <w:shd w:val="clear" w:color="auto" w:fill="auto"/>
            <w:vAlign w:val="center"/>
          </w:tcPr>
          <w:p w14:paraId="0A5FDB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8DF4A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2AAF7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825CB2E">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43390A4">
            <w:pPr>
              <w:jc w:val="center"/>
              <w:rPr>
                <w:rFonts w:hint="eastAsia" w:ascii="宋体" w:hAnsi="宋体" w:eastAsia="宋体" w:cs="宋体"/>
                <w:i w:val="0"/>
                <w:iCs w:val="0"/>
                <w:color w:val="000000"/>
                <w:sz w:val="20"/>
                <w:szCs w:val="20"/>
                <w:u w:val="none"/>
              </w:rPr>
            </w:pPr>
          </w:p>
        </w:tc>
      </w:tr>
      <w:tr w14:paraId="4A027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C27A9F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CDFE40A">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DA7E88C">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6523C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默认-默认清屏颜色</w:t>
            </w:r>
          </w:p>
        </w:tc>
        <w:tc>
          <w:tcPr>
            <w:tcW w:w="2220" w:type="dxa"/>
            <w:tcBorders>
              <w:top w:val="nil"/>
              <w:left w:val="nil"/>
              <w:bottom w:val="single" w:color="000000" w:sz="8" w:space="0"/>
              <w:right w:val="single" w:color="000000" w:sz="8" w:space="0"/>
            </w:tcBorders>
            <w:shd w:val="clear" w:color="auto" w:fill="auto"/>
            <w:vAlign w:val="center"/>
          </w:tcPr>
          <w:p w14:paraId="6ECC62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5B939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8F451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7B6372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9BFE61E">
            <w:pPr>
              <w:jc w:val="center"/>
              <w:rPr>
                <w:rFonts w:hint="eastAsia" w:ascii="宋体" w:hAnsi="宋体" w:eastAsia="宋体" w:cs="宋体"/>
                <w:i w:val="0"/>
                <w:iCs w:val="0"/>
                <w:color w:val="000000"/>
                <w:sz w:val="20"/>
                <w:szCs w:val="20"/>
                <w:u w:val="none"/>
              </w:rPr>
            </w:pPr>
          </w:p>
        </w:tc>
      </w:tr>
      <w:tr w14:paraId="23252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F50DB01">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0AD3E12">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F75983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7B098B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默认环境</w:t>
            </w:r>
          </w:p>
        </w:tc>
        <w:tc>
          <w:tcPr>
            <w:tcW w:w="2220" w:type="dxa"/>
            <w:tcBorders>
              <w:top w:val="nil"/>
              <w:left w:val="nil"/>
              <w:bottom w:val="single" w:color="000000" w:sz="8" w:space="0"/>
              <w:right w:val="single" w:color="000000" w:sz="8" w:space="0"/>
            </w:tcBorders>
            <w:shd w:val="clear" w:color="auto" w:fill="auto"/>
            <w:vAlign w:val="center"/>
          </w:tcPr>
          <w:p w14:paraId="3BAEE6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8B7D8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B602F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D5A400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344BD1C">
            <w:pPr>
              <w:jc w:val="center"/>
              <w:rPr>
                <w:rFonts w:hint="eastAsia" w:ascii="宋体" w:hAnsi="宋体" w:eastAsia="宋体" w:cs="宋体"/>
                <w:i w:val="0"/>
                <w:iCs w:val="0"/>
                <w:color w:val="000000"/>
                <w:sz w:val="20"/>
                <w:szCs w:val="20"/>
                <w:u w:val="none"/>
              </w:rPr>
            </w:pPr>
          </w:p>
        </w:tc>
      </w:tr>
      <w:tr w14:paraId="431BB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EAF58D3">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0B916B2">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07ED10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渲染-视口</w:t>
            </w:r>
          </w:p>
        </w:tc>
        <w:tc>
          <w:tcPr>
            <w:tcW w:w="1400" w:type="dxa"/>
            <w:tcBorders>
              <w:top w:val="nil"/>
              <w:left w:val="nil"/>
              <w:bottom w:val="single" w:color="000000" w:sz="8" w:space="0"/>
              <w:right w:val="single" w:color="000000" w:sz="8" w:space="0"/>
            </w:tcBorders>
            <w:shd w:val="clear" w:color="auto" w:fill="auto"/>
            <w:vAlign w:val="center"/>
          </w:tcPr>
          <w:p w14:paraId="5EEB68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高动态范围成像 二维</w:t>
            </w:r>
          </w:p>
        </w:tc>
        <w:tc>
          <w:tcPr>
            <w:tcW w:w="2220" w:type="dxa"/>
            <w:tcBorders>
              <w:top w:val="nil"/>
              <w:left w:val="nil"/>
              <w:bottom w:val="single" w:color="000000" w:sz="8" w:space="0"/>
              <w:right w:val="single" w:color="000000" w:sz="8" w:space="0"/>
            </w:tcBorders>
            <w:shd w:val="clear" w:color="auto" w:fill="auto"/>
            <w:vAlign w:val="center"/>
          </w:tcPr>
          <w:p w14:paraId="0266D5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EB826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00D66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6620E62">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AF4B978">
            <w:pPr>
              <w:jc w:val="center"/>
              <w:rPr>
                <w:rFonts w:hint="eastAsia" w:ascii="宋体" w:hAnsi="宋体" w:eastAsia="宋体" w:cs="宋体"/>
                <w:i w:val="0"/>
                <w:iCs w:val="0"/>
                <w:color w:val="000000"/>
                <w:sz w:val="20"/>
                <w:szCs w:val="20"/>
                <w:u w:val="none"/>
              </w:rPr>
            </w:pPr>
          </w:p>
        </w:tc>
      </w:tr>
      <w:tr w14:paraId="5DE7A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999822B">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D887EC2">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6134E6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4B3AC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透明背景</w:t>
            </w:r>
          </w:p>
        </w:tc>
        <w:tc>
          <w:tcPr>
            <w:tcW w:w="2220" w:type="dxa"/>
            <w:tcBorders>
              <w:top w:val="nil"/>
              <w:left w:val="nil"/>
              <w:bottom w:val="single" w:color="000000" w:sz="8" w:space="0"/>
              <w:right w:val="single" w:color="000000" w:sz="8" w:space="0"/>
            </w:tcBorders>
            <w:shd w:val="clear" w:color="auto" w:fill="auto"/>
            <w:vAlign w:val="center"/>
          </w:tcPr>
          <w:p w14:paraId="018963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9671F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313EB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6A12EE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A343A09">
            <w:pPr>
              <w:jc w:val="center"/>
              <w:rPr>
                <w:rFonts w:hint="eastAsia" w:ascii="宋体" w:hAnsi="宋体" w:eastAsia="宋体" w:cs="宋体"/>
                <w:i w:val="0"/>
                <w:iCs w:val="0"/>
                <w:color w:val="000000"/>
                <w:sz w:val="20"/>
                <w:szCs w:val="20"/>
                <w:u w:val="none"/>
              </w:rPr>
            </w:pPr>
          </w:p>
        </w:tc>
      </w:tr>
      <w:tr w14:paraId="6AF96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9A8F8FB">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7120A42">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73F36A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渲染-抗锯齿</w:t>
            </w:r>
          </w:p>
        </w:tc>
        <w:tc>
          <w:tcPr>
            <w:tcW w:w="1400" w:type="dxa"/>
            <w:tcBorders>
              <w:top w:val="nil"/>
              <w:left w:val="nil"/>
              <w:bottom w:val="single" w:color="000000" w:sz="8" w:space="0"/>
              <w:right w:val="single" w:color="000000" w:sz="8" w:space="0"/>
            </w:tcBorders>
            <w:shd w:val="clear" w:color="auto" w:fill="auto"/>
            <w:vAlign w:val="center"/>
          </w:tcPr>
          <w:p w14:paraId="035016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多重采样抗锯齿 二维</w:t>
            </w:r>
          </w:p>
        </w:tc>
        <w:tc>
          <w:tcPr>
            <w:tcW w:w="2220" w:type="dxa"/>
            <w:tcBorders>
              <w:top w:val="nil"/>
              <w:left w:val="nil"/>
              <w:bottom w:val="single" w:color="000000" w:sz="8" w:space="0"/>
              <w:right w:val="single" w:color="000000" w:sz="8" w:space="0"/>
            </w:tcBorders>
            <w:shd w:val="clear" w:color="auto" w:fill="auto"/>
            <w:vAlign w:val="center"/>
          </w:tcPr>
          <w:p w14:paraId="49E7B3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50465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B5C0A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8CD163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6927985">
            <w:pPr>
              <w:jc w:val="center"/>
              <w:rPr>
                <w:rFonts w:hint="eastAsia" w:ascii="宋体" w:hAnsi="宋体" w:eastAsia="宋体" w:cs="宋体"/>
                <w:i w:val="0"/>
                <w:iCs w:val="0"/>
                <w:color w:val="000000"/>
                <w:sz w:val="20"/>
                <w:szCs w:val="20"/>
                <w:u w:val="none"/>
              </w:rPr>
            </w:pPr>
          </w:p>
        </w:tc>
      </w:tr>
      <w:tr w14:paraId="254ED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9831239">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DD45C9E">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84E5768">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71C93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多重采样抗锯齿 三维</w:t>
            </w:r>
          </w:p>
        </w:tc>
        <w:tc>
          <w:tcPr>
            <w:tcW w:w="2220" w:type="dxa"/>
            <w:tcBorders>
              <w:top w:val="nil"/>
              <w:left w:val="nil"/>
              <w:bottom w:val="single" w:color="000000" w:sz="8" w:space="0"/>
              <w:right w:val="single" w:color="000000" w:sz="8" w:space="0"/>
            </w:tcBorders>
            <w:shd w:val="clear" w:color="auto" w:fill="auto"/>
            <w:vAlign w:val="center"/>
          </w:tcPr>
          <w:p w14:paraId="747EEA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9FB00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99011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98E295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EB8580C">
            <w:pPr>
              <w:jc w:val="center"/>
              <w:rPr>
                <w:rFonts w:hint="eastAsia" w:ascii="宋体" w:hAnsi="宋体" w:eastAsia="宋体" w:cs="宋体"/>
                <w:i w:val="0"/>
                <w:iCs w:val="0"/>
                <w:color w:val="000000"/>
                <w:sz w:val="20"/>
                <w:szCs w:val="20"/>
                <w:u w:val="none"/>
              </w:rPr>
            </w:pPr>
          </w:p>
        </w:tc>
      </w:tr>
      <w:tr w14:paraId="2888C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F16863A">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BFEE0B8">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CD8467C">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6046DC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屏幕空间</w:t>
            </w:r>
          </w:p>
        </w:tc>
        <w:tc>
          <w:tcPr>
            <w:tcW w:w="2220" w:type="dxa"/>
            <w:tcBorders>
              <w:top w:val="nil"/>
              <w:left w:val="nil"/>
              <w:bottom w:val="single" w:color="000000" w:sz="8" w:space="0"/>
              <w:right w:val="single" w:color="000000" w:sz="8" w:space="0"/>
            </w:tcBorders>
            <w:shd w:val="clear" w:color="auto" w:fill="auto"/>
            <w:vAlign w:val="center"/>
          </w:tcPr>
          <w:p w14:paraId="0C50E7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432BC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7AA71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139A19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5805B05">
            <w:pPr>
              <w:jc w:val="center"/>
              <w:rPr>
                <w:rFonts w:hint="eastAsia" w:ascii="宋体" w:hAnsi="宋体" w:eastAsia="宋体" w:cs="宋体"/>
                <w:i w:val="0"/>
                <w:iCs w:val="0"/>
                <w:color w:val="000000"/>
                <w:sz w:val="20"/>
                <w:szCs w:val="20"/>
                <w:u w:val="none"/>
              </w:rPr>
            </w:pPr>
          </w:p>
        </w:tc>
      </w:tr>
      <w:tr w14:paraId="09A5D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2AB4D8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7965A61">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116355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78B4AC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使用时间抗锯齿</w:t>
            </w:r>
          </w:p>
        </w:tc>
        <w:tc>
          <w:tcPr>
            <w:tcW w:w="2220" w:type="dxa"/>
            <w:tcBorders>
              <w:top w:val="nil"/>
              <w:left w:val="nil"/>
              <w:bottom w:val="single" w:color="000000" w:sz="8" w:space="0"/>
              <w:right w:val="single" w:color="000000" w:sz="8" w:space="0"/>
            </w:tcBorders>
            <w:shd w:val="clear" w:color="auto" w:fill="auto"/>
            <w:vAlign w:val="center"/>
          </w:tcPr>
          <w:p w14:paraId="10C71E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E8F30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96FDD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AD0BF62">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75959B2">
            <w:pPr>
              <w:jc w:val="center"/>
              <w:rPr>
                <w:rFonts w:hint="eastAsia" w:ascii="宋体" w:hAnsi="宋体" w:eastAsia="宋体" w:cs="宋体"/>
                <w:i w:val="0"/>
                <w:iCs w:val="0"/>
                <w:color w:val="000000"/>
                <w:sz w:val="20"/>
                <w:szCs w:val="20"/>
                <w:u w:val="none"/>
              </w:rPr>
            </w:pPr>
          </w:p>
        </w:tc>
      </w:tr>
      <w:tr w14:paraId="70FB5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CEB745F">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73680A4">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7921AA4">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E1C0C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使用去条带</w:t>
            </w:r>
          </w:p>
        </w:tc>
        <w:tc>
          <w:tcPr>
            <w:tcW w:w="2220" w:type="dxa"/>
            <w:tcBorders>
              <w:top w:val="nil"/>
              <w:left w:val="nil"/>
              <w:bottom w:val="single" w:color="000000" w:sz="8" w:space="0"/>
              <w:right w:val="single" w:color="000000" w:sz="8" w:space="0"/>
            </w:tcBorders>
            <w:shd w:val="clear" w:color="auto" w:fill="auto"/>
            <w:vAlign w:val="center"/>
          </w:tcPr>
          <w:p w14:paraId="0D15D4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F6068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61CA7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BBCACF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AD1D92C">
            <w:pPr>
              <w:jc w:val="center"/>
              <w:rPr>
                <w:rFonts w:hint="eastAsia" w:ascii="宋体" w:hAnsi="宋体" w:eastAsia="宋体" w:cs="宋体"/>
                <w:i w:val="0"/>
                <w:iCs w:val="0"/>
                <w:color w:val="000000"/>
                <w:sz w:val="20"/>
                <w:szCs w:val="20"/>
                <w:u w:val="none"/>
              </w:rPr>
            </w:pPr>
          </w:p>
        </w:tc>
      </w:tr>
      <w:tr w14:paraId="40B14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7FA169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8765F82">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9CE0007">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0ED8C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屏幕空间粗糙度限制器-启用</w:t>
            </w:r>
          </w:p>
        </w:tc>
        <w:tc>
          <w:tcPr>
            <w:tcW w:w="2220" w:type="dxa"/>
            <w:tcBorders>
              <w:top w:val="nil"/>
              <w:left w:val="nil"/>
              <w:bottom w:val="single" w:color="000000" w:sz="8" w:space="0"/>
              <w:right w:val="single" w:color="000000" w:sz="8" w:space="0"/>
            </w:tcBorders>
            <w:shd w:val="clear" w:color="auto" w:fill="auto"/>
            <w:vAlign w:val="center"/>
          </w:tcPr>
          <w:p w14:paraId="5F72FA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105F0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917CB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1EBAAA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CD13681">
            <w:pPr>
              <w:jc w:val="center"/>
              <w:rPr>
                <w:rFonts w:hint="eastAsia" w:ascii="宋体" w:hAnsi="宋体" w:eastAsia="宋体" w:cs="宋体"/>
                <w:i w:val="0"/>
                <w:iCs w:val="0"/>
                <w:color w:val="000000"/>
                <w:sz w:val="20"/>
                <w:szCs w:val="20"/>
                <w:u w:val="none"/>
              </w:rPr>
            </w:pPr>
          </w:p>
        </w:tc>
      </w:tr>
      <w:tr w14:paraId="5B407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82A61DA">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52D8386">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A739A94">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47DFEC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2220" w:type="dxa"/>
            <w:tcBorders>
              <w:top w:val="nil"/>
              <w:left w:val="nil"/>
              <w:bottom w:val="single" w:color="000000" w:sz="8" w:space="0"/>
              <w:right w:val="single" w:color="000000" w:sz="8" w:space="0"/>
            </w:tcBorders>
            <w:shd w:val="clear" w:color="auto" w:fill="auto"/>
            <w:vAlign w:val="center"/>
          </w:tcPr>
          <w:p w14:paraId="14B652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DABFC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EB6E9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6B9C09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DC25BBD">
            <w:pPr>
              <w:jc w:val="center"/>
              <w:rPr>
                <w:rFonts w:hint="eastAsia" w:ascii="宋体" w:hAnsi="宋体" w:eastAsia="宋体" w:cs="宋体"/>
                <w:i w:val="0"/>
                <w:iCs w:val="0"/>
                <w:color w:val="000000"/>
                <w:sz w:val="20"/>
                <w:szCs w:val="20"/>
                <w:u w:val="none"/>
              </w:rPr>
            </w:pPr>
          </w:p>
        </w:tc>
      </w:tr>
      <w:tr w14:paraId="669D1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BCA35F9">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5D95D80">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DA3EE85">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4EC39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限制</w:t>
            </w:r>
          </w:p>
        </w:tc>
        <w:tc>
          <w:tcPr>
            <w:tcW w:w="2220" w:type="dxa"/>
            <w:tcBorders>
              <w:top w:val="nil"/>
              <w:left w:val="nil"/>
              <w:bottom w:val="single" w:color="000000" w:sz="8" w:space="0"/>
              <w:right w:val="single" w:color="000000" w:sz="8" w:space="0"/>
            </w:tcBorders>
            <w:shd w:val="clear" w:color="auto" w:fill="auto"/>
            <w:vAlign w:val="center"/>
          </w:tcPr>
          <w:p w14:paraId="5B2832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415F9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FA38A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51931A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B520C3A">
            <w:pPr>
              <w:jc w:val="center"/>
              <w:rPr>
                <w:rFonts w:hint="eastAsia" w:ascii="宋体" w:hAnsi="宋体" w:eastAsia="宋体" w:cs="宋体"/>
                <w:i w:val="0"/>
                <w:iCs w:val="0"/>
                <w:color w:val="000000"/>
                <w:sz w:val="20"/>
                <w:szCs w:val="20"/>
                <w:u w:val="none"/>
              </w:rPr>
            </w:pPr>
          </w:p>
        </w:tc>
      </w:tr>
      <w:tr w14:paraId="4E168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278C59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55A57A3">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5258EB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渲染-缩放三维</w:t>
            </w:r>
          </w:p>
        </w:tc>
        <w:tc>
          <w:tcPr>
            <w:tcW w:w="1400" w:type="dxa"/>
            <w:tcBorders>
              <w:top w:val="nil"/>
              <w:left w:val="nil"/>
              <w:bottom w:val="single" w:color="000000" w:sz="8" w:space="0"/>
              <w:right w:val="single" w:color="000000" w:sz="8" w:space="0"/>
            </w:tcBorders>
            <w:shd w:val="clear" w:color="auto" w:fill="auto"/>
            <w:vAlign w:val="center"/>
          </w:tcPr>
          <w:p w14:paraId="4D035B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模式</w:t>
            </w:r>
          </w:p>
        </w:tc>
        <w:tc>
          <w:tcPr>
            <w:tcW w:w="2220" w:type="dxa"/>
            <w:tcBorders>
              <w:top w:val="nil"/>
              <w:left w:val="nil"/>
              <w:bottom w:val="single" w:color="000000" w:sz="8" w:space="0"/>
              <w:right w:val="single" w:color="000000" w:sz="8" w:space="0"/>
            </w:tcBorders>
            <w:shd w:val="clear" w:color="auto" w:fill="auto"/>
            <w:vAlign w:val="center"/>
          </w:tcPr>
          <w:p w14:paraId="121990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9C639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C5F4A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C1F099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C4BAD9C">
            <w:pPr>
              <w:jc w:val="center"/>
              <w:rPr>
                <w:rFonts w:hint="eastAsia" w:ascii="宋体" w:hAnsi="宋体" w:eastAsia="宋体" w:cs="宋体"/>
                <w:i w:val="0"/>
                <w:iCs w:val="0"/>
                <w:color w:val="000000"/>
                <w:sz w:val="20"/>
                <w:szCs w:val="20"/>
                <w:u w:val="none"/>
              </w:rPr>
            </w:pPr>
          </w:p>
        </w:tc>
      </w:tr>
      <w:tr w14:paraId="1E616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F7019B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64A00AD">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99C9805">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40C1B4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缩放</w:t>
            </w:r>
          </w:p>
        </w:tc>
        <w:tc>
          <w:tcPr>
            <w:tcW w:w="2220" w:type="dxa"/>
            <w:tcBorders>
              <w:top w:val="nil"/>
              <w:left w:val="nil"/>
              <w:bottom w:val="single" w:color="000000" w:sz="8" w:space="0"/>
              <w:right w:val="single" w:color="000000" w:sz="8" w:space="0"/>
            </w:tcBorders>
            <w:shd w:val="clear" w:color="auto" w:fill="auto"/>
            <w:vAlign w:val="center"/>
          </w:tcPr>
          <w:p w14:paraId="023A4D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69DF7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A5FE1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427AAC7">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279BB73">
            <w:pPr>
              <w:jc w:val="center"/>
              <w:rPr>
                <w:rFonts w:hint="eastAsia" w:ascii="宋体" w:hAnsi="宋体" w:eastAsia="宋体" w:cs="宋体"/>
                <w:i w:val="0"/>
                <w:iCs w:val="0"/>
                <w:color w:val="000000"/>
                <w:sz w:val="20"/>
                <w:szCs w:val="20"/>
                <w:u w:val="none"/>
              </w:rPr>
            </w:pPr>
          </w:p>
        </w:tc>
      </w:tr>
      <w:tr w14:paraId="65B2C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76091A1">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1CE4DC1">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B7EEC6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E335B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超级分辨率锐化</w:t>
            </w:r>
          </w:p>
        </w:tc>
        <w:tc>
          <w:tcPr>
            <w:tcW w:w="2220" w:type="dxa"/>
            <w:tcBorders>
              <w:top w:val="nil"/>
              <w:left w:val="nil"/>
              <w:bottom w:val="single" w:color="000000" w:sz="8" w:space="0"/>
              <w:right w:val="single" w:color="000000" w:sz="8" w:space="0"/>
            </w:tcBorders>
            <w:shd w:val="clear" w:color="auto" w:fill="auto"/>
            <w:vAlign w:val="center"/>
          </w:tcPr>
          <w:p w14:paraId="3B2D8A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4A350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E13B5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A7CC5C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B3C706B">
            <w:pPr>
              <w:jc w:val="center"/>
              <w:rPr>
                <w:rFonts w:hint="eastAsia" w:ascii="宋体" w:hAnsi="宋体" w:eastAsia="宋体" w:cs="宋体"/>
                <w:i w:val="0"/>
                <w:iCs w:val="0"/>
                <w:color w:val="000000"/>
                <w:sz w:val="20"/>
                <w:szCs w:val="20"/>
                <w:u w:val="none"/>
              </w:rPr>
            </w:pPr>
          </w:p>
        </w:tc>
      </w:tr>
      <w:tr w14:paraId="44DBC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7E49B7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0A698CB">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62717E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渲染-光照贴图</w:t>
            </w:r>
          </w:p>
        </w:tc>
        <w:tc>
          <w:tcPr>
            <w:tcW w:w="1400" w:type="dxa"/>
            <w:tcBorders>
              <w:top w:val="nil"/>
              <w:left w:val="nil"/>
              <w:bottom w:val="single" w:color="000000" w:sz="8" w:space="0"/>
              <w:right w:val="single" w:color="000000" w:sz="8" w:space="0"/>
            </w:tcBorders>
            <w:shd w:val="clear" w:color="auto" w:fill="auto"/>
            <w:vAlign w:val="center"/>
          </w:tcPr>
          <w:p w14:paraId="717F71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探针捕获-更新速度</w:t>
            </w:r>
          </w:p>
        </w:tc>
        <w:tc>
          <w:tcPr>
            <w:tcW w:w="2220" w:type="dxa"/>
            <w:tcBorders>
              <w:top w:val="nil"/>
              <w:left w:val="nil"/>
              <w:bottom w:val="single" w:color="000000" w:sz="8" w:space="0"/>
              <w:right w:val="single" w:color="000000" w:sz="8" w:space="0"/>
            </w:tcBorders>
            <w:shd w:val="clear" w:color="auto" w:fill="auto"/>
            <w:vAlign w:val="center"/>
          </w:tcPr>
          <w:p w14:paraId="69A177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042FF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ED316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1F754F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E69B98F">
            <w:pPr>
              <w:jc w:val="center"/>
              <w:rPr>
                <w:rFonts w:hint="eastAsia" w:ascii="宋体" w:hAnsi="宋体" w:eastAsia="宋体" w:cs="宋体"/>
                <w:i w:val="0"/>
                <w:iCs w:val="0"/>
                <w:color w:val="000000"/>
                <w:sz w:val="20"/>
                <w:szCs w:val="20"/>
                <w:u w:val="none"/>
              </w:rPr>
            </w:pPr>
          </w:p>
        </w:tc>
      </w:tr>
      <w:tr w14:paraId="2569C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7D8FD2A">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72DD774">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7B4E71C">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F748B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基本网格-纹素大小</w:t>
            </w:r>
          </w:p>
        </w:tc>
        <w:tc>
          <w:tcPr>
            <w:tcW w:w="2220" w:type="dxa"/>
            <w:tcBorders>
              <w:top w:val="nil"/>
              <w:left w:val="nil"/>
              <w:bottom w:val="single" w:color="000000" w:sz="8" w:space="0"/>
              <w:right w:val="single" w:color="000000" w:sz="8" w:space="0"/>
            </w:tcBorders>
            <w:shd w:val="clear" w:color="auto" w:fill="auto"/>
            <w:vAlign w:val="center"/>
          </w:tcPr>
          <w:p w14:paraId="2D3B87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12EEB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A3EF6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4FEBB7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917CC21">
            <w:pPr>
              <w:jc w:val="center"/>
              <w:rPr>
                <w:rFonts w:hint="eastAsia" w:ascii="宋体" w:hAnsi="宋体" w:eastAsia="宋体" w:cs="宋体"/>
                <w:i w:val="0"/>
                <w:iCs w:val="0"/>
                <w:color w:val="000000"/>
                <w:sz w:val="20"/>
                <w:szCs w:val="20"/>
                <w:u w:val="none"/>
              </w:rPr>
            </w:pPr>
          </w:p>
        </w:tc>
      </w:tr>
      <w:tr w14:paraId="20BA8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9F6169A">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EEDAA21">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B1C121D">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A60E4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光照贴图 全局光照-使用双三次过滤</w:t>
            </w:r>
          </w:p>
        </w:tc>
        <w:tc>
          <w:tcPr>
            <w:tcW w:w="2220" w:type="dxa"/>
            <w:tcBorders>
              <w:top w:val="nil"/>
              <w:left w:val="nil"/>
              <w:bottom w:val="single" w:color="000000" w:sz="8" w:space="0"/>
              <w:right w:val="single" w:color="000000" w:sz="8" w:space="0"/>
            </w:tcBorders>
            <w:shd w:val="clear" w:color="auto" w:fill="auto"/>
            <w:vAlign w:val="center"/>
          </w:tcPr>
          <w:p w14:paraId="59BAAA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1C550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705A4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8F274B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B1553D3">
            <w:pPr>
              <w:jc w:val="center"/>
              <w:rPr>
                <w:rFonts w:hint="eastAsia" w:ascii="宋体" w:hAnsi="宋体" w:eastAsia="宋体" w:cs="宋体"/>
                <w:i w:val="0"/>
                <w:iCs w:val="0"/>
                <w:color w:val="000000"/>
                <w:sz w:val="20"/>
                <w:szCs w:val="20"/>
                <w:u w:val="none"/>
              </w:rPr>
            </w:pPr>
          </w:p>
        </w:tc>
      </w:tr>
      <w:tr w14:paraId="63DAE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28EE66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D3505DA">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2A412D4">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57525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烘焙质量-低等质量射线数</w:t>
            </w:r>
          </w:p>
        </w:tc>
        <w:tc>
          <w:tcPr>
            <w:tcW w:w="2220" w:type="dxa"/>
            <w:tcBorders>
              <w:top w:val="nil"/>
              <w:left w:val="nil"/>
              <w:bottom w:val="single" w:color="000000" w:sz="8" w:space="0"/>
              <w:right w:val="single" w:color="000000" w:sz="8" w:space="0"/>
            </w:tcBorders>
            <w:shd w:val="clear" w:color="auto" w:fill="auto"/>
            <w:vAlign w:val="center"/>
          </w:tcPr>
          <w:p w14:paraId="0C0EDD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E8EA5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0FBF3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8A3D079">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42733C0">
            <w:pPr>
              <w:jc w:val="center"/>
              <w:rPr>
                <w:rFonts w:hint="eastAsia" w:ascii="宋体" w:hAnsi="宋体" w:eastAsia="宋体" w:cs="宋体"/>
                <w:i w:val="0"/>
                <w:iCs w:val="0"/>
                <w:color w:val="000000"/>
                <w:sz w:val="20"/>
                <w:szCs w:val="20"/>
                <w:u w:val="none"/>
              </w:rPr>
            </w:pPr>
          </w:p>
        </w:tc>
      </w:tr>
      <w:tr w14:paraId="16070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D72791C">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48ECE14">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83AD1FC">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724B68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中等质量射线数</w:t>
            </w:r>
          </w:p>
        </w:tc>
        <w:tc>
          <w:tcPr>
            <w:tcW w:w="2220" w:type="dxa"/>
            <w:tcBorders>
              <w:top w:val="nil"/>
              <w:left w:val="nil"/>
              <w:bottom w:val="single" w:color="000000" w:sz="8" w:space="0"/>
              <w:right w:val="single" w:color="000000" w:sz="8" w:space="0"/>
            </w:tcBorders>
            <w:shd w:val="clear" w:color="auto" w:fill="auto"/>
            <w:vAlign w:val="center"/>
          </w:tcPr>
          <w:p w14:paraId="765273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70C1F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11DE5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1B5973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D0D1EB7">
            <w:pPr>
              <w:jc w:val="center"/>
              <w:rPr>
                <w:rFonts w:hint="eastAsia" w:ascii="宋体" w:hAnsi="宋体" w:eastAsia="宋体" w:cs="宋体"/>
                <w:i w:val="0"/>
                <w:iCs w:val="0"/>
                <w:color w:val="000000"/>
                <w:sz w:val="20"/>
                <w:szCs w:val="20"/>
                <w:u w:val="none"/>
              </w:rPr>
            </w:pPr>
          </w:p>
        </w:tc>
      </w:tr>
      <w:tr w14:paraId="2EA8C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0652FAA">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74CA043">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CD9C3B8">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AF7FC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高等质量射线数</w:t>
            </w:r>
          </w:p>
        </w:tc>
        <w:tc>
          <w:tcPr>
            <w:tcW w:w="2220" w:type="dxa"/>
            <w:tcBorders>
              <w:top w:val="nil"/>
              <w:left w:val="nil"/>
              <w:bottom w:val="single" w:color="000000" w:sz="8" w:space="0"/>
              <w:right w:val="single" w:color="000000" w:sz="8" w:space="0"/>
            </w:tcBorders>
            <w:shd w:val="clear" w:color="auto" w:fill="auto"/>
            <w:vAlign w:val="center"/>
          </w:tcPr>
          <w:p w14:paraId="1ABDDF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194F5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287E9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3692A7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4A42812">
            <w:pPr>
              <w:jc w:val="center"/>
              <w:rPr>
                <w:rFonts w:hint="eastAsia" w:ascii="宋体" w:hAnsi="宋体" w:eastAsia="宋体" w:cs="宋体"/>
                <w:i w:val="0"/>
                <w:iCs w:val="0"/>
                <w:color w:val="000000"/>
                <w:sz w:val="20"/>
                <w:szCs w:val="20"/>
                <w:u w:val="none"/>
              </w:rPr>
            </w:pPr>
          </w:p>
        </w:tc>
      </w:tr>
      <w:tr w14:paraId="69D34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9A0655A">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0509D2F">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89C902F">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05EAAB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超级质量射线数</w:t>
            </w:r>
          </w:p>
        </w:tc>
        <w:tc>
          <w:tcPr>
            <w:tcW w:w="2220" w:type="dxa"/>
            <w:tcBorders>
              <w:top w:val="nil"/>
              <w:left w:val="nil"/>
              <w:bottom w:val="single" w:color="000000" w:sz="8" w:space="0"/>
              <w:right w:val="single" w:color="000000" w:sz="8" w:space="0"/>
            </w:tcBorders>
            <w:shd w:val="clear" w:color="auto" w:fill="auto"/>
            <w:vAlign w:val="center"/>
          </w:tcPr>
          <w:p w14:paraId="25C29B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7878B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6B2ED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C70A39E">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44E85A8">
            <w:pPr>
              <w:jc w:val="center"/>
              <w:rPr>
                <w:rFonts w:hint="eastAsia" w:ascii="宋体" w:hAnsi="宋体" w:eastAsia="宋体" w:cs="宋体"/>
                <w:i w:val="0"/>
                <w:iCs w:val="0"/>
                <w:color w:val="000000"/>
                <w:sz w:val="20"/>
                <w:szCs w:val="20"/>
                <w:u w:val="none"/>
              </w:rPr>
            </w:pPr>
          </w:p>
        </w:tc>
      </w:tr>
      <w:tr w14:paraId="0A82C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D6BA54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E5AD331">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859909F">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7B41B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低等质量探针射线数</w:t>
            </w:r>
          </w:p>
        </w:tc>
        <w:tc>
          <w:tcPr>
            <w:tcW w:w="2220" w:type="dxa"/>
            <w:tcBorders>
              <w:top w:val="nil"/>
              <w:left w:val="nil"/>
              <w:bottom w:val="single" w:color="000000" w:sz="8" w:space="0"/>
              <w:right w:val="single" w:color="000000" w:sz="8" w:space="0"/>
            </w:tcBorders>
            <w:shd w:val="clear" w:color="auto" w:fill="auto"/>
            <w:vAlign w:val="center"/>
          </w:tcPr>
          <w:p w14:paraId="0A2259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D0F78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706BD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5EFDDD9">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CF83C0B">
            <w:pPr>
              <w:jc w:val="center"/>
              <w:rPr>
                <w:rFonts w:hint="eastAsia" w:ascii="宋体" w:hAnsi="宋体" w:eastAsia="宋体" w:cs="宋体"/>
                <w:i w:val="0"/>
                <w:iCs w:val="0"/>
                <w:color w:val="000000"/>
                <w:sz w:val="20"/>
                <w:szCs w:val="20"/>
                <w:u w:val="none"/>
              </w:rPr>
            </w:pPr>
          </w:p>
        </w:tc>
      </w:tr>
      <w:tr w14:paraId="07502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5D23973">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B873340">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7172F39">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7A6966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中等质量探针射线数</w:t>
            </w:r>
          </w:p>
        </w:tc>
        <w:tc>
          <w:tcPr>
            <w:tcW w:w="2220" w:type="dxa"/>
            <w:tcBorders>
              <w:top w:val="nil"/>
              <w:left w:val="nil"/>
              <w:bottom w:val="single" w:color="000000" w:sz="8" w:space="0"/>
              <w:right w:val="single" w:color="000000" w:sz="8" w:space="0"/>
            </w:tcBorders>
            <w:shd w:val="clear" w:color="auto" w:fill="auto"/>
            <w:vAlign w:val="center"/>
          </w:tcPr>
          <w:p w14:paraId="13B8BE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C12F2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D00B1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51137E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B50DAFC">
            <w:pPr>
              <w:jc w:val="center"/>
              <w:rPr>
                <w:rFonts w:hint="eastAsia" w:ascii="宋体" w:hAnsi="宋体" w:eastAsia="宋体" w:cs="宋体"/>
                <w:i w:val="0"/>
                <w:iCs w:val="0"/>
                <w:color w:val="000000"/>
                <w:sz w:val="20"/>
                <w:szCs w:val="20"/>
                <w:u w:val="none"/>
              </w:rPr>
            </w:pPr>
          </w:p>
        </w:tc>
      </w:tr>
      <w:tr w14:paraId="74A4F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763818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6F15933">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CD8405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52E88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高等质量探针射线数</w:t>
            </w:r>
          </w:p>
        </w:tc>
        <w:tc>
          <w:tcPr>
            <w:tcW w:w="2220" w:type="dxa"/>
            <w:tcBorders>
              <w:top w:val="nil"/>
              <w:left w:val="nil"/>
              <w:bottom w:val="single" w:color="000000" w:sz="8" w:space="0"/>
              <w:right w:val="single" w:color="000000" w:sz="8" w:space="0"/>
            </w:tcBorders>
            <w:shd w:val="clear" w:color="auto" w:fill="auto"/>
            <w:vAlign w:val="center"/>
          </w:tcPr>
          <w:p w14:paraId="0F2320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6886D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81A0D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08B5F8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717BF6D">
            <w:pPr>
              <w:jc w:val="center"/>
              <w:rPr>
                <w:rFonts w:hint="eastAsia" w:ascii="宋体" w:hAnsi="宋体" w:eastAsia="宋体" w:cs="宋体"/>
                <w:i w:val="0"/>
                <w:iCs w:val="0"/>
                <w:color w:val="000000"/>
                <w:sz w:val="20"/>
                <w:szCs w:val="20"/>
                <w:u w:val="none"/>
              </w:rPr>
            </w:pPr>
          </w:p>
        </w:tc>
      </w:tr>
      <w:tr w14:paraId="6F263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635B6F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A287CF9">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4C64B13">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03D48B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超高质量探针射线数</w:t>
            </w:r>
          </w:p>
        </w:tc>
        <w:tc>
          <w:tcPr>
            <w:tcW w:w="2220" w:type="dxa"/>
            <w:tcBorders>
              <w:top w:val="nil"/>
              <w:left w:val="nil"/>
              <w:bottom w:val="single" w:color="000000" w:sz="8" w:space="0"/>
              <w:right w:val="single" w:color="000000" w:sz="8" w:space="0"/>
            </w:tcBorders>
            <w:shd w:val="clear" w:color="auto" w:fill="auto"/>
            <w:vAlign w:val="center"/>
          </w:tcPr>
          <w:p w14:paraId="4A0199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64657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826C3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3DB39D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CC87A05">
            <w:pPr>
              <w:jc w:val="center"/>
              <w:rPr>
                <w:rFonts w:hint="eastAsia" w:ascii="宋体" w:hAnsi="宋体" w:eastAsia="宋体" w:cs="宋体"/>
                <w:i w:val="0"/>
                <w:iCs w:val="0"/>
                <w:color w:val="000000"/>
                <w:sz w:val="20"/>
                <w:szCs w:val="20"/>
                <w:u w:val="none"/>
              </w:rPr>
            </w:pPr>
          </w:p>
        </w:tc>
      </w:tr>
      <w:tr w14:paraId="3847E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6095C5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DDB8308">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0674630">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62AB1B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烘焙性能-单通道最大射线数</w:t>
            </w:r>
          </w:p>
        </w:tc>
        <w:tc>
          <w:tcPr>
            <w:tcW w:w="2220" w:type="dxa"/>
            <w:tcBorders>
              <w:top w:val="nil"/>
              <w:left w:val="nil"/>
              <w:bottom w:val="single" w:color="000000" w:sz="8" w:space="0"/>
              <w:right w:val="single" w:color="000000" w:sz="8" w:space="0"/>
            </w:tcBorders>
            <w:shd w:val="clear" w:color="auto" w:fill="auto"/>
            <w:vAlign w:val="center"/>
          </w:tcPr>
          <w:p w14:paraId="41C144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0A87A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57003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7A66A6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F55E996">
            <w:pPr>
              <w:jc w:val="center"/>
              <w:rPr>
                <w:rFonts w:hint="eastAsia" w:ascii="宋体" w:hAnsi="宋体" w:eastAsia="宋体" w:cs="宋体"/>
                <w:i w:val="0"/>
                <w:iCs w:val="0"/>
                <w:color w:val="000000"/>
                <w:sz w:val="20"/>
                <w:szCs w:val="20"/>
                <w:u w:val="none"/>
              </w:rPr>
            </w:pPr>
          </w:p>
        </w:tc>
      </w:tr>
      <w:tr w14:paraId="3140B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95BBA1A">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FEFF466">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9B861C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C47B0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区域大小</w:t>
            </w:r>
          </w:p>
        </w:tc>
        <w:tc>
          <w:tcPr>
            <w:tcW w:w="2220" w:type="dxa"/>
            <w:tcBorders>
              <w:top w:val="nil"/>
              <w:left w:val="nil"/>
              <w:bottom w:val="single" w:color="000000" w:sz="8" w:space="0"/>
              <w:right w:val="single" w:color="000000" w:sz="8" w:space="0"/>
            </w:tcBorders>
            <w:shd w:val="clear" w:color="auto" w:fill="auto"/>
            <w:vAlign w:val="center"/>
          </w:tcPr>
          <w:p w14:paraId="56313B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8D22F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36F93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7AF65D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3392068">
            <w:pPr>
              <w:jc w:val="center"/>
              <w:rPr>
                <w:rFonts w:hint="eastAsia" w:ascii="宋体" w:hAnsi="宋体" w:eastAsia="宋体" w:cs="宋体"/>
                <w:i w:val="0"/>
                <w:iCs w:val="0"/>
                <w:color w:val="000000"/>
                <w:sz w:val="20"/>
                <w:szCs w:val="20"/>
                <w:u w:val="none"/>
              </w:rPr>
            </w:pPr>
          </w:p>
        </w:tc>
      </w:tr>
      <w:tr w14:paraId="5F680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74C6FC1">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FD26B11">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E9497B7">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24EAF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最大透明射线数</w:t>
            </w:r>
          </w:p>
        </w:tc>
        <w:tc>
          <w:tcPr>
            <w:tcW w:w="2220" w:type="dxa"/>
            <w:tcBorders>
              <w:top w:val="nil"/>
              <w:left w:val="nil"/>
              <w:bottom w:val="single" w:color="000000" w:sz="8" w:space="0"/>
              <w:right w:val="single" w:color="000000" w:sz="8" w:space="0"/>
            </w:tcBorders>
            <w:shd w:val="clear" w:color="auto" w:fill="auto"/>
            <w:vAlign w:val="center"/>
          </w:tcPr>
          <w:p w14:paraId="5E85D1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6DD90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50A86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1821BB9">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DE90D34">
            <w:pPr>
              <w:jc w:val="center"/>
              <w:rPr>
                <w:rFonts w:hint="eastAsia" w:ascii="宋体" w:hAnsi="宋体" w:eastAsia="宋体" w:cs="宋体"/>
                <w:i w:val="0"/>
                <w:iCs w:val="0"/>
                <w:color w:val="000000"/>
                <w:sz w:val="20"/>
                <w:szCs w:val="20"/>
                <w:u w:val="none"/>
              </w:rPr>
            </w:pPr>
          </w:p>
        </w:tc>
      </w:tr>
      <w:tr w14:paraId="3DAB9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7817F0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5E9E7C2">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88AC6B8">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011E0A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探针单阶段最大射线数</w:t>
            </w:r>
          </w:p>
        </w:tc>
        <w:tc>
          <w:tcPr>
            <w:tcW w:w="2220" w:type="dxa"/>
            <w:tcBorders>
              <w:top w:val="nil"/>
              <w:left w:val="nil"/>
              <w:bottom w:val="single" w:color="000000" w:sz="8" w:space="0"/>
              <w:right w:val="single" w:color="000000" w:sz="8" w:space="0"/>
            </w:tcBorders>
            <w:shd w:val="clear" w:color="auto" w:fill="auto"/>
            <w:vAlign w:val="center"/>
          </w:tcPr>
          <w:p w14:paraId="0F8FE5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AA8C1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9D1ED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CDA58F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EC7A69C">
            <w:pPr>
              <w:jc w:val="center"/>
              <w:rPr>
                <w:rFonts w:hint="eastAsia" w:ascii="宋体" w:hAnsi="宋体" w:eastAsia="宋体" w:cs="宋体"/>
                <w:i w:val="0"/>
                <w:iCs w:val="0"/>
                <w:color w:val="000000"/>
                <w:sz w:val="20"/>
                <w:szCs w:val="20"/>
                <w:u w:val="none"/>
              </w:rPr>
            </w:pPr>
          </w:p>
        </w:tc>
      </w:tr>
      <w:tr w14:paraId="2E590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4DFAEA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31EBB33">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6C21905">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AECC7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降噪-降噪器</w:t>
            </w:r>
          </w:p>
        </w:tc>
        <w:tc>
          <w:tcPr>
            <w:tcW w:w="2220" w:type="dxa"/>
            <w:tcBorders>
              <w:top w:val="nil"/>
              <w:left w:val="nil"/>
              <w:bottom w:val="single" w:color="000000" w:sz="8" w:space="0"/>
              <w:right w:val="single" w:color="000000" w:sz="8" w:space="0"/>
            </w:tcBorders>
            <w:shd w:val="clear" w:color="auto" w:fill="auto"/>
            <w:vAlign w:val="center"/>
          </w:tcPr>
          <w:p w14:paraId="52704B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E6FB4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24536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67EBA3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474DF80">
            <w:pPr>
              <w:jc w:val="center"/>
              <w:rPr>
                <w:rFonts w:hint="eastAsia" w:ascii="宋体" w:hAnsi="宋体" w:eastAsia="宋体" w:cs="宋体"/>
                <w:i w:val="0"/>
                <w:iCs w:val="0"/>
                <w:color w:val="000000"/>
                <w:sz w:val="20"/>
                <w:szCs w:val="20"/>
                <w:u w:val="none"/>
              </w:rPr>
            </w:pPr>
          </w:p>
        </w:tc>
      </w:tr>
      <w:tr w14:paraId="64CB1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39CA71B">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13A52F7">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20017E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渲染-网格多细节层次技术</w:t>
            </w:r>
          </w:p>
        </w:tc>
        <w:tc>
          <w:tcPr>
            <w:tcW w:w="1400" w:type="dxa"/>
            <w:tcBorders>
              <w:top w:val="nil"/>
              <w:left w:val="nil"/>
              <w:bottom w:val="single" w:color="000000" w:sz="8" w:space="0"/>
              <w:right w:val="single" w:color="000000" w:sz="8" w:space="0"/>
            </w:tcBorders>
            <w:shd w:val="clear" w:color="auto" w:fill="auto"/>
            <w:vAlign w:val="center"/>
          </w:tcPr>
          <w:p w14:paraId="75FA6D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多细节层次技术更改-阈值像素</w:t>
            </w:r>
          </w:p>
        </w:tc>
        <w:tc>
          <w:tcPr>
            <w:tcW w:w="2220" w:type="dxa"/>
            <w:tcBorders>
              <w:top w:val="nil"/>
              <w:left w:val="nil"/>
              <w:bottom w:val="single" w:color="000000" w:sz="8" w:space="0"/>
              <w:right w:val="single" w:color="000000" w:sz="8" w:space="0"/>
            </w:tcBorders>
            <w:shd w:val="clear" w:color="auto" w:fill="auto"/>
            <w:vAlign w:val="center"/>
          </w:tcPr>
          <w:p w14:paraId="456D7B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33DA1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EBE91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91920B0">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D07011B">
            <w:pPr>
              <w:jc w:val="center"/>
              <w:rPr>
                <w:rFonts w:hint="eastAsia" w:ascii="宋体" w:hAnsi="宋体" w:eastAsia="宋体" w:cs="宋体"/>
                <w:i w:val="0"/>
                <w:iCs w:val="0"/>
                <w:color w:val="000000"/>
                <w:sz w:val="20"/>
                <w:szCs w:val="20"/>
                <w:u w:val="none"/>
              </w:rPr>
            </w:pPr>
          </w:p>
        </w:tc>
      </w:tr>
      <w:tr w14:paraId="4AD7F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3041B8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DD30EF5">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75DF66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渲染-可变速率着色</w:t>
            </w:r>
          </w:p>
        </w:tc>
        <w:tc>
          <w:tcPr>
            <w:tcW w:w="1400" w:type="dxa"/>
            <w:tcBorders>
              <w:top w:val="nil"/>
              <w:left w:val="nil"/>
              <w:bottom w:val="single" w:color="000000" w:sz="8" w:space="0"/>
              <w:right w:val="single" w:color="000000" w:sz="8" w:space="0"/>
            </w:tcBorders>
            <w:shd w:val="clear" w:color="auto" w:fill="auto"/>
            <w:vAlign w:val="center"/>
          </w:tcPr>
          <w:p w14:paraId="0CBD49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模式</w:t>
            </w:r>
          </w:p>
        </w:tc>
        <w:tc>
          <w:tcPr>
            <w:tcW w:w="2220" w:type="dxa"/>
            <w:tcBorders>
              <w:top w:val="nil"/>
              <w:left w:val="nil"/>
              <w:bottom w:val="single" w:color="000000" w:sz="8" w:space="0"/>
              <w:right w:val="single" w:color="000000" w:sz="8" w:space="0"/>
            </w:tcBorders>
            <w:shd w:val="clear" w:color="auto" w:fill="auto"/>
            <w:vAlign w:val="center"/>
          </w:tcPr>
          <w:p w14:paraId="62B413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08B76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85433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CF9CB8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1D85B6A">
            <w:pPr>
              <w:jc w:val="center"/>
              <w:rPr>
                <w:rFonts w:hint="eastAsia" w:ascii="宋体" w:hAnsi="宋体" w:eastAsia="宋体" w:cs="宋体"/>
                <w:i w:val="0"/>
                <w:iCs w:val="0"/>
                <w:color w:val="000000"/>
                <w:sz w:val="20"/>
                <w:szCs w:val="20"/>
                <w:u w:val="none"/>
              </w:rPr>
            </w:pPr>
          </w:p>
        </w:tc>
      </w:tr>
      <w:tr w14:paraId="25339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D71286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519ADEA">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4C01072">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2E940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纹理</w:t>
            </w:r>
          </w:p>
        </w:tc>
        <w:tc>
          <w:tcPr>
            <w:tcW w:w="2220" w:type="dxa"/>
            <w:tcBorders>
              <w:top w:val="nil"/>
              <w:left w:val="nil"/>
              <w:bottom w:val="single" w:color="000000" w:sz="8" w:space="0"/>
              <w:right w:val="single" w:color="000000" w:sz="8" w:space="0"/>
            </w:tcBorders>
            <w:shd w:val="clear" w:color="auto" w:fill="auto"/>
            <w:vAlign w:val="center"/>
          </w:tcPr>
          <w:p w14:paraId="6A006F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9D8F5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995A3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8B742D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C6A91E7">
            <w:pPr>
              <w:jc w:val="center"/>
              <w:rPr>
                <w:rFonts w:hint="eastAsia" w:ascii="宋体" w:hAnsi="宋体" w:eastAsia="宋体" w:cs="宋体"/>
                <w:i w:val="0"/>
                <w:iCs w:val="0"/>
                <w:color w:val="000000"/>
                <w:sz w:val="20"/>
                <w:szCs w:val="20"/>
                <w:u w:val="none"/>
              </w:rPr>
            </w:pPr>
          </w:p>
        </w:tc>
      </w:tr>
      <w:tr w14:paraId="1547E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94C57B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6BF91A8">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58BFD4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渲染模式</w:t>
            </w:r>
          </w:p>
        </w:tc>
        <w:tc>
          <w:tcPr>
            <w:tcW w:w="1400" w:type="dxa"/>
            <w:tcBorders>
              <w:top w:val="nil"/>
              <w:left w:val="nil"/>
              <w:bottom w:val="single" w:color="000000" w:sz="8" w:space="0"/>
              <w:right w:val="single" w:color="000000" w:sz="8" w:space="0"/>
            </w:tcBorders>
            <w:shd w:val="clear" w:color="auto" w:fill="auto"/>
            <w:vAlign w:val="center"/>
          </w:tcPr>
          <w:p w14:paraId="39B82572">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5879EE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4EC07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3D4BB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012D010">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9A794CC">
            <w:pPr>
              <w:jc w:val="center"/>
              <w:rPr>
                <w:rFonts w:hint="eastAsia" w:ascii="宋体" w:hAnsi="宋体" w:eastAsia="宋体" w:cs="宋体"/>
                <w:i w:val="0"/>
                <w:iCs w:val="0"/>
                <w:color w:val="000000"/>
                <w:sz w:val="20"/>
                <w:szCs w:val="20"/>
                <w:u w:val="none"/>
              </w:rPr>
            </w:pPr>
          </w:p>
        </w:tc>
      </w:tr>
      <w:tr w14:paraId="57923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BD071CF">
            <w:pPr>
              <w:jc w:val="center"/>
              <w:rPr>
                <w:rFonts w:hint="eastAsia" w:ascii="宋体" w:hAnsi="宋体" w:eastAsia="宋体" w:cs="宋体"/>
                <w:i w:val="0"/>
                <w:iCs w:val="0"/>
                <w:color w:val="000000"/>
                <w:sz w:val="20"/>
                <w:szCs w:val="20"/>
                <w:u w:val="none"/>
              </w:rPr>
            </w:pPr>
          </w:p>
        </w:tc>
        <w:tc>
          <w:tcPr>
            <w:tcW w:w="660" w:type="dxa"/>
            <w:vMerge w:val="restart"/>
            <w:tcBorders>
              <w:top w:val="nil"/>
              <w:left w:val="nil"/>
              <w:bottom w:val="single" w:color="000000" w:sz="8" w:space="0"/>
              <w:right w:val="single" w:color="000000" w:sz="8" w:space="0"/>
            </w:tcBorders>
            <w:shd w:val="clear" w:color="auto" w:fill="auto"/>
            <w:vAlign w:val="center"/>
          </w:tcPr>
          <w:p w14:paraId="7A8C70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物理与动画模块</w:t>
            </w:r>
          </w:p>
        </w:tc>
        <w:tc>
          <w:tcPr>
            <w:tcW w:w="960" w:type="dxa"/>
            <w:vMerge w:val="restart"/>
            <w:tcBorders>
              <w:top w:val="nil"/>
              <w:left w:val="nil"/>
              <w:bottom w:val="single" w:color="000000" w:sz="8" w:space="0"/>
              <w:right w:val="single" w:color="000000" w:sz="8" w:space="0"/>
            </w:tcBorders>
            <w:shd w:val="clear" w:color="auto" w:fill="auto"/>
            <w:vAlign w:val="center"/>
          </w:tcPr>
          <w:p w14:paraId="01DE05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物理引擎</w:t>
            </w:r>
          </w:p>
        </w:tc>
        <w:tc>
          <w:tcPr>
            <w:tcW w:w="1400" w:type="dxa"/>
            <w:tcBorders>
              <w:top w:val="nil"/>
              <w:left w:val="nil"/>
              <w:bottom w:val="single" w:color="000000" w:sz="8" w:space="0"/>
              <w:right w:val="single" w:color="000000" w:sz="8" w:space="0"/>
            </w:tcBorders>
            <w:shd w:val="clear" w:color="auto" w:fill="FFFFFF"/>
            <w:vAlign w:val="center"/>
          </w:tcPr>
          <w:p w14:paraId="3F8004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在独立的线程上运行</w:t>
            </w:r>
          </w:p>
        </w:tc>
        <w:tc>
          <w:tcPr>
            <w:tcW w:w="2220" w:type="dxa"/>
            <w:tcBorders>
              <w:top w:val="nil"/>
              <w:left w:val="nil"/>
              <w:bottom w:val="single" w:color="000000" w:sz="8" w:space="0"/>
              <w:right w:val="single" w:color="000000" w:sz="8" w:space="0"/>
            </w:tcBorders>
            <w:shd w:val="clear" w:color="auto" w:fill="auto"/>
            <w:vAlign w:val="center"/>
          </w:tcPr>
          <w:p w14:paraId="6F0BD9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0C1E7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BF480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8979CF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A95F501">
            <w:pPr>
              <w:jc w:val="center"/>
              <w:rPr>
                <w:rFonts w:hint="eastAsia" w:ascii="宋体" w:hAnsi="宋体" w:eastAsia="宋体" w:cs="宋体"/>
                <w:i w:val="0"/>
                <w:iCs w:val="0"/>
                <w:color w:val="000000"/>
                <w:sz w:val="20"/>
                <w:szCs w:val="20"/>
                <w:u w:val="none"/>
              </w:rPr>
            </w:pPr>
          </w:p>
        </w:tc>
      </w:tr>
      <w:tr w14:paraId="7CDB6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F10269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CE5DBC0">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83D13D2">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6AE348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默认重力</w:t>
            </w:r>
          </w:p>
        </w:tc>
        <w:tc>
          <w:tcPr>
            <w:tcW w:w="2220" w:type="dxa"/>
            <w:tcBorders>
              <w:top w:val="nil"/>
              <w:left w:val="nil"/>
              <w:bottom w:val="single" w:color="000000" w:sz="8" w:space="0"/>
              <w:right w:val="single" w:color="000000" w:sz="8" w:space="0"/>
            </w:tcBorders>
            <w:shd w:val="clear" w:color="auto" w:fill="auto"/>
            <w:vAlign w:val="center"/>
          </w:tcPr>
          <w:p w14:paraId="25D601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EC7F8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5E431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013505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C761849">
            <w:pPr>
              <w:jc w:val="center"/>
              <w:rPr>
                <w:rFonts w:hint="eastAsia" w:ascii="宋体" w:hAnsi="宋体" w:eastAsia="宋体" w:cs="宋体"/>
                <w:i w:val="0"/>
                <w:iCs w:val="0"/>
                <w:color w:val="000000"/>
                <w:sz w:val="20"/>
                <w:szCs w:val="20"/>
                <w:u w:val="none"/>
              </w:rPr>
            </w:pPr>
          </w:p>
        </w:tc>
      </w:tr>
      <w:tr w14:paraId="34EBF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027039F">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4E3CABB">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5FAF36F">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517E65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默认重力向量</w:t>
            </w:r>
          </w:p>
        </w:tc>
        <w:tc>
          <w:tcPr>
            <w:tcW w:w="2220" w:type="dxa"/>
            <w:tcBorders>
              <w:top w:val="nil"/>
              <w:left w:val="nil"/>
              <w:bottom w:val="single" w:color="000000" w:sz="8" w:space="0"/>
              <w:right w:val="single" w:color="000000" w:sz="8" w:space="0"/>
            </w:tcBorders>
            <w:shd w:val="clear" w:color="auto" w:fill="auto"/>
            <w:vAlign w:val="center"/>
          </w:tcPr>
          <w:p w14:paraId="192116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DBA3E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93B08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F063DD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04A5611">
            <w:pPr>
              <w:jc w:val="center"/>
              <w:rPr>
                <w:rFonts w:hint="eastAsia" w:ascii="宋体" w:hAnsi="宋体" w:eastAsia="宋体" w:cs="宋体"/>
                <w:i w:val="0"/>
                <w:iCs w:val="0"/>
                <w:color w:val="000000"/>
                <w:sz w:val="20"/>
                <w:szCs w:val="20"/>
                <w:u w:val="none"/>
              </w:rPr>
            </w:pPr>
          </w:p>
        </w:tc>
      </w:tr>
      <w:tr w14:paraId="3A301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C70FDC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193600D">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BEAF580">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608FB8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默认线性阻尼</w:t>
            </w:r>
          </w:p>
        </w:tc>
        <w:tc>
          <w:tcPr>
            <w:tcW w:w="2220" w:type="dxa"/>
            <w:tcBorders>
              <w:top w:val="nil"/>
              <w:left w:val="nil"/>
              <w:bottom w:val="single" w:color="000000" w:sz="8" w:space="0"/>
              <w:right w:val="single" w:color="000000" w:sz="8" w:space="0"/>
            </w:tcBorders>
            <w:shd w:val="clear" w:color="auto" w:fill="auto"/>
            <w:vAlign w:val="center"/>
          </w:tcPr>
          <w:p w14:paraId="595487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F00D8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82FFC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AF8470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221F528">
            <w:pPr>
              <w:jc w:val="center"/>
              <w:rPr>
                <w:rFonts w:hint="eastAsia" w:ascii="宋体" w:hAnsi="宋体" w:eastAsia="宋体" w:cs="宋体"/>
                <w:i w:val="0"/>
                <w:iCs w:val="0"/>
                <w:color w:val="000000"/>
                <w:sz w:val="20"/>
                <w:szCs w:val="20"/>
                <w:u w:val="none"/>
              </w:rPr>
            </w:pPr>
          </w:p>
        </w:tc>
      </w:tr>
      <w:tr w14:paraId="732E6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E8C22F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C31530A">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777F1D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667E81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默认角度阻尼</w:t>
            </w:r>
          </w:p>
        </w:tc>
        <w:tc>
          <w:tcPr>
            <w:tcW w:w="2220" w:type="dxa"/>
            <w:tcBorders>
              <w:top w:val="nil"/>
              <w:left w:val="nil"/>
              <w:bottom w:val="single" w:color="000000" w:sz="8" w:space="0"/>
              <w:right w:val="single" w:color="000000" w:sz="8" w:space="0"/>
            </w:tcBorders>
            <w:shd w:val="clear" w:color="auto" w:fill="auto"/>
            <w:vAlign w:val="center"/>
          </w:tcPr>
          <w:p w14:paraId="04DAAB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A4166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92598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288968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A156EFA">
            <w:pPr>
              <w:jc w:val="center"/>
              <w:rPr>
                <w:rFonts w:hint="eastAsia" w:ascii="宋体" w:hAnsi="宋体" w:eastAsia="宋体" w:cs="宋体"/>
                <w:i w:val="0"/>
                <w:iCs w:val="0"/>
                <w:color w:val="000000"/>
                <w:sz w:val="20"/>
                <w:szCs w:val="20"/>
                <w:u w:val="none"/>
              </w:rPr>
            </w:pPr>
          </w:p>
        </w:tc>
      </w:tr>
      <w:tr w14:paraId="6936C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7E9733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DFC3A6A">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2CC119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35D1E9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睡眠线速度阈值</w:t>
            </w:r>
          </w:p>
        </w:tc>
        <w:tc>
          <w:tcPr>
            <w:tcW w:w="2220" w:type="dxa"/>
            <w:tcBorders>
              <w:top w:val="nil"/>
              <w:left w:val="nil"/>
              <w:bottom w:val="single" w:color="000000" w:sz="8" w:space="0"/>
              <w:right w:val="single" w:color="000000" w:sz="8" w:space="0"/>
            </w:tcBorders>
            <w:shd w:val="clear" w:color="auto" w:fill="auto"/>
            <w:vAlign w:val="center"/>
          </w:tcPr>
          <w:p w14:paraId="72E38C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6080B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6F228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49F267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FC12C8E">
            <w:pPr>
              <w:jc w:val="center"/>
              <w:rPr>
                <w:rFonts w:hint="eastAsia" w:ascii="宋体" w:hAnsi="宋体" w:eastAsia="宋体" w:cs="宋体"/>
                <w:i w:val="0"/>
                <w:iCs w:val="0"/>
                <w:color w:val="000000"/>
                <w:sz w:val="20"/>
                <w:szCs w:val="20"/>
                <w:u w:val="none"/>
              </w:rPr>
            </w:pPr>
          </w:p>
        </w:tc>
      </w:tr>
      <w:tr w14:paraId="7D194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D80CA4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E143CF8">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BEB1E2D">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4B659E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睡眠角速度阈值</w:t>
            </w:r>
          </w:p>
        </w:tc>
        <w:tc>
          <w:tcPr>
            <w:tcW w:w="2220" w:type="dxa"/>
            <w:tcBorders>
              <w:top w:val="nil"/>
              <w:left w:val="nil"/>
              <w:bottom w:val="single" w:color="000000" w:sz="8" w:space="0"/>
              <w:right w:val="single" w:color="000000" w:sz="8" w:space="0"/>
            </w:tcBorders>
            <w:shd w:val="clear" w:color="auto" w:fill="auto"/>
            <w:vAlign w:val="center"/>
          </w:tcPr>
          <w:p w14:paraId="2A2D95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1BD3B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A19A9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45EE8E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6472E6E">
            <w:pPr>
              <w:jc w:val="center"/>
              <w:rPr>
                <w:rFonts w:hint="eastAsia" w:ascii="宋体" w:hAnsi="宋体" w:eastAsia="宋体" w:cs="宋体"/>
                <w:i w:val="0"/>
                <w:iCs w:val="0"/>
                <w:color w:val="000000"/>
                <w:sz w:val="20"/>
                <w:szCs w:val="20"/>
                <w:u w:val="none"/>
              </w:rPr>
            </w:pPr>
          </w:p>
        </w:tc>
      </w:tr>
      <w:tr w14:paraId="20297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03337BC">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53953D9">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81E7BED">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4939BD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睡眠前时间</w:t>
            </w:r>
          </w:p>
        </w:tc>
        <w:tc>
          <w:tcPr>
            <w:tcW w:w="2220" w:type="dxa"/>
            <w:tcBorders>
              <w:top w:val="nil"/>
              <w:left w:val="nil"/>
              <w:bottom w:val="single" w:color="000000" w:sz="8" w:space="0"/>
              <w:right w:val="single" w:color="000000" w:sz="8" w:space="0"/>
            </w:tcBorders>
            <w:shd w:val="clear" w:color="auto" w:fill="auto"/>
            <w:vAlign w:val="center"/>
          </w:tcPr>
          <w:p w14:paraId="0DE2C0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930AC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0FE17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D0C282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B825435">
            <w:pPr>
              <w:jc w:val="center"/>
              <w:rPr>
                <w:rFonts w:hint="eastAsia" w:ascii="宋体" w:hAnsi="宋体" w:eastAsia="宋体" w:cs="宋体"/>
                <w:i w:val="0"/>
                <w:iCs w:val="0"/>
                <w:color w:val="000000"/>
                <w:sz w:val="20"/>
                <w:szCs w:val="20"/>
                <w:u w:val="none"/>
              </w:rPr>
            </w:pPr>
          </w:p>
        </w:tc>
      </w:tr>
      <w:tr w14:paraId="00F09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F414BFA">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B648239">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F2FD80A">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41F2D2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求解器迭代数</w:t>
            </w:r>
          </w:p>
        </w:tc>
        <w:tc>
          <w:tcPr>
            <w:tcW w:w="2220" w:type="dxa"/>
            <w:tcBorders>
              <w:top w:val="nil"/>
              <w:left w:val="nil"/>
              <w:bottom w:val="single" w:color="000000" w:sz="8" w:space="0"/>
              <w:right w:val="single" w:color="000000" w:sz="8" w:space="0"/>
            </w:tcBorders>
            <w:shd w:val="clear" w:color="auto" w:fill="auto"/>
            <w:vAlign w:val="center"/>
          </w:tcPr>
          <w:p w14:paraId="3A1E7D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5AF8D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87BD3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AD1F540">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DD761C5">
            <w:pPr>
              <w:jc w:val="center"/>
              <w:rPr>
                <w:rFonts w:hint="eastAsia" w:ascii="宋体" w:hAnsi="宋体" w:eastAsia="宋体" w:cs="宋体"/>
                <w:i w:val="0"/>
                <w:iCs w:val="0"/>
                <w:color w:val="000000"/>
                <w:sz w:val="20"/>
                <w:szCs w:val="20"/>
                <w:u w:val="none"/>
              </w:rPr>
            </w:pPr>
          </w:p>
        </w:tc>
      </w:tr>
      <w:tr w14:paraId="43CAC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B2C3DF3">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6F1C723">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6560F4A">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1F1E73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接触重迭代半径</w:t>
            </w:r>
          </w:p>
        </w:tc>
        <w:tc>
          <w:tcPr>
            <w:tcW w:w="2220" w:type="dxa"/>
            <w:tcBorders>
              <w:top w:val="nil"/>
              <w:left w:val="nil"/>
              <w:bottom w:val="single" w:color="000000" w:sz="8" w:space="0"/>
              <w:right w:val="single" w:color="000000" w:sz="8" w:space="0"/>
            </w:tcBorders>
            <w:shd w:val="clear" w:color="auto" w:fill="auto"/>
            <w:vAlign w:val="center"/>
          </w:tcPr>
          <w:p w14:paraId="471F79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08B02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58324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84377F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E9EEA04">
            <w:pPr>
              <w:jc w:val="center"/>
              <w:rPr>
                <w:rFonts w:hint="eastAsia" w:ascii="宋体" w:hAnsi="宋体" w:eastAsia="宋体" w:cs="宋体"/>
                <w:i w:val="0"/>
                <w:iCs w:val="0"/>
                <w:color w:val="000000"/>
                <w:sz w:val="20"/>
                <w:szCs w:val="20"/>
                <w:u w:val="none"/>
              </w:rPr>
            </w:pPr>
          </w:p>
        </w:tc>
      </w:tr>
      <w:tr w14:paraId="73C6B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9D88E7B">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04BC174">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75D986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61029C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接触最大分离</w:t>
            </w:r>
          </w:p>
        </w:tc>
        <w:tc>
          <w:tcPr>
            <w:tcW w:w="2220" w:type="dxa"/>
            <w:tcBorders>
              <w:top w:val="nil"/>
              <w:left w:val="nil"/>
              <w:bottom w:val="single" w:color="000000" w:sz="8" w:space="0"/>
              <w:right w:val="single" w:color="000000" w:sz="8" w:space="0"/>
            </w:tcBorders>
            <w:shd w:val="clear" w:color="auto" w:fill="auto"/>
            <w:vAlign w:val="center"/>
          </w:tcPr>
          <w:p w14:paraId="083D96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DD022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4CF0D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AA89D6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B587B3E">
            <w:pPr>
              <w:jc w:val="center"/>
              <w:rPr>
                <w:rFonts w:hint="eastAsia" w:ascii="宋体" w:hAnsi="宋体" w:eastAsia="宋体" w:cs="宋体"/>
                <w:i w:val="0"/>
                <w:iCs w:val="0"/>
                <w:color w:val="000000"/>
                <w:sz w:val="20"/>
                <w:szCs w:val="20"/>
                <w:u w:val="none"/>
              </w:rPr>
            </w:pPr>
          </w:p>
        </w:tc>
      </w:tr>
      <w:tr w14:paraId="646E0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3C5CD5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50B9702">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B776777">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66B80A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接触最大允许穿透</w:t>
            </w:r>
          </w:p>
        </w:tc>
        <w:tc>
          <w:tcPr>
            <w:tcW w:w="2220" w:type="dxa"/>
            <w:tcBorders>
              <w:top w:val="nil"/>
              <w:left w:val="nil"/>
              <w:bottom w:val="single" w:color="000000" w:sz="8" w:space="0"/>
              <w:right w:val="single" w:color="000000" w:sz="8" w:space="0"/>
            </w:tcBorders>
            <w:shd w:val="clear" w:color="auto" w:fill="auto"/>
            <w:vAlign w:val="center"/>
          </w:tcPr>
          <w:p w14:paraId="4A70C6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A6B3C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FA0FA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0E60357">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F4F47B7">
            <w:pPr>
              <w:jc w:val="center"/>
              <w:rPr>
                <w:rFonts w:hint="eastAsia" w:ascii="宋体" w:hAnsi="宋体" w:eastAsia="宋体" w:cs="宋体"/>
                <w:i w:val="0"/>
                <w:iCs w:val="0"/>
                <w:color w:val="000000"/>
                <w:sz w:val="20"/>
                <w:szCs w:val="20"/>
                <w:u w:val="none"/>
              </w:rPr>
            </w:pPr>
          </w:p>
        </w:tc>
      </w:tr>
      <w:tr w14:paraId="1B7C0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816B92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04520C9">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276C357">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164223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默认接触偏置</w:t>
            </w:r>
          </w:p>
        </w:tc>
        <w:tc>
          <w:tcPr>
            <w:tcW w:w="2220" w:type="dxa"/>
            <w:tcBorders>
              <w:top w:val="nil"/>
              <w:left w:val="nil"/>
              <w:bottom w:val="single" w:color="000000" w:sz="8" w:space="0"/>
              <w:right w:val="single" w:color="000000" w:sz="8" w:space="0"/>
            </w:tcBorders>
            <w:shd w:val="clear" w:color="auto" w:fill="auto"/>
            <w:vAlign w:val="center"/>
          </w:tcPr>
          <w:p w14:paraId="1CD230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372BA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0DF98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A434E49">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90FE96A">
            <w:pPr>
              <w:jc w:val="center"/>
              <w:rPr>
                <w:rFonts w:hint="eastAsia" w:ascii="宋体" w:hAnsi="宋体" w:eastAsia="宋体" w:cs="宋体"/>
                <w:i w:val="0"/>
                <w:iCs w:val="0"/>
                <w:color w:val="000000"/>
                <w:sz w:val="20"/>
                <w:szCs w:val="20"/>
                <w:u w:val="none"/>
              </w:rPr>
            </w:pPr>
          </w:p>
        </w:tc>
      </w:tr>
      <w:tr w14:paraId="393A2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EE06C5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60376C1">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26CF9A8">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6E8B0D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每秒物理周期数</w:t>
            </w:r>
          </w:p>
        </w:tc>
        <w:tc>
          <w:tcPr>
            <w:tcW w:w="2220" w:type="dxa"/>
            <w:tcBorders>
              <w:top w:val="nil"/>
              <w:left w:val="nil"/>
              <w:bottom w:val="single" w:color="000000" w:sz="8" w:space="0"/>
              <w:right w:val="single" w:color="000000" w:sz="8" w:space="0"/>
            </w:tcBorders>
            <w:shd w:val="clear" w:color="auto" w:fill="auto"/>
            <w:vAlign w:val="center"/>
          </w:tcPr>
          <w:p w14:paraId="0BA9A0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50174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963A1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D9DC1D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1C21135">
            <w:pPr>
              <w:jc w:val="center"/>
              <w:rPr>
                <w:rFonts w:hint="eastAsia" w:ascii="宋体" w:hAnsi="宋体" w:eastAsia="宋体" w:cs="宋体"/>
                <w:i w:val="0"/>
                <w:iCs w:val="0"/>
                <w:color w:val="000000"/>
                <w:sz w:val="20"/>
                <w:szCs w:val="20"/>
                <w:u w:val="none"/>
              </w:rPr>
            </w:pPr>
          </w:p>
        </w:tc>
      </w:tr>
      <w:tr w14:paraId="0C8A0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3452359">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241EDA2">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4A1281C">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75363C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每帧最大物理迭代数</w:t>
            </w:r>
          </w:p>
        </w:tc>
        <w:tc>
          <w:tcPr>
            <w:tcW w:w="2220" w:type="dxa"/>
            <w:tcBorders>
              <w:top w:val="nil"/>
              <w:left w:val="nil"/>
              <w:bottom w:val="single" w:color="000000" w:sz="8" w:space="0"/>
              <w:right w:val="single" w:color="000000" w:sz="8" w:space="0"/>
            </w:tcBorders>
            <w:shd w:val="clear" w:color="auto" w:fill="auto"/>
            <w:vAlign w:val="center"/>
          </w:tcPr>
          <w:p w14:paraId="76A954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F3889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8E647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F2F5F6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E32E91E">
            <w:pPr>
              <w:jc w:val="center"/>
              <w:rPr>
                <w:rFonts w:hint="eastAsia" w:ascii="宋体" w:hAnsi="宋体" w:eastAsia="宋体" w:cs="宋体"/>
                <w:i w:val="0"/>
                <w:iCs w:val="0"/>
                <w:color w:val="000000"/>
                <w:sz w:val="20"/>
                <w:szCs w:val="20"/>
                <w:u w:val="none"/>
              </w:rPr>
            </w:pPr>
          </w:p>
        </w:tc>
      </w:tr>
      <w:tr w14:paraId="4BAD9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11AAEA1">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07D35A1">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4DDBC6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294DE6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修正物理抖动</w:t>
            </w:r>
          </w:p>
        </w:tc>
        <w:tc>
          <w:tcPr>
            <w:tcW w:w="2220" w:type="dxa"/>
            <w:tcBorders>
              <w:top w:val="nil"/>
              <w:left w:val="nil"/>
              <w:bottom w:val="single" w:color="000000" w:sz="8" w:space="0"/>
              <w:right w:val="single" w:color="000000" w:sz="8" w:space="0"/>
            </w:tcBorders>
            <w:shd w:val="clear" w:color="auto" w:fill="auto"/>
            <w:vAlign w:val="center"/>
          </w:tcPr>
          <w:p w14:paraId="34B2F2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DECE2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2E16A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2FB885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6AF996E">
            <w:pPr>
              <w:jc w:val="center"/>
              <w:rPr>
                <w:rFonts w:hint="eastAsia" w:ascii="宋体" w:hAnsi="宋体" w:eastAsia="宋体" w:cs="宋体"/>
                <w:i w:val="0"/>
                <w:iCs w:val="0"/>
                <w:color w:val="000000"/>
                <w:sz w:val="20"/>
                <w:szCs w:val="20"/>
                <w:u w:val="none"/>
              </w:rPr>
            </w:pPr>
          </w:p>
        </w:tc>
      </w:tr>
      <w:tr w14:paraId="68D37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EA65DAA">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5DC9B49">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DAE9277">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5C62BD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物理插值</w:t>
            </w:r>
          </w:p>
        </w:tc>
        <w:tc>
          <w:tcPr>
            <w:tcW w:w="2220" w:type="dxa"/>
            <w:tcBorders>
              <w:top w:val="nil"/>
              <w:left w:val="nil"/>
              <w:bottom w:val="single" w:color="000000" w:sz="8" w:space="0"/>
              <w:right w:val="single" w:color="000000" w:sz="8" w:space="0"/>
            </w:tcBorders>
            <w:shd w:val="clear" w:color="auto" w:fill="auto"/>
            <w:vAlign w:val="center"/>
          </w:tcPr>
          <w:p w14:paraId="5116D8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4042F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7152A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282183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7F19379">
            <w:pPr>
              <w:jc w:val="center"/>
              <w:rPr>
                <w:rFonts w:hint="eastAsia" w:ascii="宋体" w:hAnsi="宋体" w:eastAsia="宋体" w:cs="宋体"/>
                <w:i w:val="0"/>
                <w:iCs w:val="0"/>
                <w:color w:val="000000"/>
                <w:sz w:val="20"/>
                <w:szCs w:val="20"/>
                <w:u w:val="none"/>
              </w:rPr>
            </w:pPr>
          </w:p>
        </w:tc>
      </w:tr>
      <w:tr w14:paraId="5E3AC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246D15F">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635A0ED">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3DC052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7C5A28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启用对象拾取</w:t>
            </w:r>
          </w:p>
        </w:tc>
        <w:tc>
          <w:tcPr>
            <w:tcW w:w="2220" w:type="dxa"/>
            <w:tcBorders>
              <w:top w:val="nil"/>
              <w:left w:val="nil"/>
              <w:bottom w:val="single" w:color="000000" w:sz="8" w:space="0"/>
              <w:right w:val="single" w:color="000000" w:sz="8" w:space="0"/>
            </w:tcBorders>
            <w:shd w:val="clear" w:color="auto" w:fill="auto"/>
            <w:vAlign w:val="center"/>
          </w:tcPr>
          <w:p w14:paraId="22AFD0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C37BE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B3178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4EC09B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88C7170">
            <w:pPr>
              <w:jc w:val="center"/>
              <w:rPr>
                <w:rFonts w:hint="eastAsia" w:ascii="宋体" w:hAnsi="宋体" w:eastAsia="宋体" w:cs="宋体"/>
                <w:i w:val="0"/>
                <w:iCs w:val="0"/>
                <w:color w:val="000000"/>
                <w:sz w:val="20"/>
                <w:szCs w:val="20"/>
                <w:u w:val="none"/>
              </w:rPr>
            </w:pPr>
          </w:p>
        </w:tc>
      </w:tr>
      <w:tr w14:paraId="64B28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F294963">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46FC26D">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9AEA73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22EC42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速度 / 位置步数</w:t>
            </w:r>
          </w:p>
        </w:tc>
        <w:tc>
          <w:tcPr>
            <w:tcW w:w="2220" w:type="dxa"/>
            <w:tcBorders>
              <w:top w:val="nil"/>
              <w:left w:val="nil"/>
              <w:bottom w:val="single" w:color="000000" w:sz="8" w:space="0"/>
              <w:right w:val="single" w:color="000000" w:sz="8" w:space="0"/>
            </w:tcBorders>
            <w:shd w:val="clear" w:color="auto" w:fill="auto"/>
            <w:vAlign w:val="center"/>
          </w:tcPr>
          <w:p w14:paraId="0857E5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D12E7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BA23A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6A6727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2D3BB1A">
            <w:pPr>
              <w:jc w:val="center"/>
              <w:rPr>
                <w:rFonts w:hint="eastAsia" w:ascii="宋体" w:hAnsi="宋体" w:eastAsia="宋体" w:cs="宋体"/>
                <w:i w:val="0"/>
                <w:iCs w:val="0"/>
                <w:color w:val="000000"/>
                <w:sz w:val="20"/>
                <w:szCs w:val="20"/>
                <w:u w:val="none"/>
              </w:rPr>
            </w:pPr>
          </w:p>
        </w:tc>
      </w:tr>
      <w:tr w14:paraId="372C1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592DD91">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6715AC5">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356F093">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5E9109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使用增强的内部边移除</w:t>
            </w:r>
          </w:p>
        </w:tc>
        <w:tc>
          <w:tcPr>
            <w:tcW w:w="2220" w:type="dxa"/>
            <w:tcBorders>
              <w:top w:val="nil"/>
              <w:left w:val="nil"/>
              <w:bottom w:val="single" w:color="000000" w:sz="8" w:space="0"/>
              <w:right w:val="single" w:color="000000" w:sz="8" w:space="0"/>
            </w:tcBorders>
            <w:shd w:val="clear" w:color="auto" w:fill="auto"/>
            <w:vAlign w:val="center"/>
          </w:tcPr>
          <w:p w14:paraId="6EEC40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1A8E3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03FF7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098DCD9">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87C4322">
            <w:pPr>
              <w:jc w:val="center"/>
              <w:rPr>
                <w:rFonts w:hint="eastAsia" w:ascii="宋体" w:hAnsi="宋体" w:eastAsia="宋体" w:cs="宋体"/>
                <w:i w:val="0"/>
                <w:iCs w:val="0"/>
                <w:color w:val="000000"/>
                <w:sz w:val="20"/>
                <w:szCs w:val="20"/>
                <w:u w:val="none"/>
              </w:rPr>
            </w:pPr>
          </w:p>
        </w:tc>
      </w:tr>
      <w:tr w14:paraId="48FBA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C350EB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257E6EB">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ABA88B9">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4F6FE5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区域检测静态物体</w:t>
            </w:r>
          </w:p>
        </w:tc>
        <w:tc>
          <w:tcPr>
            <w:tcW w:w="2220" w:type="dxa"/>
            <w:tcBorders>
              <w:top w:val="nil"/>
              <w:left w:val="nil"/>
              <w:bottom w:val="single" w:color="000000" w:sz="8" w:space="0"/>
              <w:right w:val="single" w:color="000000" w:sz="8" w:space="0"/>
            </w:tcBorders>
            <w:shd w:val="clear" w:color="auto" w:fill="auto"/>
            <w:vAlign w:val="center"/>
          </w:tcPr>
          <w:p w14:paraId="0288B3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82610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8BD91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F53F27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8E48C3F">
            <w:pPr>
              <w:jc w:val="center"/>
              <w:rPr>
                <w:rFonts w:hint="eastAsia" w:ascii="宋体" w:hAnsi="宋体" w:eastAsia="宋体" w:cs="宋体"/>
                <w:i w:val="0"/>
                <w:iCs w:val="0"/>
                <w:color w:val="000000"/>
                <w:sz w:val="20"/>
                <w:szCs w:val="20"/>
                <w:u w:val="none"/>
              </w:rPr>
            </w:pPr>
          </w:p>
        </w:tc>
      </w:tr>
      <w:tr w14:paraId="2183A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3C8E7B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755925B">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4AAC56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1D3D70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生成所有动态约束</w:t>
            </w:r>
          </w:p>
        </w:tc>
        <w:tc>
          <w:tcPr>
            <w:tcW w:w="2220" w:type="dxa"/>
            <w:tcBorders>
              <w:top w:val="nil"/>
              <w:left w:val="nil"/>
              <w:bottom w:val="single" w:color="000000" w:sz="8" w:space="0"/>
              <w:right w:val="single" w:color="000000" w:sz="8" w:space="0"/>
            </w:tcBorders>
            <w:shd w:val="clear" w:color="auto" w:fill="auto"/>
            <w:vAlign w:val="center"/>
          </w:tcPr>
          <w:p w14:paraId="280DB3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4594A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61DF9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B00C83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FE21FAC">
            <w:pPr>
              <w:jc w:val="center"/>
              <w:rPr>
                <w:rFonts w:hint="eastAsia" w:ascii="宋体" w:hAnsi="宋体" w:eastAsia="宋体" w:cs="宋体"/>
                <w:i w:val="0"/>
                <w:iCs w:val="0"/>
                <w:color w:val="000000"/>
                <w:sz w:val="20"/>
                <w:szCs w:val="20"/>
                <w:u w:val="none"/>
              </w:rPr>
            </w:pPr>
          </w:p>
        </w:tc>
      </w:tr>
      <w:tr w14:paraId="283E6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1824DDA">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3FE2503">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4027CF7">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4190DC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穿透度</w:t>
            </w:r>
          </w:p>
        </w:tc>
        <w:tc>
          <w:tcPr>
            <w:tcW w:w="2220" w:type="dxa"/>
            <w:tcBorders>
              <w:top w:val="nil"/>
              <w:left w:val="nil"/>
              <w:bottom w:val="single" w:color="000000" w:sz="8" w:space="0"/>
              <w:right w:val="single" w:color="000000" w:sz="8" w:space="0"/>
            </w:tcBorders>
            <w:shd w:val="clear" w:color="auto" w:fill="auto"/>
            <w:vAlign w:val="center"/>
          </w:tcPr>
          <w:p w14:paraId="2C8EEF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C3B2B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9D651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1FD612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07B8160">
            <w:pPr>
              <w:jc w:val="center"/>
              <w:rPr>
                <w:rFonts w:hint="eastAsia" w:ascii="宋体" w:hAnsi="宋体" w:eastAsia="宋体" w:cs="宋体"/>
                <w:i w:val="0"/>
                <w:iCs w:val="0"/>
                <w:color w:val="000000"/>
                <w:sz w:val="20"/>
                <w:szCs w:val="20"/>
                <w:u w:val="none"/>
              </w:rPr>
            </w:pPr>
          </w:p>
        </w:tc>
      </w:tr>
      <w:tr w14:paraId="47A3B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0030A7A">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7A9C3F3">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BE5040A">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7118D4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推测接触距离</w:t>
            </w:r>
          </w:p>
        </w:tc>
        <w:tc>
          <w:tcPr>
            <w:tcW w:w="2220" w:type="dxa"/>
            <w:tcBorders>
              <w:top w:val="nil"/>
              <w:left w:val="nil"/>
              <w:bottom w:val="single" w:color="000000" w:sz="8" w:space="0"/>
              <w:right w:val="single" w:color="000000" w:sz="8" w:space="0"/>
            </w:tcBorders>
            <w:shd w:val="clear" w:color="auto" w:fill="auto"/>
            <w:vAlign w:val="center"/>
          </w:tcPr>
          <w:p w14:paraId="3FFC44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AA35D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15A1C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35A0D6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53779C3">
            <w:pPr>
              <w:jc w:val="center"/>
              <w:rPr>
                <w:rFonts w:hint="eastAsia" w:ascii="宋体" w:hAnsi="宋体" w:eastAsia="宋体" w:cs="宋体"/>
                <w:i w:val="0"/>
                <w:iCs w:val="0"/>
                <w:color w:val="000000"/>
                <w:sz w:val="20"/>
                <w:szCs w:val="20"/>
                <w:u w:val="none"/>
              </w:rPr>
            </w:pPr>
          </w:p>
        </w:tc>
      </w:tr>
      <w:tr w14:paraId="22190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9C0B68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2FF59A2">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384B9EA">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63C792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稳定因子</w:t>
            </w:r>
          </w:p>
        </w:tc>
        <w:tc>
          <w:tcPr>
            <w:tcW w:w="2220" w:type="dxa"/>
            <w:tcBorders>
              <w:top w:val="nil"/>
              <w:left w:val="nil"/>
              <w:bottom w:val="single" w:color="000000" w:sz="8" w:space="0"/>
              <w:right w:val="single" w:color="000000" w:sz="8" w:space="0"/>
            </w:tcBorders>
            <w:shd w:val="clear" w:color="auto" w:fill="auto"/>
            <w:vAlign w:val="center"/>
          </w:tcPr>
          <w:p w14:paraId="6F3E7B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D948C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0680F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F71640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8F19B80">
            <w:pPr>
              <w:jc w:val="center"/>
              <w:rPr>
                <w:rFonts w:hint="eastAsia" w:ascii="宋体" w:hAnsi="宋体" w:eastAsia="宋体" w:cs="宋体"/>
                <w:i w:val="0"/>
                <w:iCs w:val="0"/>
                <w:color w:val="000000"/>
                <w:sz w:val="20"/>
                <w:szCs w:val="20"/>
                <w:u w:val="none"/>
              </w:rPr>
            </w:pPr>
          </w:p>
        </w:tc>
      </w:tr>
      <w:tr w14:paraId="120D3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DD596B9">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74714B7">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B70D9C7">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52C3E1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质点半径</w:t>
            </w:r>
          </w:p>
        </w:tc>
        <w:tc>
          <w:tcPr>
            <w:tcW w:w="2220" w:type="dxa"/>
            <w:tcBorders>
              <w:top w:val="nil"/>
              <w:left w:val="nil"/>
              <w:bottom w:val="single" w:color="000000" w:sz="8" w:space="0"/>
              <w:right w:val="single" w:color="000000" w:sz="8" w:space="0"/>
            </w:tcBorders>
            <w:shd w:val="clear" w:color="auto" w:fill="auto"/>
            <w:vAlign w:val="center"/>
          </w:tcPr>
          <w:p w14:paraId="32E291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0B748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37776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9A25BD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883D59C">
            <w:pPr>
              <w:jc w:val="center"/>
              <w:rPr>
                <w:rFonts w:hint="eastAsia" w:ascii="宋体" w:hAnsi="宋体" w:eastAsia="宋体" w:cs="宋体"/>
                <w:i w:val="0"/>
                <w:iCs w:val="0"/>
                <w:color w:val="000000"/>
                <w:sz w:val="20"/>
                <w:szCs w:val="20"/>
                <w:u w:val="none"/>
              </w:rPr>
            </w:pPr>
          </w:p>
        </w:tc>
      </w:tr>
      <w:tr w14:paraId="590D2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7662D5B">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77AD945">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30F11FA">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C2A82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弹跳速度阈值</w:t>
            </w:r>
          </w:p>
        </w:tc>
        <w:tc>
          <w:tcPr>
            <w:tcW w:w="2220" w:type="dxa"/>
            <w:tcBorders>
              <w:top w:val="nil"/>
              <w:left w:val="nil"/>
              <w:bottom w:val="single" w:color="000000" w:sz="8" w:space="0"/>
              <w:right w:val="single" w:color="000000" w:sz="8" w:space="0"/>
            </w:tcBorders>
            <w:shd w:val="clear" w:color="auto" w:fill="auto"/>
            <w:vAlign w:val="center"/>
          </w:tcPr>
          <w:p w14:paraId="5DA39D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2DFEF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A2A8E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66FED1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29F3020">
            <w:pPr>
              <w:jc w:val="center"/>
              <w:rPr>
                <w:rFonts w:hint="eastAsia" w:ascii="宋体" w:hAnsi="宋体" w:eastAsia="宋体" w:cs="宋体"/>
                <w:i w:val="0"/>
                <w:iCs w:val="0"/>
                <w:color w:val="000000"/>
                <w:sz w:val="20"/>
                <w:szCs w:val="20"/>
                <w:u w:val="none"/>
              </w:rPr>
            </w:pPr>
          </w:p>
        </w:tc>
      </w:tr>
      <w:tr w14:paraId="3FBF9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9763DE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D3D7D34">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279C613">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7A4095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睡眠相关配置</w:t>
            </w:r>
          </w:p>
        </w:tc>
        <w:tc>
          <w:tcPr>
            <w:tcW w:w="2220" w:type="dxa"/>
            <w:tcBorders>
              <w:top w:val="nil"/>
              <w:left w:val="nil"/>
              <w:bottom w:val="single" w:color="000000" w:sz="8" w:space="0"/>
              <w:right w:val="single" w:color="000000" w:sz="8" w:space="0"/>
            </w:tcBorders>
            <w:shd w:val="clear" w:color="auto" w:fill="auto"/>
            <w:vAlign w:val="center"/>
          </w:tcPr>
          <w:p w14:paraId="6415DA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23BB7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7C3CF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06A374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7C63CC5">
            <w:pPr>
              <w:jc w:val="center"/>
              <w:rPr>
                <w:rFonts w:hint="eastAsia" w:ascii="宋体" w:hAnsi="宋体" w:eastAsia="宋体" w:cs="宋体"/>
                <w:i w:val="0"/>
                <w:iCs w:val="0"/>
                <w:color w:val="000000"/>
                <w:sz w:val="20"/>
                <w:szCs w:val="20"/>
                <w:u w:val="none"/>
              </w:rPr>
            </w:pPr>
          </w:p>
        </w:tc>
      </w:tr>
      <w:tr w14:paraId="6C4E2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F6B7B7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C0EA478">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61C0B7E">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0F9FE6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连续碰撞检测配置</w:t>
            </w:r>
          </w:p>
        </w:tc>
        <w:tc>
          <w:tcPr>
            <w:tcW w:w="2220" w:type="dxa"/>
            <w:tcBorders>
              <w:top w:val="nil"/>
              <w:left w:val="nil"/>
              <w:bottom w:val="single" w:color="000000" w:sz="8" w:space="0"/>
              <w:right w:val="single" w:color="000000" w:sz="8" w:space="0"/>
            </w:tcBorders>
            <w:shd w:val="clear" w:color="auto" w:fill="auto"/>
            <w:vAlign w:val="center"/>
          </w:tcPr>
          <w:p w14:paraId="636F3A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EBE65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522CF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131B832">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B91D739">
            <w:pPr>
              <w:jc w:val="center"/>
              <w:rPr>
                <w:rFonts w:hint="eastAsia" w:ascii="宋体" w:hAnsi="宋体" w:eastAsia="宋体" w:cs="宋体"/>
                <w:i w:val="0"/>
                <w:iCs w:val="0"/>
                <w:color w:val="000000"/>
                <w:sz w:val="20"/>
                <w:szCs w:val="20"/>
                <w:u w:val="none"/>
              </w:rPr>
            </w:pPr>
          </w:p>
        </w:tc>
      </w:tr>
      <w:tr w14:paraId="56EFE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2C1DF5F">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D818ED6">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54FBA49">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EE43F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物体对接触缓存</w:t>
            </w:r>
          </w:p>
        </w:tc>
        <w:tc>
          <w:tcPr>
            <w:tcW w:w="2220" w:type="dxa"/>
            <w:tcBorders>
              <w:top w:val="nil"/>
              <w:left w:val="nil"/>
              <w:bottom w:val="single" w:color="000000" w:sz="8" w:space="0"/>
              <w:right w:val="single" w:color="000000" w:sz="8" w:space="0"/>
            </w:tcBorders>
            <w:shd w:val="clear" w:color="auto" w:fill="auto"/>
            <w:vAlign w:val="center"/>
          </w:tcPr>
          <w:p w14:paraId="3507C4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C218B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6F6A9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B701F8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292486F">
            <w:pPr>
              <w:jc w:val="center"/>
              <w:rPr>
                <w:rFonts w:hint="eastAsia" w:ascii="宋体" w:hAnsi="宋体" w:eastAsia="宋体" w:cs="宋体"/>
                <w:i w:val="0"/>
                <w:iCs w:val="0"/>
                <w:color w:val="000000"/>
                <w:sz w:val="20"/>
                <w:szCs w:val="20"/>
                <w:u w:val="none"/>
              </w:rPr>
            </w:pPr>
          </w:p>
        </w:tc>
      </w:tr>
      <w:tr w14:paraId="1C1CA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203C36B">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5729DB6">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2FB198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0BF102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查询 / 运动查询边缘移除</w:t>
            </w:r>
          </w:p>
        </w:tc>
        <w:tc>
          <w:tcPr>
            <w:tcW w:w="2220" w:type="dxa"/>
            <w:tcBorders>
              <w:top w:val="nil"/>
              <w:left w:val="nil"/>
              <w:bottom w:val="single" w:color="000000" w:sz="8" w:space="0"/>
              <w:right w:val="single" w:color="000000" w:sz="8" w:space="0"/>
            </w:tcBorders>
            <w:shd w:val="clear" w:color="auto" w:fill="auto"/>
            <w:vAlign w:val="center"/>
          </w:tcPr>
          <w:p w14:paraId="6C935E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17BF5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7197F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D2C205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159A563">
            <w:pPr>
              <w:jc w:val="center"/>
              <w:rPr>
                <w:rFonts w:hint="eastAsia" w:ascii="宋体" w:hAnsi="宋体" w:eastAsia="宋体" w:cs="宋体"/>
                <w:i w:val="0"/>
                <w:iCs w:val="0"/>
                <w:color w:val="000000"/>
                <w:sz w:val="20"/>
                <w:szCs w:val="20"/>
                <w:u w:val="none"/>
              </w:rPr>
            </w:pPr>
          </w:p>
        </w:tc>
      </w:tr>
      <w:tr w14:paraId="343E6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9355019">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30F65CC">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AA87774">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719120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启用光线投射索引</w:t>
            </w:r>
          </w:p>
        </w:tc>
        <w:tc>
          <w:tcPr>
            <w:tcW w:w="2220" w:type="dxa"/>
            <w:tcBorders>
              <w:top w:val="nil"/>
              <w:left w:val="nil"/>
              <w:bottom w:val="single" w:color="000000" w:sz="8" w:space="0"/>
              <w:right w:val="single" w:color="000000" w:sz="8" w:space="0"/>
            </w:tcBorders>
            <w:shd w:val="clear" w:color="auto" w:fill="auto"/>
            <w:vAlign w:val="center"/>
          </w:tcPr>
          <w:p w14:paraId="700C7C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78CE5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ACE05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B8C55E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497680F">
            <w:pPr>
              <w:jc w:val="center"/>
              <w:rPr>
                <w:rFonts w:hint="eastAsia" w:ascii="宋体" w:hAnsi="宋体" w:eastAsia="宋体" w:cs="宋体"/>
                <w:i w:val="0"/>
                <w:iCs w:val="0"/>
                <w:color w:val="000000"/>
                <w:sz w:val="20"/>
                <w:szCs w:val="20"/>
                <w:u w:val="none"/>
              </w:rPr>
            </w:pPr>
          </w:p>
        </w:tc>
      </w:tr>
      <w:tr w14:paraId="566DE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0C4805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04CD957">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BA6A0CC">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078B76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恢复迭代数 / 量</w:t>
            </w:r>
          </w:p>
        </w:tc>
        <w:tc>
          <w:tcPr>
            <w:tcW w:w="2220" w:type="dxa"/>
            <w:tcBorders>
              <w:top w:val="nil"/>
              <w:left w:val="nil"/>
              <w:bottom w:val="single" w:color="000000" w:sz="8" w:space="0"/>
              <w:right w:val="single" w:color="000000" w:sz="8" w:space="0"/>
            </w:tcBorders>
            <w:shd w:val="clear" w:color="auto" w:fill="auto"/>
            <w:vAlign w:val="center"/>
          </w:tcPr>
          <w:p w14:paraId="3F30EA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10E4A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B15F7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7C3A56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03CC472">
            <w:pPr>
              <w:jc w:val="center"/>
              <w:rPr>
                <w:rFonts w:hint="eastAsia" w:ascii="宋体" w:hAnsi="宋体" w:eastAsia="宋体" w:cs="宋体"/>
                <w:i w:val="0"/>
                <w:iCs w:val="0"/>
                <w:color w:val="000000"/>
                <w:sz w:val="20"/>
                <w:szCs w:val="20"/>
                <w:u w:val="none"/>
              </w:rPr>
            </w:pPr>
          </w:p>
        </w:tc>
      </w:tr>
      <w:tr w14:paraId="307C2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ED38B7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421A8ED">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099411A">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546D5D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碰撞边距小数</w:t>
            </w:r>
          </w:p>
        </w:tc>
        <w:tc>
          <w:tcPr>
            <w:tcW w:w="2220" w:type="dxa"/>
            <w:tcBorders>
              <w:top w:val="nil"/>
              <w:left w:val="nil"/>
              <w:bottom w:val="single" w:color="000000" w:sz="8" w:space="0"/>
              <w:right w:val="single" w:color="000000" w:sz="8" w:space="0"/>
            </w:tcBorders>
            <w:shd w:val="clear" w:color="auto" w:fill="auto"/>
            <w:vAlign w:val="center"/>
          </w:tcPr>
          <w:p w14:paraId="2F8342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A9235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0197D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EE961E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5C5647C">
            <w:pPr>
              <w:jc w:val="center"/>
              <w:rPr>
                <w:rFonts w:hint="eastAsia" w:ascii="宋体" w:hAnsi="宋体" w:eastAsia="宋体" w:cs="宋体"/>
                <w:i w:val="0"/>
                <w:iCs w:val="0"/>
                <w:color w:val="000000"/>
                <w:sz w:val="20"/>
                <w:szCs w:val="20"/>
                <w:u w:val="none"/>
              </w:rPr>
            </w:pPr>
          </w:p>
        </w:tc>
      </w:tr>
      <w:tr w14:paraId="57EA9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0B23D9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1F2B6DC">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27B3CB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63C060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活动边边缘阈值</w:t>
            </w:r>
          </w:p>
        </w:tc>
        <w:tc>
          <w:tcPr>
            <w:tcW w:w="2220" w:type="dxa"/>
            <w:tcBorders>
              <w:top w:val="nil"/>
              <w:left w:val="nil"/>
              <w:bottom w:val="single" w:color="000000" w:sz="8" w:space="0"/>
              <w:right w:val="single" w:color="000000" w:sz="8" w:space="0"/>
            </w:tcBorders>
            <w:shd w:val="clear" w:color="auto" w:fill="auto"/>
            <w:vAlign w:val="center"/>
          </w:tcPr>
          <w:p w14:paraId="13E01B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95038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647FA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70D739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C3F7A60">
            <w:pPr>
              <w:jc w:val="center"/>
              <w:rPr>
                <w:rFonts w:hint="eastAsia" w:ascii="宋体" w:hAnsi="宋体" w:eastAsia="宋体" w:cs="宋体"/>
                <w:i w:val="0"/>
                <w:iCs w:val="0"/>
                <w:color w:val="000000"/>
                <w:sz w:val="20"/>
                <w:szCs w:val="20"/>
                <w:u w:val="none"/>
              </w:rPr>
            </w:pPr>
          </w:p>
        </w:tc>
      </w:tr>
      <w:tr w14:paraId="1CDCF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A0A355C">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8B98D45">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DD346BF">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4EBF03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世界节点</w:t>
            </w:r>
          </w:p>
        </w:tc>
        <w:tc>
          <w:tcPr>
            <w:tcW w:w="2220" w:type="dxa"/>
            <w:tcBorders>
              <w:top w:val="nil"/>
              <w:left w:val="nil"/>
              <w:bottom w:val="single" w:color="000000" w:sz="8" w:space="0"/>
              <w:right w:val="single" w:color="000000" w:sz="8" w:space="0"/>
            </w:tcBorders>
            <w:shd w:val="clear" w:color="auto" w:fill="auto"/>
            <w:vAlign w:val="center"/>
          </w:tcPr>
          <w:p w14:paraId="4084C0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9D854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8842D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560336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49F0180">
            <w:pPr>
              <w:jc w:val="center"/>
              <w:rPr>
                <w:rFonts w:hint="eastAsia" w:ascii="宋体" w:hAnsi="宋体" w:eastAsia="宋体" w:cs="宋体"/>
                <w:i w:val="0"/>
                <w:iCs w:val="0"/>
                <w:color w:val="000000"/>
                <w:sz w:val="20"/>
                <w:szCs w:val="20"/>
                <w:u w:val="none"/>
              </w:rPr>
            </w:pPr>
          </w:p>
        </w:tc>
      </w:tr>
      <w:tr w14:paraId="6FD84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B2456D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EC2CB0D">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3EE416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66E2A0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临时内存缓冲区大小</w:t>
            </w:r>
          </w:p>
        </w:tc>
        <w:tc>
          <w:tcPr>
            <w:tcW w:w="2220" w:type="dxa"/>
            <w:tcBorders>
              <w:top w:val="nil"/>
              <w:left w:val="nil"/>
              <w:bottom w:val="single" w:color="000000" w:sz="8" w:space="0"/>
              <w:right w:val="single" w:color="000000" w:sz="8" w:space="0"/>
            </w:tcBorders>
            <w:shd w:val="clear" w:color="auto" w:fill="auto"/>
            <w:vAlign w:val="center"/>
          </w:tcPr>
          <w:p w14:paraId="39A3AE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1E4E9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B20A6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B2F924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3047AD3">
            <w:pPr>
              <w:jc w:val="center"/>
              <w:rPr>
                <w:rFonts w:hint="eastAsia" w:ascii="宋体" w:hAnsi="宋体" w:eastAsia="宋体" w:cs="宋体"/>
                <w:i w:val="0"/>
                <w:iCs w:val="0"/>
                <w:color w:val="000000"/>
                <w:sz w:val="20"/>
                <w:szCs w:val="20"/>
                <w:u w:val="none"/>
              </w:rPr>
            </w:pPr>
          </w:p>
        </w:tc>
      </w:tr>
      <w:tr w14:paraId="68EFE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F8EA84C">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445ADC2">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2B32CA0">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D7954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世界边界形状尺寸</w:t>
            </w:r>
          </w:p>
        </w:tc>
        <w:tc>
          <w:tcPr>
            <w:tcW w:w="2220" w:type="dxa"/>
            <w:tcBorders>
              <w:top w:val="nil"/>
              <w:left w:val="nil"/>
              <w:bottom w:val="single" w:color="000000" w:sz="8" w:space="0"/>
              <w:right w:val="single" w:color="000000" w:sz="8" w:space="0"/>
            </w:tcBorders>
            <w:shd w:val="clear" w:color="auto" w:fill="auto"/>
            <w:vAlign w:val="center"/>
          </w:tcPr>
          <w:p w14:paraId="2B869F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A71D3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E5261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5425A5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FA8C862">
            <w:pPr>
              <w:jc w:val="center"/>
              <w:rPr>
                <w:rFonts w:hint="eastAsia" w:ascii="宋体" w:hAnsi="宋体" w:eastAsia="宋体" w:cs="宋体"/>
                <w:i w:val="0"/>
                <w:iCs w:val="0"/>
                <w:color w:val="000000"/>
                <w:sz w:val="20"/>
                <w:szCs w:val="20"/>
                <w:u w:val="none"/>
              </w:rPr>
            </w:pPr>
          </w:p>
        </w:tc>
      </w:tr>
      <w:tr w14:paraId="2B0C1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3DA585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FC9FD51">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01408CC">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00DBAD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最大线 / 角速度</w:t>
            </w:r>
          </w:p>
        </w:tc>
        <w:tc>
          <w:tcPr>
            <w:tcW w:w="2220" w:type="dxa"/>
            <w:tcBorders>
              <w:top w:val="nil"/>
              <w:left w:val="nil"/>
              <w:bottom w:val="single" w:color="000000" w:sz="8" w:space="0"/>
              <w:right w:val="single" w:color="000000" w:sz="8" w:space="0"/>
            </w:tcBorders>
            <w:shd w:val="clear" w:color="auto" w:fill="auto"/>
            <w:vAlign w:val="center"/>
          </w:tcPr>
          <w:p w14:paraId="33F557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F5FA0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C5504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BC4EA7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3F10915">
            <w:pPr>
              <w:jc w:val="center"/>
              <w:rPr>
                <w:rFonts w:hint="eastAsia" w:ascii="宋体" w:hAnsi="宋体" w:eastAsia="宋体" w:cs="宋体"/>
                <w:i w:val="0"/>
                <w:iCs w:val="0"/>
                <w:color w:val="000000"/>
                <w:sz w:val="20"/>
                <w:szCs w:val="20"/>
                <w:u w:val="none"/>
              </w:rPr>
            </w:pPr>
          </w:p>
        </w:tc>
      </w:tr>
      <w:tr w14:paraId="48798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5716A8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C62EF2A">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3957D84">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D2772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最大物体 / 物体对 / 接触约束数</w:t>
            </w:r>
          </w:p>
        </w:tc>
        <w:tc>
          <w:tcPr>
            <w:tcW w:w="2220" w:type="dxa"/>
            <w:tcBorders>
              <w:top w:val="nil"/>
              <w:left w:val="nil"/>
              <w:bottom w:val="single" w:color="000000" w:sz="8" w:space="0"/>
              <w:right w:val="single" w:color="000000" w:sz="8" w:space="0"/>
            </w:tcBorders>
            <w:shd w:val="clear" w:color="auto" w:fill="auto"/>
            <w:vAlign w:val="center"/>
          </w:tcPr>
          <w:p w14:paraId="4B2A89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3AA3E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782CF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631843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0C7087A">
            <w:pPr>
              <w:jc w:val="center"/>
              <w:rPr>
                <w:rFonts w:hint="eastAsia" w:ascii="宋体" w:hAnsi="宋体" w:eastAsia="宋体" w:cs="宋体"/>
                <w:i w:val="0"/>
                <w:iCs w:val="0"/>
                <w:color w:val="000000"/>
                <w:sz w:val="20"/>
                <w:szCs w:val="20"/>
                <w:u w:val="none"/>
              </w:rPr>
            </w:pPr>
          </w:p>
        </w:tc>
      </w:tr>
      <w:tr w14:paraId="1AF39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02649D4">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D1806D1">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5C2D10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动画编辑器</w:t>
            </w:r>
          </w:p>
        </w:tc>
        <w:tc>
          <w:tcPr>
            <w:tcW w:w="1400" w:type="dxa"/>
            <w:tcBorders>
              <w:top w:val="nil"/>
              <w:left w:val="nil"/>
              <w:bottom w:val="single" w:color="000000" w:sz="8" w:space="0"/>
              <w:right w:val="single" w:color="000000" w:sz="8" w:space="0"/>
            </w:tcBorders>
            <w:shd w:val="clear" w:color="auto" w:fill="auto"/>
            <w:vAlign w:val="center"/>
          </w:tcPr>
          <w:p w14:paraId="44938F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动画管理</w:t>
            </w:r>
          </w:p>
        </w:tc>
        <w:tc>
          <w:tcPr>
            <w:tcW w:w="2220" w:type="dxa"/>
            <w:tcBorders>
              <w:top w:val="nil"/>
              <w:left w:val="nil"/>
              <w:bottom w:val="single" w:color="000000" w:sz="8" w:space="0"/>
              <w:right w:val="single" w:color="000000" w:sz="8" w:space="0"/>
            </w:tcBorders>
            <w:shd w:val="clear" w:color="auto" w:fill="FFFFFF"/>
            <w:vAlign w:val="center"/>
          </w:tcPr>
          <w:p w14:paraId="26678C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FFFFFF"/>
            <w:vAlign w:val="center"/>
          </w:tcPr>
          <w:p w14:paraId="4F4BF2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FFFFFF"/>
            <w:vAlign w:val="center"/>
          </w:tcPr>
          <w:p w14:paraId="08D7B6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FFFFFF"/>
            <w:vAlign w:val="center"/>
          </w:tcPr>
          <w:p w14:paraId="0F455CC9">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FFFFFF"/>
            <w:vAlign w:val="center"/>
          </w:tcPr>
          <w:p w14:paraId="0FF788D9">
            <w:pPr>
              <w:jc w:val="center"/>
              <w:rPr>
                <w:rFonts w:hint="eastAsia" w:ascii="宋体" w:hAnsi="宋体" w:eastAsia="宋体" w:cs="宋体"/>
                <w:i w:val="0"/>
                <w:iCs w:val="0"/>
                <w:color w:val="000000"/>
                <w:sz w:val="20"/>
                <w:szCs w:val="20"/>
                <w:u w:val="none"/>
              </w:rPr>
            </w:pPr>
          </w:p>
        </w:tc>
      </w:tr>
      <w:tr w14:paraId="6CC1E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3F1EA9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5D39FDF">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C47BAA2">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22B23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动画列表</w:t>
            </w:r>
          </w:p>
        </w:tc>
        <w:tc>
          <w:tcPr>
            <w:tcW w:w="2220" w:type="dxa"/>
            <w:tcBorders>
              <w:top w:val="nil"/>
              <w:left w:val="nil"/>
              <w:bottom w:val="single" w:color="000000" w:sz="8" w:space="0"/>
              <w:right w:val="single" w:color="000000" w:sz="8" w:space="0"/>
            </w:tcBorders>
            <w:shd w:val="clear" w:color="auto" w:fill="FFFFFF"/>
            <w:vAlign w:val="center"/>
          </w:tcPr>
          <w:p w14:paraId="76C4FB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FFFFFF"/>
            <w:vAlign w:val="center"/>
          </w:tcPr>
          <w:p w14:paraId="7E5839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FFFFFF"/>
            <w:vAlign w:val="center"/>
          </w:tcPr>
          <w:p w14:paraId="0C36F7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FFFFFF"/>
            <w:vAlign w:val="center"/>
          </w:tcPr>
          <w:p w14:paraId="47395659">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FFFFFF"/>
            <w:vAlign w:val="center"/>
          </w:tcPr>
          <w:p w14:paraId="474362A2">
            <w:pPr>
              <w:jc w:val="center"/>
              <w:rPr>
                <w:rFonts w:hint="eastAsia" w:ascii="宋体" w:hAnsi="宋体" w:eastAsia="宋体" w:cs="宋体"/>
                <w:i w:val="0"/>
                <w:iCs w:val="0"/>
                <w:color w:val="000000"/>
                <w:sz w:val="20"/>
                <w:szCs w:val="20"/>
                <w:u w:val="none"/>
              </w:rPr>
            </w:pPr>
          </w:p>
        </w:tc>
      </w:tr>
      <w:tr w14:paraId="6ABB9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F9991D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4BD69FD">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9D3F869">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6E3330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动画步长</w:t>
            </w:r>
          </w:p>
        </w:tc>
        <w:tc>
          <w:tcPr>
            <w:tcW w:w="2220" w:type="dxa"/>
            <w:tcBorders>
              <w:top w:val="nil"/>
              <w:left w:val="nil"/>
              <w:bottom w:val="single" w:color="000000" w:sz="8" w:space="0"/>
              <w:right w:val="single" w:color="000000" w:sz="8" w:space="0"/>
            </w:tcBorders>
            <w:shd w:val="clear" w:color="auto" w:fill="FFFFFF"/>
            <w:vAlign w:val="center"/>
          </w:tcPr>
          <w:p w14:paraId="703885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17DEC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A7B03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98500B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749A2C4">
            <w:pPr>
              <w:jc w:val="center"/>
              <w:rPr>
                <w:rFonts w:hint="eastAsia" w:ascii="宋体" w:hAnsi="宋体" w:eastAsia="宋体" w:cs="宋体"/>
                <w:i w:val="0"/>
                <w:iCs w:val="0"/>
                <w:color w:val="000000"/>
                <w:sz w:val="20"/>
                <w:szCs w:val="20"/>
                <w:u w:val="none"/>
              </w:rPr>
            </w:pPr>
          </w:p>
        </w:tc>
      </w:tr>
      <w:tr w14:paraId="772BC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19FD19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639AF4C">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C51A1FC">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A5A63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播放工具</w:t>
            </w:r>
          </w:p>
        </w:tc>
        <w:tc>
          <w:tcPr>
            <w:tcW w:w="2220" w:type="dxa"/>
            <w:tcBorders>
              <w:top w:val="nil"/>
              <w:left w:val="nil"/>
              <w:bottom w:val="single" w:color="000000" w:sz="8" w:space="0"/>
              <w:right w:val="single" w:color="000000" w:sz="8" w:space="0"/>
            </w:tcBorders>
            <w:shd w:val="clear" w:color="auto" w:fill="FFFFFF"/>
            <w:vAlign w:val="center"/>
          </w:tcPr>
          <w:p w14:paraId="6F9447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FFFFFF"/>
            <w:vAlign w:val="center"/>
          </w:tcPr>
          <w:p w14:paraId="23D952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FFFFFF"/>
            <w:vAlign w:val="center"/>
          </w:tcPr>
          <w:p w14:paraId="7AE5CA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FFFFFF"/>
            <w:vAlign w:val="center"/>
          </w:tcPr>
          <w:p w14:paraId="7751408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FFFFFF"/>
            <w:vAlign w:val="center"/>
          </w:tcPr>
          <w:p w14:paraId="00BB69D9">
            <w:pPr>
              <w:jc w:val="center"/>
              <w:rPr>
                <w:rFonts w:hint="eastAsia" w:ascii="宋体" w:hAnsi="宋体" w:eastAsia="宋体" w:cs="宋体"/>
                <w:i w:val="0"/>
                <w:iCs w:val="0"/>
                <w:color w:val="000000"/>
                <w:sz w:val="20"/>
                <w:szCs w:val="20"/>
                <w:u w:val="none"/>
              </w:rPr>
            </w:pPr>
          </w:p>
        </w:tc>
      </w:tr>
      <w:tr w14:paraId="7736F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5E54CC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998D169">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5124466">
            <w:pPr>
              <w:jc w:val="center"/>
              <w:rPr>
                <w:rFonts w:hint="eastAsia" w:ascii="宋体" w:hAnsi="宋体" w:eastAsia="宋体" w:cs="宋体"/>
                <w:i w:val="0"/>
                <w:iCs w:val="0"/>
                <w:color w:val="000000"/>
                <w:sz w:val="20"/>
                <w:szCs w:val="20"/>
                <w:u w:val="none"/>
              </w:rPr>
            </w:pPr>
          </w:p>
        </w:tc>
        <w:tc>
          <w:tcPr>
            <w:tcW w:w="1400" w:type="dxa"/>
            <w:vMerge w:val="restart"/>
            <w:tcBorders>
              <w:top w:val="nil"/>
              <w:left w:val="nil"/>
              <w:bottom w:val="single" w:color="000000" w:sz="8" w:space="0"/>
              <w:right w:val="single" w:color="000000" w:sz="8" w:space="0"/>
            </w:tcBorders>
            <w:shd w:val="clear" w:color="auto" w:fill="auto"/>
            <w:vAlign w:val="center"/>
          </w:tcPr>
          <w:p w14:paraId="112C22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时间轴</w:t>
            </w:r>
          </w:p>
        </w:tc>
        <w:tc>
          <w:tcPr>
            <w:tcW w:w="2220" w:type="dxa"/>
            <w:tcBorders>
              <w:top w:val="nil"/>
              <w:left w:val="nil"/>
              <w:bottom w:val="single" w:color="000000" w:sz="8" w:space="0"/>
              <w:right w:val="single" w:color="000000" w:sz="8" w:space="0"/>
            </w:tcBorders>
            <w:shd w:val="clear" w:color="auto" w:fill="FFFFFF"/>
            <w:vAlign w:val="center"/>
          </w:tcPr>
          <w:p w14:paraId="43CE4F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FFFFFF"/>
            <w:vAlign w:val="center"/>
          </w:tcPr>
          <w:p w14:paraId="732A83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FFFFFF"/>
            <w:vAlign w:val="center"/>
          </w:tcPr>
          <w:p w14:paraId="252C9D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FFFFFF"/>
            <w:vAlign w:val="center"/>
          </w:tcPr>
          <w:p w14:paraId="62C92A7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FFFFFF"/>
            <w:vAlign w:val="center"/>
          </w:tcPr>
          <w:p w14:paraId="043F3AB7">
            <w:pPr>
              <w:jc w:val="center"/>
              <w:rPr>
                <w:rFonts w:hint="eastAsia" w:ascii="宋体" w:hAnsi="宋体" w:eastAsia="宋体" w:cs="宋体"/>
                <w:i w:val="0"/>
                <w:iCs w:val="0"/>
                <w:color w:val="000000"/>
                <w:sz w:val="20"/>
                <w:szCs w:val="20"/>
                <w:u w:val="none"/>
              </w:rPr>
            </w:pPr>
          </w:p>
        </w:tc>
      </w:tr>
      <w:tr w14:paraId="44200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4276841">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7096DEB">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97CDD77">
            <w:pPr>
              <w:jc w:val="center"/>
              <w:rPr>
                <w:rFonts w:hint="eastAsia" w:ascii="宋体" w:hAnsi="宋体" w:eastAsia="宋体" w:cs="宋体"/>
                <w:i w:val="0"/>
                <w:iCs w:val="0"/>
                <w:color w:val="000000"/>
                <w:sz w:val="20"/>
                <w:szCs w:val="20"/>
                <w:u w:val="none"/>
              </w:rPr>
            </w:pPr>
          </w:p>
        </w:tc>
        <w:tc>
          <w:tcPr>
            <w:tcW w:w="1400" w:type="dxa"/>
            <w:vMerge w:val="continue"/>
            <w:tcBorders>
              <w:top w:val="nil"/>
              <w:left w:val="nil"/>
              <w:bottom w:val="single" w:color="000000" w:sz="8" w:space="0"/>
              <w:right w:val="single" w:color="000000" w:sz="8" w:space="0"/>
            </w:tcBorders>
            <w:shd w:val="clear" w:color="auto" w:fill="auto"/>
            <w:vAlign w:val="center"/>
          </w:tcPr>
          <w:p w14:paraId="04D6B960">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FFFFFF"/>
            <w:vAlign w:val="center"/>
          </w:tcPr>
          <w:p w14:paraId="0D6292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FFFFFF"/>
            <w:vAlign w:val="center"/>
          </w:tcPr>
          <w:p w14:paraId="0ECB87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FFFFFF"/>
            <w:vAlign w:val="center"/>
          </w:tcPr>
          <w:p w14:paraId="76D54D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FFFFFF"/>
            <w:vAlign w:val="center"/>
          </w:tcPr>
          <w:p w14:paraId="0C6E14F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FFFFFF"/>
            <w:vAlign w:val="center"/>
          </w:tcPr>
          <w:p w14:paraId="651E7635">
            <w:pPr>
              <w:jc w:val="center"/>
              <w:rPr>
                <w:rFonts w:hint="eastAsia" w:ascii="宋体" w:hAnsi="宋体" w:eastAsia="宋体" w:cs="宋体"/>
                <w:i w:val="0"/>
                <w:iCs w:val="0"/>
                <w:color w:val="000000"/>
                <w:sz w:val="20"/>
                <w:szCs w:val="20"/>
                <w:u w:val="none"/>
              </w:rPr>
            </w:pPr>
          </w:p>
        </w:tc>
      </w:tr>
      <w:tr w14:paraId="19B7D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32AB83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3479247">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0575A0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0A1907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关键帧</w:t>
            </w:r>
          </w:p>
        </w:tc>
        <w:tc>
          <w:tcPr>
            <w:tcW w:w="2220" w:type="dxa"/>
            <w:tcBorders>
              <w:top w:val="nil"/>
              <w:left w:val="nil"/>
              <w:bottom w:val="single" w:color="000000" w:sz="8" w:space="0"/>
              <w:right w:val="single" w:color="000000" w:sz="8" w:space="0"/>
            </w:tcBorders>
            <w:shd w:val="clear" w:color="auto" w:fill="FFFFFF"/>
            <w:vAlign w:val="center"/>
          </w:tcPr>
          <w:p w14:paraId="1E37A2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FFFFFF"/>
            <w:vAlign w:val="center"/>
          </w:tcPr>
          <w:p w14:paraId="5CA3F9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FFFFFF"/>
            <w:vAlign w:val="center"/>
          </w:tcPr>
          <w:p w14:paraId="60EF17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FFFFFF"/>
            <w:vAlign w:val="center"/>
          </w:tcPr>
          <w:p w14:paraId="2FC4E2A0">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FFFFFF"/>
            <w:vAlign w:val="center"/>
          </w:tcPr>
          <w:p w14:paraId="5A1C2DA5">
            <w:pPr>
              <w:jc w:val="center"/>
              <w:rPr>
                <w:rFonts w:hint="eastAsia" w:ascii="宋体" w:hAnsi="宋体" w:eastAsia="宋体" w:cs="宋体"/>
                <w:i w:val="0"/>
                <w:iCs w:val="0"/>
                <w:color w:val="000000"/>
                <w:sz w:val="20"/>
                <w:szCs w:val="20"/>
                <w:u w:val="none"/>
              </w:rPr>
            </w:pPr>
          </w:p>
        </w:tc>
      </w:tr>
      <w:tr w14:paraId="7D68D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85DF9E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8D6516C">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10CD522">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514356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轨道帧设置</w:t>
            </w:r>
          </w:p>
        </w:tc>
        <w:tc>
          <w:tcPr>
            <w:tcW w:w="2220" w:type="dxa"/>
            <w:tcBorders>
              <w:top w:val="nil"/>
              <w:left w:val="nil"/>
              <w:bottom w:val="single" w:color="000000" w:sz="8" w:space="0"/>
              <w:right w:val="single" w:color="000000" w:sz="8" w:space="0"/>
            </w:tcBorders>
            <w:shd w:val="clear" w:color="auto" w:fill="FFFFFF"/>
            <w:vAlign w:val="center"/>
          </w:tcPr>
          <w:p w14:paraId="68F54B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FFFFFF"/>
            <w:vAlign w:val="center"/>
          </w:tcPr>
          <w:p w14:paraId="38E68B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FFFFFF"/>
            <w:vAlign w:val="center"/>
          </w:tcPr>
          <w:p w14:paraId="6A1DDD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FFFFFF"/>
            <w:vAlign w:val="center"/>
          </w:tcPr>
          <w:p w14:paraId="64067B09">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FFFFFF"/>
            <w:vAlign w:val="center"/>
          </w:tcPr>
          <w:p w14:paraId="6756CA88">
            <w:pPr>
              <w:jc w:val="center"/>
              <w:rPr>
                <w:rFonts w:hint="eastAsia" w:ascii="宋体" w:hAnsi="宋体" w:eastAsia="宋体" w:cs="宋体"/>
                <w:i w:val="0"/>
                <w:iCs w:val="0"/>
                <w:color w:val="000000"/>
                <w:sz w:val="20"/>
                <w:szCs w:val="20"/>
                <w:u w:val="none"/>
              </w:rPr>
            </w:pPr>
          </w:p>
        </w:tc>
      </w:tr>
      <w:tr w14:paraId="40642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1CA3B53">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6881C95">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A96BFDF">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232C54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时间轴控制</w:t>
            </w:r>
          </w:p>
        </w:tc>
        <w:tc>
          <w:tcPr>
            <w:tcW w:w="2220" w:type="dxa"/>
            <w:tcBorders>
              <w:top w:val="nil"/>
              <w:left w:val="nil"/>
              <w:bottom w:val="single" w:color="000000" w:sz="8" w:space="0"/>
              <w:right w:val="single" w:color="000000" w:sz="8" w:space="0"/>
            </w:tcBorders>
            <w:shd w:val="clear" w:color="auto" w:fill="FFFFFF"/>
            <w:vAlign w:val="center"/>
          </w:tcPr>
          <w:p w14:paraId="3F81DC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579F9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97202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2FF70A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02C9F00">
            <w:pPr>
              <w:jc w:val="center"/>
              <w:rPr>
                <w:rFonts w:hint="eastAsia" w:ascii="宋体" w:hAnsi="宋体" w:eastAsia="宋体" w:cs="宋体"/>
                <w:i w:val="0"/>
                <w:iCs w:val="0"/>
                <w:color w:val="000000"/>
                <w:sz w:val="20"/>
                <w:szCs w:val="20"/>
                <w:u w:val="none"/>
              </w:rPr>
            </w:pPr>
          </w:p>
        </w:tc>
      </w:tr>
      <w:tr w14:paraId="76329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EAECC8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DD3BBE5">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FD6472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498E87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轨道新增</w:t>
            </w:r>
          </w:p>
        </w:tc>
        <w:tc>
          <w:tcPr>
            <w:tcW w:w="2220" w:type="dxa"/>
            <w:tcBorders>
              <w:top w:val="nil"/>
              <w:left w:val="nil"/>
              <w:bottom w:val="single" w:color="000000" w:sz="8" w:space="0"/>
              <w:right w:val="single" w:color="000000" w:sz="8" w:space="0"/>
            </w:tcBorders>
            <w:shd w:val="clear" w:color="auto" w:fill="FFFFFF"/>
            <w:vAlign w:val="center"/>
          </w:tcPr>
          <w:p w14:paraId="5D9556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FFFFFF"/>
            <w:vAlign w:val="center"/>
          </w:tcPr>
          <w:p w14:paraId="1460B9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FFFFFF"/>
            <w:vAlign w:val="center"/>
          </w:tcPr>
          <w:p w14:paraId="20ED92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FFFFFF"/>
            <w:vAlign w:val="center"/>
          </w:tcPr>
          <w:p w14:paraId="7643F63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FFFFFF"/>
            <w:vAlign w:val="center"/>
          </w:tcPr>
          <w:p w14:paraId="52B9A9EE">
            <w:pPr>
              <w:jc w:val="center"/>
              <w:rPr>
                <w:rFonts w:hint="eastAsia" w:ascii="宋体" w:hAnsi="宋体" w:eastAsia="宋体" w:cs="宋体"/>
                <w:i w:val="0"/>
                <w:iCs w:val="0"/>
                <w:color w:val="000000"/>
                <w:sz w:val="20"/>
                <w:szCs w:val="20"/>
                <w:u w:val="none"/>
              </w:rPr>
            </w:pPr>
          </w:p>
        </w:tc>
      </w:tr>
      <w:tr w14:paraId="3B4FF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EBDD42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3D38F66">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B973F2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06D38D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轨道属性面板</w:t>
            </w:r>
          </w:p>
        </w:tc>
        <w:tc>
          <w:tcPr>
            <w:tcW w:w="2220" w:type="dxa"/>
            <w:tcBorders>
              <w:top w:val="nil"/>
              <w:left w:val="nil"/>
              <w:bottom w:val="single" w:color="000000" w:sz="8" w:space="0"/>
              <w:right w:val="single" w:color="000000" w:sz="8" w:space="0"/>
            </w:tcBorders>
            <w:shd w:val="clear" w:color="auto" w:fill="FFFFFF"/>
            <w:vAlign w:val="center"/>
          </w:tcPr>
          <w:p w14:paraId="0E8C31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C560D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2FBA4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C72A01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86C9405">
            <w:pPr>
              <w:jc w:val="center"/>
              <w:rPr>
                <w:rFonts w:hint="eastAsia" w:ascii="宋体" w:hAnsi="宋体" w:eastAsia="宋体" w:cs="宋体"/>
                <w:i w:val="0"/>
                <w:iCs w:val="0"/>
                <w:color w:val="000000"/>
                <w:sz w:val="20"/>
                <w:szCs w:val="20"/>
                <w:u w:val="none"/>
              </w:rPr>
            </w:pPr>
          </w:p>
        </w:tc>
      </w:tr>
      <w:tr w14:paraId="31B0E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995C7A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0C3A49E">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96F3772">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1B7B9B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时间轴缩放</w:t>
            </w:r>
          </w:p>
        </w:tc>
        <w:tc>
          <w:tcPr>
            <w:tcW w:w="2220" w:type="dxa"/>
            <w:tcBorders>
              <w:top w:val="nil"/>
              <w:left w:val="nil"/>
              <w:bottom w:val="single" w:color="000000" w:sz="8" w:space="0"/>
              <w:right w:val="single" w:color="000000" w:sz="8" w:space="0"/>
            </w:tcBorders>
            <w:shd w:val="clear" w:color="auto" w:fill="FFFFFF"/>
            <w:vAlign w:val="center"/>
          </w:tcPr>
          <w:p w14:paraId="3274E9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623B8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5881E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59FFA8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ECF807B">
            <w:pPr>
              <w:jc w:val="center"/>
              <w:rPr>
                <w:rFonts w:hint="eastAsia" w:ascii="宋体" w:hAnsi="宋体" w:eastAsia="宋体" w:cs="宋体"/>
                <w:i w:val="0"/>
                <w:iCs w:val="0"/>
                <w:color w:val="000000"/>
                <w:sz w:val="20"/>
                <w:szCs w:val="20"/>
                <w:u w:val="none"/>
              </w:rPr>
            </w:pPr>
          </w:p>
        </w:tc>
      </w:tr>
      <w:tr w14:paraId="614D5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DE8B85C">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5B31930">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9019195">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5F0C54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显示工具</w:t>
            </w:r>
          </w:p>
        </w:tc>
        <w:tc>
          <w:tcPr>
            <w:tcW w:w="2220" w:type="dxa"/>
            <w:tcBorders>
              <w:top w:val="nil"/>
              <w:left w:val="nil"/>
              <w:bottom w:val="single" w:color="000000" w:sz="8" w:space="0"/>
              <w:right w:val="single" w:color="000000" w:sz="8" w:space="0"/>
            </w:tcBorders>
            <w:shd w:val="clear" w:color="auto" w:fill="FFFFFF"/>
            <w:vAlign w:val="center"/>
          </w:tcPr>
          <w:p w14:paraId="284E3D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FFFFFF"/>
            <w:vAlign w:val="center"/>
          </w:tcPr>
          <w:p w14:paraId="0EC31B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FFFFFF"/>
            <w:vAlign w:val="center"/>
          </w:tcPr>
          <w:p w14:paraId="110766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FFFFFF"/>
            <w:vAlign w:val="center"/>
          </w:tcPr>
          <w:p w14:paraId="459B668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FFFFFF"/>
            <w:vAlign w:val="center"/>
          </w:tcPr>
          <w:p w14:paraId="1181EE4A">
            <w:pPr>
              <w:jc w:val="center"/>
              <w:rPr>
                <w:rFonts w:hint="eastAsia" w:ascii="宋体" w:hAnsi="宋体" w:eastAsia="宋体" w:cs="宋体"/>
                <w:i w:val="0"/>
                <w:iCs w:val="0"/>
                <w:color w:val="000000"/>
                <w:sz w:val="20"/>
                <w:szCs w:val="20"/>
                <w:u w:val="none"/>
              </w:rPr>
            </w:pPr>
          </w:p>
        </w:tc>
      </w:tr>
      <w:tr w14:paraId="1DF86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433105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59239C9">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CEE110E">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517EC9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吸附工具</w:t>
            </w:r>
          </w:p>
        </w:tc>
        <w:tc>
          <w:tcPr>
            <w:tcW w:w="2220" w:type="dxa"/>
            <w:tcBorders>
              <w:top w:val="nil"/>
              <w:left w:val="nil"/>
              <w:bottom w:val="single" w:color="000000" w:sz="8" w:space="0"/>
              <w:right w:val="single" w:color="000000" w:sz="8" w:space="0"/>
            </w:tcBorders>
            <w:shd w:val="clear" w:color="auto" w:fill="FFFFFF"/>
            <w:vAlign w:val="center"/>
          </w:tcPr>
          <w:p w14:paraId="72DB58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FFFFFF"/>
            <w:vAlign w:val="center"/>
          </w:tcPr>
          <w:p w14:paraId="2B1AF1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FFFFFF"/>
            <w:vAlign w:val="center"/>
          </w:tcPr>
          <w:p w14:paraId="1B8282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FFFFFF"/>
            <w:vAlign w:val="center"/>
          </w:tcPr>
          <w:p w14:paraId="594F4A1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FFFFFF"/>
            <w:vAlign w:val="center"/>
          </w:tcPr>
          <w:p w14:paraId="14C181A8">
            <w:pPr>
              <w:jc w:val="center"/>
              <w:rPr>
                <w:rFonts w:hint="eastAsia" w:ascii="宋体" w:hAnsi="宋体" w:eastAsia="宋体" w:cs="宋体"/>
                <w:i w:val="0"/>
                <w:iCs w:val="0"/>
                <w:color w:val="000000"/>
                <w:sz w:val="20"/>
                <w:szCs w:val="20"/>
                <w:u w:val="none"/>
              </w:rPr>
            </w:pPr>
          </w:p>
        </w:tc>
      </w:tr>
      <w:tr w14:paraId="7F1FC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83E655E">
            <w:pPr>
              <w:jc w:val="center"/>
              <w:rPr>
                <w:rFonts w:hint="eastAsia" w:ascii="宋体" w:hAnsi="宋体" w:eastAsia="宋体" w:cs="宋体"/>
                <w:i w:val="0"/>
                <w:iCs w:val="0"/>
                <w:color w:val="000000"/>
                <w:sz w:val="20"/>
                <w:szCs w:val="20"/>
                <w:u w:val="none"/>
              </w:rPr>
            </w:pPr>
          </w:p>
        </w:tc>
        <w:tc>
          <w:tcPr>
            <w:tcW w:w="660" w:type="dxa"/>
            <w:vMerge w:val="restart"/>
            <w:tcBorders>
              <w:top w:val="nil"/>
              <w:left w:val="nil"/>
              <w:bottom w:val="single" w:color="000000" w:sz="8" w:space="0"/>
              <w:right w:val="single" w:color="000000" w:sz="8" w:space="0"/>
            </w:tcBorders>
            <w:shd w:val="clear" w:color="auto" w:fill="auto"/>
            <w:vAlign w:val="center"/>
          </w:tcPr>
          <w:p w14:paraId="07C012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交互与逻辑模块</w:t>
            </w:r>
          </w:p>
        </w:tc>
        <w:tc>
          <w:tcPr>
            <w:tcW w:w="960" w:type="dxa"/>
            <w:tcBorders>
              <w:top w:val="nil"/>
              <w:left w:val="nil"/>
              <w:bottom w:val="single" w:color="000000" w:sz="8" w:space="0"/>
              <w:right w:val="single" w:color="000000" w:sz="8" w:space="0"/>
            </w:tcBorders>
            <w:shd w:val="clear" w:color="auto" w:fill="auto"/>
            <w:vAlign w:val="center"/>
          </w:tcPr>
          <w:p w14:paraId="414E4A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运行此项目</w:t>
            </w:r>
          </w:p>
        </w:tc>
        <w:tc>
          <w:tcPr>
            <w:tcW w:w="1400" w:type="dxa"/>
            <w:tcBorders>
              <w:top w:val="nil"/>
              <w:left w:val="nil"/>
              <w:bottom w:val="single" w:color="000000" w:sz="8" w:space="0"/>
              <w:right w:val="single" w:color="000000" w:sz="8" w:space="0"/>
            </w:tcBorders>
            <w:shd w:val="clear" w:color="auto" w:fill="auto"/>
            <w:vAlign w:val="center"/>
          </w:tcPr>
          <w:p w14:paraId="0CDC53E3">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69D6F1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BDC36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1C647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6B3B1B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5C638CD">
            <w:pPr>
              <w:jc w:val="center"/>
              <w:rPr>
                <w:rFonts w:hint="eastAsia" w:ascii="宋体" w:hAnsi="宋体" w:eastAsia="宋体" w:cs="宋体"/>
                <w:i w:val="0"/>
                <w:iCs w:val="0"/>
                <w:color w:val="000000"/>
                <w:sz w:val="20"/>
                <w:szCs w:val="20"/>
                <w:u w:val="none"/>
              </w:rPr>
            </w:pPr>
          </w:p>
        </w:tc>
      </w:tr>
      <w:tr w14:paraId="6EBCE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11E8B7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8A095C5">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31C9EB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暂停运行中的项目以进行调试</w:t>
            </w:r>
          </w:p>
        </w:tc>
        <w:tc>
          <w:tcPr>
            <w:tcW w:w="1400" w:type="dxa"/>
            <w:tcBorders>
              <w:top w:val="nil"/>
              <w:left w:val="nil"/>
              <w:bottom w:val="single" w:color="000000" w:sz="8" w:space="0"/>
              <w:right w:val="single" w:color="000000" w:sz="8" w:space="0"/>
            </w:tcBorders>
            <w:shd w:val="clear" w:color="auto" w:fill="auto"/>
            <w:vAlign w:val="center"/>
          </w:tcPr>
          <w:p w14:paraId="6D76807D">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2BE8FD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09A4B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963C5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451A0C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C5ABF6E">
            <w:pPr>
              <w:jc w:val="center"/>
              <w:rPr>
                <w:rFonts w:hint="eastAsia" w:ascii="宋体" w:hAnsi="宋体" w:eastAsia="宋体" w:cs="宋体"/>
                <w:i w:val="0"/>
                <w:iCs w:val="0"/>
                <w:color w:val="000000"/>
                <w:sz w:val="20"/>
                <w:szCs w:val="20"/>
                <w:u w:val="none"/>
              </w:rPr>
            </w:pPr>
          </w:p>
        </w:tc>
      </w:tr>
      <w:tr w14:paraId="3F786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9BBF0BC">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E354FEB">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0740FF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导入</w:t>
            </w:r>
          </w:p>
        </w:tc>
        <w:tc>
          <w:tcPr>
            <w:tcW w:w="1400" w:type="dxa"/>
            <w:tcBorders>
              <w:top w:val="nil"/>
              <w:left w:val="nil"/>
              <w:bottom w:val="single" w:color="000000" w:sz="8" w:space="0"/>
              <w:right w:val="single" w:color="000000" w:sz="8" w:space="0"/>
            </w:tcBorders>
            <w:shd w:val="clear" w:color="auto" w:fill="auto"/>
            <w:vAlign w:val="center"/>
          </w:tcPr>
          <w:p w14:paraId="4A720645">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29B605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3275B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9B036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6596F62">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20F6290">
            <w:pPr>
              <w:jc w:val="center"/>
              <w:rPr>
                <w:rFonts w:hint="eastAsia" w:ascii="宋体" w:hAnsi="宋体" w:eastAsia="宋体" w:cs="宋体"/>
                <w:i w:val="0"/>
                <w:iCs w:val="0"/>
                <w:color w:val="000000"/>
                <w:sz w:val="20"/>
                <w:szCs w:val="20"/>
                <w:u w:val="none"/>
              </w:rPr>
            </w:pPr>
          </w:p>
        </w:tc>
      </w:tr>
      <w:tr w14:paraId="1B132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F7552A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4FE38FA">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590131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输入设备-指点</w:t>
            </w:r>
          </w:p>
        </w:tc>
        <w:tc>
          <w:tcPr>
            <w:tcW w:w="1400" w:type="dxa"/>
            <w:tcBorders>
              <w:top w:val="nil"/>
              <w:left w:val="nil"/>
              <w:bottom w:val="single" w:color="000000" w:sz="8" w:space="0"/>
              <w:right w:val="single" w:color="000000" w:sz="8" w:space="0"/>
            </w:tcBorders>
            <w:shd w:val="clear" w:color="auto" w:fill="auto"/>
            <w:vAlign w:val="center"/>
          </w:tcPr>
          <w:p w14:paraId="3A3EBD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用鼠标模拟触摸</w:t>
            </w:r>
          </w:p>
        </w:tc>
        <w:tc>
          <w:tcPr>
            <w:tcW w:w="2220" w:type="dxa"/>
            <w:tcBorders>
              <w:top w:val="nil"/>
              <w:left w:val="nil"/>
              <w:bottom w:val="single" w:color="000000" w:sz="8" w:space="0"/>
              <w:right w:val="single" w:color="000000" w:sz="8" w:space="0"/>
            </w:tcBorders>
            <w:shd w:val="clear" w:color="auto" w:fill="auto"/>
            <w:vAlign w:val="center"/>
          </w:tcPr>
          <w:p w14:paraId="1BAE04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3762C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1AB8E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E14631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3B4F77F">
            <w:pPr>
              <w:jc w:val="center"/>
              <w:rPr>
                <w:rFonts w:hint="eastAsia" w:ascii="宋体" w:hAnsi="宋体" w:eastAsia="宋体" w:cs="宋体"/>
                <w:i w:val="0"/>
                <w:iCs w:val="0"/>
                <w:color w:val="000000"/>
                <w:sz w:val="20"/>
                <w:szCs w:val="20"/>
                <w:u w:val="none"/>
              </w:rPr>
            </w:pPr>
          </w:p>
        </w:tc>
      </w:tr>
      <w:tr w14:paraId="5FBCB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8C7D2B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31487A7">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5B2452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4047B5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用触摸模拟鼠标</w:t>
            </w:r>
          </w:p>
        </w:tc>
        <w:tc>
          <w:tcPr>
            <w:tcW w:w="2220" w:type="dxa"/>
            <w:tcBorders>
              <w:top w:val="nil"/>
              <w:left w:val="nil"/>
              <w:bottom w:val="single" w:color="000000" w:sz="8" w:space="0"/>
              <w:right w:val="single" w:color="000000" w:sz="8" w:space="0"/>
            </w:tcBorders>
            <w:shd w:val="clear" w:color="auto" w:fill="auto"/>
            <w:vAlign w:val="center"/>
          </w:tcPr>
          <w:p w14:paraId="45470F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D2502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FA68D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851FB5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6DCFE0F">
            <w:pPr>
              <w:jc w:val="center"/>
              <w:rPr>
                <w:rFonts w:hint="eastAsia" w:ascii="宋体" w:hAnsi="宋体" w:eastAsia="宋体" w:cs="宋体"/>
                <w:i w:val="0"/>
                <w:iCs w:val="0"/>
                <w:color w:val="000000"/>
                <w:sz w:val="20"/>
                <w:szCs w:val="20"/>
                <w:u w:val="none"/>
              </w:rPr>
            </w:pPr>
          </w:p>
        </w:tc>
      </w:tr>
      <w:tr w14:paraId="65A32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ED02B2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F14B4B9">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5AF71B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输入设备-兼容</w:t>
            </w:r>
          </w:p>
        </w:tc>
        <w:tc>
          <w:tcPr>
            <w:tcW w:w="1400" w:type="dxa"/>
            <w:tcBorders>
              <w:top w:val="nil"/>
              <w:left w:val="nil"/>
              <w:bottom w:val="single" w:color="000000" w:sz="8" w:space="0"/>
              <w:right w:val="single" w:color="000000" w:sz="8" w:space="0"/>
            </w:tcBorders>
            <w:shd w:val="clear" w:color="auto" w:fill="auto"/>
            <w:vAlign w:val="center"/>
          </w:tcPr>
          <w:p w14:paraId="41AF2E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旧有刚刚按下行为</w:t>
            </w:r>
          </w:p>
        </w:tc>
        <w:tc>
          <w:tcPr>
            <w:tcW w:w="2220" w:type="dxa"/>
            <w:tcBorders>
              <w:top w:val="nil"/>
              <w:left w:val="nil"/>
              <w:bottom w:val="single" w:color="000000" w:sz="8" w:space="0"/>
              <w:right w:val="single" w:color="000000" w:sz="8" w:space="0"/>
            </w:tcBorders>
            <w:shd w:val="clear" w:color="auto" w:fill="auto"/>
            <w:vAlign w:val="center"/>
          </w:tcPr>
          <w:p w14:paraId="3D3EDB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948C9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E886D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6BC5D2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8765472">
            <w:pPr>
              <w:jc w:val="center"/>
              <w:rPr>
                <w:rFonts w:hint="eastAsia" w:ascii="宋体" w:hAnsi="宋体" w:eastAsia="宋体" w:cs="宋体"/>
                <w:i w:val="0"/>
                <w:iCs w:val="0"/>
                <w:color w:val="000000"/>
                <w:sz w:val="20"/>
                <w:szCs w:val="20"/>
                <w:u w:val="none"/>
              </w:rPr>
            </w:pPr>
          </w:p>
        </w:tc>
      </w:tr>
      <w:tr w14:paraId="3D620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32844B1">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B63454B">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574884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输入设备-数位板</w:t>
            </w:r>
          </w:p>
        </w:tc>
        <w:tc>
          <w:tcPr>
            <w:tcW w:w="1400" w:type="dxa"/>
            <w:tcBorders>
              <w:top w:val="nil"/>
              <w:left w:val="nil"/>
              <w:bottom w:val="single" w:color="000000" w:sz="8" w:space="0"/>
              <w:right w:val="single" w:color="000000" w:sz="8" w:space="0"/>
            </w:tcBorders>
            <w:shd w:val="clear" w:color="auto" w:fill="auto"/>
            <w:vAlign w:val="center"/>
          </w:tcPr>
          <w:p w14:paraId="396E64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驱动</w:t>
            </w:r>
          </w:p>
        </w:tc>
        <w:tc>
          <w:tcPr>
            <w:tcW w:w="2220" w:type="dxa"/>
            <w:tcBorders>
              <w:top w:val="nil"/>
              <w:left w:val="nil"/>
              <w:bottom w:val="single" w:color="000000" w:sz="8" w:space="0"/>
              <w:right w:val="single" w:color="000000" w:sz="8" w:space="0"/>
            </w:tcBorders>
            <w:shd w:val="clear" w:color="auto" w:fill="auto"/>
            <w:vAlign w:val="center"/>
          </w:tcPr>
          <w:p w14:paraId="18DC44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6944E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0D321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2B90062">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AEDC4BC">
            <w:pPr>
              <w:jc w:val="center"/>
              <w:rPr>
                <w:rFonts w:hint="eastAsia" w:ascii="宋体" w:hAnsi="宋体" w:eastAsia="宋体" w:cs="宋体"/>
                <w:i w:val="0"/>
                <w:iCs w:val="0"/>
                <w:color w:val="000000"/>
                <w:sz w:val="20"/>
                <w:szCs w:val="20"/>
                <w:u w:val="none"/>
              </w:rPr>
            </w:pPr>
          </w:p>
        </w:tc>
      </w:tr>
      <w:tr w14:paraId="6D4B6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A25F0E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EE978E0">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710BAF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输入设备-缓冲</w:t>
            </w:r>
          </w:p>
        </w:tc>
        <w:tc>
          <w:tcPr>
            <w:tcW w:w="1400" w:type="dxa"/>
            <w:tcBorders>
              <w:top w:val="nil"/>
              <w:left w:val="nil"/>
              <w:bottom w:val="single" w:color="000000" w:sz="8" w:space="0"/>
              <w:right w:val="single" w:color="000000" w:sz="8" w:space="0"/>
            </w:tcBorders>
            <w:shd w:val="clear" w:color="auto" w:fill="auto"/>
            <w:vAlign w:val="center"/>
          </w:tcPr>
          <w:p w14:paraId="5B16F4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敏捷事件处理</w:t>
            </w:r>
          </w:p>
        </w:tc>
        <w:tc>
          <w:tcPr>
            <w:tcW w:w="2220" w:type="dxa"/>
            <w:tcBorders>
              <w:top w:val="nil"/>
              <w:left w:val="nil"/>
              <w:bottom w:val="single" w:color="000000" w:sz="8" w:space="0"/>
              <w:right w:val="single" w:color="000000" w:sz="8" w:space="0"/>
            </w:tcBorders>
            <w:shd w:val="clear" w:color="auto" w:fill="auto"/>
            <w:vAlign w:val="center"/>
          </w:tcPr>
          <w:p w14:paraId="20AFAF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5CBFF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2B657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6BA427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2BCC6DC">
            <w:pPr>
              <w:jc w:val="center"/>
              <w:rPr>
                <w:rFonts w:hint="eastAsia" w:ascii="宋体" w:hAnsi="宋体" w:eastAsia="宋体" w:cs="宋体"/>
                <w:i w:val="0"/>
                <w:iCs w:val="0"/>
                <w:color w:val="000000"/>
                <w:sz w:val="20"/>
                <w:szCs w:val="20"/>
                <w:u w:val="none"/>
              </w:rPr>
            </w:pPr>
          </w:p>
        </w:tc>
      </w:tr>
      <w:tr w14:paraId="54BC6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2A08AC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EE035BD">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6197A8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扩展现实-开源扩展现实标准</w:t>
            </w:r>
          </w:p>
        </w:tc>
        <w:tc>
          <w:tcPr>
            <w:tcW w:w="1400" w:type="dxa"/>
            <w:tcBorders>
              <w:top w:val="nil"/>
              <w:left w:val="nil"/>
              <w:bottom w:val="single" w:color="000000" w:sz="8" w:space="0"/>
              <w:right w:val="single" w:color="000000" w:sz="8" w:space="0"/>
            </w:tcBorders>
            <w:shd w:val="clear" w:color="auto" w:fill="auto"/>
            <w:vAlign w:val="center"/>
          </w:tcPr>
          <w:p w14:paraId="2498DC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启用</w:t>
            </w:r>
          </w:p>
        </w:tc>
        <w:tc>
          <w:tcPr>
            <w:tcW w:w="2220" w:type="dxa"/>
            <w:tcBorders>
              <w:top w:val="nil"/>
              <w:left w:val="nil"/>
              <w:bottom w:val="single" w:color="000000" w:sz="8" w:space="0"/>
              <w:right w:val="single" w:color="000000" w:sz="8" w:space="0"/>
            </w:tcBorders>
            <w:shd w:val="clear" w:color="auto" w:fill="auto"/>
            <w:vAlign w:val="center"/>
          </w:tcPr>
          <w:p w14:paraId="7F6775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FD811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E1A26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C0BE530">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23473E6">
            <w:pPr>
              <w:jc w:val="center"/>
              <w:rPr>
                <w:rFonts w:hint="eastAsia" w:ascii="宋体" w:hAnsi="宋体" w:eastAsia="宋体" w:cs="宋体"/>
                <w:i w:val="0"/>
                <w:iCs w:val="0"/>
                <w:color w:val="000000"/>
                <w:sz w:val="20"/>
                <w:szCs w:val="20"/>
                <w:u w:val="none"/>
              </w:rPr>
            </w:pPr>
          </w:p>
        </w:tc>
      </w:tr>
      <w:tr w14:paraId="05CC0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9A5D83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D8F0F81">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D4535BA">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75A03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默认动作映射</w:t>
            </w:r>
          </w:p>
        </w:tc>
        <w:tc>
          <w:tcPr>
            <w:tcW w:w="2220" w:type="dxa"/>
            <w:tcBorders>
              <w:top w:val="nil"/>
              <w:left w:val="nil"/>
              <w:bottom w:val="single" w:color="000000" w:sz="8" w:space="0"/>
              <w:right w:val="single" w:color="000000" w:sz="8" w:space="0"/>
            </w:tcBorders>
            <w:shd w:val="clear" w:color="auto" w:fill="auto"/>
            <w:vAlign w:val="center"/>
          </w:tcPr>
          <w:p w14:paraId="488824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6DDE4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6DAB9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9AE063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9FA709E">
            <w:pPr>
              <w:jc w:val="center"/>
              <w:rPr>
                <w:rFonts w:hint="eastAsia" w:ascii="宋体" w:hAnsi="宋体" w:eastAsia="宋体" w:cs="宋体"/>
                <w:i w:val="0"/>
                <w:iCs w:val="0"/>
                <w:color w:val="000000"/>
                <w:sz w:val="20"/>
                <w:szCs w:val="20"/>
                <w:u w:val="none"/>
              </w:rPr>
            </w:pPr>
          </w:p>
        </w:tc>
      </w:tr>
      <w:tr w14:paraId="4F5B6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2DBAA6B">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19FE78B">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9D48C67">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471B7E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构成因素</w:t>
            </w:r>
          </w:p>
        </w:tc>
        <w:tc>
          <w:tcPr>
            <w:tcW w:w="2220" w:type="dxa"/>
            <w:tcBorders>
              <w:top w:val="nil"/>
              <w:left w:val="nil"/>
              <w:bottom w:val="single" w:color="000000" w:sz="8" w:space="0"/>
              <w:right w:val="single" w:color="000000" w:sz="8" w:space="0"/>
            </w:tcBorders>
            <w:shd w:val="clear" w:color="auto" w:fill="auto"/>
            <w:vAlign w:val="center"/>
          </w:tcPr>
          <w:p w14:paraId="2A5321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34684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23C6D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68AFA7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A89A39D">
            <w:pPr>
              <w:jc w:val="center"/>
              <w:rPr>
                <w:rFonts w:hint="eastAsia" w:ascii="宋体" w:hAnsi="宋体" w:eastAsia="宋体" w:cs="宋体"/>
                <w:i w:val="0"/>
                <w:iCs w:val="0"/>
                <w:color w:val="000000"/>
                <w:sz w:val="20"/>
                <w:szCs w:val="20"/>
                <w:u w:val="none"/>
              </w:rPr>
            </w:pPr>
          </w:p>
        </w:tc>
      </w:tr>
      <w:tr w14:paraId="3DD0D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F14149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74FB9B9">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C850D3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0D1A12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视图配置</w:t>
            </w:r>
          </w:p>
        </w:tc>
        <w:tc>
          <w:tcPr>
            <w:tcW w:w="2220" w:type="dxa"/>
            <w:tcBorders>
              <w:top w:val="nil"/>
              <w:left w:val="nil"/>
              <w:bottom w:val="single" w:color="000000" w:sz="8" w:space="0"/>
              <w:right w:val="single" w:color="000000" w:sz="8" w:space="0"/>
            </w:tcBorders>
            <w:shd w:val="clear" w:color="auto" w:fill="auto"/>
            <w:vAlign w:val="center"/>
          </w:tcPr>
          <w:p w14:paraId="55E3E5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286B4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48382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C620760">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7C2DBDC">
            <w:pPr>
              <w:jc w:val="center"/>
              <w:rPr>
                <w:rFonts w:hint="eastAsia" w:ascii="宋体" w:hAnsi="宋体" w:eastAsia="宋体" w:cs="宋体"/>
                <w:i w:val="0"/>
                <w:iCs w:val="0"/>
                <w:color w:val="000000"/>
                <w:sz w:val="20"/>
                <w:szCs w:val="20"/>
                <w:u w:val="none"/>
              </w:rPr>
            </w:pPr>
          </w:p>
        </w:tc>
      </w:tr>
      <w:tr w14:paraId="2DCB7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90CDB5C">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4A3E815">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5C95F29">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25D61C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参照空间</w:t>
            </w:r>
          </w:p>
        </w:tc>
        <w:tc>
          <w:tcPr>
            <w:tcW w:w="2220" w:type="dxa"/>
            <w:tcBorders>
              <w:top w:val="nil"/>
              <w:left w:val="nil"/>
              <w:bottom w:val="single" w:color="000000" w:sz="8" w:space="0"/>
              <w:right w:val="single" w:color="000000" w:sz="8" w:space="0"/>
            </w:tcBorders>
            <w:shd w:val="clear" w:color="auto" w:fill="auto"/>
            <w:vAlign w:val="center"/>
          </w:tcPr>
          <w:p w14:paraId="0C0277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B577F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1A7DA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CFA801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D9ECA0C">
            <w:pPr>
              <w:jc w:val="center"/>
              <w:rPr>
                <w:rFonts w:hint="eastAsia" w:ascii="宋体" w:hAnsi="宋体" w:eastAsia="宋体" w:cs="宋体"/>
                <w:i w:val="0"/>
                <w:iCs w:val="0"/>
                <w:color w:val="000000"/>
                <w:sz w:val="20"/>
                <w:szCs w:val="20"/>
                <w:u w:val="none"/>
              </w:rPr>
            </w:pPr>
          </w:p>
        </w:tc>
      </w:tr>
      <w:tr w14:paraId="56575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2C71D3F">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FC53B72">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4188A07">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61B902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环境混合模式</w:t>
            </w:r>
          </w:p>
        </w:tc>
        <w:tc>
          <w:tcPr>
            <w:tcW w:w="2220" w:type="dxa"/>
            <w:tcBorders>
              <w:top w:val="nil"/>
              <w:left w:val="nil"/>
              <w:bottom w:val="single" w:color="000000" w:sz="8" w:space="0"/>
              <w:right w:val="single" w:color="000000" w:sz="8" w:space="0"/>
            </w:tcBorders>
            <w:shd w:val="clear" w:color="auto" w:fill="auto"/>
            <w:vAlign w:val="center"/>
          </w:tcPr>
          <w:p w14:paraId="0B34EF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D608F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B58F3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EB31F57">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907DF9A">
            <w:pPr>
              <w:jc w:val="center"/>
              <w:rPr>
                <w:rFonts w:hint="eastAsia" w:ascii="宋体" w:hAnsi="宋体" w:eastAsia="宋体" w:cs="宋体"/>
                <w:i w:val="0"/>
                <w:iCs w:val="0"/>
                <w:color w:val="000000"/>
                <w:sz w:val="20"/>
                <w:szCs w:val="20"/>
                <w:u w:val="none"/>
              </w:rPr>
            </w:pPr>
          </w:p>
        </w:tc>
      </w:tr>
      <w:tr w14:paraId="5CA8F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F16BEE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C2B7E5E">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D9776F3">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7C595A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注视点级别</w:t>
            </w:r>
          </w:p>
        </w:tc>
        <w:tc>
          <w:tcPr>
            <w:tcW w:w="2220" w:type="dxa"/>
            <w:tcBorders>
              <w:top w:val="nil"/>
              <w:left w:val="nil"/>
              <w:bottom w:val="single" w:color="000000" w:sz="8" w:space="0"/>
              <w:right w:val="single" w:color="000000" w:sz="8" w:space="0"/>
            </w:tcBorders>
            <w:shd w:val="clear" w:color="auto" w:fill="auto"/>
            <w:vAlign w:val="center"/>
          </w:tcPr>
          <w:p w14:paraId="165098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0B5EE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81185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806B8B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CCDABEB">
            <w:pPr>
              <w:jc w:val="center"/>
              <w:rPr>
                <w:rFonts w:hint="eastAsia" w:ascii="宋体" w:hAnsi="宋体" w:eastAsia="宋体" w:cs="宋体"/>
                <w:i w:val="0"/>
                <w:iCs w:val="0"/>
                <w:color w:val="000000"/>
                <w:sz w:val="20"/>
                <w:szCs w:val="20"/>
                <w:u w:val="none"/>
              </w:rPr>
            </w:pPr>
          </w:p>
        </w:tc>
      </w:tr>
      <w:tr w14:paraId="1A06E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07C63F1">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07754F8">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4A8DDBE">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6FBC4A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动态注视点</w:t>
            </w:r>
          </w:p>
        </w:tc>
        <w:tc>
          <w:tcPr>
            <w:tcW w:w="2220" w:type="dxa"/>
            <w:tcBorders>
              <w:top w:val="nil"/>
              <w:left w:val="nil"/>
              <w:bottom w:val="single" w:color="000000" w:sz="8" w:space="0"/>
              <w:right w:val="single" w:color="000000" w:sz="8" w:space="0"/>
            </w:tcBorders>
            <w:shd w:val="clear" w:color="auto" w:fill="auto"/>
            <w:vAlign w:val="center"/>
          </w:tcPr>
          <w:p w14:paraId="41AD7C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D71FB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F7631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407AAB2">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87571DB">
            <w:pPr>
              <w:jc w:val="center"/>
              <w:rPr>
                <w:rFonts w:hint="eastAsia" w:ascii="宋体" w:hAnsi="宋体" w:eastAsia="宋体" w:cs="宋体"/>
                <w:i w:val="0"/>
                <w:iCs w:val="0"/>
                <w:color w:val="000000"/>
                <w:sz w:val="20"/>
                <w:szCs w:val="20"/>
                <w:u w:val="none"/>
              </w:rPr>
            </w:pPr>
          </w:p>
        </w:tc>
      </w:tr>
      <w:tr w14:paraId="0B9BB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1FB3F64">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7689F3D">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21FCCF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D2AE7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提交深度缓冲区</w:t>
            </w:r>
          </w:p>
        </w:tc>
        <w:tc>
          <w:tcPr>
            <w:tcW w:w="2220" w:type="dxa"/>
            <w:tcBorders>
              <w:top w:val="nil"/>
              <w:left w:val="nil"/>
              <w:bottom w:val="single" w:color="000000" w:sz="8" w:space="0"/>
              <w:right w:val="single" w:color="000000" w:sz="8" w:space="0"/>
            </w:tcBorders>
            <w:shd w:val="clear" w:color="auto" w:fill="auto"/>
            <w:vAlign w:val="center"/>
          </w:tcPr>
          <w:p w14:paraId="5DBBEC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902B5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92575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7A3C600">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D5BFE5C">
            <w:pPr>
              <w:jc w:val="center"/>
              <w:rPr>
                <w:rFonts w:hint="eastAsia" w:ascii="宋体" w:hAnsi="宋体" w:eastAsia="宋体" w:cs="宋体"/>
                <w:i w:val="0"/>
                <w:iCs w:val="0"/>
                <w:color w:val="000000"/>
                <w:sz w:val="20"/>
                <w:szCs w:val="20"/>
                <w:u w:val="none"/>
              </w:rPr>
            </w:pPr>
          </w:p>
        </w:tc>
      </w:tr>
      <w:tr w14:paraId="712E2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87997C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00B08A1">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1CF4552">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85197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启动警报</w:t>
            </w:r>
          </w:p>
        </w:tc>
        <w:tc>
          <w:tcPr>
            <w:tcW w:w="2220" w:type="dxa"/>
            <w:tcBorders>
              <w:top w:val="nil"/>
              <w:left w:val="nil"/>
              <w:bottom w:val="single" w:color="000000" w:sz="8" w:space="0"/>
              <w:right w:val="single" w:color="000000" w:sz="8" w:space="0"/>
            </w:tcBorders>
            <w:shd w:val="clear" w:color="auto" w:fill="auto"/>
            <w:vAlign w:val="center"/>
          </w:tcPr>
          <w:p w14:paraId="7781F8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AFEF6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DE8ED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30F74CE">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DFA512A">
            <w:pPr>
              <w:jc w:val="center"/>
              <w:rPr>
                <w:rFonts w:hint="eastAsia" w:ascii="宋体" w:hAnsi="宋体" w:eastAsia="宋体" w:cs="宋体"/>
                <w:i w:val="0"/>
                <w:iCs w:val="0"/>
                <w:color w:val="000000"/>
                <w:sz w:val="20"/>
                <w:szCs w:val="20"/>
                <w:u w:val="none"/>
              </w:rPr>
            </w:pPr>
          </w:p>
        </w:tc>
      </w:tr>
      <w:tr w14:paraId="7893D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077BEE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DA4188D">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237A569">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55B2ED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拓展-调试工具</w:t>
            </w:r>
          </w:p>
        </w:tc>
        <w:tc>
          <w:tcPr>
            <w:tcW w:w="2220" w:type="dxa"/>
            <w:tcBorders>
              <w:top w:val="nil"/>
              <w:left w:val="nil"/>
              <w:bottom w:val="single" w:color="000000" w:sz="8" w:space="0"/>
              <w:right w:val="single" w:color="000000" w:sz="8" w:space="0"/>
            </w:tcBorders>
            <w:shd w:val="clear" w:color="auto" w:fill="auto"/>
            <w:vAlign w:val="center"/>
          </w:tcPr>
          <w:p w14:paraId="0DBFD4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49BAA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21B99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CEACCA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DD9E197">
            <w:pPr>
              <w:jc w:val="center"/>
              <w:rPr>
                <w:rFonts w:hint="eastAsia" w:ascii="宋体" w:hAnsi="宋体" w:eastAsia="宋体" w:cs="宋体"/>
                <w:i w:val="0"/>
                <w:iCs w:val="0"/>
                <w:color w:val="000000"/>
                <w:sz w:val="20"/>
                <w:szCs w:val="20"/>
                <w:u w:val="none"/>
              </w:rPr>
            </w:pPr>
          </w:p>
        </w:tc>
      </w:tr>
      <w:tr w14:paraId="244D3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AB827A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1D92000">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062248E">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A4B1D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调试消息类型</w:t>
            </w:r>
          </w:p>
        </w:tc>
        <w:tc>
          <w:tcPr>
            <w:tcW w:w="2220" w:type="dxa"/>
            <w:tcBorders>
              <w:top w:val="nil"/>
              <w:left w:val="nil"/>
              <w:bottom w:val="single" w:color="000000" w:sz="8" w:space="0"/>
              <w:right w:val="single" w:color="000000" w:sz="8" w:space="0"/>
            </w:tcBorders>
            <w:shd w:val="clear" w:color="auto" w:fill="auto"/>
            <w:vAlign w:val="center"/>
          </w:tcPr>
          <w:p w14:paraId="60467E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B6A2E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86F57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0259E2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F1B55A4">
            <w:pPr>
              <w:jc w:val="center"/>
              <w:rPr>
                <w:rFonts w:hint="eastAsia" w:ascii="宋体" w:hAnsi="宋体" w:eastAsia="宋体" w:cs="宋体"/>
                <w:i w:val="0"/>
                <w:iCs w:val="0"/>
                <w:color w:val="000000"/>
                <w:sz w:val="20"/>
                <w:szCs w:val="20"/>
                <w:u w:val="none"/>
              </w:rPr>
            </w:pPr>
          </w:p>
        </w:tc>
      </w:tr>
      <w:tr w14:paraId="10653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78ED65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9CCCDAC">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06B7E1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扩展现实-着色器</w:t>
            </w:r>
          </w:p>
        </w:tc>
        <w:tc>
          <w:tcPr>
            <w:tcW w:w="1400" w:type="dxa"/>
            <w:tcBorders>
              <w:top w:val="nil"/>
              <w:left w:val="nil"/>
              <w:bottom w:val="single" w:color="000000" w:sz="8" w:space="0"/>
              <w:right w:val="single" w:color="000000" w:sz="8" w:space="0"/>
            </w:tcBorders>
            <w:shd w:val="clear" w:color="auto" w:fill="auto"/>
            <w:vAlign w:val="center"/>
          </w:tcPr>
          <w:p w14:paraId="6FBD5B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启用</w:t>
            </w:r>
          </w:p>
        </w:tc>
        <w:tc>
          <w:tcPr>
            <w:tcW w:w="2220" w:type="dxa"/>
            <w:tcBorders>
              <w:top w:val="nil"/>
              <w:left w:val="nil"/>
              <w:bottom w:val="single" w:color="000000" w:sz="8" w:space="0"/>
              <w:right w:val="single" w:color="000000" w:sz="8" w:space="0"/>
            </w:tcBorders>
            <w:shd w:val="clear" w:color="auto" w:fill="auto"/>
            <w:vAlign w:val="center"/>
          </w:tcPr>
          <w:p w14:paraId="4CD601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1B0E5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BA379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55C1B1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A7DBC63">
            <w:pPr>
              <w:jc w:val="center"/>
              <w:rPr>
                <w:rFonts w:hint="eastAsia" w:ascii="宋体" w:hAnsi="宋体" w:eastAsia="宋体" w:cs="宋体"/>
                <w:i w:val="0"/>
                <w:iCs w:val="0"/>
                <w:color w:val="000000"/>
                <w:sz w:val="20"/>
                <w:szCs w:val="20"/>
                <w:u w:val="none"/>
              </w:rPr>
            </w:pPr>
          </w:p>
        </w:tc>
      </w:tr>
      <w:tr w14:paraId="13309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D0B2AF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03BE983">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17A358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输出面板</w:t>
            </w:r>
          </w:p>
        </w:tc>
        <w:tc>
          <w:tcPr>
            <w:tcW w:w="1400" w:type="dxa"/>
            <w:tcBorders>
              <w:top w:val="nil"/>
              <w:left w:val="nil"/>
              <w:bottom w:val="single" w:color="000000" w:sz="8" w:space="0"/>
              <w:right w:val="single" w:color="000000" w:sz="8" w:space="0"/>
            </w:tcBorders>
            <w:shd w:val="clear" w:color="auto" w:fill="auto"/>
            <w:vAlign w:val="center"/>
          </w:tcPr>
          <w:p w14:paraId="64AEFD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清除输出</w:t>
            </w:r>
          </w:p>
        </w:tc>
        <w:tc>
          <w:tcPr>
            <w:tcW w:w="2220" w:type="dxa"/>
            <w:tcBorders>
              <w:top w:val="nil"/>
              <w:left w:val="nil"/>
              <w:bottom w:val="single" w:color="000000" w:sz="8" w:space="0"/>
              <w:right w:val="single" w:color="000000" w:sz="8" w:space="0"/>
            </w:tcBorders>
            <w:shd w:val="clear" w:color="auto" w:fill="auto"/>
            <w:vAlign w:val="center"/>
          </w:tcPr>
          <w:p w14:paraId="3A617C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81CFC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C1A97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94A3A7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367ED9E">
            <w:pPr>
              <w:jc w:val="center"/>
              <w:rPr>
                <w:rFonts w:hint="eastAsia" w:ascii="宋体" w:hAnsi="宋体" w:eastAsia="宋体" w:cs="宋体"/>
                <w:i w:val="0"/>
                <w:iCs w:val="0"/>
                <w:color w:val="000000"/>
                <w:sz w:val="20"/>
                <w:szCs w:val="20"/>
                <w:u w:val="none"/>
              </w:rPr>
            </w:pPr>
          </w:p>
        </w:tc>
      </w:tr>
      <w:tr w14:paraId="3DBE8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6C9508F">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53EAB99">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B92050E">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65242C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复制选中项</w:t>
            </w:r>
          </w:p>
        </w:tc>
        <w:tc>
          <w:tcPr>
            <w:tcW w:w="2220" w:type="dxa"/>
            <w:tcBorders>
              <w:top w:val="nil"/>
              <w:left w:val="nil"/>
              <w:bottom w:val="single" w:color="000000" w:sz="8" w:space="0"/>
              <w:right w:val="single" w:color="000000" w:sz="8" w:space="0"/>
            </w:tcBorders>
            <w:shd w:val="clear" w:color="auto" w:fill="auto"/>
            <w:vAlign w:val="center"/>
          </w:tcPr>
          <w:p w14:paraId="31B669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B465C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A9A73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328820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DA216FC">
            <w:pPr>
              <w:jc w:val="center"/>
              <w:rPr>
                <w:rFonts w:hint="eastAsia" w:ascii="宋体" w:hAnsi="宋体" w:eastAsia="宋体" w:cs="宋体"/>
                <w:i w:val="0"/>
                <w:iCs w:val="0"/>
                <w:color w:val="000000"/>
                <w:sz w:val="20"/>
                <w:szCs w:val="20"/>
                <w:u w:val="none"/>
              </w:rPr>
            </w:pPr>
          </w:p>
        </w:tc>
      </w:tr>
      <w:tr w14:paraId="2774A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126F92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9412168">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17A8EB9">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075797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归纳重复信息条目</w:t>
            </w:r>
          </w:p>
        </w:tc>
        <w:tc>
          <w:tcPr>
            <w:tcW w:w="2220" w:type="dxa"/>
            <w:tcBorders>
              <w:top w:val="nil"/>
              <w:left w:val="nil"/>
              <w:bottom w:val="single" w:color="000000" w:sz="8" w:space="0"/>
              <w:right w:val="single" w:color="000000" w:sz="8" w:space="0"/>
            </w:tcBorders>
            <w:shd w:val="clear" w:color="auto" w:fill="auto"/>
            <w:vAlign w:val="center"/>
          </w:tcPr>
          <w:p w14:paraId="07C4F2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096BB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507FA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DE7F23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D0904DE">
            <w:pPr>
              <w:jc w:val="center"/>
              <w:rPr>
                <w:rFonts w:hint="eastAsia" w:ascii="宋体" w:hAnsi="宋体" w:eastAsia="宋体" w:cs="宋体"/>
                <w:i w:val="0"/>
                <w:iCs w:val="0"/>
                <w:color w:val="000000"/>
                <w:sz w:val="20"/>
                <w:szCs w:val="20"/>
                <w:u w:val="none"/>
              </w:rPr>
            </w:pPr>
          </w:p>
        </w:tc>
      </w:tr>
      <w:tr w14:paraId="5E3DD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D32767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0C139B3">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C79BC4A">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087A4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聚焦搜索/过滤栏</w:t>
            </w:r>
          </w:p>
        </w:tc>
        <w:tc>
          <w:tcPr>
            <w:tcW w:w="2220" w:type="dxa"/>
            <w:tcBorders>
              <w:top w:val="nil"/>
              <w:left w:val="nil"/>
              <w:bottom w:val="single" w:color="000000" w:sz="8" w:space="0"/>
              <w:right w:val="single" w:color="000000" w:sz="8" w:space="0"/>
            </w:tcBorders>
            <w:shd w:val="clear" w:color="auto" w:fill="auto"/>
            <w:vAlign w:val="center"/>
          </w:tcPr>
          <w:p w14:paraId="14E545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8DA2E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311EF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622D9F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6B8FF21">
            <w:pPr>
              <w:jc w:val="center"/>
              <w:rPr>
                <w:rFonts w:hint="eastAsia" w:ascii="宋体" w:hAnsi="宋体" w:eastAsia="宋体" w:cs="宋体"/>
                <w:i w:val="0"/>
                <w:iCs w:val="0"/>
                <w:color w:val="000000"/>
                <w:sz w:val="20"/>
                <w:szCs w:val="20"/>
                <w:u w:val="none"/>
              </w:rPr>
            </w:pPr>
          </w:p>
        </w:tc>
      </w:tr>
      <w:tr w14:paraId="61029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C7F912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E2DA39B">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BD95B50">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72E906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切换标准信息输出的可见性</w:t>
            </w:r>
          </w:p>
        </w:tc>
        <w:tc>
          <w:tcPr>
            <w:tcW w:w="2220" w:type="dxa"/>
            <w:tcBorders>
              <w:top w:val="nil"/>
              <w:left w:val="nil"/>
              <w:bottom w:val="single" w:color="000000" w:sz="8" w:space="0"/>
              <w:right w:val="single" w:color="000000" w:sz="8" w:space="0"/>
            </w:tcBorders>
            <w:shd w:val="clear" w:color="auto" w:fill="auto"/>
            <w:vAlign w:val="center"/>
          </w:tcPr>
          <w:p w14:paraId="01DA83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50729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5914A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88CF6F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982A7DA">
            <w:pPr>
              <w:jc w:val="center"/>
              <w:rPr>
                <w:rFonts w:hint="eastAsia" w:ascii="宋体" w:hAnsi="宋体" w:eastAsia="宋体" w:cs="宋体"/>
                <w:i w:val="0"/>
                <w:iCs w:val="0"/>
                <w:color w:val="000000"/>
                <w:sz w:val="20"/>
                <w:szCs w:val="20"/>
                <w:u w:val="none"/>
              </w:rPr>
            </w:pPr>
          </w:p>
        </w:tc>
      </w:tr>
      <w:tr w14:paraId="3D5E0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81E530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67D8117">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3ED7268">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0920EC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切换错误的可见性</w:t>
            </w:r>
          </w:p>
        </w:tc>
        <w:tc>
          <w:tcPr>
            <w:tcW w:w="2220" w:type="dxa"/>
            <w:tcBorders>
              <w:top w:val="nil"/>
              <w:left w:val="nil"/>
              <w:bottom w:val="single" w:color="000000" w:sz="8" w:space="0"/>
              <w:right w:val="single" w:color="000000" w:sz="8" w:space="0"/>
            </w:tcBorders>
            <w:shd w:val="clear" w:color="auto" w:fill="auto"/>
            <w:vAlign w:val="center"/>
          </w:tcPr>
          <w:p w14:paraId="6B133E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EF4C1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33A34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548F599">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EF7C39B">
            <w:pPr>
              <w:jc w:val="center"/>
              <w:rPr>
                <w:rFonts w:hint="eastAsia" w:ascii="宋体" w:hAnsi="宋体" w:eastAsia="宋体" w:cs="宋体"/>
                <w:i w:val="0"/>
                <w:iCs w:val="0"/>
                <w:color w:val="000000"/>
                <w:sz w:val="20"/>
                <w:szCs w:val="20"/>
                <w:u w:val="none"/>
              </w:rPr>
            </w:pPr>
          </w:p>
        </w:tc>
      </w:tr>
      <w:tr w14:paraId="3555C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2C2A1F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EBC0CD4">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AF919EE">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5A9B4C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切换警告的可见性</w:t>
            </w:r>
          </w:p>
        </w:tc>
        <w:tc>
          <w:tcPr>
            <w:tcW w:w="2220" w:type="dxa"/>
            <w:tcBorders>
              <w:top w:val="nil"/>
              <w:left w:val="nil"/>
              <w:bottom w:val="single" w:color="000000" w:sz="8" w:space="0"/>
              <w:right w:val="single" w:color="000000" w:sz="8" w:space="0"/>
            </w:tcBorders>
            <w:shd w:val="clear" w:color="auto" w:fill="auto"/>
            <w:vAlign w:val="center"/>
          </w:tcPr>
          <w:p w14:paraId="79138F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FD70A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94716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AD4561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E6E7639">
            <w:pPr>
              <w:jc w:val="center"/>
              <w:rPr>
                <w:rFonts w:hint="eastAsia" w:ascii="宋体" w:hAnsi="宋体" w:eastAsia="宋体" w:cs="宋体"/>
                <w:i w:val="0"/>
                <w:iCs w:val="0"/>
                <w:color w:val="000000"/>
                <w:sz w:val="20"/>
                <w:szCs w:val="20"/>
                <w:u w:val="none"/>
              </w:rPr>
            </w:pPr>
          </w:p>
        </w:tc>
      </w:tr>
      <w:tr w14:paraId="789FD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F09016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AA63FE6">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C061F7A">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438C93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切换编辑器消息的可见性</w:t>
            </w:r>
          </w:p>
        </w:tc>
        <w:tc>
          <w:tcPr>
            <w:tcW w:w="2220" w:type="dxa"/>
            <w:tcBorders>
              <w:top w:val="nil"/>
              <w:left w:val="nil"/>
              <w:bottom w:val="single" w:color="000000" w:sz="8" w:space="0"/>
              <w:right w:val="single" w:color="000000" w:sz="8" w:space="0"/>
            </w:tcBorders>
            <w:shd w:val="clear" w:color="auto" w:fill="auto"/>
            <w:vAlign w:val="center"/>
          </w:tcPr>
          <w:p w14:paraId="36FE70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04B9B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0E4AD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B104B7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F9045D9">
            <w:pPr>
              <w:jc w:val="center"/>
              <w:rPr>
                <w:rFonts w:hint="eastAsia" w:ascii="宋体" w:hAnsi="宋体" w:eastAsia="宋体" w:cs="宋体"/>
                <w:i w:val="0"/>
                <w:iCs w:val="0"/>
                <w:color w:val="000000"/>
                <w:sz w:val="20"/>
                <w:szCs w:val="20"/>
                <w:u w:val="none"/>
              </w:rPr>
            </w:pPr>
          </w:p>
        </w:tc>
      </w:tr>
      <w:tr w14:paraId="5EB83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73938B9">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072F6FB">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06E35B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删除事件</w:t>
            </w:r>
          </w:p>
        </w:tc>
        <w:tc>
          <w:tcPr>
            <w:tcW w:w="1400" w:type="dxa"/>
            <w:tcBorders>
              <w:top w:val="nil"/>
              <w:left w:val="nil"/>
              <w:bottom w:val="single" w:color="000000" w:sz="8" w:space="0"/>
              <w:right w:val="single" w:color="000000" w:sz="8" w:space="0"/>
            </w:tcBorders>
            <w:shd w:val="clear" w:color="auto" w:fill="auto"/>
            <w:vAlign w:val="center"/>
          </w:tcPr>
          <w:p w14:paraId="16877779">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570BAB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C24D4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E26CA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114585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8948B22">
            <w:pPr>
              <w:jc w:val="center"/>
              <w:rPr>
                <w:rFonts w:hint="eastAsia" w:ascii="宋体" w:hAnsi="宋体" w:eastAsia="宋体" w:cs="宋体"/>
                <w:i w:val="0"/>
                <w:iCs w:val="0"/>
                <w:color w:val="000000"/>
                <w:sz w:val="20"/>
                <w:szCs w:val="20"/>
                <w:u w:val="none"/>
              </w:rPr>
            </w:pPr>
          </w:p>
        </w:tc>
      </w:tr>
      <w:tr w14:paraId="6AA8C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FD33BC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EFAF6F9">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352928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分组</w:t>
            </w:r>
          </w:p>
        </w:tc>
        <w:tc>
          <w:tcPr>
            <w:tcW w:w="1400" w:type="dxa"/>
            <w:tcBorders>
              <w:top w:val="nil"/>
              <w:left w:val="nil"/>
              <w:bottom w:val="single" w:color="000000" w:sz="8" w:space="0"/>
              <w:right w:val="single" w:color="000000" w:sz="8" w:space="0"/>
            </w:tcBorders>
            <w:shd w:val="clear" w:color="auto" w:fill="auto"/>
            <w:vAlign w:val="center"/>
          </w:tcPr>
          <w:p w14:paraId="6DEFF862">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74F89C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482C7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D86EA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BE2CBF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BF95B36">
            <w:pPr>
              <w:jc w:val="center"/>
              <w:rPr>
                <w:rFonts w:hint="eastAsia" w:ascii="宋体" w:hAnsi="宋体" w:eastAsia="宋体" w:cs="宋体"/>
                <w:i w:val="0"/>
                <w:iCs w:val="0"/>
                <w:color w:val="000000"/>
                <w:sz w:val="20"/>
                <w:szCs w:val="20"/>
                <w:u w:val="none"/>
              </w:rPr>
            </w:pPr>
          </w:p>
        </w:tc>
      </w:tr>
      <w:tr w14:paraId="0757B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E13D42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E112D58">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0A823C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着色器全局量</w:t>
            </w:r>
          </w:p>
        </w:tc>
        <w:tc>
          <w:tcPr>
            <w:tcW w:w="1400" w:type="dxa"/>
            <w:tcBorders>
              <w:top w:val="nil"/>
              <w:left w:val="nil"/>
              <w:bottom w:val="single" w:color="000000" w:sz="8" w:space="0"/>
              <w:right w:val="single" w:color="000000" w:sz="8" w:space="0"/>
            </w:tcBorders>
            <w:shd w:val="clear" w:color="auto" w:fill="auto"/>
            <w:vAlign w:val="center"/>
          </w:tcPr>
          <w:p w14:paraId="2E9FC2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添加着色器</w:t>
            </w:r>
          </w:p>
        </w:tc>
        <w:tc>
          <w:tcPr>
            <w:tcW w:w="2220" w:type="dxa"/>
            <w:tcBorders>
              <w:top w:val="nil"/>
              <w:left w:val="nil"/>
              <w:bottom w:val="single" w:color="000000" w:sz="8" w:space="0"/>
              <w:right w:val="single" w:color="000000" w:sz="8" w:space="0"/>
            </w:tcBorders>
            <w:shd w:val="clear" w:color="auto" w:fill="auto"/>
            <w:vAlign w:val="center"/>
          </w:tcPr>
          <w:p w14:paraId="1E366B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E9675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AB2D6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7E16A13">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56F5100">
            <w:pPr>
              <w:jc w:val="center"/>
              <w:rPr>
                <w:rFonts w:hint="eastAsia" w:ascii="宋体" w:hAnsi="宋体" w:eastAsia="宋体" w:cs="宋体"/>
                <w:i w:val="0"/>
                <w:iCs w:val="0"/>
                <w:color w:val="000000"/>
                <w:sz w:val="20"/>
                <w:szCs w:val="20"/>
                <w:u w:val="none"/>
              </w:rPr>
            </w:pPr>
          </w:p>
        </w:tc>
      </w:tr>
      <w:tr w14:paraId="0B91C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FA02EF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93F136B">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4B7B84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着色编辑器</w:t>
            </w:r>
          </w:p>
        </w:tc>
        <w:tc>
          <w:tcPr>
            <w:tcW w:w="1400" w:type="dxa"/>
            <w:tcBorders>
              <w:top w:val="nil"/>
              <w:left w:val="nil"/>
              <w:bottom w:val="single" w:color="000000" w:sz="8" w:space="0"/>
              <w:right w:val="single" w:color="000000" w:sz="8" w:space="0"/>
            </w:tcBorders>
            <w:shd w:val="clear" w:color="auto" w:fill="auto"/>
            <w:vAlign w:val="center"/>
          </w:tcPr>
          <w:p w14:paraId="0455B9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可视化编辑器</w:t>
            </w:r>
          </w:p>
        </w:tc>
        <w:tc>
          <w:tcPr>
            <w:tcW w:w="2220" w:type="dxa"/>
            <w:tcBorders>
              <w:top w:val="nil"/>
              <w:left w:val="nil"/>
              <w:bottom w:val="single" w:color="000000" w:sz="8" w:space="0"/>
              <w:right w:val="single" w:color="000000" w:sz="8" w:space="0"/>
            </w:tcBorders>
            <w:shd w:val="clear" w:color="auto" w:fill="auto"/>
            <w:vAlign w:val="center"/>
          </w:tcPr>
          <w:p w14:paraId="6E4347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25583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2F99E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AC3800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6293FB2">
            <w:pPr>
              <w:jc w:val="center"/>
              <w:rPr>
                <w:rFonts w:hint="eastAsia" w:ascii="宋体" w:hAnsi="宋体" w:eastAsia="宋体" w:cs="宋体"/>
                <w:i w:val="0"/>
                <w:iCs w:val="0"/>
                <w:color w:val="000000"/>
                <w:sz w:val="20"/>
                <w:szCs w:val="20"/>
                <w:u w:val="none"/>
              </w:rPr>
            </w:pPr>
          </w:p>
        </w:tc>
      </w:tr>
      <w:tr w14:paraId="2F92E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24407B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9D04316">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5430FD5">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07D676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脚本编辑器</w:t>
            </w:r>
          </w:p>
        </w:tc>
        <w:tc>
          <w:tcPr>
            <w:tcW w:w="2220" w:type="dxa"/>
            <w:tcBorders>
              <w:top w:val="nil"/>
              <w:left w:val="nil"/>
              <w:bottom w:val="single" w:color="000000" w:sz="8" w:space="0"/>
              <w:right w:val="single" w:color="000000" w:sz="8" w:space="0"/>
            </w:tcBorders>
            <w:shd w:val="clear" w:color="auto" w:fill="auto"/>
            <w:vAlign w:val="center"/>
          </w:tcPr>
          <w:p w14:paraId="4A3F35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04E75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F42AC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6099EF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4AC0785">
            <w:pPr>
              <w:jc w:val="center"/>
              <w:rPr>
                <w:rFonts w:hint="eastAsia" w:ascii="宋体" w:hAnsi="宋体" w:eastAsia="宋体" w:cs="宋体"/>
                <w:i w:val="0"/>
                <w:iCs w:val="0"/>
                <w:color w:val="000000"/>
                <w:sz w:val="20"/>
                <w:szCs w:val="20"/>
                <w:u w:val="none"/>
              </w:rPr>
            </w:pPr>
          </w:p>
        </w:tc>
      </w:tr>
      <w:tr w14:paraId="30005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D6EE474">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F1D027A">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4A1439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场景选项卡</w:t>
            </w:r>
          </w:p>
        </w:tc>
        <w:tc>
          <w:tcPr>
            <w:tcW w:w="1400" w:type="dxa"/>
            <w:tcBorders>
              <w:top w:val="nil"/>
              <w:left w:val="nil"/>
              <w:bottom w:val="single" w:color="000000" w:sz="8" w:space="0"/>
              <w:right w:val="single" w:color="000000" w:sz="8" w:space="0"/>
            </w:tcBorders>
            <w:shd w:val="clear" w:color="auto" w:fill="auto"/>
            <w:vAlign w:val="center"/>
          </w:tcPr>
          <w:p w14:paraId="1C10AE1F">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FFFFFF"/>
            <w:vAlign w:val="center"/>
          </w:tcPr>
          <w:p w14:paraId="740273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67238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C3070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61114E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7EB638C">
            <w:pPr>
              <w:jc w:val="center"/>
              <w:rPr>
                <w:rFonts w:hint="eastAsia" w:ascii="宋体" w:hAnsi="宋体" w:eastAsia="宋体" w:cs="宋体"/>
                <w:i w:val="0"/>
                <w:iCs w:val="0"/>
                <w:color w:val="000000"/>
                <w:sz w:val="20"/>
                <w:szCs w:val="20"/>
                <w:u w:val="none"/>
              </w:rPr>
            </w:pPr>
          </w:p>
        </w:tc>
      </w:tr>
      <w:tr w14:paraId="56695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7EEAB4F">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A9D8E8B">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144758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基础工具</w:t>
            </w:r>
          </w:p>
        </w:tc>
        <w:tc>
          <w:tcPr>
            <w:tcW w:w="1400" w:type="dxa"/>
            <w:tcBorders>
              <w:top w:val="nil"/>
              <w:left w:val="nil"/>
              <w:bottom w:val="single" w:color="000000" w:sz="8" w:space="0"/>
              <w:right w:val="single" w:color="000000" w:sz="8" w:space="0"/>
            </w:tcBorders>
            <w:shd w:val="clear" w:color="auto" w:fill="FFFFFF"/>
            <w:vAlign w:val="center"/>
          </w:tcPr>
          <w:p w14:paraId="1C5BF5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选择模式</w:t>
            </w:r>
          </w:p>
        </w:tc>
        <w:tc>
          <w:tcPr>
            <w:tcW w:w="2220" w:type="dxa"/>
            <w:tcBorders>
              <w:top w:val="nil"/>
              <w:left w:val="nil"/>
              <w:bottom w:val="single" w:color="000000" w:sz="8" w:space="0"/>
              <w:right w:val="single" w:color="000000" w:sz="8" w:space="0"/>
            </w:tcBorders>
            <w:shd w:val="clear" w:color="auto" w:fill="FFFFFF"/>
            <w:vAlign w:val="center"/>
          </w:tcPr>
          <w:p w14:paraId="01E0D3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16676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02A3C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4C3DAD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9539F81">
            <w:pPr>
              <w:jc w:val="center"/>
              <w:rPr>
                <w:rFonts w:hint="eastAsia" w:ascii="宋体" w:hAnsi="宋体" w:eastAsia="宋体" w:cs="宋体"/>
                <w:i w:val="0"/>
                <w:iCs w:val="0"/>
                <w:color w:val="000000"/>
                <w:sz w:val="20"/>
                <w:szCs w:val="20"/>
                <w:u w:val="none"/>
              </w:rPr>
            </w:pPr>
          </w:p>
        </w:tc>
      </w:tr>
      <w:tr w14:paraId="33691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1EB78E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78A79D9">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CEA91D6">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58F218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移动模式</w:t>
            </w:r>
          </w:p>
        </w:tc>
        <w:tc>
          <w:tcPr>
            <w:tcW w:w="2220" w:type="dxa"/>
            <w:tcBorders>
              <w:top w:val="nil"/>
              <w:left w:val="nil"/>
              <w:bottom w:val="single" w:color="000000" w:sz="8" w:space="0"/>
              <w:right w:val="single" w:color="000000" w:sz="8" w:space="0"/>
            </w:tcBorders>
            <w:shd w:val="clear" w:color="auto" w:fill="FFFFFF"/>
            <w:vAlign w:val="center"/>
          </w:tcPr>
          <w:p w14:paraId="20D17F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1DF5E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DBB66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32398C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7AD8900">
            <w:pPr>
              <w:jc w:val="center"/>
              <w:rPr>
                <w:rFonts w:hint="eastAsia" w:ascii="宋体" w:hAnsi="宋体" w:eastAsia="宋体" w:cs="宋体"/>
                <w:i w:val="0"/>
                <w:iCs w:val="0"/>
                <w:color w:val="000000"/>
                <w:sz w:val="20"/>
                <w:szCs w:val="20"/>
                <w:u w:val="none"/>
              </w:rPr>
            </w:pPr>
          </w:p>
        </w:tc>
      </w:tr>
      <w:tr w14:paraId="387A1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FE2E79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A5FFF05">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A80AF9C">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661500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旋转模式</w:t>
            </w:r>
          </w:p>
        </w:tc>
        <w:tc>
          <w:tcPr>
            <w:tcW w:w="2220" w:type="dxa"/>
            <w:tcBorders>
              <w:top w:val="nil"/>
              <w:left w:val="nil"/>
              <w:bottom w:val="single" w:color="000000" w:sz="8" w:space="0"/>
              <w:right w:val="single" w:color="000000" w:sz="8" w:space="0"/>
            </w:tcBorders>
            <w:shd w:val="clear" w:color="auto" w:fill="FFFFFF"/>
            <w:vAlign w:val="center"/>
          </w:tcPr>
          <w:p w14:paraId="7664C9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FCC65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B023B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9B6686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96B316B">
            <w:pPr>
              <w:jc w:val="center"/>
              <w:rPr>
                <w:rFonts w:hint="eastAsia" w:ascii="宋体" w:hAnsi="宋体" w:eastAsia="宋体" w:cs="宋体"/>
                <w:i w:val="0"/>
                <w:iCs w:val="0"/>
                <w:color w:val="000000"/>
                <w:sz w:val="20"/>
                <w:szCs w:val="20"/>
                <w:u w:val="none"/>
              </w:rPr>
            </w:pPr>
          </w:p>
        </w:tc>
      </w:tr>
      <w:tr w14:paraId="05B8D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A4B8764">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4CD60BB">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B89AEB7">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18970A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缩放模式</w:t>
            </w:r>
          </w:p>
        </w:tc>
        <w:tc>
          <w:tcPr>
            <w:tcW w:w="2220" w:type="dxa"/>
            <w:tcBorders>
              <w:top w:val="nil"/>
              <w:left w:val="nil"/>
              <w:bottom w:val="single" w:color="000000" w:sz="8" w:space="0"/>
              <w:right w:val="single" w:color="000000" w:sz="8" w:space="0"/>
            </w:tcBorders>
            <w:shd w:val="clear" w:color="auto" w:fill="FFFFFF"/>
            <w:vAlign w:val="center"/>
          </w:tcPr>
          <w:p w14:paraId="16A29E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8C75D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EE0BF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150017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21F3196">
            <w:pPr>
              <w:jc w:val="center"/>
              <w:rPr>
                <w:rFonts w:hint="eastAsia" w:ascii="宋体" w:hAnsi="宋体" w:eastAsia="宋体" w:cs="宋体"/>
                <w:i w:val="0"/>
                <w:iCs w:val="0"/>
                <w:color w:val="000000"/>
                <w:sz w:val="20"/>
                <w:szCs w:val="20"/>
                <w:u w:val="none"/>
              </w:rPr>
            </w:pPr>
          </w:p>
        </w:tc>
      </w:tr>
      <w:tr w14:paraId="7691D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F0CEF5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B28E26E">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0E0B0F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辅助工具</w:t>
            </w:r>
          </w:p>
        </w:tc>
        <w:tc>
          <w:tcPr>
            <w:tcW w:w="1400" w:type="dxa"/>
            <w:tcBorders>
              <w:top w:val="nil"/>
              <w:left w:val="nil"/>
              <w:bottom w:val="single" w:color="000000" w:sz="8" w:space="0"/>
              <w:right w:val="single" w:color="000000" w:sz="8" w:space="0"/>
            </w:tcBorders>
            <w:shd w:val="clear" w:color="auto" w:fill="auto"/>
            <w:vAlign w:val="center"/>
          </w:tcPr>
          <w:p w14:paraId="519B41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锁定节点</w:t>
            </w:r>
          </w:p>
        </w:tc>
        <w:tc>
          <w:tcPr>
            <w:tcW w:w="2220" w:type="dxa"/>
            <w:tcBorders>
              <w:top w:val="nil"/>
              <w:left w:val="nil"/>
              <w:bottom w:val="single" w:color="000000" w:sz="8" w:space="0"/>
              <w:right w:val="single" w:color="000000" w:sz="8" w:space="0"/>
            </w:tcBorders>
            <w:shd w:val="clear" w:color="auto" w:fill="auto"/>
            <w:vAlign w:val="center"/>
          </w:tcPr>
          <w:p w14:paraId="77A99F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6E29D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D916F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D0733C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D8D9F36">
            <w:pPr>
              <w:jc w:val="center"/>
              <w:rPr>
                <w:rFonts w:hint="eastAsia" w:ascii="宋体" w:hAnsi="宋体" w:eastAsia="宋体" w:cs="宋体"/>
                <w:i w:val="0"/>
                <w:iCs w:val="0"/>
                <w:color w:val="000000"/>
                <w:sz w:val="20"/>
                <w:szCs w:val="20"/>
                <w:u w:val="none"/>
              </w:rPr>
            </w:pPr>
          </w:p>
        </w:tc>
      </w:tr>
      <w:tr w14:paraId="14F3D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230C49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742EB7E">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F6FBBE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68D02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编组节点</w:t>
            </w:r>
          </w:p>
        </w:tc>
        <w:tc>
          <w:tcPr>
            <w:tcW w:w="2220" w:type="dxa"/>
            <w:tcBorders>
              <w:top w:val="nil"/>
              <w:left w:val="nil"/>
              <w:bottom w:val="single" w:color="000000" w:sz="8" w:space="0"/>
              <w:right w:val="single" w:color="000000" w:sz="8" w:space="0"/>
            </w:tcBorders>
            <w:shd w:val="clear" w:color="auto" w:fill="auto"/>
            <w:vAlign w:val="center"/>
          </w:tcPr>
          <w:p w14:paraId="6DC405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38E3E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6531D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714103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9CB9DC8">
            <w:pPr>
              <w:jc w:val="center"/>
              <w:rPr>
                <w:rFonts w:hint="eastAsia" w:ascii="宋体" w:hAnsi="宋体" w:eastAsia="宋体" w:cs="宋体"/>
                <w:i w:val="0"/>
                <w:iCs w:val="0"/>
                <w:color w:val="000000"/>
                <w:sz w:val="20"/>
                <w:szCs w:val="20"/>
                <w:u w:val="none"/>
              </w:rPr>
            </w:pPr>
          </w:p>
        </w:tc>
      </w:tr>
      <w:tr w14:paraId="1B126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C0D1D61">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772CDD0">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0C124DD">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505A89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标尺</w:t>
            </w:r>
          </w:p>
        </w:tc>
        <w:tc>
          <w:tcPr>
            <w:tcW w:w="2220" w:type="dxa"/>
            <w:tcBorders>
              <w:top w:val="nil"/>
              <w:left w:val="nil"/>
              <w:bottom w:val="single" w:color="000000" w:sz="8" w:space="0"/>
              <w:right w:val="single" w:color="000000" w:sz="8" w:space="0"/>
            </w:tcBorders>
            <w:shd w:val="clear" w:color="auto" w:fill="auto"/>
            <w:vAlign w:val="center"/>
          </w:tcPr>
          <w:p w14:paraId="411CEF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3F781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12994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5B328F9">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579BF38">
            <w:pPr>
              <w:jc w:val="center"/>
              <w:rPr>
                <w:rFonts w:hint="eastAsia" w:ascii="宋体" w:hAnsi="宋体" w:eastAsia="宋体" w:cs="宋体"/>
                <w:i w:val="0"/>
                <w:iCs w:val="0"/>
                <w:color w:val="000000"/>
                <w:sz w:val="20"/>
                <w:szCs w:val="20"/>
                <w:u w:val="none"/>
              </w:rPr>
            </w:pPr>
          </w:p>
        </w:tc>
      </w:tr>
      <w:tr w14:paraId="4435B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DC17F13">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27CD631">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EFE9FAA">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798AB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使用本地空间</w:t>
            </w:r>
          </w:p>
        </w:tc>
        <w:tc>
          <w:tcPr>
            <w:tcW w:w="2220" w:type="dxa"/>
            <w:tcBorders>
              <w:top w:val="nil"/>
              <w:left w:val="nil"/>
              <w:bottom w:val="single" w:color="000000" w:sz="8" w:space="0"/>
              <w:right w:val="single" w:color="000000" w:sz="8" w:space="0"/>
            </w:tcBorders>
            <w:shd w:val="clear" w:color="auto" w:fill="auto"/>
            <w:vAlign w:val="center"/>
          </w:tcPr>
          <w:p w14:paraId="3A86E1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55F79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35FC3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8E0227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BE7A7A3">
            <w:pPr>
              <w:jc w:val="center"/>
              <w:rPr>
                <w:rFonts w:hint="eastAsia" w:ascii="宋体" w:hAnsi="宋体" w:eastAsia="宋体" w:cs="宋体"/>
                <w:i w:val="0"/>
                <w:iCs w:val="0"/>
                <w:color w:val="000000"/>
                <w:sz w:val="20"/>
                <w:szCs w:val="20"/>
                <w:u w:val="none"/>
              </w:rPr>
            </w:pPr>
          </w:p>
        </w:tc>
      </w:tr>
      <w:tr w14:paraId="21055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0EFF66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6997385A">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1BA785F">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8BCB5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吸附</w:t>
            </w:r>
          </w:p>
        </w:tc>
        <w:tc>
          <w:tcPr>
            <w:tcW w:w="2220" w:type="dxa"/>
            <w:tcBorders>
              <w:top w:val="nil"/>
              <w:left w:val="nil"/>
              <w:bottom w:val="single" w:color="000000" w:sz="8" w:space="0"/>
              <w:right w:val="single" w:color="000000" w:sz="8" w:space="0"/>
            </w:tcBorders>
            <w:shd w:val="clear" w:color="auto" w:fill="auto"/>
            <w:vAlign w:val="center"/>
          </w:tcPr>
          <w:p w14:paraId="34FC44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01BE5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DE575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E902199">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852CB45">
            <w:pPr>
              <w:jc w:val="center"/>
              <w:rPr>
                <w:rFonts w:hint="eastAsia" w:ascii="宋体" w:hAnsi="宋体" w:eastAsia="宋体" w:cs="宋体"/>
                <w:i w:val="0"/>
                <w:iCs w:val="0"/>
                <w:color w:val="000000"/>
                <w:sz w:val="20"/>
                <w:szCs w:val="20"/>
                <w:u w:val="none"/>
              </w:rPr>
            </w:pPr>
          </w:p>
        </w:tc>
      </w:tr>
      <w:tr w14:paraId="4C60F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3093709">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3876984">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4D26C7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视图工具</w:t>
            </w:r>
          </w:p>
        </w:tc>
        <w:tc>
          <w:tcPr>
            <w:tcW w:w="1400" w:type="dxa"/>
            <w:tcBorders>
              <w:top w:val="nil"/>
              <w:left w:val="nil"/>
              <w:bottom w:val="single" w:color="000000" w:sz="8" w:space="0"/>
              <w:right w:val="single" w:color="000000" w:sz="8" w:space="0"/>
            </w:tcBorders>
            <w:shd w:val="clear" w:color="auto" w:fill="FFFFFF"/>
            <w:vAlign w:val="center"/>
          </w:tcPr>
          <w:p w14:paraId="49A9B3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预览阳光</w:t>
            </w:r>
          </w:p>
        </w:tc>
        <w:tc>
          <w:tcPr>
            <w:tcW w:w="2220" w:type="dxa"/>
            <w:tcBorders>
              <w:top w:val="nil"/>
              <w:left w:val="nil"/>
              <w:bottom w:val="single" w:color="000000" w:sz="8" w:space="0"/>
              <w:right w:val="single" w:color="000000" w:sz="8" w:space="0"/>
            </w:tcBorders>
            <w:shd w:val="clear" w:color="auto" w:fill="auto"/>
            <w:vAlign w:val="center"/>
          </w:tcPr>
          <w:p w14:paraId="26DCEF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CB85F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92F86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F07587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E7343ED">
            <w:pPr>
              <w:jc w:val="center"/>
              <w:rPr>
                <w:rFonts w:hint="eastAsia" w:ascii="宋体" w:hAnsi="宋体" w:eastAsia="宋体" w:cs="宋体"/>
                <w:i w:val="0"/>
                <w:iCs w:val="0"/>
                <w:color w:val="000000"/>
                <w:sz w:val="20"/>
                <w:szCs w:val="20"/>
                <w:u w:val="none"/>
              </w:rPr>
            </w:pPr>
          </w:p>
        </w:tc>
      </w:tr>
      <w:tr w14:paraId="638A8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61494CC">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AB8DE37">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F8C8FA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4D5F22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预览环境</w:t>
            </w:r>
          </w:p>
        </w:tc>
        <w:tc>
          <w:tcPr>
            <w:tcW w:w="2220" w:type="dxa"/>
            <w:tcBorders>
              <w:top w:val="nil"/>
              <w:left w:val="nil"/>
              <w:bottom w:val="single" w:color="000000" w:sz="8" w:space="0"/>
              <w:right w:val="single" w:color="000000" w:sz="8" w:space="0"/>
            </w:tcBorders>
            <w:shd w:val="clear" w:color="auto" w:fill="auto"/>
            <w:vAlign w:val="center"/>
          </w:tcPr>
          <w:p w14:paraId="59E39D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EDB82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EF0E3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13B815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27BC6B7">
            <w:pPr>
              <w:jc w:val="center"/>
              <w:rPr>
                <w:rFonts w:hint="eastAsia" w:ascii="宋体" w:hAnsi="宋体" w:eastAsia="宋体" w:cs="宋体"/>
                <w:i w:val="0"/>
                <w:iCs w:val="0"/>
                <w:color w:val="000000"/>
                <w:sz w:val="20"/>
                <w:szCs w:val="20"/>
                <w:u w:val="none"/>
              </w:rPr>
            </w:pPr>
          </w:p>
        </w:tc>
      </w:tr>
      <w:tr w14:paraId="7507D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7B6F2B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C03FEA6">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D3CA135">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7C7195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变换</w:t>
            </w:r>
          </w:p>
        </w:tc>
        <w:tc>
          <w:tcPr>
            <w:tcW w:w="2220" w:type="dxa"/>
            <w:tcBorders>
              <w:top w:val="nil"/>
              <w:left w:val="nil"/>
              <w:bottom w:val="single" w:color="000000" w:sz="8" w:space="0"/>
              <w:right w:val="single" w:color="000000" w:sz="8" w:space="0"/>
            </w:tcBorders>
            <w:shd w:val="clear" w:color="auto" w:fill="auto"/>
            <w:vAlign w:val="center"/>
          </w:tcPr>
          <w:p w14:paraId="02D2F8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FFFFFF"/>
            <w:vAlign w:val="center"/>
          </w:tcPr>
          <w:p w14:paraId="4D29FB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FFFFFF"/>
            <w:vAlign w:val="center"/>
          </w:tcPr>
          <w:p w14:paraId="0D31D8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FFFFFF"/>
            <w:vAlign w:val="center"/>
          </w:tcPr>
          <w:p w14:paraId="4BA843E0">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FFFFFF"/>
            <w:vAlign w:val="center"/>
          </w:tcPr>
          <w:p w14:paraId="665ACE27">
            <w:pPr>
              <w:jc w:val="center"/>
              <w:rPr>
                <w:rFonts w:hint="eastAsia" w:ascii="宋体" w:hAnsi="宋体" w:eastAsia="宋体" w:cs="宋体"/>
                <w:i w:val="0"/>
                <w:iCs w:val="0"/>
                <w:color w:val="000000"/>
                <w:sz w:val="20"/>
                <w:szCs w:val="20"/>
                <w:u w:val="none"/>
              </w:rPr>
            </w:pPr>
          </w:p>
        </w:tc>
      </w:tr>
      <w:tr w14:paraId="280FF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EB6E39A">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6D44088">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728FF77">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3F328A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视图</w:t>
            </w:r>
          </w:p>
        </w:tc>
        <w:tc>
          <w:tcPr>
            <w:tcW w:w="2220" w:type="dxa"/>
            <w:tcBorders>
              <w:top w:val="nil"/>
              <w:left w:val="nil"/>
              <w:bottom w:val="single" w:color="000000" w:sz="8" w:space="0"/>
              <w:right w:val="single" w:color="000000" w:sz="8" w:space="0"/>
            </w:tcBorders>
            <w:shd w:val="clear" w:color="auto" w:fill="auto"/>
            <w:vAlign w:val="center"/>
          </w:tcPr>
          <w:p w14:paraId="2CA0EC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FFFFFF"/>
            <w:vAlign w:val="center"/>
          </w:tcPr>
          <w:p w14:paraId="5E6DDD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FFFFFF"/>
            <w:vAlign w:val="center"/>
          </w:tcPr>
          <w:p w14:paraId="37C0CA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FFFFFF"/>
            <w:vAlign w:val="center"/>
          </w:tcPr>
          <w:p w14:paraId="3D939A2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FFFFFF"/>
            <w:vAlign w:val="center"/>
          </w:tcPr>
          <w:p w14:paraId="5E9F9D71">
            <w:pPr>
              <w:jc w:val="center"/>
              <w:rPr>
                <w:rFonts w:hint="eastAsia" w:ascii="宋体" w:hAnsi="宋体" w:eastAsia="宋体" w:cs="宋体"/>
                <w:i w:val="0"/>
                <w:iCs w:val="0"/>
                <w:color w:val="000000"/>
                <w:sz w:val="20"/>
                <w:szCs w:val="20"/>
                <w:u w:val="none"/>
              </w:rPr>
            </w:pPr>
          </w:p>
        </w:tc>
      </w:tr>
      <w:tr w14:paraId="67BB8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79C1CD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10966C3">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68B3B72">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678FB9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工具设置</w:t>
            </w:r>
          </w:p>
        </w:tc>
        <w:tc>
          <w:tcPr>
            <w:tcW w:w="2220" w:type="dxa"/>
            <w:tcBorders>
              <w:top w:val="nil"/>
              <w:left w:val="nil"/>
              <w:bottom w:val="single" w:color="000000" w:sz="8" w:space="0"/>
              <w:right w:val="single" w:color="000000" w:sz="8" w:space="0"/>
            </w:tcBorders>
            <w:shd w:val="clear" w:color="auto" w:fill="auto"/>
            <w:vAlign w:val="center"/>
          </w:tcPr>
          <w:p w14:paraId="3904EA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B8E64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142E8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134E4DE">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9570931">
            <w:pPr>
              <w:jc w:val="center"/>
              <w:rPr>
                <w:rFonts w:hint="eastAsia" w:ascii="宋体" w:hAnsi="宋体" w:eastAsia="宋体" w:cs="宋体"/>
                <w:i w:val="0"/>
                <w:iCs w:val="0"/>
                <w:color w:val="000000"/>
                <w:sz w:val="20"/>
                <w:szCs w:val="20"/>
                <w:u w:val="none"/>
              </w:rPr>
            </w:pPr>
          </w:p>
        </w:tc>
      </w:tr>
      <w:tr w14:paraId="6BF71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DFD32A4">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AA9FD3F">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BC7B7C9">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79D997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切换（三维、界面、应用、脚本）</w:t>
            </w:r>
          </w:p>
        </w:tc>
        <w:tc>
          <w:tcPr>
            <w:tcW w:w="2220" w:type="dxa"/>
            <w:tcBorders>
              <w:top w:val="nil"/>
              <w:left w:val="nil"/>
              <w:bottom w:val="single" w:color="000000" w:sz="8" w:space="0"/>
              <w:right w:val="single" w:color="000000" w:sz="8" w:space="0"/>
            </w:tcBorders>
            <w:shd w:val="clear" w:color="auto" w:fill="auto"/>
            <w:vAlign w:val="center"/>
          </w:tcPr>
          <w:p w14:paraId="78D6D3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2ABF4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F421E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4FA523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F36646D">
            <w:pPr>
              <w:jc w:val="center"/>
              <w:rPr>
                <w:rFonts w:hint="eastAsia" w:ascii="宋体" w:hAnsi="宋体" w:eastAsia="宋体" w:cs="宋体"/>
                <w:i w:val="0"/>
                <w:iCs w:val="0"/>
                <w:color w:val="000000"/>
                <w:sz w:val="20"/>
                <w:szCs w:val="20"/>
                <w:u w:val="none"/>
              </w:rPr>
            </w:pPr>
          </w:p>
        </w:tc>
      </w:tr>
      <w:tr w14:paraId="22EFE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3AD177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137BC59">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5DF7E1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三维视图</w:t>
            </w:r>
          </w:p>
        </w:tc>
        <w:tc>
          <w:tcPr>
            <w:tcW w:w="1400" w:type="dxa"/>
            <w:tcBorders>
              <w:top w:val="nil"/>
              <w:left w:val="nil"/>
              <w:bottom w:val="single" w:color="000000" w:sz="8" w:space="0"/>
              <w:right w:val="single" w:color="000000" w:sz="8" w:space="0"/>
            </w:tcBorders>
            <w:shd w:val="clear" w:color="auto" w:fill="auto"/>
            <w:vAlign w:val="center"/>
          </w:tcPr>
          <w:p w14:paraId="7CB322C2">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369ADA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2853A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FB49F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5EC903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5199269">
            <w:pPr>
              <w:jc w:val="center"/>
              <w:rPr>
                <w:rFonts w:hint="eastAsia" w:ascii="宋体" w:hAnsi="宋体" w:eastAsia="宋体" w:cs="宋体"/>
                <w:i w:val="0"/>
                <w:iCs w:val="0"/>
                <w:color w:val="000000"/>
                <w:sz w:val="20"/>
                <w:szCs w:val="20"/>
                <w:u w:val="none"/>
              </w:rPr>
            </w:pPr>
          </w:p>
        </w:tc>
      </w:tr>
      <w:tr w14:paraId="2FFCA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49F7F01">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8B80BB1">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1C24E0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脚本管理</w:t>
            </w:r>
          </w:p>
        </w:tc>
        <w:tc>
          <w:tcPr>
            <w:tcW w:w="1400" w:type="dxa"/>
            <w:tcBorders>
              <w:top w:val="nil"/>
              <w:left w:val="nil"/>
              <w:bottom w:val="single" w:color="000000" w:sz="8" w:space="0"/>
              <w:right w:val="single" w:color="000000" w:sz="8" w:space="0"/>
            </w:tcBorders>
            <w:shd w:val="clear" w:color="auto" w:fill="auto"/>
            <w:vAlign w:val="center"/>
          </w:tcPr>
          <w:p w14:paraId="2001C0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脚本文件管理</w:t>
            </w:r>
          </w:p>
        </w:tc>
        <w:tc>
          <w:tcPr>
            <w:tcW w:w="2220" w:type="dxa"/>
            <w:tcBorders>
              <w:top w:val="nil"/>
              <w:left w:val="nil"/>
              <w:bottom w:val="single" w:color="000000" w:sz="8" w:space="0"/>
              <w:right w:val="single" w:color="000000" w:sz="8" w:space="0"/>
            </w:tcBorders>
            <w:shd w:val="clear" w:color="auto" w:fill="auto"/>
            <w:vAlign w:val="center"/>
          </w:tcPr>
          <w:p w14:paraId="345BA4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FFFFFF"/>
            <w:vAlign w:val="center"/>
          </w:tcPr>
          <w:p w14:paraId="6681DF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FFFFFF"/>
            <w:vAlign w:val="center"/>
          </w:tcPr>
          <w:p w14:paraId="05BE59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FFFFFF"/>
            <w:vAlign w:val="center"/>
          </w:tcPr>
          <w:p w14:paraId="42A6150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FFFFFF"/>
            <w:vAlign w:val="center"/>
          </w:tcPr>
          <w:p w14:paraId="0957DFF8">
            <w:pPr>
              <w:jc w:val="center"/>
              <w:rPr>
                <w:rFonts w:hint="eastAsia" w:ascii="宋体" w:hAnsi="宋体" w:eastAsia="宋体" w:cs="宋体"/>
                <w:i w:val="0"/>
                <w:iCs w:val="0"/>
                <w:color w:val="000000"/>
                <w:sz w:val="20"/>
                <w:szCs w:val="20"/>
                <w:u w:val="none"/>
              </w:rPr>
            </w:pPr>
          </w:p>
        </w:tc>
      </w:tr>
      <w:tr w14:paraId="0B5D4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2EF2F8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EEF3987">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B5133B8">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56A16D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脚本搜索</w:t>
            </w:r>
          </w:p>
        </w:tc>
        <w:tc>
          <w:tcPr>
            <w:tcW w:w="2220" w:type="dxa"/>
            <w:tcBorders>
              <w:top w:val="nil"/>
              <w:left w:val="nil"/>
              <w:bottom w:val="single" w:color="000000" w:sz="8" w:space="0"/>
              <w:right w:val="single" w:color="000000" w:sz="8" w:space="0"/>
            </w:tcBorders>
            <w:shd w:val="clear" w:color="auto" w:fill="auto"/>
            <w:vAlign w:val="center"/>
          </w:tcPr>
          <w:p w14:paraId="5DF2D2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A301C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487B9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270EA1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06C6AAD">
            <w:pPr>
              <w:jc w:val="center"/>
              <w:rPr>
                <w:rFonts w:hint="eastAsia" w:ascii="宋体" w:hAnsi="宋体" w:eastAsia="宋体" w:cs="宋体"/>
                <w:i w:val="0"/>
                <w:iCs w:val="0"/>
                <w:color w:val="000000"/>
                <w:sz w:val="20"/>
                <w:szCs w:val="20"/>
                <w:u w:val="none"/>
              </w:rPr>
            </w:pPr>
          </w:p>
        </w:tc>
      </w:tr>
      <w:tr w14:paraId="24B28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0E4368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E5E384E">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661B6F0">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6B0A9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搜索帮助</w:t>
            </w:r>
          </w:p>
        </w:tc>
        <w:tc>
          <w:tcPr>
            <w:tcW w:w="2220" w:type="dxa"/>
            <w:tcBorders>
              <w:top w:val="nil"/>
              <w:left w:val="nil"/>
              <w:bottom w:val="single" w:color="000000" w:sz="8" w:space="0"/>
              <w:right w:val="single" w:color="000000" w:sz="8" w:space="0"/>
            </w:tcBorders>
            <w:shd w:val="clear" w:color="auto" w:fill="auto"/>
            <w:vAlign w:val="center"/>
          </w:tcPr>
          <w:p w14:paraId="1D0E89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DFBC4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DC7EC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96F2B1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18D6C8A">
            <w:pPr>
              <w:jc w:val="center"/>
              <w:rPr>
                <w:rFonts w:hint="eastAsia" w:ascii="宋体" w:hAnsi="宋体" w:eastAsia="宋体" w:cs="宋体"/>
                <w:i w:val="0"/>
                <w:iCs w:val="0"/>
                <w:color w:val="000000"/>
                <w:sz w:val="20"/>
                <w:szCs w:val="20"/>
                <w:u w:val="none"/>
              </w:rPr>
            </w:pPr>
          </w:p>
        </w:tc>
      </w:tr>
      <w:tr w14:paraId="2F0CF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808026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5BAEF81">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A679B87">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6E59C8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前往上一个或下一个编辑文档</w:t>
            </w:r>
          </w:p>
        </w:tc>
        <w:tc>
          <w:tcPr>
            <w:tcW w:w="2220" w:type="dxa"/>
            <w:tcBorders>
              <w:top w:val="nil"/>
              <w:left w:val="nil"/>
              <w:bottom w:val="single" w:color="000000" w:sz="8" w:space="0"/>
              <w:right w:val="single" w:color="000000" w:sz="8" w:space="0"/>
            </w:tcBorders>
            <w:shd w:val="clear" w:color="auto" w:fill="auto"/>
            <w:vAlign w:val="center"/>
          </w:tcPr>
          <w:p w14:paraId="5FC754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4DAF0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9AC43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673382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57FD1A6">
            <w:pPr>
              <w:jc w:val="center"/>
              <w:rPr>
                <w:rFonts w:hint="eastAsia" w:ascii="宋体" w:hAnsi="宋体" w:eastAsia="宋体" w:cs="宋体"/>
                <w:i w:val="0"/>
                <w:iCs w:val="0"/>
                <w:color w:val="000000"/>
                <w:sz w:val="20"/>
                <w:szCs w:val="20"/>
                <w:u w:val="none"/>
              </w:rPr>
            </w:pPr>
          </w:p>
        </w:tc>
      </w:tr>
      <w:tr w14:paraId="39410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55BE8B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680EA98">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2EC047B4">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40A1B3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浮动脚本编辑器</w:t>
            </w:r>
          </w:p>
        </w:tc>
        <w:tc>
          <w:tcPr>
            <w:tcW w:w="2220" w:type="dxa"/>
            <w:tcBorders>
              <w:top w:val="nil"/>
              <w:left w:val="nil"/>
              <w:bottom w:val="single" w:color="000000" w:sz="8" w:space="0"/>
              <w:right w:val="single" w:color="000000" w:sz="8" w:space="0"/>
            </w:tcBorders>
            <w:shd w:val="clear" w:color="auto" w:fill="auto"/>
            <w:vAlign w:val="center"/>
          </w:tcPr>
          <w:p w14:paraId="4DDB03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C2F37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7F33AE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F86324E">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79C3BF4">
            <w:pPr>
              <w:jc w:val="center"/>
              <w:rPr>
                <w:rFonts w:hint="eastAsia" w:ascii="宋体" w:hAnsi="宋体" w:eastAsia="宋体" w:cs="宋体"/>
                <w:i w:val="0"/>
                <w:iCs w:val="0"/>
                <w:color w:val="000000"/>
                <w:sz w:val="20"/>
                <w:szCs w:val="20"/>
                <w:u w:val="none"/>
              </w:rPr>
            </w:pPr>
          </w:p>
        </w:tc>
      </w:tr>
      <w:tr w14:paraId="6D677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AF94F5C">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3938021">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964B61A">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608705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筛选脚本（搜索框）</w:t>
            </w:r>
          </w:p>
        </w:tc>
        <w:tc>
          <w:tcPr>
            <w:tcW w:w="2220" w:type="dxa"/>
            <w:tcBorders>
              <w:top w:val="nil"/>
              <w:left w:val="nil"/>
              <w:bottom w:val="single" w:color="000000" w:sz="8" w:space="0"/>
              <w:right w:val="single" w:color="000000" w:sz="8" w:space="0"/>
            </w:tcBorders>
            <w:shd w:val="clear" w:color="auto" w:fill="auto"/>
            <w:vAlign w:val="center"/>
          </w:tcPr>
          <w:p w14:paraId="77C6E0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FB709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B7788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87D295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E6E24D7">
            <w:pPr>
              <w:jc w:val="center"/>
              <w:rPr>
                <w:rFonts w:hint="eastAsia" w:ascii="宋体" w:hAnsi="宋体" w:eastAsia="宋体" w:cs="宋体"/>
                <w:i w:val="0"/>
                <w:iCs w:val="0"/>
                <w:color w:val="000000"/>
                <w:sz w:val="20"/>
                <w:szCs w:val="20"/>
                <w:u w:val="none"/>
              </w:rPr>
            </w:pPr>
          </w:p>
        </w:tc>
      </w:tr>
      <w:tr w14:paraId="67484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0A788C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C19D23B">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14314D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方法列表</w:t>
            </w:r>
          </w:p>
        </w:tc>
        <w:tc>
          <w:tcPr>
            <w:tcW w:w="1400" w:type="dxa"/>
            <w:tcBorders>
              <w:top w:val="nil"/>
              <w:left w:val="nil"/>
              <w:bottom w:val="single" w:color="000000" w:sz="8" w:space="0"/>
              <w:right w:val="single" w:color="000000" w:sz="8" w:space="0"/>
            </w:tcBorders>
            <w:shd w:val="clear" w:color="auto" w:fill="auto"/>
            <w:vAlign w:val="center"/>
          </w:tcPr>
          <w:p w14:paraId="30A3A481">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34722A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14312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820F9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F4CF39F">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9AA7F1B">
            <w:pPr>
              <w:jc w:val="center"/>
              <w:rPr>
                <w:rFonts w:hint="eastAsia" w:ascii="宋体" w:hAnsi="宋体" w:eastAsia="宋体" w:cs="宋体"/>
                <w:i w:val="0"/>
                <w:iCs w:val="0"/>
                <w:color w:val="000000"/>
                <w:sz w:val="20"/>
                <w:szCs w:val="20"/>
                <w:u w:val="none"/>
              </w:rPr>
            </w:pPr>
          </w:p>
        </w:tc>
      </w:tr>
      <w:tr w14:paraId="56E1C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5DC28FB">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7C1AD39">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33113C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自定义工具</w:t>
            </w:r>
          </w:p>
        </w:tc>
        <w:tc>
          <w:tcPr>
            <w:tcW w:w="1400" w:type="dxa"/>
            <w:tcBorders>
              <w:top w:val="nil"/>
              <w:left w:val="nil"/>
              <w:bottom w:val="single" w:color="000000" w:sz="8" w:space="0"/>
              <w:right w:val="single" w:color="000000" w:sz="8" w:space="0"/>
            </w:tcBorders>
            <w:shd w:val="clear" w:color="auto" w:fill="auto"/>
            <w:vAlign w:val="center"/>
          </w:tcPr>
          <w:p w14:paraId="3D511209">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328EDB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80DC0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C7AFF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67728D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BEBCD4B">
            <w:pPr>
              <w:jc w:val="center"/>
              <w:rPr>
                <w:rFonts w:hint="eastAsia" w:ascii="宋体" w:hAnsi="宋体" w:eastAsia="宋体" w:cs="宋体"/>
                <w:i w:val="0"/>
                <w:iCs w:val="0"/>
                <w:color w:val="000000"/>
                <w:sz w:val="20"/>
                <w:szCs w:val="20"/>
                <w:u w:val="none"/>
              </w:rPr>
            </w:pPr>
          </w:p>
        </w:tc>
      </w:tr>
      <w:tr w14:paraId="4B27E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F776C2B">
            <w:pPr>
              <w:jc w:val="center"/>
              <w:rPr>
                <w:rFonts w:hint="eastAsia" w:ascii="宋体" w:hAnsi="宋体" w:eastAsia="宋体" w:cs="宋体"/>
                <w:i w:val="0"/>
                <w:iCs w:val="0"/>
                <w:color w:val="000000"/>
                <w:sz w:val="20"/>
                <w:szCs w:val="20"/>
                <w:u w:val="none"/>
              </w:rPr>
            </w:pPr>
          </w:p>
        </w:tc>
        <w:tc>
          <w:tcPr>
            <w:tcW w:w="660" w:type="dxa"/>
            <w:vMerge w:val="restart"/>
            <w:tcBorders>
              <w:top w:val="nil"/>
              <w:left w:val="nil"/>
              <w:bottom w:val="single" w:color="000000" w:sz="8" w:space="0"/>
              <w:right w:val="single" w:color="000000" w:sz="8" w:space="0"/>
            </w:tcBorders>
            <w:shd w:val="clear" w:color="auto" w:fill="auto"/>
            <w:vAlign w:val="center"/>
          </w:tcPr>
          <w:p w14:paraId="1C7601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资源管理与部署</w:t>
            </w:r>
          </w:p>
        </w:tc>
        <w:tc>
          <w:tcPr>
            <w:tcW w:w="960" w:type="dxa"/>
            <w:tcBorders>
              <w:top w:val="nil"/>
              <w:left w:val="nil"/>
              <w:bottom w:val="single" w:color="000000" w:sz="8" w:space="0"/>
              <w:right w:val="single" w:color="000000" w:sz="8" w:space="0"/>
            </w:tcBorders>
            <w:shd w:val="clear" w:color="auto" w:fill="auto"/>
            <w:vAlign w:val="center"/>
          </w:tcPr>
          <w:p w14:paraId="1A8BD9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命令面板</w:t>
            </w:r>
          </w:p>
        </w:tc>
        <w:tc>
          <w:tcPr>
            <w:tcW w:w="1400" w:type="dxa"/>
            <w:tcBorders>
              <w:top w:val="nil"/>
              <w:left w:val="nil"/>
              <w:bottom w:val="single" w:color="000000" w:sz="8" w:space="0"/>
              <w:right w:val="single" w:color="000000" w:sz="8" w:space="0"/>
            </w:tcBorders>
            <w:shd w:val="clear" w:color="auto" w:fill="auto"/>
            <w:vAlign w:val="center"/>
          </w:tcPr>
          <w:p w14:paraId="481886B5">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28F6F2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A54B3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AAAA9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9BE493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EE77397">
            <w:pPr>
              <w:jc w:val="center"/>
              <w:rPr>
                <w:rFonts w:hint="eastAsia" w:ascii="宋体" w:hAnsi="宋体" w:eastAsia="宋体" w:cs="宋体"/>
                <w:i w:val="0"/>
                <w:iCs w:val="0"/>
                <w:color w:val="000000"/>
                <w:sz w:val="20"/>
                <w:szCs w:val="20"/>
                <w:u w:val="none"/>
              </w:rPr>
            </w:pPr>
          </w:p>
        </w:tc>
      </w:tr>
      <w:tr w14:paraId="49F02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F489456">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6384D79">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023C3F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管理导出模板</w:t>
            </w:r>
          </w:p>
        </w:tc>
        <w:tc>
          <w:tcPr>
            <w:tcW w:w="1400" w:type="dxa"/>
            <w:tcBorders>
              <w:top w:val="nil"/>
              <w:left w:val="nil"/>
              <w:bottom w:val="single" w:color="000000" w:sz="8" w:space="0"/>
              <w:right w:val="single" w:color="000000" w:sz="8" w:space="0"/>
            </w:tcBorders>
            <w:shd w:val="clear" w:color="auto" w:fill="auto"/>
            <w:vAlign w:val="center"/>
          </w:tcPr>
          <w:p w14:paraId="6AFDB24B">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0EC6D5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F452B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E3099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94137A9">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4D55309">
            <w:pPr>
              <w:jc w:val="center"/>
              <w:rPr>
                <w:rFonts w:hint="eastAsia" w:ascii="宋体" w:hAnsi="宋体" w:eastAsia="宋体" w:cs="宋体"/>
                <w:i w:val="0"/>
                <w:iCs w:val="0"/>
                <w:color w:val="000000"/>
                <w:sz w:val="20"/>
                <w:szCs w:val="20"/>
                <w:u w:val="none"/>
              </w:rPr>
            </w:pPr>
          </w:p>
        </w:tc>
      </w:tr>
      <w:tr w14:paraId="282C1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E584C95">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BD5C037">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4FF24D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停止目前运行中的项目</w:t>
            </w:r>
          </w:p>
        </w:tc>
        <w:tc>
          <w:tcPr>
            <w:tcW w:w="1400" w:type="dxa"/>
            <w:tcBorders>
              <w:top w:val="nil"/>
              <w:left w:val="nil"/>
              <w:bottom w:val="single" w:color="000000" w:sz="8" w:space="0"/>
              <w:right w:val="single" w:color="000000" w:sz="8" w:space="0"/>
            </w:tcBorders>
            <w:shd w:val="clear" w:color="auto" w:fill="auto"/>
            <w:vAlign w:val="center"/>
          </w:tcPr>
          <w:p w14:paraId="6BFEA947">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11E1EA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C3153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2A31B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8EFBE6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5181342">
            <w:pPr>
              <w:jc w:val="center"/>
              <w:rPr>
                <w:rFonts w:hint="eastAsia" w:ascii="宋体" w:hAnsi="宋体" w:eastAsia="宋体" w:cs="宋体"/>
                <w:i w:val="0"/>
                <w:iCs w:val="0"/>
                <w:color w:val="000000"/>
                <w:sz w:val="20"/>
                <w:szCs w:val="20"/>
                <w:u w:val="none"/>
              </w:rPr>
            </w:pPr>
          </w:p>
        </w:tc>
      </w:tr>
      <w:tr w14:paraId="23C95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B521674">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49554FC">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4EA750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运行正在编辑的场景</w:t>
            </w:r>
          </w:p>
        </w:tc>
        <w:tc>
          <w:tcPr>
            <w:tcW w:w="1400" w:type="dxa"/>
            <w:tcBorders>
              <w:top w:val="nil"/>
              <w:left w:val="nil"/>
              <w:bottom w:val="single" w:color="000000" w:sz="8" w:space="0"/>
              <w:right w:val="single" w:color="000000" w:sz="8" w:space="0"/>
            </w:tcBorders>
            <w:shd w:val="clear" w:color="auto" w:fill="auto"/>
            <w:vAlign w:val="center"/>
          </w:tcPr>
          <w:p w14:paraId="415A1490">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07FF2D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CC35A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07080B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09215A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0EE4533">
            <w:pPr>
              <w:jc w:val="center"/>
              <w:rPr>
                <w:rFonts w:hint="eastAsia" w:ascii="宋体" w:hAnsi="宋体" w:eastAsia="宋体" w:cs="宋体"/>
                <w:i w:val="0"/>
                <w:iCs w:val="0"/>
                <w:color w:val="000000"/>
                <w:sz w:val="20"/>
                <w:szCs w:val="20"/>
                <w:u w:val="none"/>
              </w:rPr>
            </w:pPr>
          </w:p>
        </w:tc>
      </w:tr>
      <w:tr w14:paraId="5AE71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24BE1D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FAAAEF1">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619427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运行自定义场景</w:t>
            </w:r>
          </w:p>
        </w:tc>
        <w:tc>
          <w:tcPr>
            <w:tcW w:w="1400" w:type="dxa"/>
            <w:tcBorders>
              <w:top w:val="nil"/>
              <w:left w:val="nil"/>
              <w:bottom w:val="single" w:color="000000" w:sz="8" w:space="0"/>
              <w:right w:val="single" w:color="000000" w:sz="8" w:space="0"/>
            </w:tcBorders>
            <w:shd w:val="clear" w:color="auto" w:fill="auto"/>
            <w:vAlign w:val="center"/>
          </w:tcPr>
          <w:p w14:paraId="6045277A">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03479D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7BF1B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4235E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D7AF39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1650E2A">
            <w:pPr>
              <w:jc w:val="center"/>
              <w:rPr>
                <w:rFonts w:hint="eastAsia" w:ascii="宋体" w:hAnsi="宋体" w:eastAsia="宋体" w:cs="宋体"/>
                <w:i w:val="0"/>
                <w:iCs w:val="0"/>
                <w:color w:val="000000"/>
                <w:sz w:val="20"/>
                <w:szCs w:val="20"/>
                <w:u w:val="none"/>
              </w:rPr>
            </w:pPr>
          </w:p>
        </w:tc>
      </w:tr>
      <w:tr w14:paraId="2C3BA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69C232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6EB3082">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7F7D10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三维模型导入环境光</w:t>
            </w:r>
          </w:p>
        </w:tc>
        <w:tc>
          <w:tcPr>
            <w:tcW w:w="1400" w:type="dxa"/>
            <w:tcBorders>
              <w:top w:val="nil"/>
              <w:left w:val="nil"/>
              <w:bottom w:val="single" w:color="000000" w:sz="8" w:space="0"/>
              <w:right w:val="single" w:color="000000" w:sz="8" w:space="0"/>
            </w:tcBorders>
            <w:shd w:val="clear" w:color="auto" w:fill="auto"/>
            <w:vAlign w:val="center"/>
          </w:tcPr>
          <w:p w14:paraId="16D309CA">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2CBE69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E6F6D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12A0A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4EC8A4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62535F3">
            <w:pPr>
              <w:jc w:val="center"/>
              <w:rPr>
                <w:rFonts w:hint="eastAsia" w:ascii="宋体" w:hAnsi="宋体" w:eastAsia="宋体" w:cs="宋体"/>
                <w:i w:val="0"/>
                <w:iCs w:val="0"/>
                <w:color w:val="000000"/>
                <w:sz w:val="20"/>
                <w:szCs w:val="20"/>
                <w:u w:val="none"/>
              </w:rPr>
            </w:pPr>
          </w:p>
        </w:tc>
      </w:tr>
      <w:tr w14:paraId="69D40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F133641">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364D10D">
            <w:pPr>
              <w:jc w:val="center"/>
              <w:rPr>
                <w:rFonts w:hint="eastAsia" w:ascii="宋体" w:hAnsi="宋体" w:eastAsia="宋体" w:cs="宋体"/>
                <w:i w:val="0"/>
                <w:iCs w:val="0"/>
                <w:color w:val="000000"/>
                <w:sz w:val="20"/>
                <w:szCs w:val="20"/>
                <w:u w:val="none"/>
              </w:rPr>
            </w:pPr>
          </w:p>
        </w:tc>
        <w:tc>
          <w:tcPr>
            <w:tcW w:w="960" w:type="dxa"/>
            <w:vMerge w:val="restart"/>
            <w:tcBorders>
              <w:top w:val="nil"/>
              <w:left w:val="nil"/>
              <w:bottom w:val="single" w:color="000000" w:sz="8" w:space="0"/>
              <w:right w:val="single" w:color="000000" w:sz="8" w:space="0"/>
            </w:tcBorders>
            <w:shd w:val="clear" w:color="auto" w:fill="auto"/>
            <w:vAlign w:val="center"/>
          </w:tcPr>
          <w:p w14:paraId="29CF7B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文件系统</w:t>
            </w:r>
          </w:p>
        </w:tc>
        <w:tc>
          <w:tcPr>
            <w:tcW w:w="1400" w:type="dxa"/>
            <w:tcBorders>
              <w:top w:val="nil"/>
              <w:left w:val="nil"/>
              <w:bottom w:val="single" w:color="000000" w:sz="8" w:space="0"/>
              <w:right w:val="single" w:color="000000" w:sz="8" w:space="0"/>
            </w:tcBorders>
            <w:shd w:val="clear" w:color="auto" w:fill="auto"/>
            <w:vAlign w:val="center"/>
          </w:tcPr>
          <w:p w14:paraId="11B520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跳转到之前/之后选定的文件夹/文件</w:t>
            </w:r>
          </w:p>
        </w:tc>
        <w:tc>
          <w:tcPr>
            <w:tcW w:w="2220" w:type="dxa"/>
            <w:tcBorders>
              <w:top w:val="nil"/>
              <w:left w:val="nil"/>
              <w:bottom w:val="single" w:color="000000" w:sz="8" w:space="0"/>
              <w:right w:val="single" w:color="000000" w:sz="8" w:space="0"/>
            </w:tcBorders>
            <w:shd w:val="clear" w:color="auto" w:fill="FFFFFF"/>
            <w:vAlign w:val="center"/>
          </w:tcPr>
          <w:p w14:paraId="17FB29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9D45A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A8E81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E074250">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71F653E">
            <w:pPr>
              <w:jc w:val="center"/>
              <w:rPr>
                <w:rFonts w:hint="eastAsia" w:ascii="宋体" w:hAnsi="宋体" w:eastAsia="宋体" w:cs="宋体"/>
                <w:i w:val="0"/>
                <w:iCs w:val="0"/>
                <w:color w:val="000000"/>
                <w:sz w:val="20"/>
                <w:szCs w:val="20"/>
                <w:u w:val="none"/>
              </w:rPr>
            </w:pPr>
          </w:p>
        </w:tc>
      </w:tr>
      <w:tr w14:paraId="04BE6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B4C6279">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31A9649">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3155ED38">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516290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文件路径</w:t>
            </w:r>
          </w:p>
        </w:tc>
        <w:tc>
          <w:tcPr>
            <w:tcW w:w="2220" w:type="dxa"/>
            <w:tcBorders>
              <w:top w:val="nil"/>
              <w:left w:val="nil"/>
              <w:bottom w:val="single" w:color="000000" w:sz="8" w:space="0"/>
              <w:right w:val="single" w:color="000000" w:sz="8" w:space="0"/>
            </w:tcBorders>
            <w:shd w:val="clear" w:color="auto" w:fill="FFFFFF"/>
            <w:vAlign w:val="center"/>
          </w:tcPr>
          <w:p w14:paraId="4232AA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88478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04576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C64BB97">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083C3E66">
            <w:pPr>
              <w:jc w:val="center"/>
              <w:rPr>
                <w:rFonts w:hint="eastAsia" w:ascii="宋体" w:hAnsi="宋体" w:eastAsia="宋体" w:cs="宋体"/>
                <w:i w:val="0"/>
                <w:iCs w:val="0"/>
                <w:color w:val="000000"/>
                <w:sz w:val="20"/>
                <w:szCs w:val="20"/>
                <w:u w:val="none"/>
              </w:rPr>
            </w:pPr>
          </w:p>
        </w:tc>
      </w:tr>
      <w:tr w14:paraId="7DFDC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4404E1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C4B4900">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4AD5C0E">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64F0E8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修改拆分模式</w:t>
            </w:r>
          </w:p>
        </w:tc>
        <w:tc>
          <w:tcPr>
            <w:tcW w:w="2220" w:type="dxa"/>
            <w:tcBorders>
              <w:top w:val="nil"/>
              <w:left w:val="nil"/>
              <w:bottom w:val="single" w:color="000000" w:sz="8" w:space="0"/>
              <w:right w:val="single" w:color="000000" w:sz="8" w:space="0"/>
            </w:tcBorders>
            <w:shd w:val="clear" w:color="auto" w:fill="FFFFFF"/>
            <w:vAlign w:val="center"/>
          </w:tcPr>
          <w:p w14:paraId="2BC899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BE0A0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051AA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7986A1B">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035D790">
            <w:pPr>
              <w:jc w:val="center"/>
              <w:rPr>
                <w:rFonts w:hint="eastAsia" w:ascii="宋体" w:hAnsi="宋体" w:eastAsia="宋体" w:cs="宋体"/>
                <w:i w:val="0"/>
                <w:iCs w:val="0"/>
                <w:color w:val="000000"/>
                <w:sz w:val="20"/>
                <w:szCs w:val="20"/>
                <w:u w:val="none"/>
              </w:rPr>
            </w:pPr>
          </w:p>
        </w:tc>
      </w:tr>
      <w:tr w14:paraId="48D29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21B94A3">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130C6A3">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1183C06B">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3FC527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文件路径选择</w:t>
            </w:r>
          </w:p>
        </w:tc>
        <w:tc>
          <w:tcPr>
            <w:tcW w:w="2220" w:type="dxa"/>
            <w:tcBorders>
              <w:top w:val="nil"/>
              <w:left w:val="nil"/>
              <w:bottom w:val="single" w:color="000000" w:sz="8" w:space="0"/>
              <w:right w:val="single" w:color="000000" w:sz="8" w:space="0"/>
            </w:tcBorders>
            <w:shd w:val="clear" w:color="auto" w:fill="FFFFFF"/>
            <w:vAlign w:val="center"/>
          </w:tcPr>
          <w:p w14:paraId="3D34E6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865EB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A8FC2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91F90C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64E0C63">
            <w:pPr>
              <w:jc w:val="center"/>
              <w:rPr>
                <w:rFonts w:hint="eastAsia" w:ascii="宋体" w:hAnsi="宋体" w:eastAsia="宋体" w:cs="宋体"/>
                <w:i w:val="0"/>
                <w:iCs w:val="0"/>
                <w:color w:val="000000"/>
                <w:sz w:val="20"/>
                <w:szCs w:val="20"/>
                <w:u w:val="none"/>
              </w:rPr>
            </w:pPr>
          </w:p>
        </w:tc>
      </w:tr>
      <w:tr w14:paraId="33C56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5C4681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BDA7BB5">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0D05F48">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0A262C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筛选文件</w:t>
            </w:r>
          </w:p>
        </w:tc>
        <w:tc>
          <w:tcPr>
            <w:tcW w:w="2220" w:type="dxa"/>
            <w:tcBorders>
              <w:top w:val="nil"/>
              <w:left w:val="nil"/>
              <w:bottom w:val="single" w:color="000000" w:sz="8" w:space="0"/>
              <w:right w:val="single" w:color="000000" w:sz="8" w:space="0"/>
            </w:tcBorders>
            <w:shd w:val="clear" w:color="auto" w:fill="FFFFFF"/>
            <w:vAlign w:val="center"/>
          </w:tcPr>
          <w:p w14:paraId="37DE72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F45EA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BE111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6A75FE9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DE18E59">
            <w:pPr>
              <w:jc w:val="center"/>
              <w:rPr>
                <w:rFonts w:hint="eastAsia" w:ascii="宋体" w:hAnsi="宋体" w:eastAsia="宋体" w:cs="宋体"/>
                <w:i w:val="0"/>
                <w:iCs w:val="0"/>
                <w:color w:val="000000"/>
                <w:sz w:val="20"/>
                <w:szCs w:val="20"/>
                <w:u w:val="none"/>
              </w:rPr>
            </w:pPr>
          </w:p>
        </w:tc>
      </w:tr>
      <w:tr w14:paraId="67CE6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9E66FBF">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EF2F2F8">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55B4F04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53DF1F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文件排序</w:t>
            </w:r>
          </w:p>
        </w:tc>
        <w:tc>
          <w:tcPr>
            <w:tcW w:w="2220" w:type="dxa"/>
            <w:tcBorders>
              <w:top w:val="nil"/>
              <w:left w:val="nil"/>
              <w:bottom w:val="single" w:color="000000" w:sz="8" w:space="0"/>
              <w:right w:val="single" w:color="000000" w:sz="8" w:space="0"/>
            </w:tcBorders>
            <w:shd w:val="clear" w:color="auto" w:fill="FFFFFF"/>
            <w:vAlign w:val="center"/>
          </w:tcPr>
          <w:p w14:paraId="7A7C34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0DA4F9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86B5B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9146A1E">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2B1950E">
            <w:pPr>
              <w:jc w:val="center"/>
              <w:rPr>
                <w:rFonts w:hint="eastAsia" w:ascii="宋体" w:hAnsi="宋体" w:eastAsia="宋体" w:cs="宋体"/>
                <w:i w:val="0"/>
                <w:iCs w:val="0"/>
                <w:color w:val="000000"/>
                <w:sz w:val="20"/>
                <w:szCs w:val="20"/>
                <w:u w:val="none"/>
              </w:rPr>
            </w:pPr>
          </w:p>
        </w:tc>
      </w:tr>
      <w:tr w14:paraId="4060D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B5809EC">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6D763F0">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696A035D">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FFFFFF"/>
            <w:vAlign w:val="center"/>
          </w:tcPr>
          <w:p w14:paraId="63C1BA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查看项目方式变更</w:t>
            </w:r>
          </w:p>
        </w:tc>
        <w:tc>
          <w:tcPr>
            <w:tcW w:w="2220" w:type="dxa"/>
            <w:tcBorders>
              <w:top w:val="nil"/>
              <w:left w:val="nil"/>
              <w:bottom w:val="single" w:color="000000" w:sz="8" w:space="0"/>
              <w:right w:val="single" w:color="000000" w:sz="8" w:space="0"/>
            </w:tcBorders>
            <w:shd w:val="clear" w:color="auto" w:fill="FFFFFF"/>
            <w:vAlign w:val="center"/>
          </w:tcPr>
          <w:p w14:paraId="495689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365E7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E3104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9C34AC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AA1F5C3">
            <w:pPr>
              <w:jc w:val="center"/>
              <w:rPr>
                <w:rFonts w:hint="eastAsia" w:ascii="宋体" w:hAnsi="宋体" w:eastAsia="宋体" w:cs="宋体"/>
                <w:i w:val="0"/>
                <w:iCs w:val="0"/>
                <w:color w:val="000000"/>
                <w:sz w:val="20"/>
                <w:szCs w:val="20"/>
                <w:u w:val="none"/>
              </w:rPr>
            </w:pPr>
          </w:p>
        </w:tc>
      </w:tr>
      <w:tr w14:paraId="03086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516235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B63E986">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48F47C31">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012CE1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文件夹列表</w:t>
            </w:r>
          </w:p>
        </w:tc>
        <w:tc>
          <w:tcPr>
            <w:tcW w:w="2220" w:type="dxa"/>
            <w:tcBorders>
              <w:top w:val="nil"/>
              <w:left w:val="nil"/>
              <w:bottom w:val="single" w:color="000000" w:sz="8" w:space="0"/>
              <w:right w:val="single" w:color="000000" w:sz="8" w:space="0"/>
            </w:tcBorders>
            <w:shd w:val="clear" w:color="auto" w:fill="FFFFFF"/>
            <w:vAlign w:val="center"/>
          </w:tcPr>
          <w:p w14:paraId="68A7D4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E2C9A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1B4B4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FBDB4CE">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A7A92BB">
            <w:pPr>
              <w:jc w:val="center"/>
              <w:rPr>
                <w:rFonts w:hint="eastAsia" w:ascii="宋体" w:hAnsi="宋体" w:eastAsia="宋体" w:cs="宋体"/>
                <w:i w:val="0"/>
                <w:iCs w:val="0"/>
                <w:color w:val="000000"/>
                <w:sz w:val="20"/>
                <w:szCs w:val="20"/>
                <w:u w:val="none"/>
              </w:rPr>
            </w:pPr>
          </w:p>
        </w:tc>
      </w:tr>
      <w:tr w14:paraId="4D0A3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A1D51B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0F9CBCF9">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03524603">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16365E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文件列表</w:t>
            </w:r>
          </w:p>
        </w:tc>
        <w:tc>
          <w:tcPr>
            <w:tcW w:w="2220" w:type="dxa"/>
            <w:tcBorders>
              <w:top w:val="nil"/>
              <w:left w:val="nil"/>
              <w:bottom w:val="single" w:color="000000" w:sz="8" w:space="0"/>
              <w:right w:val="single" w:color="000000" w:sz="8" w:space="0"/>
            </w:tcBorders>
            <w:shd w:val="clear" w:color="auto" w:fill="FFFFFF"/>
            <w:vAlign w:val="center"/>
          </w:tcPr>
          <w:p w14:paraId="3F48AE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FFFFFF"/>
            <w:vAlign w:val="center"/>
          </w:tcPr>
          <w:p w14:paraId="4E8650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FFFFFF"/>
            <w:vAlign w:val="center"/>
          </w:tcPr>
          <w:p w14:paraId="55F0D1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FFFFFF"/>
            <w:vAlign w:val="center"/>
          </w:tcPr>
          <w:p w14:paraId="3E437E4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FFFFFF"/>
            <w:vAlign w:val="center"/>
          </w:tcPr>
          <w:p w14:paraId="2E6F9194">
            <w:pPr>
              <w:jc w:val="center"/>
              <w:rPr>
                <w:rFonts w:hint="eastAsia" w:ascii="宋体" w:hAnsi="宋体" w:eastAsia="宋体" w:cs="宋体"/>
                <w:i w:val="0"/>
                <w:iCs w:val="0"/>
                <w:color w:val="000000"/>
                <w:sz w:val="20"/>
                <w:szCs w:val="20"/>
                <w:u w:val="none"/>
              </w:rPr>
            </w:pPr>
          </w:p>
        </w:tc>
      </w:tr>
      <w:tr w14:paraId="143B3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7C59ACF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7BC8C37">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7B65C3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内存-限制</w:t>
            </w:r>
          </w:p>
        </w:tc>
        <w:tc>
          <w:tcPr>
            <w:tcW w:w="1400" w:type="dxa"/>
            <w:tcBorders>
              <w:top w:val="nil"/>
              <w:left w:val="nil"/>
              <w:bottom w:val="single" w:color="000000" w:sz="8" w:space="0"/>
              <w:right w:val="single" w:color="000000" w:sz="8" w:space="0"/>
            </w:tcBorders>
            <w:shd w:val="clear" w:color="auto" w:fill="auto"/>
            <w:vAlign w:val="center"/>
          </w:tcPr>
          <w:p w14:paraId="307B9A3E">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49BFDD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5E006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A6D96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E79E880">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93A2B55">
            <w:pPr>
              <w:jc w:val="center"/>
              <w:rPr>
                <w:rFonts w:hint="eastAsia" w:ascii="宋体" w:hAnsi="宋体" w:eastAsia="宋体" w:cs="宋体"/>
                <w:i w:val="0"/>
                <w:iCs w:val="0"/>
                <w:color w:val="000000"/>
                <w:sz w:val="20"/>
                <w:szCs w:val="20"/>
                <w:u w:val="none"/>
              </w:rPr>
            </w:pPr>
          </w:p>
        </w:tc>
      </w:tr>
      <w:tr w14:paraId="50C1A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4353EE3B">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EB39516">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6EF5E9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文件系统-导入</w:t>
            </w:r>
          </w:p>
        </w:tc>
        <w:tc>
          <w:tcPr>
            <w:tcW w:w="1400" w:type="dxa"/>
            <w:tcBorders>
              <w:top w:val="nil"/>
              <w:left w:val="nil"/>
              <w:bottom w:val="single" w:color="000000" w:sz="8" w:space="0"/>
              <w:right w:val="single" w:color="000000" w:sz="8" w:space="0"/>
            </w:tcBorders>
            <w:shd w:val="clear" w:color="auto" w:fill="auto"/>
            <w:vAlign w:val="center"/>
          </w:tcPr>
          <w:p w14:paraId="33EC2E65">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17CBC0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AC752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48817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FA4DFA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72AFC5C">
            <w:pPr>
              <w:jc w:val="center"/>
              <w:rPr>
                <w:rFonts w:hint="eastAsia" w:ascii="宋体" w:hAnsi="宋体" w:eastAsia="宋体" w:cs="宋体"/>
                <w:i w:val="0"/>
                <w:iCs w:val="0"/>
                <w:color w:val="000000"/>
                <w:sz w:val="20"/>
                <w:szCs w:val="20"/>
                <w:u w:val="none"/>
              </w:rPr>
            </w:pPr>
          </w:p>
        </w:tc>
      </w:tr>
      <w:tr w14:paraId="19892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00C3A822">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B6AA0A7">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6C0069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重置默认</w:t>
            </w:r>
          </w:p>
        </w:tc>
        <w:tc>
          <w:tcPr>
            <w:tcW w:w="1400" w:type="dxa"/>
            <w:tcBorders>
              <w:top w:val="nil"/>
              <w:left w:val="nil"/>
              <w:bottom w:val="single" w:color="000000" w:sz="8" w:space="0"/>
              <w:right w:val="single" w:color="000000" w:sz="8" w:space="0"/>
            </w:tcBorders>
            <w:shd w:val="clear" w:color="auto" w:fill="auto"/>
            <w:vAlign w:val="center"/>
          </w:tcPr>
          <w:p w14:paraId="3608631C">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6105A2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40150C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0917D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39DAE1A">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68DB68F">
            <w:pPr>
              <w:jc w:val="center"/>
              <w:rPr>
                <w:rFonts w:hint="eastAsia" w:ascii="宋体" w:hAnsi="宋体" w:eastAsia="宋体" w:cs="宋体"/>
                <w:i w:val="0"/>
                <w:iCs w:val="0"/>
                <w:color w:val="000000"/>
                <w:sz w:val="20"/>
                <w:szCs w:val="20"/>
                <w:u w:val="none"/>
              </w:rPr>
            </w:pPr>
          </w:p>
        </w:tc>
      </w:tr>
      <w:tr w14:paraId="43BC0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0E34189">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365916C">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404637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文件保存</w:t>
            </w:r>
          </w:p>
        </w:tc>
        <w:tc>
          <w:tcPr>
            <w:tcW w:w="1400" w:type="dxa"/>
            <w:tcBorders>
              <w:top w:val="nil"/>
              <w:left w:val="nil"/>
              <w:bottom w:val="single" w:color="000000" w:sz="8" w:space="0"/>
              <w:right w:val="single" w:color="000000" w:sz="8" w:space="0"/>
            </w:tcBorders>
            <w:shd w:val="clear" w:color="auto" w:fill="auto"/>
            <w:vAlign w:val="center"/>
          </w:tcPr>
          <w:p w14:paraId="19DF7781">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2C0D3D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D5160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601533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47D54A91">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ECC23CC">
            <w:pPr>
              <w:jc w:val="center"/>
              <w:rPr>
                <w:rFonts w:hint="eastAsia" w:ascii="宋体" w:hAnsi="宋体" w:eastAsia="宋体" w:cs="宋体"/>
                <w:i w:val="0"/>
                <w:iCs w:val="0"/>
                <w:color w:val="000000"/>
                <w:sz w:val="20"/>
                <w:szCs w:val="20"/>
                <w:u w:val="none"/>
              </w:rPr>
            </w:pPr>
          </w:p>
        </w:tc>
      </w:tr>
      <w:tr w14:paraId="2A6AD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FB292F3">
            <w:pPr>
              <w:jc w:val="center"/>
              <w:rPr>
                <w:rFonts w:hint="eastAsia" w:ascii="宋体" w:hAnsi="宋体" w:eastAsia="宋体" w:cs="宋体"/>
                <w:i w:val="0"/>
                <w:iCs w:val="0"/>
                <w:color w:val="000000"/>
                <w:sz w:val="20"/>
                <w:szCs w:val="20"/>
                <w:u w:val="none"/>
              </w:rPr>
            </w:pPr>
          </w:p>
        </w:tc>
        <w:tc>
          <w:tcPr>
            <w:tcW w:w="660" w:type="dxa"/>
            <w:vMerge w:val="restart"/>
            <w:tcBorders>
              <w:top w:val="nil"/>
              <w:left w:val="nil"/>
              <w:bottom w:val="single" w:color="000000" w:sz="8" w:space="0"/>
              <w:right w:val="single" w:color="000000" w:sz="8" w:space="0"/>
            </w:tcBorders>
            <w:shd w:val="clear" w:color="auto" w:fill="auto"/>
            <w:vAlign w:val="center"/>
          </w:tcPr>
          <w:p w14:paraId="177768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高性能技术栈</w:t>
            </w:r>
          </w:p>
        </w:tc>
        <w:tc>
          <w:tcPr>
            <w:tcW w:w="960" w:type="dxa"/>
            <w:vMerge w:val="restart"/>
            <w:tcBorders>
              <w:top w:val="nil"/>
              <w:left w:val="nil"/>
              <w:bottom w:val="single" w:color="000000" w:sz="8" w:space="0"/>
              <w:right w:val="single" w:color="000000" w:sz="8" w:space="0"/>
            </w:tcBorders>
            <w:shd w:val="clear" w:color="auto" w:fill="auto"/>
            <w:vAlign w:val="center"/>
          </w:tcPr>
          <w:p w14:paraId="320879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多线程-工作池</w:t>
            </w:r>
          </w:p>
        </w:tc>
        <w:tc>
          <w:tcPr>
            <w:tcW w:w="1400" w:type="dxa"/>
            <w:tcBorders>
              <w:top w:val="nil"/>
              <w:left w:val="nil"/>
              <w:bottom w:val="single" w:color="000000" w:sz="8" w:space="0"/>
              <w:right w:val="single" w:color="000000" w:sz="8" w:space="0"/>
            </w:tcBorders>
            <w:shd w:val="clear" w:color="auto" w:fill="auto"/>
            <w:vAlign w:val="center"/>
          </w:tcPr>
          <w:p w14:paraId="31A77A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最大线程数</w:t>
            </w:r>
          </w:p>
        </w:tc>
        <w:tc>
          <w:tcPr>
            <w:tcW w:w="2220" w:type="dxa"/>
            <w:tcBorders>
              <w:top w:val="nil"/>
              <w:left w:val="nil"/>
              <w:bottom w:val="single" w:color="000000" w:sz="8" w:space="0"/>
              <w:right w:val="single" w:color="000000" w:sz="8" w:space="0"/>
            </w:tcBorders>
            <w:shd w:val="clear" w:color="auto" w:fill="auto"/>
            <w:vAlign w:val="center"/>
          </w:tcPr>
          <w:p w14:paraId="603283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B40C8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345D8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9FAD32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C162821">
            <w:pPr>
              <w:jc w:val="center"/>
              <w:rPr>
                <w:rFonts w:hint="eastAsia" w:ascii="宋体" w:hAnsi="宋体" w:eastAsia="宋体" w:cs="宋体"/>
                <w:i w:val="0"/>
                <w:iCs w:val="0"/>
                <w:color w:val="000000"/>
                <w:sz w:val="20"/>
                <w:szCs w:val="20"/>
                <w:u w:val="none"/>
              </w:rPr>
            </w:pPr>
          </w:p>
        </w:tc>
      </w:tr>
      <w:tr w14:paraId="4EA50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6BA4B9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37336390">
            <w:pPr>
              <w:jc w:val="center"/>
              <w:rPr>
                <w:rFonts w:hint="eastAsia" w:ascii="宋体" w:hAnsi="宋体" w:eastAsia="宋体" w:cs="宋体"/>
                <w:i w:val="0"/>
                <w:iCs w:val="0"/>
                <w:color w:val="000000"/>
                <w:sz w:val="20"/>
                <w:szCs w:val="20"/>
                <w:u w:val="none"/>
              </w:rPr>
            </w:pPr>
          </w:p>
        </w:tc>
        <w:tc>
          <w:tcPr>
            <w:tcW w:w="960" w:type="dxa"/>
            <w:vMerge w:val="continue"/>
            <w:tcBorders>
              <w:top w:val="nil"/>
              <w:left w:val="nil"/>
              <w:bottom w:val="single" w:color="000000" w:sz="8" w:space="0"/>
              <w:right w:val="single" w:color="000000" w:sz="8" w:space="0"/>
            </w:tcBorders>
            <w:shd w:val="clear" w:color="auto" w:fill="auto"/>
            <w:vAlign w:val="center"/>
          </w:tcPr>
          <w:p w14:paraId="71231DA7">
            <w:pPr>
              <w:jc w:val="center"/>
              <w:rPr>
                <w:rFonts w:hint="eastAsia" w:ascii="宋体" w:hAnsi="宋体" w:eastAsia="宋体" w:cs="宋体"/>
                <w:i w:val="0"/>
                <w:iCs w:val="0"/>
                <w:color w:val="000000"/>
                <w:sz w:val="20"/>
                <w:szCs w:val="20"/>
                <w:u w:val="none"/>
              </w:rPr>
            </w:pPr>
          </w:p>
        </w:tc>
        <w:tc>
          <w:tcPr>
            <w:tcW w:w="1400" w:type="dxa"/>
            <w:tcBorders>
              <w:top w:val="nil"/>
              <w:left w:val="nil"/>
              <w:bottom w:val="single" w:color="000000" w:sz="8" w:space="0"/>
              <w:right w:val="single" w:color="000000" w:sz="8" w:space="0"/>
            </w:tcBorders>
            <w:shd w:val="clear" w:color="auto" w:fill="auto"/>
            <w:vAlign w:val="center"/>
          </w:tcPr>
          <w:p w14:paraId="07AF90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低优先级线程比率</w:t>
            </w:r>
          </w:p>
        </w:tc>
        <w:tc>
          <w:tcPr>
            <w:tcW w:w="2220" w:type="dxa"/>
            <w:tcBorders>
              <w:top w:val="nil"/>
              <w:left w:val="nil"/>
              <w:bottom w:val="single" w:color="000000" w:sz="8" w:space="0"/>
              <w:right w:val="single" w:color="000000" w:sz="8" w:space="0"/>
            </w:tcBorders>
            <w:shd w:val="clear" w:color="auto" w:fill="auto"/>
            <w:vAlign w:val="center"/>
          </w:tcPr>
          <w:p w14:paraId="79BBB9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2A9BA8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ED40E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2418B75D">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2BA45544">
            <w:pPr>
              <w:jc w:val="center"/>
              <w:rPr>
                <w:rFonts w:hint="eastAsia" w:ascii="宋体" w:hAnsi="宋体" w:eastAsia="宋体" w:cs="宋体"/>
                <w:i w:val="0"/>
                <w:iCs w:val="0"/>
                <w:color w:val="000000"/>
                <w:sz w:val="20"/>
                <w:szCs w:val="20"/>
                <w:u w:val="none"/>
              </w:rPr>
            </w:pPr>
          </w:p>
        </w:tc>
      </w:tr>
      <w:tr w14:paraId="377AD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467D1A0">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DF035B5">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43C349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全局光-半分辨率</w:t>
            </w:r>
          </w:p>
        </w:tc>
        <w:tc>
          <w:tcPr>
            <w:tcW w:w="1400" w:type="dxa"/>
            <w:tcBorders>
              <w:top w:val="nil"/>
              <w:left w:val="nil"/>
              <w:bottom w:val="single" w:color="000000" w:sz="8" w:space="0"/>
              <w:right w:val="single" w:color="000000" w:sz="8" w:space="0"/>
            </w:tcBorders>
            <w:shd w:val="clear" w:color="auto" w:fill="auto"/>
            <w:vAlign w:val="center"/>
          </w:tcPr>
          <w:p w14:paraId="5879ABD6">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0D3AFF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6C39F0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E8BF8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9E6CFC5">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66C487C0">
            <w:pPr>
              <w:jc w:val="center"/>
              <w:rPr>
                <w:rFonts w:hint="eastAsia" w:ascii="宋体" w:hAnsi="宋体" w:eastAsia="宋体" w:cs="宋体"/>
                <w:i w:val="0"/>
                <w:iCs w:val="0"/>
                <w:color w:val="000000"/>
                <w:sz w:val="20"/>
                <w:szCs w:val="20"/>
                <w:u w:val="none"/>
              </w:rPr>
            </w:pPr>
          </w:p>
        </w:tc>
      </w:tr>
      <w:tr w14:paraId="4013E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24D0E43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FAC0774">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7C9118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体素全局光照质量</w:t>
            </w:r>
          </w:p>
        </w:tc>
        <w:tc>
          <w:tcPr>
            <w:tcW w:w="1400" w:type="dxa"/>
            <w:tcBorders>
              <w:top w:val="nil"/>
              <w:left w:val="nil"/>
              <w:bottom w:val="single" w:color="000000" w:sz="8" w:space="0"/>
              <w:right w:val="single" w:color="000000" w:sz="8" w:space="0"/>
            </w:tcBorders>
            <w:shd w:val="clear" w:color="auto" w:fill="auto"/>
            <w:vAlign w:val="center"/>
          </w:tcPr>
          <w:p w14:paraId="2F56E3B2">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47024E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9A6E3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AFDE6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F1F4696">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D5145C9">
            <w:pPr>
              <w:jc w:val="center"/>
              <w:rPr>
                <w:rFonts w:hint="eastAsia" w:ascii="宋体" w:hAnsi="宋体" w:eastAsia="宋体" w:cs="宋体"/>
                <w:i w:val="0"/>
                <w:iCs w:val="0"/>
                <w:color w:val="000000"/>
                <w:sz w:val="20"/>
                <w:szCs w:val="20"/>
                <w:u w:val="none"/>
              </w:rPr>
            </w:pPr>
          </w:p>
        </w:tc>
      </w:tr>
      <w:tr w14:paraId="5A435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345EB4FE">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70658C55">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129107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探针射线数</w:t>
            </w:r>
          </w:p>
        </w:tc>
        <w:tc>
          <w:tcPr>
            <w:tcW w:w="1400" w:type="dxa"/>
            <w:tcBorders>
              <w:top w:val="nil"/>
              <w:left w:val="nil"/>
              <w:bottom w:val="single" w:color="000000" w:sz="8" w:space="0"/>
              <w:right w:val="single" w:color="000000" w:sz="8" w:space="0"/>
            </w:tcBorders>
            <w:shd w:val="clear" w:color="auto" w:fill="auto"/>
            <w:vAlign w:val="center"/>
          </w:tcPr>
          <w:p w14:paraId="4127AF26">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373AAE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F4C26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D7AA3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272518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4571F562">
            <w:pPr>
              <w:jc w:val="center"/>
              <w:rPr>
                <w:rFonts w:hint="eastAsia" w:ascii="宋体" w:hAnsi="宋体" w:eastAsia="宋体" w:cs="宋体"/>
                <w:i w:val="0"/>
                <w:iCs w:val="0"/>
                <w:color w:val="000000"/>
                <w:sz w:val="20"/>
                <w:szCs w:val="20"/>
                <w:u w:val="none"/>
              </w:rPr>
            </w:pPr>
          </w:p>
        </w:tc>
      </w:tr>
      <w:tr w14:paraId="7846A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6F250D5D">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D7A520E">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1BC102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收敛帧数</w:t>
            </w:r>
          </w:p>
        </w:tc>
        <w:tc>
          <w:tcPr>
            <w:tcW w:w="1400" w:type="dxa"/>
            <w:tcBorders>
              <w:top w:val="nil"/>
              <w:left w:val="nil"/>
              <w:bottom w:val="single" w:color="000000" w:sz="8" w:space="0"/>
              <w:right w:val="single" w:color="000000" w:sz="8" w:space="0"/>
            </w:tcBorders>
            <w:shd w:val="clear" w:color="auto" w:fill="auto"/>
            <w:vAlign w:val="center"/>
          </w:tcPr>
          <w:p w14:paraId="00CD5741">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0F6194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608E2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5FB2FF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7382DFA8">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50789C3F">
            <w:pPr>
              <w:jc w:val="center"/>
              <w:rPr>
                <w:rFonts w:hint="eastAsia" w:ascii="宋体" w:hAnsi="宋体" w:eastAsia="宋体" w:cs="宋体"/>
                <w:i w:val="0"/>
                <w:iCs w:val="0"/>
                <w:color w:val="000000"/>
                <w:sz w:val="20"/>
                <w:szCs w:val="20"/>
                <w:u w:val="none"/>
              </w:rPr>
            </w:pPr>
          </w:p>
        </w:tc>
      </w:tr>
      <w:tr w14:paraId="125FC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F06688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561D2D14">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65B9E8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更新灯光帧数</w:t>
            </w:r>
          </w:p>
        </w:tc>
        <w:tc>
          <w:tcPr>
            <w:tcW w:w="1400" w:type="dxa"/>
            <w:tcBorders>
              <w:top w:val="nil"/>
              <w:left w:val="nil"/>
              <w:bottom w:val="single" w:color="000000" w:sz="8" w:space="0"/>
              <w:right w:val="single" w:color="000000" w:sz="8" w:space="0"/>
            </w:tcBorders>
            <w:shd w:val="clear" w:color="auto" w:fill="auto"/>
            <w:vAlign w:val="center"/>
          </w:tcPr>
          <w:p w14:paraId="45A729BF">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5BF0CC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7DC647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33F34D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35E938CC">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3A5917C8">
            <w:pPr>
              <w:jc w:val="center"/>
              <w:rPr>
                <w:rFonts w:hint="eastAsia" w:ascii="宋体" w:hAnsi="宋体" w:eastAsia="宋体" w:cs="宋体"/>
                <w:i w:val="0"/>
                <w:iCs w:val="0"/>
                <w:color w:val="000000"/>
                <w:sz w:val="20"/>
                <w:szCs w:val="20"/>
                <w:u w:val="none"/>
              </w:rPr>
            </w:pPr>
          </w:p>
        </w:tc>
      </w:tr>
      <w:tr w14:paraId="7D16D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26959D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1C4124F8">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5E925A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强制顶点着色</w:t>
            </w:r>
          </w:p>
        </w:tc>
        <w:tc>
          <w:tcPr>
            <w:tcW w:w="1400" w:type="dxa"/>
            <w:tcBorders>
              <w:top w:val="nil"/>
              <w:left w:val="nil"/>
              <w:bottom w:val="single" w:color="000000" w:sz="8" w:space="0"/>
              <w:right w:val="single" w:color="000000" w:sz="8" w:space="0"/>
            </w:tcBorders>
            <w:shd w:val="clear" w:color="auto" w:fill="auto"/>
            <w:vAlign w:val="center"/>
          </w:tcPr>
          <w:p w14:paraId="5E680F08">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2FF4E8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31B234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1239F4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1C9AEC3E">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7BDABA2E">
            <w:pPr>
              <w:jc w:val="center"/>
              <w:rPr>
                <w:rFonts w:hint="eastAsia" w:ascii="宋体" w:hAnsi="宋体" w:eastAsia="宋体" w:cs="宋体"/>
                <w:i w:val="0"/>
                <w:iCs w:val="0"/>
                <w:color w:val="000000"/>
                <w:sz w:val="20"/>
                <w:szCs w:val="20"/>
                <w:u w:val="none"/>
              </w:rPr>
            </w:pPr>
          </w:p>
        </w:tc>
      </w:tr>
      <w:tr w14:paraId="1546E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5360B2D7">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47E5F18B">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7B1EB5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强制轻量材质照明</w:t>
            </w:r>
          </w:p>
        </w:tc>
        <w:tc>
          <w:tcPr>
            <w:tcW w:w="1400" w:type="dxa"/>
            <w:tcBorders>
              <w:top w:val="nil"/>
              <w:left w:val="nil"/>
              <w:bottom w:val="single" w:color="000000" w:sz="8" w:space="0"/>
              <w:right w:val="single" w:color="000000" w:sz="8" w:space="0"/>
            </w:tcBorders>
            <w:shd w:val="clear" w:color="auto" w:fill="auto"/>
            <w:vAlign w:val="center"/>
          </w:tcPr>
          <w:p w14:paraId="295FAB80">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72C0B7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10BC1E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284C1A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5514A154">
            <w:pPr>
              <w:jc w:val="center"/>
              <w:rPr>
                <w:rFonts w:hint="eastAsia" w:ascii="宋体" w:hAnsi="宋体" w:eastAsia="宋体" w:cs="宋体"/>
                <w:i w:val="0"/>
                <w:iCs w:val="0"/>
                <w:color w:val="000000"/>
                <w:sz w:val="20"/>
                <w:szCs w:val="20"/>
                <w:u w:val="none"/>
              </w:rPr>
            </w:pPr>
          </w:p>
        </w:tc>
        <w:tc>
          <w:tcPr>
            <w:tcW w:w="700" w:type="dxa"/>
            <w:tcBorders>
              <w:top w:val="nil"/>
              <w:left w:val="nil"/>
              <w:bottom w:val="single" w:color="000000" w:sz="8" w:space="0"/>
              <w:right w:val="single" w:color="000000" w:sz="8" w:space="0"/>
            </w:tcBorders>
            <w:shd w:val="clear" w:color="auto" w:fill="auto"/>
            <w:vAlign w:val="center"/>
          </w:tcPr>
          <w:p w14:paraId="195AFA11">
            <w:pPr>
              <w:jc w:val="center"/>
              <w:rPr>
                <w:rFonts w:hint="eastAsia" w:ascii="宋体" w:hAnsi="宋体" w:eastAsia="宋体" w:cs="宋体"/>
                <w:i w:val="0"/>
                <w:iCs w:val="0"/>
                <w:color w:val="000000"/>
                <w:sz w:val="20"/>
                <w:szCs w:val="20"/>
                <w:u w:val="none"/>
              </w:rPr>
            </w:pPr>
          </w:p>
        </w:tc>
      </w:tr>
      <w:tr w14:paraId="7075B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14:paraId="11122B98">
            <w:pPr>
              <w:jc w:val="center"/>
              <w:rPr>
                <w:rFonts w:hint="eastAsia" w:ascii="宋体" w:hAnsi="宋体" w:eastAsia="宋体" w:cs="宋体"/>
                <w:i w:val="0"/>
                <w:iCs w:val="0"/>
                <w:color w:val="000000"/>
                <w:sz w:val="20"/>
                <w:szCs w:val="20"/>
                <w:u w:val="none"/>
              </w:rPr>
            </w:pPr>
          </w:p>
        </w:tc>
        <w:tc>
          <w:tcPr>
            <w:tcW w:w="660" w:type="dxa"/>
            <w:vMerge w:val="continue"/>
            <w:tcBorders>
              <w:top w:val="nil"/>
              <w:left w:val="nil"/>
              <w:bottom w:val="single" w:color="000000" w:sz="8" w:space="0"/>
              <w:right w:val="single" w:color="000000" w:sz="8" w:space="0"/>
            </w:tcBorders>
            <w:shd w:val="clear" w:color="auto" w:fill="auto"/>
            <w:vAlign w:val="center"/>
          </w:tcPr>
          <w:p w14:paraId="226237B1">
            <w:pPr>
              <w:jc w:val="center"/>
              <w:rPr>
                <w:rFonts w:hint="eastAsia" w:ascii="宋体" w:hAnsi="宋体" w:eastAsia="宋体" w:cs="宋体"/>
                <w:i w:val="0"/>
                <w:iCs w:val="0"/>
                <w:color w:val="000000"/>
                <w:sz w:val="20"/>
                <w:szCs w:val="20"/>
                <w:u w:val="none"/>
              </w:rPr>
            </w:pPr>
          </w:p>
        </w:tc>
        <w:tc>
          <w:tcPr>
            <w:tcW w:w="960" w:type="dxa"/>
            <w:tcBorders>
              <w:top w:val="nil"/>
              <w:left w:val="nil"/>
              <w:bottom w:val="single" w:color="000000" w:sz="8" w:space="0"/>
              <w:right w:val="single" w:color="000000" w:sz="8" w:space="0"/>
            </w:tcBorders>
            <w:shd w:val="clear" w:color="auto" w:fill="auto"/>
            <w:vAlign w:val="center"/>
          </w:tcPr>
          <w:p w14:paraId="77BEFD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脚本扩展</w:t>
            </w:r>
          </w:p>
        </w:tc>
        <w:tc>
          <w:tcPr>
            <w:tcW w:w="1400" w:type="dxa"/>
            <w:tcBorders>
              <w:top w:val="nil"/>
              <w:left w:val="nil"/>
              <w:bottom w:val="single" w:color="000000" w:sz="8" w:space="0"/>
              <w:right w:val="single" w:color="000000" w:sz="8" w:space="0"/>
            </w:tcBorders>
            <w:shd w:val="clear" w:color="auto" w:fill="auto"/>
            <w:vAlign w:val="center"/>
          </w:tcPr>
          <w:p w14:paraId="6D981C24">
            <w:pPr>
              <w:jc w:val="center"/>
              <w:rPr>
                <w:rFonts w:hint="eastAsia" w:ascii="宋体" w:hAnsi="宋体" w:eastAsia="宋体" w:cs="宋体"/>
                <w:i w:val="0"/>
                <w:iCs w:val="0"/>
                <w:color w:val="000000"/>
                <w:sz w:val="20"/>
                <w:szCs w:val="20"/>
                <w:u w:val="none"/>
              </w:rPr>
            </w:pPr>
          </w:p>
        </w:tc>
        <w:tc>
          <w:tcPr>
            <w:tcW w:w="2220" w:type="dxa"/>
            <w:tcBorders>
              <w:top w:val="nil"/>
              <w:left w:val="nil"/>
              <w:bottom w:val="single" w:color="000000" w:sz="8" w:space="0"/>
              <w:right w:val="single" w:color="000000" w:sz="8" w:space="0"/>
            </w:tcBorders>
            <w:shd w:val="clear" w:color="auto" w:fill="auto"/>
            <w:vAlign w:val="center"/>
          </w:tcPr>
          <w:p w14:paraId="758195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90" w:type="dxa"/>
            <w:tcBorders>
              <w:top w:val="nil"/>
              <w:left w:val="nil"/>
              <w:bottom w:val="single" w:color="000000" w:sz="8" w:space="0"/>
              <w:right w:val="single" w:color="000000" w:sz="8" w:space="0"/>
            </w:tcBorders>
            <w:shd w:val="clear" w:color="auto" w:fill="auto"/>
            <w:vAlign w:val="center"/>
          </w:tcPr>
          <w:p w14:paraId="59541D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0" w:type="dxa"/>
            <w:tcBorders>
              <w:top w:val="nil"/>
              <w:left w:val="nil"/>
              <w:bottom w:val="single" w:color="000000" w:sz="8" w:space="0"/>
              <w:right w:val="single" w:color="000000" w:sz="8" w:space="0"/>
            </w:tcBorders>
            <w:shd w:val="clear" w:color="auto" w:fill="auto"/>
            <w:vAlign w:val="center"/>
          </w:tcPr>
          <w:p w14:paraId="4C4D21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00" w:type="dxa"/>
            <w:tcBorders>
              <w:top w:val="nil"/>
              <w:left w:val="nil"/>
              <w:bottom w:val="single" w:color="000000" w:sz="8" w:space="0"/>
              <w:right w:val="single" w:color="000000" w:sz="8" w:space="0"/>
            </w:tcBorders>
            <w:shd w:val="clear" w:color="auto" w:fill="auto"/>
            <w:vAlign w:val="center"/>
          </w:tcPr>
          <w:p w14:paraId="04EFE30C">
            <w:pPr>
              <w:jc w:val="center"/>
              <w:rPr>
                <w:rFonts w:hint="eastAsia" w:ascii="宋体" w:hAnsi="宋体" w:eastAsia="宋体" w:cs="宋体"/>
                <w:i w:val="0"/>
                <w:iCs w:val="0"/>
                <w:color w:val="000000"/>
                <w:sz w:val="20"/>
                <w:szCs w:val="20"/>
                <w:u w:val="none"/>
              </w:rPr>
            </w:pPr>
          </w:p>
        </w:tc>
        <w:tc>
          <w:tcPr>
            <w:tcW w:w="0" w:type="auto"/>
            <w:tcBorders>
              <w:top w:val="nil"/>
              <w:left w:val="nil"/>
              <w:bottom w:val="single" w:color="000000" w:sz="8" w:space="0"/>
              <w:right w:val="single" w:color="000000" w:sz="8" w:space="0"/>
            </w:tcBorders>
            <w:shd w:val="clear" w:color="auto" w:fill="auto"/>
            <w:noWrap/>
            <w:vAlign w:val="center"/>
          </w:tcPr>
          <w:p w14:paraId="1BBF3CB2">
            <w:pPr>
              <w:rPr>
                <w:rFonts w:hint="eastAsia" w:ascii="宋体" w:hAnsi="宋体" w:eastAsia="宋体" w:cs="宋体"/>
                <w:i w:val="0"/>
                <w:iCs w:val="0"/>
                <w:color w:val="000000"/>
                <w:sz w:val="22"/>
                <w:szCs w:val="22"/>
                <w:u w:val="none"/>
              </w:rPr>
            </w:pPr>
          </w:p>
        </w:tc>
      </w:tr>
    </w:tbl>
    <w:p w14:paraId="5A7D7E73">
      <w:pPr>
        <w:rPr>
          <w:rFonts w:hint="eastAsia"/>
          <w:lang w:val="en-US" w:eastAsia="zh-CN"/>
        </w:rPr>
      </w:pPr>
      <w:r>
        <w:rPr>
          <w:rFonts w:hint="eastAsia"/>
          <w:lang w:val="en-US" w:eastAsia="zh-CN"/>
        </w:rPr>
        <w:br w:type="page"/>
      </w:r>
    </w:p>
    <w:p w14:paraId="7408ED0C">
      <w:pPr>
        <w:pStyle w:val="19"/>
        <w:widowControl/>
        <w:kinsoku w:val="0"/>
        <w:autoSpaceDE w:val="0"/>
        <w:autoSpaceDN w:val="0"/>
        <w:adjustRightInd w:val="0"/>
        <w:snapToGrid w:val="0"/>
        <w:spacing w:before="225" w:after="0" w:line="220" w:lineRule="auto"/>
        <w:ind w:left="139"/>
        <w:jc w:val="left"/>
        <w:textAlignment w:val="baseline"/>
        <w:outlineLvl w:val="4"/>
        <w:rPr>
          <w:rFonts w:hint="eastAsia" w:ascii="宋体" w:hAnsi="宋体" w:eastAsia="宋体" w:cs="宋体"/>
          <w:b/>
          <w:bCs/>
          <w:snapToGrid w:val="0"/>
          <w:color w:val="000000"/>
          <w:spacing w:val="-4"/>
          <w:kern w:val="0"/>
          <w:sz w:val="24"/>
          <w:szCs w:val="24"/>
          <w:lang w:val="en-US" w:eastAsia="zh-CN"/>
        </w:rPr>
      </w:pPr>
      <w:r>
        <w:rPr>
          <w:rFonts w:hint="eastAsia" w:ascii="宋体" w:hAnsi="宋体" w:eastAsia="宋体" w:cs="宋体"/>
          <w:b/>
          <w:bCs/>
          <w:snapToGrid w:val="0"/>
          <w:color w:val="000000"/>
          <w:spacing w:val="-4"/>
          <w:kern w:val="0"/>
          <w:sz w:val="24"/>
          <w:szCs w:val="24"/>
          <w:lang w:val="en-US" w:eastAsia="zh-CN"/>
        </w:rPr>
        <w:t>2、数字道路孪生应用</w:t>
      </w:r>
    </w:p>
    <w:tbl>
      <w:tblPr>
        <w:tblStyle w:val="44"/>
        <w:tblW w:w="808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23"/>
        <w:gridCol w:w="924"/>
        <w:gridCol w:w="924"/>
        <w:gridCol w:w="924"/>
        <w:gridCol w:w="1777"/>
        <w:gridCol w:w="485"/>
        <w:gridCol w:w="485"/>
        <w:gridCol w:w="819"/>
        <w:gridCol w:w="819"/>
      </w:tblGrid>
      <w:tr w14:paraId="0F063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7A379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一级模块</w:t>
            </w:r>
          </w:p>
        </w:tc>
        <w:tc>
          <w:tcPr>
            <w:tcW w:w="924" w:type="dxa"/>
            <w:tcBorders>
              <w:top w:val="single" w:color="000000" w:sz="8" w:space="0"/>
              <w:left w:val="nil"/>
              <w:bottom w:val="single" w:color="000000" w:sz="8" w:space="0"/>
              <w:right w:val="single" w:color="000000" w:sz="8" w:space="0"/>
            </w:tcBorders>
            <w:shd w:val="clear" w:color="auto" w:fill="auto"/>
            <w:vAlign w:val="center"/>
          </w:tcPr>
          <w:p w14:paraId="51859CC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二级模块</w:t>
            </w:r>
          </w:p>
        </w:tc>
        <w:tc>
          <w:tcPr>
            <w:tcW w:w="924" w:type="dxa"/>
            <w:tcBorders>
              <w:top w:val="single" w:color="000000" w:sz="8" w:space="0"/>
              <w:left w:val="nil"/>
              <w:bottom w:val="single" w:color="000000" w:sz="8" w:space="0"/>
              <w:right w:val="single" w:color="000000" w:sz="8" w:space="0"/>
            </w:tcBorders>
            <w:shd w:val="clear" w:color="auto" w:fill="auto"/>
            <w:vAlign w:val="center"/>
          </w:tcPr>
          <w:p w14:paraId="2FB0141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三级模块</w:t>
            </w:r>
          </w:p>
        </w:tc>
        <w:tc>
          <w:tcPr>
            <w:tcW w:w="924" w:type="dxa"/>
            <w:tcBorders>
              <w:top w:val="single" w:color="000000" w:sz="8" w:space="0"/>
              <w:left w:val="nil"/>
              <w:bottom w:val="single" w:color="000000" w:sz="8" w:space="0"/>
              <w:right w:val="single" w:color="000000" w:sz="8" w:space="0"/>
            </w:tcBorders>
            <w:shd w:val="clear" w:color="auto" w:fill="auto"/>
            <w:vAlign w:val="center"/>
          </w:tcPr>
          <w:p w14:paraId="177BDB7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四级模块</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9535C5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软件 (功能)内容和技术要求</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3C2ADC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1C833E0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819" w:type="dxa"/>
            <w:tcBorders>
              <w:top w:val="single" w:color="000000" w:sz="8" w:space="0"/>
              <w:left w:val="nil"/>
              <w:bottom w:val="single" w:color="000000" w:sz="8" w:space="0"/>
              <w:right w:val="single" w:color="000000" w:sz="8" w:space="0"/>
            </w:tcBorders>
            <w:shd w:val="clear" w:color="auto" w:fill="auto"/>
            <w:vAlign w:val="center"/>
          </w:tcPr>
          <w:p w14:paraId="57C37F9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单价（元）</w:t>
            </w:r>
          </w:p>
        </w:tc>
        <w:tc>
          <w:tcPr>
            <w:tcW w:w="819" w:type="dxa"/>
            <w:tcBorders>
              <w:top w:val="single" w:color="000000" w:sz="8" w:space="0"/>
              <w:left w:val="nil"/>
              <w:bottom w:val="single" w:color="000000" w:sz="8" w:space="0"/>
              <w:right w:val="single" w:color="000000" w:sz="8" w:space="0"/>
            </w:tcBorders>
            <w:shd w:val="clear" w:color="auto" w:fill="auto"/>
            <w:vAlign w:val="center"/>
          </w:tcPr>
          <w:p w14:paraId="4B27064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合价（元）</w:t>
            </w:r>
          </w:p>
        </w:tc>
      </w:tr>
      <w:tr w14:paraId="25E36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080" w:type="dxa"/>
            <w:gridSpan w:val="9"/>
            <w:tcBorders>
              <w:top w:val="nil"/>
              <w:left w:val="single" w:color="000000" w:sz="8" w:space="0"/>
              <w:bottom w:val="single" w:color="000000" w:sz="8" w:space="0"/>
              <w:right w:val="single" w:color="000000" w:sz="8" w:space="0"/>
            </w:tcBorders>
            <w:shd w:val="clear" w:color="auto" w:fill="auto"/>
            <w:vAlign w:val="center"/>
          </w:tcPr>
          <w:p w14:paraId="566379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创新大道可视化孪生展示</w:t>
            </w:r>
          </w:p>
        </w:tc>
      </w:tr>
      <w:tr w14:paraId="3FD56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restart"/>
            <w:tcBorders>
              <w:top w:val="nil"/>
              <w:left w:val="single" w:color="000000" w:sz="8" w:space="0"/>
              <w:bottom w:val="single" w:color="000000" w:sz="8" w:space="0"/>
              <w:right w:val="single" w:color="000000" w:sz="8" w:space="0"/>
            </w:tcBorders>
            <w:shd w:val="clear" w:color="auto" w:fill="auto"/>
            <w:vAlign w:val="center"/>
          </w:tcPr>
          <w:p w14:paraId="06FF27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设备接入管理</w:t>
            </w:r>
          </w:p>
        </w:tc>
        <w:tc>
          <w:tcPr>
            <w:tcW w:w="924" w:type="dxa"/>
            <w:vMerge w:val="restart"/>
            <w:tcBorders>
              <w:top w:val="single" w:color="000000" w:sz="8" w:space="0"/>
              <w:left w:val="nil"/>
              <w:bottom w:val="single" w:color="000000" w:sz="8" w:space="0"/>
              <w:right w:val="single" w:color="000000" w:sz="8" w:space="0"/>
            </w:tcBorders>
            <w:shd w:val="clear" w:color="auto" w:fill="auto"/>
            <w:vAlign w:val="center"/>
          </w:tcPr>
          <w:p w14:paraId="6ED5E4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智慧道路设备管理</w:t>
            </w:r>
          </w:p>
        </w:tc>
        <w:tc>
          <w:tcPr>
            <w:tcW w:w="924" w:type="dxa"/>
            <w:vMerge w:val="restart"/>
            <w:tcBorders>
              <w:top w:val="single" w:color="000000" w:sz="8" w:space="0"/>
              <w:left w:val="nil"/>
              <w:bottom w:val="single" w:color="000000" w:sz="8" w:space="0"/>
              <w:right w:val="single" w:color="000000" w:sz="8" w:space="0"/>
            </w:tcBorders>
            <w:shd w:val="clear" w:color="auto" w:fill="auto"/>
            <w:vAlign w:val="center"/>
          </w:tcPr>
          <w:p w14:paraId="668C2E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创新大道智慧道路设备管理</w:t>
            </w:r>
          </w:p>
        </w:tc>
        <w:tc>
          <w:tcPr>
            <w:tcW w:w="924" w:type="dxa"/>
            <w:tcBorders>
              <w:top w:val="single" w:color="000000" w:sz="8" w:space="0"/>
              <w:left w:val="nil"/>
              <w:bottom w:val="single" w:color="000000" w:sz="8" w:space="0"/>
              <w:right w:val="single" w:color="000000" w:sz="8" w:space="0"/>
            </w:tcBorders>
            <w:shd w:val="clear" w:color="auto" w:fill="auto"/>
            <w:vAlign w:val="center"/>
          </w:tcPr>
          <w:p w14:paraId="140141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道路边缘计算单元管理</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11549C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17363E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95F108C">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single" w:color="000000" w:sz="8" w:space="0"/>
              <w:left w:val="nil"/>
              <w:bottom w:val="single" w:color="000000" w:sz="8" w:space="0"/>
              <w:right w:val="single" w:color="000000" w:sz="8" w:space="0"/>
            </w:tcBorders>
            <w:shd w:val="clear" w:color="auto" w:fill="auto"/>
            <w:vAlign w:val="center"/>
          </w:tcPr>
          <w:p w14:paraId="6451231F">
            <w:pPr>
              <w:jc w:val="left"/>
              <w:rPr>
                <w:rFonts w:hint="eastAsia" w:ascii="宋体" w:hAnsi="宋体" w:eastAsia="宋体" w:cs="宋体"/>
                <w:i w:val="0"/>
                <w:iCs w:val="0"/>
                <w:color w:val="000000"/>
                <w:sz w:val="20"/>
                <w:szCs w:val="20"/>
                <w:u w:val="none"/>
              </w:rPr>
            </w:pPr>
          </w:p>
        </w:tc>
        <w:tc>
          <w:tcPr>
            <w:tcW w:w="819" w:type="dxa"/>
            <w:tcBorders>
              <w:top w:val="single" w:color="000000" w:sz="8" w:space="0"/>
              <w:left w:val="nil"/>
              <w:bottom w:val="single" w:color="000000" w:sz="8" w:space="0"/>
              <w:right w:val="single" w:color="000000" w:sz="8" w:space="0"/>
            </w:tcBorders>
            <w:shd w:val="clear" w:color="auto" w:fill="auto"/>
            <w:vAlign w:val="bottom"/>
          </w:tcPr>
          <w:p w14:paraId="3B4FB584">
            <w:pPr>
              <w:jc w:val="center"/>
              <w:rPr>
                <w:rFonts w:hint="eastAsia" w:ascii="宋体" w:hAnsi="宋体" w:eastAsia="宋体" w:cs="宋体"/>
                <w:i w:val="0"/>
                <w:iCs w:val="0"/>
                <w:color w:val="000000"/>
                <w:sz w:val="20"/>
                <w:szCs w:val="20"/>
                <w:u w:val="none"/>
              </w:rPr>
            </w:pPr>
          </w:p>
        </w:tc>
      </w:tr>
      <w:tr w14:paraId="5F6BA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7B4D94FE">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7166C792">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5513C44F">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6A9FA3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道路摄像头管理</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67F232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1A6153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629A4413">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30C3EDA6">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27F70E3F">
            <w:pPr>
              <w:jc w:val="center"/>
              <w:rPr>
                <w:rFonts w:hint="eastAsia" w:ascii="宋体" w:hAnsi="宋体" w:eastAsia="宋体" w:cs="宋体"/>
                <w:i w:val="0"/>
                <w:iCs w:val="0"/>
                <w:color w:val="000000"/>
                <w:sz w:val="20"/>
                <w:szCs w:val="20"/>
                <w:u w:val="none"/>
              </w:rPr>
            </w:pPr>
          </w:p>
        </w:tc>
      </w:tr>
      <w:tr w14:paraId="19422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7EB006FE">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42C21214">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167A73BC">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21661E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道路雷达管理</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1FF5C4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F2D1A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4E98D4F">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61D77AA0">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424F6A4">
            <w:pPr>
              <w:jc w:val="center"/>
              <w:rPr>
                <w:rFonts w:hint="eastAsia" w:ascii="宋体" w:hAnsi="宋体" w:eastAsia="宋体" w:cs="宋体"/>
                <w:i w:val="0"/>
                <w:iCs w:val="0"/>
                <w:color w:val="000000"/>
                <w:sz w:val="20"/>
                <w:szCs w:val="20"/>
                <w:u w:val="none"/>
              </w:rPr>
            </w:pPr>
          </w:p>
        </w:tc>
      </w:tr>
      <w:tr w14:paraId="6BB15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12C8AB2">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24320C82">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56EAF42C">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20C174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道路信号灯采集器管理</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101781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7914B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473FEB8">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DDFB267">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44C13A4">
            <w:pPr>
              <w:jc w:val="center"/>
              <w:rPr>
                <w:rFonts w:hint="eastAsia" w:ascii="宋体" w:hAnsi="宋体" w:eastAsia="宋体" w:cs="宋体"/>
                <w:i w:val="0"/>
                <w:iCs w:val="0"/>
                <w:color w:val="000000"/>
                <w:sz w:val="20"/>
                <w:szCs w:val="20"/>
                <w:u w:val="none"/>
              </w:rPr>
            </w:pPr>
          </w:p>
        </w:tc>
      </w:tr>
      <w:tr w14:paraId="19B3B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7C75E232">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524985D5">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1AFB9DDE">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77DEA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道路信号灯数据管理</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7435B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242A9E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69287FC5">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5A96B0AA">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4F6FDBD">
            <w:pPr>
              <w:jc w:val="center"/>
              <w:rPr>
                <w:rFonts w:hint="eastAsia" w:ascii="宋体" w:hAnsi="宋体" w:eastAsia="宋体" w:cs="宋体"/>
                <w:i w:val="0"/>
                <w:iCs w:val="0"/>
                <w:color w:val="000000"/>
                <w:sz w:val="20"/>
                <w:szCs w:val="20"/>
                <w:u w:val="none"/>
              </w:rPr>
            </w:pPr>
          </w:p>
        </w:tc>
      </w:tr>
      <w:tr w14:paraId="5DDA9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D0F79B3">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792792D2">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343A4F8B">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192EDA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道路路侧点管理</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2D5DB1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3919CF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F7CE5FC">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412B8D8">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46140FC">
            <w:pPr>
              <w:jc w:val="center"/>
              <w:rPr>
                <w:rFonts w:hint="eastAsia" w:ascii="宋体" w:hAnsi="宋体" w:eastAsia="宋体" w:cs="宋体"/>
                <w:i w:val="0"/>
                <w:iCs w:val="0"/>
                <w:color w:val="000000"/>
                <w:sz w:val="20"/>
                <w:szCs w:val="20"/>
                <w:u w:val="none"/>
              </w:rPr>
            </w:pPr>
          </w:p>
        </w:tc>
      </w:tr>
      <w:tr w14:paraId="27360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73C2665E">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6C159D21">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06EE207C">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66F55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道路路口数据管理</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478B4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166A3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0F2D2622">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723D3D3F">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35C41A06">
            <w:pPr>
              <w:jc w:val="center"/>
              <w:rPr>
                <w:rFonts w:hint="eastAsia" w:ascii="宋体" w:hAnsi="宋体" w:eastAsia="宋体" w:cs="宋体"/>
                <w:i w:val="0"/>
                <w:iCs w:val="0"/>
                <w:color w:val="000000"/>
                <w:sz w:val="20"/>
                <w:szCs w:val="20"/>
                <w:u w:val="none"/>
              </w:rPr>
            </w:pPr>
          </w:p>
        </w:tc>
      </w:tr>
      <w:tr w14:paraId="20FD6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E55049B">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66EBBFB9">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1499F0CD">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5976B4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道路数据管理</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08439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7E74F9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486FE03">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F94BE9A">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2114340F">
            <w:pPr>
              <w:jc w:val="center"/>
              <w:rPr>
                <w:rFonts w:hint="eastAsia" w:ascii="宋体" w:hAnsi="宋体" w:eastAsia="宋体" w:cs="宋体"/>
                <w:i w:val="0"/>
                <w:iCs w:val="0"/>
                <w:color w:val="000000"/>
                <w:sz w:val="20"/>
                <w:szCs w:val="20"/>
                <w:u w:val="none"/>
              </w:rPr>
            </w:pPr>
          </w:p>
        </w:tc>
      </w:tr>
      <w:tr w14:paraId="60C9A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B2BA35B">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74D5A2F3">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363ABE55">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17F41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基础数据管理</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6A5F6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F46F0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011EF628">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E3E495C">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A5914B5">
            <w:pPr>
              <w:jc w:val="center"/>
              <w:rPr>
                <w:rFonts w:hint="eastAsia" w:ascii="宋体" w:hAnsi="宋体" w:eastAsia="宋体" w:cs="宋体"/>
                <w:i w:val="0"/>
                <w:iCs w:val="0"/>
                <w:color w:val="000000"/>
                <w:sz w:val="20"/>
                <w:szCs w:val="20"/>
                <w:u w:val="none"/>
              </w:rPr>
            </w:pPr>
          </w:p>
        </w:tc>
      </w:tr>
      <w:tr w14:paraId="42869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7D53E2AB">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26E1D6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交通监控</w:t>
            </w:r>
          </w:p>
        </w:tc>
        <w:tc>
          <w:tcPr>
            <w:tcW w:w="924" w:type="dxa"/>
            <w:vMerge w:val="restart"/>
            <w:tcBorders>
              <w:top w:val="nil"/>
              <w:left w:val="nil"/>
              <w:bottom w:val="single" w:color="000000" w:sz="8" w:space="0"/>
              <w:right w:val="single" w:color="000000" w:sz="8" w:space="0"/>
            </w:tcBorders>
            <w:shd w:val="clear" w:color="auto" w:fill="auto"/>
            <w:vAlign w:val="center"/>
          </w:tcPr>
          <w:p w14:paraId="551E05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交通事件统计</w:t>
            </w:r>
          </w:p>
        </w:tc>
        <w:tc>
          <w:tcPr>
            <w:tcW w:w="924" w:type="dxa"/>
            <w:tcBorders>
              <w:top w:val="nil"/>
              <w:left w:val="nil"/>
              <w:bottom w:val="single" w:color="000000" w:sz="8" w:space="0"/>
              <w:right w:val="single" w:color="000000" w:sz="8" w:space="0"/>
            </w:tcBorders>
            <w:shd w:val="clear" w:color="auto" w:fill="auto"/>
            <w:vAlign w:val="center"/>
          </w:tcPr>
          <w:p w14:paraId="5F94D8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今日交通事件类型分布</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DD2C0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208B7F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07921E8">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70F81C7">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611F74F">
            <w:pPr>
              <w:jc w:val="center"/>
              <w:rPr>
                <w:rFonts w:hint="eastAsia" w:ascii="宋体" w:hAnsi="宋体" w:eastAsia="宋体" w:cs="宋体"/>
                <w:i w:val="0"/>
                <w:iCs w:val="0"/>
                <w:color w:val="000000"/>
                <w:sz w:val="20"/>
                <w:szCs w:val="20"/>
                <w:u w:val="none"/>
              </w:rPr>
            </w:pPr>
          </w:p>
        </w:tc>
      </w:tr>
      <w:tr w14:paraId="33BB5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3001C71">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9D6625E">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FDB45BE">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1965F1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近1个月事件趋势分析</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8F8D0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E30F9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E4C523A">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7F394B41">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4CC7128D">
            <w:pPr>
              <w:jc w:val="center"/>
              <w:rPr>
                <w:rFonts w:hint="eastAsia" w:ascii="宋体" w:hAnsi="宋体" w:eastAsia="宋体" w:cs="宋体"/>
                <w:i w:val="0"/>
                <w:iCs w:val="0"/>
                <w:color w:val="000000"/>
                <w:sz w:val="20"/>
                <w:szCs w:val="20"/>
                <w:u w:val="none"/>
              </w:rPr>
            </w:pPr>
          </w:p>
        </w:tc>
      </w:tr>
      <w:tr w14:paraId="1E06B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E9FAB3A">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17E6829">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836FD11">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7C708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今日事件高发点位分析</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73920D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1022A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6AEC9BE0">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2D411F2A">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351F8DAE">
            <w:pPr>
              <w:jc w:val="center"/>
              <w:rPr>
                <w:rFonts w:hint="eastAsia" w:ascii="宋体" w:hAnsi="宋体" w:eastAsia="宋体" w:cs="宋体"/>
                <w:i w:val="0"/>
                <w:iCs w:val="0"/>
                <w:color w:val="000000"/>
                <w:sz w:val="20"/>
                <w:szCs w:val="20"/>
                <w:u w:val="none"/>
              </w:rPr>
            </w:pPr>
          </w:p>
        </w:tc>
      </w:tr>
      <w:tr w14:paraId="58DF7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653B104">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805513E">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0BC2071">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0D4F17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近一周事件高发点位分析</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725333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7DE932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0A795DF1">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D72DC5A">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356AA15">
            <w:pPr>
              <w:jc w:val="center"/>
              <w:rPr>
                <w:rFonts w:hint="eastAsia" w:ascii="宋体" w:hAnsi="宋体" w:eastAsia="宋体" w:cs="宋体"/>
                <w:i w:val="0"/>
                <w:iCs w:val="0"/>
                <w:color w:val="000000"/>
                <w:sz w:val="20"/>
                <w:szCs w:val="20"/>
                <w:u w:val="none"/>
              </w:rPr>
            </w:pPr>
          </w:p>
        </w:tc>
      </w:tr>
      <w:tr w14:paraId="2B4F5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6A3BD14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7333CA5">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F71281A">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7AA0A0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近一月事件高发点位分析</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A3651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B1DCB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19C38C7">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016A32F2">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4470495">
            <w:pPr>
              <w:jc w:val="center"/>
              <w:rPr>
                <w:rFonts w:hint="eastAsia" w:ascii="宋体" w:hAnsi="宋体" w:eastAsia="宋体" w:cs="宋体"/>
                <w:i w:val="0"/>
                <w:iCs w:val="0"/>
                <w:color w:val="000000"/>
                <w:sz w:val="20"/>
                <w:szCs w:val="20"/>
                <w:u w:val="none"/>
              </w:rPr>
            </w:pPr>
          </w:p>
        </w:tc>
      </w:tr>
      <w:tr w14:paraId="2A56E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C1EFC5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8474CD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8C3E9DD">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CE4EF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今日路口拥堵时长分析</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3D5A2F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B63FF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7570336">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08929EC">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A17B5C8">
            <w:pPr>
              <w:jc w:val="center"/>
              <w:rPr>
                <w:rFonts w:hint="eastAsia" w:ascii="宋体" w:hAnsi="宋体" w:eastAsia="宋体" w:cs="宋体"/>
                <w:i w:val="0"/>
                <w:iCs w:val="0"/>
                <w:color w:val="000000"/>
                <w:sz w:val="20"/>
                <w:szCs w:val="20"/>
                <w:u w:val="none"/>
              </w:rPr>
            </w:pPr>
          </w:p>
        </w:tc>
      </w:tr>
      <w:tr w14:paraId="66E96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EB2853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2EBDE20">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7EC5CD2">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7709C5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近一周路口拥堵时长分析</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1573C1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116C0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3565A69">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F22AE98">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4499131E">
            <w:pPr>
              <w:jc w:val="center"/>
              <w:rPr>
                <w:rFonts w:hint="eastAsia" w:ascii="宋体" w:hAnsi="宋体" w:eastAsia="宋体" w:cs="宋体"/>
                <w:i w:val="0"/>
                <w:iCs w:val="0"/>
                <w:color w:val="000000"/>
                <w:sz w:val="20"/>
                <w:szCs w:val="20"/>
                <w:u w:val="none"/>
              </w:rPr>
            </w:pPr>
          </w:p>
        </w:tc>
      </w:tr>
      <w:tr w14:paraId="1D7E3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45501353">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5437444">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81299F4">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58CDB2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近一月路口拥堵时长分析</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377AD0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8BDCD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F507D86">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AC80637">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16D1B7A">
            <w:pPr>
              <w:jc w:val="center"/>
              <w:rPr>
                <w:rFonts w:hint="eastAsia" w:ascii="宋体" w:hAnsi="宋体" w:eastAsia="宋体" w:cs="宋体"/>
                <w:i w:val="0"/>
                <w:iCs w:val="0"/>
                <w:color w:val="000000"/>
                <w:sz w:val="20"/>
                <w:szCs w:val="20"/>
                <w:u w:val="none"/>
              </w:rPr>
            </w:pPr>
          </w:p>
        </w:tc>
      </w:tr>
      <w:tr w14:paraId="30700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50C6F71">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7193D7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91D8C66">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7E7BE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路口路况类型分布</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37B3E8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C22D4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87E0857">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68154678">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47138888">
            <w:pPr>
              <w:jc w:val="center"/>
              <w:rPr>
                <w:rFonts w:hint="eastAsia" w:ascii="宋体" w:hAnsi="宋体" w:eastAsia="宋体" w:cs="宋体"/>
                <w:i w:val="0"/>
                <w:iCs w:val="0"/>
                <w:color w:val="000000"/>
                <w:sz w:val="20"/>
                <w:szCs w:val="20"/>
                <w:u w:val="none"/>
              </w:rPr>
            </w:pPr>
          </w:p>
        </w:tc>
      </w:tr>
      <w:tr w14:paraId="1DDA3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78621291">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DB10854">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262886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交通事件列表</w:t>
            </w:r>
          </w:p>
        </w:tc>
        <w:tc>
          <w:tcPr>
            <w:tcW w:w="924" w:type="dxa"/>
            <w:tcBorders>
              <w:top w:val="nil"/>
              <w:left w:val="nil"/>
              <w:bottom w:val="single" w:color="000000" w:sz="8" w:space="0"/>
              <w:right w:val="single" w:color="000000" w:sz="8" w:space="0"/>
            </w:tcBorders>
            <w:shd w:val="clear" w:color="auto" w:fill="auto"/>
            <w:vAlign w:val="center"/>
          </w:tcPr>
          <w:p w14:paraId="5D605A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全部事件列表</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3E0B0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34855E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1A953F9">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53A9949F">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38FC412F">
            <w:pPr>
              <w:jc w:val="center"/>
              <w:rPr>
                <w:rFonts w:hint="eastAsia" w:ascii="宋体" w:hAnsi="宋体" w:eastAsia="宋体" w:cs="宋体"/>
                <w:i w:val="0"/>
                <w:iCs w:val="0"/>
                <w:color w:val="000000"/>
                <w:sz w:val="20"/>
                <w:szCs w:val="20"/>
                <w:u w:val="none"/>
              </w:rPr>
            </w:pPr>
          </w:p>
        </w:tc>
      </w:tr>
      <w:tr w14:paraId="0C533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FDC64EB">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6DEC171">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ED4F927">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0ADB06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交通事件查询</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16B169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305EAE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169939BE">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0E4FA28E">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D4E65C1">
            <w:pPr>
              <w:jc w:val="center"/>
              <w:rPr>
                <w:rFonts w:hint="eastAsia" w:ascii="宋体" w:hAnsi="宋体" w:eastAsia="宋体" w:cs="宋体"/>
                <w:i w:val="0"/>
                <w:iCs w:val="0"/>
                <w:color w:val="000000"/>
                <w:sz w:val="20"/>
                <w:szCs w:val="20"/>
                <w:u w:val="none"/>
              </w:rPr>
            </w:pPr>
          </w:p>
        </w:tc>
      </w:tr>
      <w:tr w14:paraId="3FE0A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6121EE7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3F5A2DA">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1A3F43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交通事件详情</w:t>
            </w:r>
          </w:p>
        </w:tc>
        <w:tc>
          <w:tcPr>
            <w:tcW w:w="924" w:type="dxa"/>
            <w:tcBorders>
              <w:top w:val="nil"/>
              <w:left w:val="nil"/>
              <w:bottom w:val="single" w:color="000000" w:sz="8" w:space="0"/>
              <w:right w:val="single" w:color="000000" w:sz="8" w:space="0"/>
            </w:tcBorders>
            <w:shd w:val="clear" w:color="auto" w:fill="auto"/>
            <w:vAlign w:val="center"/>
          </w:tcPr>
          <w:p w14:paraId="4DDF6D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事件基本信息</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3AEAF2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95D21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217A9715">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0B02BB48">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D10770D">
            <w:pPr>
              <w:jc w:val="center"/>
              <w:rPr>
                <w:rFonts w:hint="eastAsia" w:ascii="宋体" w:hAnsi="宋体" w:eastAsia="宋体" w:cs="宋体"/>
                <w:i w:val="0"/>
                <w:iCs w:val="0"/>
                <w:color w:val="000000"/>
                <w:sz w:val="20"/>
                <w:szCs w:val="20"/>
                <w:u w:val="none"/>
              </w:rPr>
            </w:pPr>
          </w:p>
        </w:tc>
      </w:tr>
      <w:tr w14:paraId="389F2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6903F4B">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49FF335">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80A6461">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4D38D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事件位置标记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1FDD36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C01F1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4BF6984">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CC65BFF">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93A7E2C">
            <w:pPr>
              <w:jc w:val="center"/>
              <w:rPr>
                <w:rFonts w:hint="eastAsia" w:ascii="宋体" w:hAnsi="宋体" w:eastAsia="宋体" w:cs="宋体"/>
                <w:i w:val="0"/>
                <w:iCs w:val="0"/>
                <w:color w:val="000000"/>
                <w:sz w:val="20"/>
                <w:szCs w:val="20"/>
                <w:u w:val="none"/>
              </w:rPr>
            </w:pPr>
          </w:p>
        </w:tc>
      </w:tr>
      <w:tr w14:paraId="56BAC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82CF770">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B690D05">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0ACC3E0">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7D9D52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事件实时视频</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09D5D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F9D0D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2AF52696">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6C9C27C6">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2DED646D">
            <w:pPr>
              <w:jc w:val="center"/>
              <w:rPr>
                <w:rFonts w:hint="eastAsia" w:ascii="宋体" w:hAnsi="宋体" w:eastAsia="宋体" w:cs="宋体"/>
                <w:i w:val="0"/>
                <w:iCs w:val="0"/>
                <w:color w:val="000000"/>
                <w:sz w:val="20"/>
                <w:szCs w:val="20"/>
                <w:u w:val="none"/>
              </w:rPr>
            </w:pPr>
          </w:p>
        </w:tc>
      </w:tr>
      <w:tr w14:paraId="7DEE1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47CEB89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D94158E">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8C6211A">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22A340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事件历史视频</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38672F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57780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22726940">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5FEA5CA">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E87E577">
            <w:pPr>
              <w:jc w:val="center"/>
              <w:rPr>
                <w:rFonts w:hint="eastAsia" w:ascii="宋体" w:hAnsi="宋体" w:eastAsia="宋体" w:cs="宋体"/>
                <w:i w:val="0"/>
                <w:iCs w:val="0"/>
                <w:color w:val="000000"/>
                <w:sz w:val="20"/>
                <w:szCs w:val="20"/>
                <w:u w:val="none"/>
              </w:rPr>
            </w:pPr>
          </w:p>
        </w:tc>
      </w:tr>
      <w:tr w14:paraId="765DA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609A30DB">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10BEB6F">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19B3668">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7B2DA1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事件视频切换</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88308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129324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2DD98387">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66E05DA">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72B5AC6">
            <w:pPr>
              <w:jc w:val="center"/>
              <w:rPr>
                <w:rFonts w:hint="eastAsia" w:ascii="宋体" w:hAnsi="宋体" w:eastAsia="宋体" w:cs="宋体"/>
                <w:i w:val="0"/>
                <w:iCs w:val="0"/>
                <w:color w:val="000000"/>
                <w:sz w:val="20"/>
                <w:szCs w:val="20"/>
                <w:u w:val="none"/>
              </w:rPr>
            </w:pPr>
          </w:p>
        </w:tc>
      </w:tr>
      <w:tr w14:paraId="5E40E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B4B8E40">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1F9615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设备监控</w:t>
            </w:r>
          </w:p>
        </w:tc>
        <w:tc>
          <w:tcPr>
            <w:tcW w:w="924" w:type="dxa"/>
            <w:vMerge w:val="restart"/>
            <w:tcBorders>
              <w:top w:val="nil"/>
              <w:left w:val="nil"/>
              <w:bottom w:val="single" w:color="000000" w:sz="8" w:space="0"/>
              <w:right w:val="single" w:color="000000" w:sz="8" w:space="0"/>
            </w:tcBorders>
            <w:shd w:val="clear" w:color="auto" w:fill="auto"/>
            <w:vAlign w:val="center"/>
          </w:tcPr>
          <w:p w14:paraId="50921A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信号灯分布</w:t>
            </w:r>
          </w:p>
        </w:tc>
        <w:tc>
          <w:tcPr>
            <w:tcW w:w="924" w:type="dxa"/>
            <w:tcBorders>
              <w:top w:val="nil"/>
              <w:left w:val="nil"/>
              <w:bottom w:val="single" w:color="000000" w:sz="8" w:space="0"/>
              <w:right w:val="single" w:color="000000" w:sz="8" w:space="0"/>
            </w:tcBorders>
            <w:shd w:val="clear" w:color="auto" w:fill="auto"/>
            <w:vAlign w:val="center"/>
          </w:tcPr>
          <w:p w14:paraId="708E27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信号灯地图可视化</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2BECFE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780E5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33D80E3">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34D092AB">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248AF010">
            <w:pPr>
              <w:jc w:val="center"/>
              <w:rPr>
                <w:rFonts w:hint="eastAsia" w:ascii="宋体" w:hAnsi="宋体" w:eastAsia="宋体" w:cs="宋体"/>
                <w:i w:val="0"/>
                <w:iCs w:val="0"/>
                <w:color w:val="000000"/>
                <w:sz w:val="20"/>
                <w:szCs w:val="20"/>
                <w:u w:val="none"/>
              </w:rPr>
            </w:pPr>
          </w:p>
        </w:tc>
      </w:tr>
      <w:tr w14:paraId="2191D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2703D0B0">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E10CE2D">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92FC926">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7FE8DB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信号灯离线状态标记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2ABB99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27BB5D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118DA43E">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646713A5">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CF16732">
            <w:pPr>
              <w:jc w:val="center"/>
              <w:rPr>
                <w:rFonts w:hint="eastAsia" w:ascii="宋体" w:hAnsi="宋体" w:eastAsia="宋体" w:cs="宋体"/>
                <w:i w:val="0"/>
                <w:iCs w:val="0"/>
                <w:color w:val="000000"/>
                <w:sz w:val="20"/>
                <w:szCs w:val="20"/>
                <w:u w:val="none"/>
              </w:rPr>
            </w:pPr>
          </w:p>
        </w:tc>
      </w:tr>
      <w:tr w14:paraId="42D1C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2FE189A0">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3C7FCA1">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0C4D0E4">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6ACE46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信号灯故障状态标记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6B0A6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6D4C5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0E43715">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3108D79E">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E874887">
            <w:pPr>
              <w:jc w:val="center"/>
              <w:rPr>
                <w:rFonts w:hint="eastAsia" w:ascii="宋体" w:hAnsi="宋体" w:eastAsia="宋体" w:cs="宋体"/>
                <w:i w:val="0"/>
                <w:iCs w:val="0"/>
                <w:color w:val="000000"/>
                <w:sz w:val="20"/>
                <w:szCs w:val="20"/>
                <w:u w:val="none"/>
              </w:rPr>
            </w:pPr>
          </w:p>
        </w:tc>
      </w:tr>
      <w:tr w14:paraId="611CB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771291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D226965">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72EE2F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信号灯详情</w:t>
            </w:r>
          </w:p>
        </w:tc>
        <w:tc>
          <w:tcPr>
            <w:tcW w:w="924" w:type="dxa"/>
            <w:tcBorders>
              <w:top w:val="nil"/>
              <w:left w:val="nil"/>
              <w:bottom w:val="single" w:color="000000" w:sz="8" w:space="0"/>
              <w:right w:val="single" w:color="000000" w:sz="8" w:space="0"/>
            </w:tcBorders>
            <w:shd w:val="clear" w:color="auto" w:fill="auto"/>
            <w:vAlign w:val="center"/>
          </w:tcPr>
          <w:p w14:paraId="65B356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信号灯基本信息</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88368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19C83B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3CCA1DD">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6CDEB30F">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746D90A">
            <w:pPr>
              <w:jc w:val="center"/>
              <w:rPr>
                <w:rFonts w:hint="eastAsia" w:ascii="宋体" w:hAnsi="宋体" w:eastAsia="宋体" w:cs="宋体"/>
                <w:i w:val="0"/>
                <w:iCs w:val="0"/>
                <w:color w:val="000000"/>
                <w:sz w:val="20"/>
                <w:szCs w:val="20"/>
                <w:u w:val="none"/>
              </w:rPr>
            </w:pPr>
          </w:p>
        </w:tc>
      </w:tr>
      <w:tr w14:paraId="5B535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66DE900">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E004A37">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5A164BA">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68733E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信号灯灯组分布</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83F90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37A854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1237D21">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2B48006D">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0D02E6C">
            <w:pPr>
              <w:jc w:val="center"/>
              <w:rPr>
                <w:rFonts w:hint="eastAsia" w:ascii="宋体" w:hAnsi="宋体" w:eastAsia="宋体" w:cs="宋体"/>
                <w:i w:val="0"/>
                <w:iCs w:val="0"/>
                <w:color w:val="000000"/>
                <w:sz w:val="20"/>
                <w:szCs w:val="20"/>
                <w:u w:val="none"/>
              </w:rPr>
            </w:pPr>
          </w:p>
        </w:tc>
      </w:tr>
      <w:tr w14:paraId="4CA0A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74DB1E4">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2D5E55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B0F6433">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32B663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信号灯实时灯色</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7A6EDD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1CFF8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39A2BCD">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09A47DC4">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EEC3206">
            <w:pPr>
              <w:jc w:val="center"/>
              <w:rPr>
                <w:rFonts w:hint="eastAsia" w:ascii="宋体" w:hAnsi="宋体" w:eastAsia="宋体" w:cs="宋体"/>
                <w:i w:val="0"/>
                <w:iCs w:val="0"/>
                <w:color w:val="000000"/>
                <w:sz w:val="20"/>
                <w:szCs w:val="20"/>
                <w:u w:val="none"/>
              </w:rPr>
            </w:pPr>
          </w:p>
        </w:tc>
      </w:tr>
      <w:tr w14:paraId="0F3CE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C3F7ED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1ED9F2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CD105B9">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7F1E28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信号灯倒计时</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7F3C36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A9059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031F974B">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62A678B">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26F98506">
            <w:pPr>
              <w:jc w:val="center"/>
              <w:rPr>
                <w:rFonts w:hint="eastAsia" w:ascii="宋体" w:hAnsi="宋体" w:eastAsia="宋体" w:cs="宋体"/>
                <w:i w:val="0"/>
                <w:iCs w:val="0"/>
                <w:color w:val="000000"/>
                <w:sz w:val="20"/>
                <w:szCs w:val="20"/>
                <w:u w:val="none"/>
              </w:rPr>
            </w:pPr>
          </w:p>
        </w:tc>
      </w:tr>
      <w:tr w14:paraId="648DB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6D94A7E9">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BDEA195">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27A9D7F">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297B7E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故障详情</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EC07F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B75A3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06151668">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72C5D54B">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F67AF68">
            <w:pPr>
              <w:jc w:val="center"/>
              <w:rPr>
                <w:rFonts w:hint="eastAsia" w:ascii="宋体" w:hAnsi="宋体" w:eastAsia="宋体" w:cs="宋体"/>
                <w:i w:val="0"/>
                <w:iCs w:val="0"/>
                <w:color w:val="000000"/>
                <w:sz w:val="20"/>
                <w:szCs w:val="20"/>
                <w:u w:val="none"/>
              </w:rPr>
            </w:pPr>
          </w:p>
        </w:tc>
      </w:tr>
      <w:tr w14:paraId="24515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23307F5A">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FFF540C">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EE6F53E">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382494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信号详情查看展示</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1FDAC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28FD4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6BCA7F50">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33139077">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78A60832">
            <w:pPr>
              <w:jc w:val="center"/>
              <w:rPr>
                <w:rFonts w:hint="eastAsia" w:ascii="宋体" w:hAnsi="宋体" w:eastAsia="宋体" w:cs="宋体"/>
                <w:i w:val="0"/>
                <w:iCs w:val="0"/>
                <w:color w:val="000000"/>
                <w:sz w:val="20"/>
                <w:szCs w:val="20"/>
                <w:u w:val="none"/>
              </w:rPr>
            </w:pPr>
          </w:p>
        </w:tc>
      </w:tr>
      <w:tr w14:paraId="2C0D2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2E6BFF49">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148C8BD">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3A27FC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设备统计分析</w:t>
            </w:r>
          </w:p>
        </w:tc>
        <w:tc>
          <w:tcPr>
            <w:tcW w:w="924" w:type="dxa"/>
            <w:tcBorders>
              <w:top w:val="nil"/>
              <w:left w:val="nil"/>
              <w:bottom w:val="single" w:color="000000" w:sz="8" w:space="0"/>
              <w:right w:val="single" w:color="000000" w:sz="8" w:space="0"/>
            </w:tcBorders>
            <w:shd w:val="clear" w:color="auto" w:fill="auto"/>
            <w:vAlign w:val="center"/>
          </w:tcPr>
          <w:p w14:paraId="7FAB51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设备统计分析</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A6D4F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AE2A7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1D1F434B">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63457DC8">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3C5776B">
            <w:pPr>
              <w:jc w:val="center"/>
              <w:rPr>
                <w:rFonts w:hint="eastAsia" w:ascii="宋体" w:hAnsi="宋体" w:eastAsia="宋体" w:cs="宋体"/>
                <w:i w:val="0"/>
                <w:iCs w:val="0"/>
                <w:color w:val="000000"/>
                <w:sz w:val="20"/>
                <w:szCs w:val="20"/>
                <w:u w:val="none"/>
              </w:rPr>
            </w:pPr>
          </w:p>
        </w:tc>
      </w:tr>
      <w:tr w14:paraId="1BE3B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D741A63">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F01C0D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77BDBBB">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36D8C7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设备数据量统计分析</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2D3036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FC92E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2758CEC0">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B71F883">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D34C784">
            <w:pPr>
              <w:jc w:val="center"/>
              <w:rPr>
                <w:rFonts w:hint="eastAsia" w:ascii="宋体" w:hAnsi="宋体" w:eastAsia="宋体" w:cs="宋体"/>
                <w:i w:val="0"/>
                <w:iCs w:val="0"/>
                <w:color w:val="000000"/>
                <w:sz w:val="20"/>
                <w:szCs w:val="20"/>
                <w:u w:val="none"/>
              </w:rPr>
            </w:pPr>
          </w:p>
        </w:tc>
      </w:tr>
      <w:tr w14:paraId="2377C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E8946CE">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1D73EE1">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69A7FE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边缘计算单元实时监控</w:t>
            </w:r>
          </w:p>
        </w:tc>
        <w:tc>
          <w:tcPr>
            <w:tcW w:w="924" w:type="dxa"/>
            <w:tcBorders>
              <w:top w:val="nil"/>
              <w:left w:val="nil"/>
              <w:bottom w:val="single" w:color="000000" w:sz="8" w:space="0"/>
              <w:right w:val="single" w:color="000000" w:sz="8" w:space="0"/>
            </w:tcBorders>
            <w:shd w:val="clear" w:color="auto" w:fill="auto"/>
            <w:vAlign w:val="center"/>
          </w:tcPr>
          <w:p w14:paraId="2A56D4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边缘计算单元设备分布</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37DD53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4E237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087913D8">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B2805F4">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72D3B051">
            <w:pPr>
              <w:jc w:val="center"/>
              <w:rPr>
                <w:rFonts w:hint="eastAsia" w:ascii="宋体" w:hAnsi="宋体" w:eastAsia="宋体" w:cs="宋体"/>
                <w:i w:val="0"/>
                <w:iCs w:val="0"/>
                <w:color w:val="000000"/>
                <w:sz w:val="20"/>
                <w:szCs w:val="20"/>
                <w:u w:val="none"/>
              </w:rPr>
            </w:pPr>
          </w:p>
        </w:tc>
      </w:tr>
      <w:tr w14:paraId="0EE62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2782C5D">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1410A65">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6A9F525">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0B2E45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边缘计算单元离线标记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721F1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3BD1EB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2AD20165">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75A92AD5">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C7F341E">
            <w:pPr>
              <w:jc w:val="center"/>
              <w:rPr>
                <w:rFonts w:hint="eastAsia" w:ascii="宋体" w:hAnsi="宋体" w:eastAsia="宋体" w:cs="宋体"/>
                <w:i w:val="0"/>
                <w:iCs w:val="0"/>
                <w:color w:val="000000"/>
                <w:sz w:val="20"/>
                <w:szCs w:val="20"/>
                <w:u w:val="none"/>
              </w:rPr>
            </w:pPr>
          </w:p>
        </w:tc>
      </w:tr>
      <w:tr w14:paraId="0C23F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688C0F5">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F9FCB6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DBDEB9B">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312CBD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边缘计算单元故障标记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2C4526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E82AE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A2F84DC">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288C127B">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2A250810">
            <w:pPr>
              <w:jc w:val="center"/>
              <w:rPr>
                <w:rFonts w:hint="eastAsia" w:ascii="宋体" w:hAnsi="宋体" w:eastAsia="宋体" w:cs="宋体"/>
                <w:i w:val="0"/>
                <w:iCs w:val="0"/>
                <w:color w:val="000000"/>
                <w:sz w:val="20"/>
                <w:szCs w:val="20"/>
                <w:u w:val="none"/>
              </w:rPr>
            </w:pPr>
          </w:p>
        </w:tc>
      </w:tr>
      <w:tr w14:paraId="506CA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3359F16">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644ED93">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BAE147B">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688F2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边缘计算单元快速查询</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3EA501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2320B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150F179">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05BF4DFF">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443DB50">
            <w:pPr>
              <w:jc w:val="center"/>
              <w:rPr>
                <w:rFonts w:hint="eastAsia" w:ascii="宋体" w:hAnsi="宋体" w:eastAsia="宋体" w:cs="宋体"/>
                <w:i w:val="0"/>
                <w:iCs w:val="0"/>
                <w:color w:val="000000"/>
                <w:sz w:val="20"/>
                <w:szCs w:val="20"/>
                <w:u w:val="none"/>
              </w:rPr>
            </w:pPr>
          </w:p>
        </w:tc>
      </w:tr>
      <w:tr w14:paraId="3F882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19D692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57FD1EA">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24DB72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边缘计算单元详情</w:t>
            </w:r>
          </w:p>
        </w:tc>
        <w:tc>
          <w:tcPr>
            <w:tcW w:w="924" w:type="dxa"/>
            <w:tcBorders>
              <w:top w:val="nil"/>
              <w:left w:val="nil"/>
              <w:bottom w:val="single" w:color="000000" w:sz="8" w:space="0"/>
              <w:right w:val="single" w:color="000000" w:sz="8" w:space="0"/>
            </w:tcBorders>
            <w:shd w:val="clear" w:color="auto" w:fill="auto"/>
            <w:vAlign w:val="center"/>
          </w:tcPr>
          <w:p w14:paraId="6E6468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边缘计算单元基本信息</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6E202C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1E6311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2AF5CD9">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2651F9C2">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4660A2C">
            <w:pPr>
              <w:jc w:val="center"/>
              <w:rPr>
                <w:rFonts w:hint="eastAsia" w:ascii="宋体" w:hAnsi="宋体" w:eastAsia="宋体" w:cs="宋体"/>
                <w:i w:val="0"/>
                <w:iCs w:val="0"/>
                <w:color w:val="000000"/>
                <w:sz w:val="20"/>
                <w:szCs w:val="20"/>
                <w:u w:val="none"/>
              </w:rPr>
            </w:pPr>
          </w:p>
        </w:tc>
      </w:tr>
      <w:tr w14:paraId="651C5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8A1AA79">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A8555EB">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4CA78F3">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2BEB33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边缘计算单元远程重启</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39D90A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704E6C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6CC4D282">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79B42D14">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3E108D5">
            <w:pPr>
              <w:jc w:val="center"/>
              <w:rPr>
                <w:rFonts w:hint="eastAsia" w:ascii="宋体" w:hAnsi="宋体" w:eastAsia="宋体" w:cs="宋体"/>
                <w:i w:val="0"/>
                <w:iCs w:val="0"/>
                <w:color w:val="000000"/>
                <w:sz w:val="20"/>
                <w:szCs w:val="20"/>
                <w:u w:val="none"/>
              </w:rPr>
            </w:pPr>
          </w:p>
        </w:tc>
      </w:tr>
      <w:tr w14:paraId="3510F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B3C2874">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48DD56C">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10F87E9">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09FC6B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边缘计算单元远程开机</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2550A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756406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449A07F">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4ED0D0F">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004E15F">
            <w:pPr>
              <w:jc w:val="center"/>
              <w:rPr>
                <w:rFonts w:hint="eastAsia" w:ascii="宋体" w:hAnsi="宋体" w:eastAsia="宋体" w:cs="宋体"/>
                <w:i w:val="0"/>
                <w:iCs w:val="0"/>
                <w:color w:val="000000"/>
                <w:sz w:val="20"/>
                <w:szCs w:val="20"/>
                <w:u w:val="none"/>
              </w:rPr>
            </w:pPr>
          </w:p>
        </w:tc>
      </w:tr>
      <w:tr w14:paraId="0FE9E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205F2D3">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0EA231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6F15AB8">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F4A0B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边缘计算单元远程关机</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5C63C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3A3F3D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23C37F8C">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791B14B">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7B33B899">
            <w:pPr>
              <w:jc w:val="center"/>
              <w:rPr>
                <w:rFonts w:hint="eastAsia" w:ascii="宋体" w:hAnsi="宋体" w:eastAsia="宋体" w:cs="宋体"/>
                <w:i w:val="0"/>
                <w:iCs w:val="0"/>
                <w:color w:val="000000"/>
                <w:sz w:val="20"/>
                <w:szCs w:val="20"/>
                <w:u w:val="none"/>
              </w:rPr>
            </w:pPr>
          </w:p>
        </w:tc>
      </w:tr>
      <w:tr w14:paraId="01387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73B01119">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2D366E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9AF0A62">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785E0F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关联设备列表</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3ABB79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2A86AD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076F307A">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3D110DE0">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ED458FD">
            <w:pPr>
              <w:jc w:val="center"/>
              <w:rPr>
                <w:rFonts w:hint="eastAsia" w:ascii="宋体" w:hAnsi="宋体" w:eastAsia="宋体" w:cs="宋体"/>
                <w:i w:val="0"/>
                <w:iCs w:val="0"/>
                <w:color w:val="000000"/>
                <w:sz w:val="20"/>
                <w:szCs w:val="20"/>
                <w:u w:val="none"/>
              </w:rPr>
            </w:pPr>
          </w:p>
        </w:tc>
      </w:tr>
      <w:tr w14:paraId="7AD36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E109677">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D9BCB3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DE03D7C">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089B46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实时数据量监控</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DEA29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28CCB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D62DC1C">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50F853EF">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4968B0FC">
            <w:pPr>
              <w:jc w:val="center"/>
              <w:rPr>
                <w:rFonts w:hint="eastAsia" w:ascii="宋体" w:hAnsi="宋体" w:eastAsia="宋体" w:cs="宋体"/>
                <w:i w:val="0"/>
                <w:iCs w:val="0"/>
                <w:color w:val="000000"/>
                <w:sz w:val="20"/>
                <w:szCs w:val="20"/>
                <w:u w:val="none"/>
              </w:rPr>
            </w:pPr>
          </w:p>
        </w:tc>
      </w:tr>
      <w:tr w14:paraId="246C6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758A3EE7">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42A1FB3">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702CB6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路侧通信单元实时监控</w:t>
            </w:r>
          </w:p>
        </w:tc>
        <w:tc>
          <w:tcPr>
            <w:tcW w:w="924" w:type="dxa"/>
            <w:tcBorders>
              <w:top w:val="nil"/>
              <w:left w:val="nil"/>
              <w:bottom w:val="single" w:color="000000" w:sz="8" w:space="0"/>
              <w:right w:val="single" w:color="000000" w:sz="8" w:space="0"/>
            </w:tcBorders>
            <w:shd w:val="clear" w:color="auto" w:fill="auto"/>
            <w:vAlign w:val="center"/>
          </w:tcPr>
          <w:p w14:paraId="34E1B3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路侧通信单元设备分布</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30F92C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F6303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24D8ADC">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63408DBD">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501BD1B">
            <w:pPr>
              <w:jc w:val="center"/>
              <w:rPr>
                <w:rFonts w:hint="eastAsia" w:ascii="宋体" w:hAnsi="宋体" w:eastAsia="宋体" w:cs="宋体"/>
                <w:i w:val="0"/>
                <w:iCs w:val="0"/>
                <w:color w:val="000000"/>
                <w:sz w:val="20"/>
                <w:szCs w:val="20"/>
                <w:u w:val="none"/>
              </w:rPr>
            </w:pPr>
          </w:p>
        </w:tc>
      </w:tr>
      <w:tr w14:paraId="59890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6C51981A">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971DB55">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A718A34">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7D13E5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路侧通信单元离线标记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18C6D0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1D409D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194B4EE1">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60AEF55B">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FBE7AA0">
            <w:pPr>
              <w:jc w:val="center"/>
              <w:rPr>
                <w:rFonts w:hint="eastAsia" w:ascii="宋体" w:hAnsi="宋体" w:eastAsia="宋体" w:cs="宋体"/>
                <w:i w:val="0"/>
                <w:iCs w:val="0"/>
                <w:color w:val="000000"/>
                <w:sz w:val="20"/>
                <w:szCs w:val="20"/>
                <w:u w:val="none"/>
              </w:rPr>
            </w:pPr>
          </w:p>
        </w:tc>
      </w:tr>
      <w:tr w14:paraId="709AA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2E922D24">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3752263">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4539AA0">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66B403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路侧通信单元故障标记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30605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341C57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0529894A">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28171689">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2BF2B42">
            <w:pPr>
              <w:jc w:val="center"/>
              <w:rPr>
                <w:rFonts w:hint="eastAsia" w:ascii="宋体" w:hAnsi="宋体" w:eastAsia="宋体" w:cs="宋体"/>
                <w:i w:val="0"/>
                <w:iCs w:val="0"/>
                <w:color w:val="000000"/>
                <w:sz w:val="20"/>
                <w:szCs w:val="20"/>
                <w:u w:val="none"/>
              </w:rPr>
            </w:pPr>
          </w:p>
        </w:tc>
      </w:tr>
      <w:tr w14:paraId="4A61E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74B4D2F">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B5A6E7E">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4E9557B">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1DB6E9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路侧通信单元快速查询</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791C2F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52675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D8AAAC3">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C2C1A51">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226BBACA">
            <w:pPr>
              <w:jc w:val="center"/>
              <w:rPr>
                <w:rFonts w:hint="eastAsia" w:ascii="宋体" w:hAnsi="宋体" w:eastAsia="宋体" w:cs="宋体"/>
                <w:i w:val="0"/>
                <w:iCs w:val="0"/>
                <w:color w:val="000000"/>
                <w:sz w:val="20"/>
                <w:szCs w:val="20"/>
                <w:u w:val="none"/>
              </w:rPr>
            </w:pPr>
          </w:p>
        </w:tc>
      </w:tr>
      <w:tr w14:paraId="7DF80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B5F0054">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921384D">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7FF077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路侧通信单元详情</w:t>
            </w:r>
          </w:p>
        </w:tc>
        <w:tc>
          <w:tcPr>
            <w:tcW w:w="924" w:type="dxa"/>
            <w:tcBorders>
              <w:top w:val="nil"/>
              <w:left w:val="nil"/>
              <w:bottom w:val="single" w:color="000000" w:sz="8" w:space="0"/>
              <w:right w:val="single" w:color="000000" w:sz="8" w:space="0"/>
            </w:tcBorders>
            <w:shd w:val="clear" w:color="auto" w:fill="auto"/>
            <w:vAlign w:val="center"/>
          </w:tcPr>
          <w:p w14:paraId="533617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路侧通信单元基本信息</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AD02E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6334E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063CDCD">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7A53579">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4BF03F16">
            <w:pPr>
              <w:jc w:val="center"/>
              <w:rPr>
                <w:rFonts w:hint="eastAsia" w:ascii="宋体" w:hAnsi="宋体" w:eastAsia="宋体" w:cs="宋体"/>
                <w:i w:val="0"/>
                <w:iCs w:val="0"/>
                <w:color w:val="000000"/>
                <w:sz w:val="20"/>
                <w:szCs w:val="20"/>
                <w:u w:val="none"/>
              </w:rPr>
            </w:pPr>
          </w:p>
        </w:tc>
      </w:tr>
      <w:tr w14:paraId="52CF3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685035F">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620F80D">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1E0C360">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017C93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关联设备列表</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F3600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2D534E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68AD891D">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8F90BC3">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299D0AB1">
            <w:pPr>
              <w:jc w:val="center"/>
              <w:rPr>
                <w:rFonts w:hint="eastAsia" w:ascii="宋体" w:hAnsi="宋体" w:eastAsia="宋体" w:cs="宋体"/>
                <w:i w:val="0"/>
                <w:iCs w:val="0"/>
                <w:color w:val="000000"/>
                <w:sz w:val="20"/>
                <w:szCs w:val="20"/>
                <w:u w:val="none"/>
              </w:rPr>
            </w:pPr>
          </w:p>
        </w:tc>
      </w:tr>
      <w:tr w14:paraId="61903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0AD0B19">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741212A">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060351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红绿灯采集器实时监控</w:t>
            </w:r>
          </w:p>
        </w:tc>
        <w:tc>
          <w:tcPr>
            <w:tcW w:w="924" w:type="dxa"/>
            <w:tcBorders>
              <w:top w:val="nil"/>
              <w:left w:val="nil"/>
              <w:bottom w:val="single" w:color="000000" w:sz="8" w:space="0"/>
              <w:right w:val="single" w:color="000000" w:sz="8" w:space="0"/>
            </w:tcBorders>
            <w:shd w:val="clear" w:color="auto" w:fill="auto"/>
            <w:vAlign w:val="center"/>
          </w:tcPr>
          <w:p w14:paraId="5BD462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红绿灯采集器设备分布</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7E7DA4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1F3106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95CF98C">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58645BCC">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F2B977F">
            <w:pPr>
              <w:jc w:val="center"/>
              <w:rPr>
                <w:rFonts w:hint="eastAsia" w:ascii="宋体" w:hAnsi="宋体" w:eastAsia="宋体" w:cs="宋体"/>
                <w:i w:val="0"/>
                <w:iCs w:val="0"/>
                <w:color w:val="000000"/>
                <w:sz w:val="20"/>
                <w:szCs w:val="20"/>
                <w:u w:val="none"/>
              </w:rPr>
            </w:pPr>
          </w:p>
        </w:tc>
      </w:tr>
      <w:tr w14:paraId="6F039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7EAD91CE">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0652A3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5834B5E">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636AFC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红绿灯采集器离线标记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70C7F2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BEAE8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22BE7A9A">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D9CE3F0">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0011FC8">
            <w:pPr>
              <w:jc w:val="center"/>
              <w:rPr>
                <w:rFonts w:hint="eastAsia" w:ascii="宋体" w:hAnsi="宋体" w:eastAsia="宋体" w:cs="宋体"/>
                <w:i w:val="0"/>
                <w:iCs w:val="0"/>
                <w:color w:val="000000"/>
                <w:sz w:val="20"/>
                <w:szCs w:val="20"/>
                <w:u w:val="none"/>
              </w:rPr>
            </w:pPr>
          </w:p>
        </w:tc>
      </w:tr>
      <w:tr w14:paraId="66E7B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4D2E6BF">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01B926F">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0315C6A">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04C657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红绿灯采集器故障标记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BD2F0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743267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DC7E68B">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3106221">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71348AD4">
            <w:pPr>
              <w:jc w:val="center"/>
              <w:rPr>
                <w:rFonts w:hint="eastAsia" w:ascii="宋体" w:hAnsi="宋体" w:eastAsia="宋体" w:cs="宋体"/>
                <w:i w:val="0"/>
                <w:iCs w:val="0"/>
                <w:color w:val="000000"/>
                <w:sz w:val="20"/>
                <w:szCs w:val="20"/>
                <w:u w:val="none"/>
              </w:rPr>
            </w:pPr>
          </w:p>
        </w:tc>
      </w:tr>
      <w:tr w14:paraId="143EF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19CDF4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610BD01">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320D056">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160A1F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红绿灯采集器快速查询</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C1A22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200A8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1296BE2F">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0A3AAEDB">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859335B">
            <w:pPr>
              <w:jc w:val="center"/>
              <w:rPr>
                <w:rFonts w:hint="eastAsia" w:ascii="宋体" w:hAnsi="宋体" w:eastAsia="宋体" w:cs="宋体"/>
                <w:i w:val="0"/>
                <w:iCs w:val="0"/>
                <w:color w:val="000000"/>
                <w:sz w:val="20"/>
                <w:szCs w:val="20"/>
                <w:u w:val="none"/>
              </w:rPr>
            </w:pPr>
          </w:p>
        </w:tc>
      </w:tr>
      <w:tr w14:paraId="11756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6BBC0826">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925CA53">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0E55C6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红绿灯采集器详情</w:t>
            </w:r>
          </w:p>
        </w:tc>
        <w:tc>
          <w:tcPr>
            <w:tcW w:w="924" w:type="dxa"/>
            <w:tcBorders>
              <w:top w:val="nil"/>
              <w:left w:val="nil"/>
              <w:bottom w:val="single" w:color="000000" w:sz="8" w:space="0"/>
              <w:right w:val="single" w:color="000000" w:sz="8" w:space="0"/>
            </w:tcBorders>
            <w:shd w:val="clear" w:color="auto" w:fill="auto"/>
            <w:vAlign w:val="center"/>
          </w:tcPr>
          <w:p w14:paraId="0019E7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红绿灯采集器基本信息</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794FF3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E5F41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1A4F15C6">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572092FA">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421167D9">
            <w:pPr>
              <w:jc w:val="center"/>
              <w:rPr>
                <w:rFonts w:hint="eastAsia" w:ascii="宋体" w:hAnsi="宋体" w:eastAsia="宋体" w:cs="宋体"/>
                <w:i w:val="0"/>
                <w:iCs w:val="0"/>
                <w:color w:val="000000"/>
                <w:sz w:val="20"/>
                <w:szCs w:val="20"/>
                <w:u w:val="none"/>
              </w:rPr>
            </w:pPr>
          </w:p>
        </w:tc>
      </w:tr>
      <w:tr w14:paraId="165BB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2A5C92C0">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5473B13">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86D4F91">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33D98D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关联设备列表</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26467D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3CB7F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208B58A4">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76CE1433">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7B898E9">
            <w:pPr>
              <w:jc w:val="center"/>
              <w:rPr>
                <w:rFonts w:hint="eastAsia" w:ascii="宋体" w:hAnsi="宋体" w:eastAsia="宋体" w:cs="宋体"/>
                <w:i w:val="0"/>
                <w:iCs w:val="0"/>
                <w:color w:val="000000"/>
                <w:sz w:val="20"/>
                <w:szCs w:val="20"/>
                <w:u w:val="none"/>
              </w:rPr>
            </w:pPr>
          </w:p>
        </w:tc>
      </w:tr>
      <w:tr w14:paraId="34F66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C7EF854">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1B3CA52">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4BD0FE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摄像头实时监控</w:t>
            </w:r>
          </w:p>
        </w:tc>
        <w:tc>
          <w:tcPr>
            <w:tcW w:w="924" w:type="dxa"/>
            <w:tcBorders>
              <w:top w:val="nil"/>
              <w:left w:val="nil"/>
              <w:bottom w:val="single" w:color="000000" w:sz="8" w:space="0"/>
              <w:right w:val="single" w:color="000000" w:sz="8" w:space="0"/>
            </w:tcBorders>
            <w:shd w:val="clear" w:color="auto" w:fill="auto"/>
            <w:vAlign w:val="center"/>
          </w:tcPr>
          <w:p w14:paraId="313673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摄像头设备分布</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596CF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56811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2AA08EE">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77C9EC32">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B31C148">
            <w:pPr>
              <w:jc w:val="center"/>
              <w:rPr>
                <w:rFonts w:hint="eastAsia" w:ascii="宋体" w:hAnsi="宋体" w:eastAsia="宋体" w:cs="宋体"/>
                <w:i w:val="0"/>
                <w:iCs w:val="0"/>
                <w:color w:val="000000"/>
                <w:sz w:val="20"/>
                <w:szCs w:val="20"/>
                <w:u w:val="none"/>
              </w:rPr>
            </w:pPr>
          </w:p>
        </w:tc>
      </w:tr>
      <w:tr w14:paraId="08FBB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F78C651">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1FE475B">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870EE70">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34524E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摄像头离线标记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01C92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997F6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170C2965">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5F34E872">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54A6475">
            <w:pPr>
              <w:jc w:val="center"/>
              <w:rPr>
                <w:rFonts w:hint="eastAsia" w:ascii="宋体" w:hAnsi="宋体" w:eastAsia="宋体" w:cs="宋体"/>
                <w:i w:val="0"/>
                <w:iCs w:val="0"/>
                <w:color w:val="000000"/>
                <w:sz w:val="20"/>
                <w:szCs w:val="20"/>
                <w:u w:val="none"/>
              </w:rPr>
            </w:pPr>
          </w:p>
        </w:tc>
      </w:tr>
      <w:tr w14:paraId="2B48C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0072801">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3E1249F">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F867D14">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04FDDC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摄像头故障标记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22D0A8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EFCBC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43AD77D">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BF53F42">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7BA5185">
            <w:pPr>
              <w:jc w:val="center"/>
              <w:rPr>
                <w:rFonts w:hint="eastAsia" w:ascii="宋体" w:hAnsi="宋体" w:eastAsia="宋体" w:cs="宋体"/>
                <w:i w:val="0"/>
                <w:iCs w:val="0"/>
                <w:color w:val="000000"/>
                <w:sz w:val="20"/>
                <w:szCs w:val="20"/>
                <w:u w:val="none"/>
              </w:rPr>
            </w:pPr>
          </w:p>
        </w:tc>
      </w:tr>
      <w:tr w14:paraId="410CF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B48AE7B">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77B6A66">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F8CFEA5">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2BB42A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摄像头快速查询</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601245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859D9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6788BA0">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91A28B1">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50730B2">
            <w:pPr>
              <w:jc w:val="center"/>
              <w:rPr>
                <w:rFonts w:hint="eastAsia" w:ascii="宋体" w:hAnsi="宋体" w:eastAsia="宋体" w:cs="宋体"/>
                <w:i w:val="0"/>
                <w:iCs w:val="0"/>
                <w:color w:val="000000"/>
                <w:sz w:val="20"/>
                <w:szCs w:val="20"/>
                <w:u w:val="none"/>
              </w:rPr>
            </w:pPr>
          </w:p>
        </w:tc>
      </w:tr>
      <w:tr w14:paraId="385B5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1175BED">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443545C">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4FE312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摄像头详情</w:t>
            </w:r>
          </w:p>
        </w:tc>
        <w:tc>
          <w:tcPr>
            <w:tcW w:w="924" w:type="dxa"/>
            <w:tcBorders>
              <w:top w:val="nil"/>
              <w:left w:val="nil"/>
              <w:bottom w:val="single" w:color="000000" w:sz="8" w:space="0"/>
              <w:right w:val="single" w:color="000000" w:sz="8" w:space="0"/>
            </w:tcBorders>
            <w:shd w:val="clear" w:color="auto" w:fill="auto"/>
            <w:vAlign w:val="center"/>
          </w:tcPr>
          <w:p w14:paraId="128A24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摄像头基本信息</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7533FE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1138CF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1FFEA42C">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B9844F2">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331CEBF9">
            <w:pPr>
              <w:jc w:val="center"/>
              <w:rPr>
                <w:rFonts w:hint="eastAsia" w:ascii="宋体" w:hAnsi="宋体" w:eastAsia="宋体" w:cs="宋体"/>
                <w:i w:val="0"/>
                <w:iCs w:val="0"/>
                <w:color w:val="000000"/>
                <w:sz w:val="20"/>
                <w:szCs w:val="20"/>
                <w:u w:val="none"/>
              </w:rPr>
            </w:pPr>
          </w:p>
        </w:tc>
      </w:tr>
      <w:tr w14:paraId="1EAF5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6544E5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D209933">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0D194A7">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7EF340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关联设备列表</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2FD198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1450F1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ED566DC">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54606769">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BCB3219">
            <w:pPr>
              <w:jc w:val="center"/>
              <w:rPr>
                <w:rFonts w:hint="eastAsia" w:ascii="宋体" w:hAnsi="宋体" w:eastAsia="宋体" w:cs="宋体"/>
                <w:i w:val="0"/>
                <w:iCs w:val="0"/>
                <w:color w:val="000000"/>
                <w:sz w:val="20"/>
                <w:szCs w:val="20"/>
                <w:u w:val="none"/>
              </w:rPr>
            </w:pPr>
          </w:p>
        </w:tc>
      </w:tr>
      <w:tr w14:paraId="724CB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4C42D2AE">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593800D">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7EBA51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雷达实时监控</w:t>
            </w:r>
          </w:p>
        </w:tc>
        <w:tc>
          <w:tcPr>
            <w:tcW w:w="924" w:type="dxa"/>
            <w:tcBorders>
              <w:top w:val="nil"/>
              <w:left w:val="nil"/>
              <w:bottom w:val="single" w:color="000000" w:sz="8" w:space="0"/>
              <w:right w:val="single" w:color="000000" w:sz="8" w:space="0"/>
            </w:tcBorders>
            <w:shd w:val="clear" w:color="auto" w:fill="auto"/>
            <w:vAlign w:val="center"/>
          </w:tcPr>
          <w:p w14:paraId="5D434C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雷达设备分布</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67061A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79451C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2BA1009A">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826330E">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EEF007D">
            <w:pPr>
              <w:jc w:val="center"/>
              <w:rPr>
                <w:rFonts w:hint="eastAsia" w:ascii="宋体" w:hAnsi="宋体" w:eastAsia="宋体" w:cs="宋体"/>
                <w:i w:val="0"/>
                <w:iCs w:val="0"/>
                <w:color w:val="000000"/>
                <w:sz w:val="20"/>
                <w:szCs w:val="20"/>
                <w:u w:val="none"/>
              </w:rPr>
            </w:pPr>
          </w:p>
        </w:tc>
      </w:tr>
      <w:tr w14:paraId="2182E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2DBF7DF7">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75F1705">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F53FCA3">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B0440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雷达离线标记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D9E7A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27300D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54C8294">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65B22F9F">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C8EC699">
            <w:pPr>
              <w:jc w:val="center"/>
              <w:rPr>
                <w:rFonts w:hint="eastAsia" w:ascii="宋体" w:hAnsi="宋体" w:eastAsia="宋体" w:cs="宋体"/>
                <w:i w:val="0"/>
                <w:iCs w:val="0"/>
                <w:color w:val="000000"/>
                <w:sz w:val="20"/>
                <w:szCs w:val="20"/>
                <w:u w:val="none"/>
              </w:rPr>
            </w:pPr>
          </w:p>
        </w:tc>
      </w:tr>
      <w:tr w14:paraId="515A5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BE57607">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B597CD0">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F01EF2C">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5F4E52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雷达故障标记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642C04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02271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6D5F87F8">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376A9249">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C11ED34">
            <w:pPr>
              <w:jc w:val="center"/>
              <w:rPr>
                <w:rFonts w:hint="eastAsia" w:ascii="宋体" w:hAnsi="宋体" w:eastAsia="宋体" w:cs="宋体"/>
                <w:i w:val="0"/>
                <w:iCs w:val="0"/>
                <w:color w:val="000000"/>
                <w:sz w:val="20"/>
                <w:szCs w:val="20"/>
                <w:u w:val="none"/>
              </w:rPr>
            </w:pPr>
          </w:p>
        </w:tc>
      </w:tr>
      <w:tr w14:paraId="12A1A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1BC463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1B70839">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C645897">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670D46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雷达快速查询</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28F388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4BCB6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260A26AF">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3CDC962B">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72BC7025">
            <w:pPr>
              <w:jc w:val="center"/>
              <w:rPr>
                <w:rFonts w:hint="eastAsia" w:ascii="宋体" w:hAnsi="宋体" w:eastAsia="宋体" w:cs="宋体"/>
                <w:i w:val="0"/>
                <w:iCs w:val="0"/>
                <w:color w:val="000000"/>
                <w:sz w:val="20"/>
                <w:szCs w:val="20"/>
                <w:u w:val="none"/>
              </w:rPr>
            </w:pPr>
          </w:p>
        </w:tc>
      </w:tr>
      <w:tr w14:paraId="63B4E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D58AD74">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6225EAE">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2CAC60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雷达详情</w:t>
            </w:r>
          </w:p>
        </w:tc>
        <w:tc>
          <w:tcPr>
            <w:tcW w:w="924" w:type="dxa"/>
            <w:tcBorders>
              <w:top w:val="nil"/>
              <w:left w:val="nil"/>
              <w:bottom w:val="single" w:color="000000" w:sz="8" w:space="0"/>
              <w:right w:val="single" w:color="000000" w:sz="8" w:space="0"/>
            </w:tcBorders>
            <w:shd w:val="clear" w:color="auto" w:fill="auto"/>
            <w:vAlign w:val="center"/>
          </w:tcPr>
          <w:p w14:paraId="216459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雷达基本信息</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11D2CD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2BD023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110C0546">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5FA4FBAE">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7527DF82">
            <w:pPr>
              <w:jc w:val="center"/>
              <w:rPr>
                <w:rFonts w:hint="eastAsia" w:ascii="宋体" w:hAnsi="宋体" w:eastAsia="宋体" w:cs="宋体"/>
                <w:i w:val="0"/>
                <w:iCs w:val="0"/>
                <w:color w:val="000000"/>
                <w:sz w:val="20"/>
                <w:szCs w:val="20"/>
                <w:u w:val="none"/>
              </w:rPr>
            </w:pPr>
          </w:p>
        </w:tc>
      </w:tr>
      <w:tr w14:paraId="25DA4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7C8BBF41">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8D6912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345740A">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1A654A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关联设备列表</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745997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C9D7C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71AD6AC">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5288BD7B">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85B429D">
            <w:pPr>
              <w:jc w:val="center"/>
              <w:rPr>
                <w:rFonts w:hint="eastAsia" w:ascii="宋体" w:hAnsi="宋体" w:eastAsia="宋体" w:cs="宋体"/>
                <w:i w:val="0"/>
                <w:iCs w:val="0"/>
                <w:color w:val="000000"/>
                <w:sz w:val="20"/>
                <w:szCs w:val="20"/>
                <w:u w:val="none"/>
              </w:rPr>
            </w:pPr>
          </w:p>
        </w:tc>
      </w:tr>
      <w:tr w14:paraId="7FCB6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4E686D7A">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57066A6">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719961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设备告警</w:t>
            </w:r>
          </w:p>
        </w:tc>
        <w:tc>
          <w:tcPr>
            <w:tcW w:w="924" w:type="dxa"/>
            <w:tcBorders>
              <w:top w:val="nil"/>
              <w:left w:val="nil"/>
              <w:bottom w:val="single" w:color="000000" w:sz="8" w:space="0"/>
              <w:right w:val="single" w:color="000000" w:sz="8" w:space="0"/>
            </w:tcBorders>
            <w:shd w:val="clear" w:color="auto" w:fill="auto"/>
            <w:vAlign w:val="center"/>
          </w:tcPr>
          <w:p w14:paraId="1F9485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设备网联异常告警</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382BCD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35EAEF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2DF02BC1">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D129D02">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3CE8045">
            <w:pPr>
              <w:jc w:val="center"/>
              <w:rPr>
                <w:rFonts w:hint="eastAsia" w:ascii="宋体" w:hAnsi="宋体" w:eastAsia="宋体" w:cs="宋体"/>
                <w:i w:val="0"/>
                <w:iCs w:val="0"/>
                <w:color w:val="000000"/>
                <w:sz w:val="20"/>
                <w:szCs w:val="20"/>
                <w:u w:val="none"/>
              </w:rPr>
            </w:pPr>
          </w:p>
        </w:tc>
      </w:tr>
      <w:tr w14:paraId="51C8C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2784240B">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DF9C1F9">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588BEAA">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2ED704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设备进程故障告警</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7F841D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A0D7E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42822F1">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73C78732">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19CDCDA">
            <w:pPr>
              <w:jc w:val="center"/>
              <w:rPr>
                <w:rFonts w:hint="eastAsia" w:ascii="宋体" w:hAnsi="宋体" w:eastAsia="宋体" w:cs="宋体"/>
                <w:i w:val="0"/>
                <w:iCs w:val="0"/>
                <w:color w:val="000000"/>
                <w:sz w:val="20"/>
                <w:szCs w:val="20"/>
                <w:u w:val="none"/>
              </w:rPr>
            </w:pPr>
          </w:p>
        </w:tc>
      </w:tr>
      <w:tr w14:paraId="346AA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77DFA6BA">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7C63364">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A004C79">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051EE0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设备硬件异常告警</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D0E37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7F97E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096B4FB">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2AC92818">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79323146">
            <w:pPr>
              <w:jc w:val="center"/>
              <w:rPr>
                <w:rFonts w:hint="eastAsia" w:ascii="宋体" w:hAnsi="宋体" w:eastAsia="宋体" w:cs="宋体"/>
                <w:i w:val="0"/>
                <w:iCs w:val="0"/>
                <w:color w:val="000000"/>
                <w:sz w:val="20"/>
                <w:szCs w:val="20"/>
                <w:u w:val="none"/>
              </w:rPr>
            </w:pPr>
          </w:p>
        </w:tc>
      </w:tr>
      <w:tr w14:paraId="409B3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6A94879E">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92A9F87">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6BFDB2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设备历史故障</w:t>
            </w:r>
          </w:p>
        </w:tc>
        <w:tc>
          <w:tcPr>
            <w:tcW w:w="924" w:type="dxa"/>
            <w:tcBorders>
              <w:top w:val="nil"/>
              <w:left w:val="nil"/>
              <w:bottom w:val="single" w:color="000000" w:sz="8" w:space="0"/>
              <w:right w:val="single" w:color="000000" w:sz="8" w:space="0"/>
            </w:tcBorders>
            <w:shd w:val="clear" w:color="auto" w:fill="auto"/>
            <w:vAlign w:val="center"/>
          </w:tcPr>
          <w:p w14:paraId="209E44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故障列表</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3741AB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BB664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C807B83">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673D1715">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1A3468F">
            <w:pPr>
              <w:jc w:val="center"/>
              <w:rPr>
                <w:rFonts w:hint="eastAsia" w:ascii="宋体" w:hAnsi="宋体" w:eastAsia="宋体" w:cs="宋体"/>
                <w:i w:val="0"/>
                <w:iCs w:val="0"/>
                <w:color w:val="000000"/>
                <w:sz w:val="20"/>
                <w:szCs w:val="20"/>
                <w:u w:val="none"/>
              </w:rPr>
            </w:pPr>
          </w:p>
        </w:tc>
      </w:tr>
      <w:tr w14:paraId="2645F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9B0A3BF">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0BF17EC">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DE71D7E">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6E7756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故障查询</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7F2B5D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13C320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3BEB261">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3540A537">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7D3ABDA1">
            <w:pPr>
              <w:jc w:val="center"/>
              <w:rPr>
                <w:rFonts w:hint="eastAsia" w:ascii="宋体" w:hAnsi="宋体" w:eastAsia="宋体" w:cs="宋体"/>
                <w:i w:val="0"/>
                <w:iCs w:val="0"/>
                <w:color w:val="000000"/>
                <w:sz w:val="20"/>
                <w:szCs w:val="20"/>
                <w:u w:val="none"/>
              </w:rPr>
            </w:pPr>
          </w:p>
        </w:tc>
      </w:tr>
      <w:tr w14:paraId="3D06E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923" w:type="dxa"/>
            <w:vMerge w:val="restart"/>
            <w:tcBorders>
              <w:top w:val="nil"/>
              <w:left w:val="single" w:color="000000" w:sz="8" w:space="0"/>
              <w:bottom w:val="single" w:color="000000" w:sz="8" w:space="0"/>
              <w:right w:val="single" w:color="000000" w:sz="8" w:space="0"/>
            </w:tcBorders>
            <w:shd w:val="clear" w:color="auto" w:fill="auto"/>
            <w:vAlign w:val="center"/>
          </w:tcPr>
          <w:p w14:paraId="77309A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创新大道数字孪生支撑平台</w:t>
            </w:r>
          </w:p>
        </w:tc>
        <w:tc>
          <w:tcPr>
            <w:tcW w:w="924" w:type="dxa"/>
            <w:vMerge w:val="restart"/>
            <w:tcBorders>
              <w:top w:val="nil"/>
              <w:left w:val="nil"/>
              <w:bottom w:val="single" w:color="000000" w:sz="8" w:space="0"/>
              <w:right w:val="single" w:color="000000" w:sz="8" w:space="0"/>
            </w:tcBorders>
            <w:shd w:val="clear" w:color="auto" w:fill="auto"/>
            <w:vAlign w:val="center"/>
          </w:tcPr>
          <w:p w14:paraId="1A0EAF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创新大道道路孪生</w:t>
            </w:r>
          </w:p>
        </w:tc>
        <w:tc>
          <w:tcPr>
            <w:tcW w:w="924" w:type="dxa"/>
            <w:vMerge w:val="restart"/>
            <w:tcBorders>
              <w:top w:val="nil"/>
              <w:left w:val="nil"/>
              <w:bottom w:val="single" w:color="000000" w:sz="8" w:space="0"/>
              <w:right w:val="single" w:color="000000" w:sz="8" w:space="0"/>
            </w:tcBorders>
            <w:shd w:val="clear" w:color="auto" w:fill="auto"/>
            <w:vAlign w:val="center"/>
          </w:tcPr>
          <w:p w14:paraId="690A1B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道路孪生静态要素构建</w:t>
            </w:r>
          </w:p>
        </w:tc>
        <w:tc>
          <w:tcPr>
            <w:tcW w:w="924" w:type="dxa"/>
            <w:tcBorders>
              <w:top w:val="nil"/>
              <w:left w:val="nil"/>
              <w:bottom w:val="single" w:color="000000" w:sz="8" w:space="0"/>
              <w:right w:val="single" w:color="000000" w:sz="8" w:space="0"/>
            </w:tcBorders>
            <w:shd w:val="clear" w:color="auto" w:fill="auto"/>
            <w:vAlign w:val="center"/>
          </w:tcPr>
          <w:p w14:paraId="526096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3D高精度地图路面车道线展示</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2A1E36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ECC80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2C3D508E">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1A06449">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center"/>
          </w:tcPr>
          <w:p w14:paraId="401FB359">
            <w:pPr>
              <w:jc w:val="center"/>
              <w:rPr>
                <w:rFonts w:hint="eastAsia" w:ascii="宋体" w:hAnsi="宋体" w:eastAsia="宋体" w:cs="宋体"/>
                <w:i w:val="0"/>
                <w:iCs w:val="0"/>
                <w:color w:val="000000"/>
                <w:sz w:val="20"/>
                <w:szCs w:val="20"/>
                <w:u w:val="none"/>
              </w:rPr>
            </w:pPr>
          </w:p>
        </w:tc>
      </w:tr>
      <w:tr w14:paraId="60CE7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551BE15">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AC0BC5E">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B5020E1">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0981C1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3D高精度地图路面横向标线展示</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38BD77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0BB50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C818F2E">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626A1120">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30EC6463">
            <w:pPr>
              <w:jc w:val="center"/>
              <w:rPr>
                <w:rFonts w:hint="eastAsia" w:ascii="宋体" w:hAnsi="宋体" w:eastAsia="宋体" w:cs="宋体"/>
                <w:i w:val="0"/>
                <w:iCs w:val="0"/>
                <w:color w:val="000000"/>
                <w:sz w:val="20"/>
                <w:szCs w:val="20"/>
                <w:u w:val="none"/>
              </w:rPr>
            </w:pPr>
          </w:p>
        </w:tc>
      </w:tr>
      <w:tr w14:paraId="43361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28FDE78D">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A6A28A5">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07411ED">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106AEF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3D高精度地图路面交通标识层展示</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306CA2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DDA30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5FDEA04">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9B4B6BD">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66E7DFC">
            <w:pPr>
              <w:jc w:val="center"/>
              <w:rPr>
                <w:rFonts w:hint="eastAsia" w:ascii="宋体" w:hAnsi="宋体" w:eastAsia="宋体" w:cs="宋体"/>
                <w:i w:val="0"/>
                <w:iCs w:val="0"/>
                <w:color w:val="000000"/>
                <w:sz w:val="20"/>
                <w:szCs w:val="20"/>
                <w:u w:val="none"/>
              </w:rPr>
            </w:pPr>
          </w:p>
        </w:tc>
      </w:tr>
      <w:tr w14:paraId="71537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67C9FAC7">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11BE9AD">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08DE9CC">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15E0CB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3D高精度地图道路基础附属设施层</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681C16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DCA03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7116A4F">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2F5281C0">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7E7AD19A">
            <w:pPr>
              <w:jc w:val="center"/>
              <w:rPr>
                <w:rFonts w:hint="eastAsia" w:ascii="宋体" w:hAnsi="宋体" w:eastAsia="宋体" w:cs="宋体"/>
                <w:i w:val="0"/>
                <w:iCs w:val="0"/>
                <w:color w:val="000000"/>
                <w:sz w:val="20"/>
                <w:szCs w:val="20"/>
                <w:u w:val="none"/>
              </w:rPr>
            </w:pPr>
          </w:p>
        </w:tc>
      </w:tr>
      <w:tr w14:paraId="43525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9CA5B3E">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3D3AA6D">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654CCE4">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56614F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3D高精度地图道路交通渠化层</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60BA12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32B0DC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28662AF">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06F7E18B">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202DC32B">
            <w:pPr>
              <w:jc w:val="center"/>
              <w:rPr>
                <w:rFonts w:hint="eastAsia" w:ascii="宋体" w:hAnsi="宋体" w:eastAsia="宋体" w:cs="宋体"/>
                <w:i w:val="0"/>
                <w:iCs w:val="0"/>
                <w:color w:val="000000"/>
                <w:sz w:val="20"/>
                <w:szCs w:val="20"/>
                <w:u w:val="none"/>
              </w:rPr>
            </w:pPr>
          </w:p>
        </w:tc>
      </w:tr>
      <w:tr w14:paraId="06FE1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D1263EF">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96522D0">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5DBEB4F">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19430C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L2楼块还原</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3A573A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62F85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C6C196D">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806C0A9">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center"/>
          </w:tcPr>
          <w:p w14:paraId="7507CB56">
            <w:pPr>
              <w:jc w:val="center"/>
              <w:rPr>
                <w:rFonts w:hint="eastAsia" w:ascii="宋体" w:hAnsi="宋体" w:eastAsia="宋体" w:cs="宋体"/>
                <w:i w:val="0"/>
                <w:iCs w:val="0"/>
                <w:color w:val="000000"/>
                <w:sz w:val="20"/>
                <w:szCs w:val="20"/>
                <w:u w:val="none"/>
              </w:rPr>
            </w:pPr>
          </w:p>
        </w:tc>
      </w:tr>
      <w:tr w14:paraId="5BE2B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260655A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389CCC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3A3F515">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677941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植被要素</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CB31F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A0D33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D0C7D8A">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5034C473">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3D183B2">
            <w:pPr>
              <w:jc w:val="center"/>
              <w:rPr>
                <w:rFonts w:hint="eastAsia" w:ascii="宋体" w:hAnsi="宋体" w:eastAsia="宋体" w:cs="宋体"/>
                <w:i w:val="0"/>
                <w:iCs w:val="0"/>
                <w:color w:val="000000"/>
                <w:sz w:val="20"/>
                <w:szCs w:val="20"/>
                <w:u w:val="none"/>
              </w:rPr>
            </w:pPr>
          </w:p>
        </w:tc>
      </w:tr>
      <w:tr w14:paraId="6C3CB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613DDBF">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171B489">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7872CD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道路事件可视化</w:t>
            </w:r>
          </w:p>
        </w:tc>
        <w:tc>
          <w:tcPr>
            <w:tcW w:w="924" w:type="dxa"/>
            <w:tcBorders>
              <w:top w:val="nil"/>
              <w:left w:val="nil"/>
              <w:bottom w:val="single" w:color="000000" w:sz="8" w:space="0"/>
              <w:right w:val="single" w:color="000000" w:sz="8" w:space="0"/>
            </w:tcBorders>
            <w:shd w:val="clear" w:color="auto" w:fill="auto"/>
            <w:vAlign w:val="center"/>
          </w:tcPr>
          <w:p w14:paraId="08F60E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事件可视化</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0048C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F7311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B7A4A14">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38F69451">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3738388">
            <w:pPr>
              <w:jc w:val="center"/>
              <w:rPr>
                <w:rFonts w:hint="eastAsia" w:ascii="宋体" w:hAnsi="宋体" w:eastAsia="宋体" w:cs="宋体"/>
                <w:i w:val="0"/>
                <w:iCs w:val="0"/>
                <w:color w:val="000000"/>
                <w:sz w:val="20"/>
                <w:szCs w:val="20"/>
                <w:u w:val="none"/>
              </w:rPr>
            </w:pPr>
          </w:p>
        </w:tc>
      </w:tr>
      <w:tr w14:paraId="5E5EC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75D6ACEB">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9E993B3">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3E670C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路口视角孪生可视化</w:t>
            </w:r>
          </w:p>
        </w:tc>
        <w:tc>
          <w:tcPr>
            <w:tcW w:w="924" w:type="dxa"/>
            <w:tcBorders>
              <w:top w:val="nil"/>
              <w:left w:val="nil"/>
              <w:bottom w:val="single" w:color="000000" w:sz="8" w:space="0"/>
              <w:right w:val="single" w:color="000000" w:sz="8" w:space="0"/>
            </w:tcBorders>
            <w:shd w:val="clear" w:color="auto" w:fill="auto"/>
            <w:vAlign w:val="center"/>
          </w:tcPr>
          <w:p w14:paraId="0199AD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路侧感知物</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2471BB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C2F08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9FF2AD6">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306DA3E9">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7B946326">
            <w:pPr>
              <w:jc w:val="center"/>
              <w:rPr>
                <w:rFonts w:hint="eastAsia" w:ascii="宋体" w:hAnsi="宋体" w:eastAsia="宋体" w:cs="宋体"/>
                <w:i w:val="0"/>
                <w:iCs w:val="0"/>
                <w:color w:val="000000"/>
                <w:sz w:val="20"/>
                <w:szCs w:val="20"/>
                <w:u w:val="none"/>
              </w:rPr>
            </w:pPr>
          </w:p>
        </w:tc>
      </w:tr>
      <w:tr w14:paraId="532BA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restart"/>
            <w:tcBorders>
              <w:top w:val="nil"/>
              <w:left w:val="single" w:color="000000" w:sz="8" w:space="0"/>
              <w:bottom w:val="single" w:color="000000" w:sz="8" w:space="0"/>
              <w:right w:val="single" w:color="000000" w:sz="8" w:space="0"/>
            </w:tcBorders>
            <w:shd w:val="clear" w:color="auto" w:fill="auto"/>
            <w:vAlign w:val="center"/>
          </w:tcPr>
          <w:p w14:paraId="0367C967">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4F6797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智慧道路总览</w:t>
            </w:r>
          </w:p>
        </w:tc>
        <w:tc>
          <w:tcPr>
            <w:tcW w:w="924" w:type="dxa"/>
            <w:vMerge w:val="restart"/>
            <w:tcBorders>
              <w:top w:val="nil"/>
              <w:left w:val="nil"/>
              <w:bottom w:val="single" w:color="000000" w:sz="8" w:space="0"/>
              <w:right w:val="single" w:color="000000" w:sz="8" w:space="0"/>
            </w:tcBorders>
            <w:shd w:val="clear" w:color="auto" w:fill="auto"/>
            <w:vAlign w:val="center"/>
          </w:tcPr>
          <w:p w14:paraId="1C2FE8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路网概览</w:t>
            </w:r>
          </w:p>
        </w:tc>
        <w:tc>
          <w:tcPr>
            <w:tcW w:w="924" w:type="dxa"/>
            <w:tcBorders>
              <w:top w:val="nil"/>
              <w:left w:val="nil"/>
              <w:bottom w:val="single" w:color="000000" w:sz="8" w:space="0"/>
              <w:right w:val="single" w:color="000000" w:sz="8" w:space="0"/>
            </w:tcBorders>
            <w:shd w:val="clear" w:color="auto" w:fill="auto"/>
            <w:vAlign w:val="center"/>
          </w:tcPr>
          <w:p w14:paraId="42459E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覆盖里程</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60D2F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3859AA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28889A90">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8611950">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40284E68">
            <w:pPr>
              <w:jc w:val="center"/>
              <w:rPr>
                <w:rFonts w:hint="eastAsia" w:ascii="宋体" w:hAnsi="宋体" w:eastAsia="宋体" w:cs="宋体"/>
                <w:i w:val="0"/>
                <w:iCs w:val="0"/>
                <w:color w:val="000000"/>
                <w:sz w:val="20"/>
                <w:szCs w:val="20"/>
                <w:u w:val="none"/>
              </w:rPr>
            </w:pPr>
          </w:p>
        </w:tc>
      </w:tr>
      <w:tr w14:paraId="38A78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28E082F5">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478B1FD">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C21BD6B">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0C2E69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路口数量</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5ACAB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28E370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31B96EA">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5B99E1C4">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6A78DBC">
            <w:pPr>
              <w:jc w:val="center"/>
              <w:rPr>
                <w:rFonts w:hint="eastAsia" w:ascii="宋体" w:hAnsi="宋体" w:eastAsia="宋体" w:cs="宋体"/>
                <w:i w:val="0"/>
                <w:iCs w:val="0"/>
                <w:color w:val="000000"/>
                <w:sz w:val="20"/>
                <w:szCs w:val="20"/>
                <w:u w:val="none"/>
              </w:rPr>
            </w:pPr>
          </w:p>
        </w:tc>
      </w:tr>
      <w:tr w14:paraId="74ECB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6543BA74">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FBB3624">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16176A8">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00FE6F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E4C92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BCF43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11249FE4">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094228CD">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BFE483E">
            <w:pPr>
              <w:jc w:val="center"/>
              <w:rPr>
                <w:rFonts w:hint="eastAsia" w:ascii="宋体" w:hAnsi="宋体" w:eastAsia="宋体" w:cs="宋体"/>
                <w:i w:val="0"/>
                <w:iCs w:val="0"/>
                <w:color w:val="000000"/>
                <w:sz w:val="20"/>
                <w:szCs w:val="20"/>
                <w:u w:val="none"/>
              </w:rPr>
            </w:pPr>
          </w:p>
        </w:tc>
      </w:tr>
      <w:tr w14:paraId="154BC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23B9AD86">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8A15453">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28CA56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设备总览</w:t>
            </w:r>
          </w:p>
        </w:tc>
        <w:tc>
          <w:tcPr>
            <w:tcW w:w="924" w:type="dxa"/>
            <w:tcBorders>
              <w:top w:val="nil"/>
              <w:left w:val="nil"/>
              <w:bottom w:val="single" w:color="000000" w:sz="8" w:space="0"/>
              <w:right w:val="single" w:color="000000" w:sz="8" w:space="0"/>
            </w:tcBorders>
            <w:shd w:val="clear" w:color="auto" w:fill="auto"/>
            <w:vAlign w:val="center"/>
          </w:tcPr>
          <w:p w14:paraId="35DD13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多类设备总数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83202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7E3F8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CC49C8B">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5875A546">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78E72338">
            <w:pPr>
              <w:jc w:val="center"/>
              <w:rPr>
                <w:rFonts w:hint="eastAsia" w:ascii="宋体" w:hAnsi="宋体" w:eastAsia="宋体" w:cs="宋体"/>
                <w:i w:val="0"/>
                <w:iCs w:val="0"/>
                <w:color w:val="000000"/>
                <w:sz w:val="20"/>
                <w:szCs w:val="20"/>
                <w:u w:val="none"/>
              </w:rPr>
            </w:pPr>
          </w:p>
        </w:tc>
      </w:tr>
      <w:tr w14:paraId="7E105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BE2BFC1">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7BD9644">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8AC3991">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1C8EB7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多类设备在线率</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6D891A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15DF37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1910E8CB">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2CA349A4">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0125629">
            <w:pPr>
              <w:jc w:val="center"/>
              <w:rPr>
                <w:rFonts w:hint="eastAsia" w:ascii="宋体" w:hAnsi="宋体" w:eastAsia="宋体" w:cs="宋体"/>
                <w:i w:val="0"/>
                <w:iCs w:val="0"/>
                <w:color w:val="000000"/>
                <w:sz w:val="20"/>
                <w:szCs w:val="20"/>
                <w:u w:val="none"/>
              </w:rPr>
            </w:pPr>
          </w:p>
        </w:tc>
      </w:tr>
      <w:tr w14:paraId="7A7AE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932FE44">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99F09E1">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F91EACC">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3A5C20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边缘计算单元设备总数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11B85F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36582E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55BE838">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A3A0C12">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118781F">
            <w:pPr>
              <w:jc w:val="center"/>
              <w:rPr>
                <w:rFonts w:hint="eastAsia" w:ascii="宋体" w:hAnsi="宋体" w:eastAsia="宋体" w:cs="宋体"/>
                <w:i w:val="0"/>
                <w:iCs w:val="0"/>
                <w:color w:val="000000"/>
                <w:sz w:val="20"/>
                <w:szCs w:val="20"/>
                <w:u w:val="none"/>
              </w:rPr>
            </w:pPr>
          </w:p>
        </w:tc>
      </w:tr>
      <w:tr w14:paraId="74EA2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4D4422EE">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8D2C861">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DD3053D">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25EF87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边缘计算单元设备在线率</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6D0D0C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7E2F3F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1535FE07">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0C16A5F6">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48F40F26">
            <w:pPr>
              <w:jc w:val="center"/>
              <w:rPr>
                <w:rFonts w:hint="eastAsia" w:ascii="宋体" w:hAnsi="宋体" w:eastAsia="宋体" w:cs="宋体"/>
                <w:i w:val="0"/>
                <w:iCs w:val="0"/>
                <w:color w:val="000000"/>
                <w:sz w:val="20"/>
                <w:szCs w:val="20"/>
                <w:u w:val="none"/>
              </w:rPr>
            </w:pPr>
          </w:p>
        </w:tc>
      </w:tr>
      <w:tr w14:paraId="44AD5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7417AF6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D632676">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B636C88">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589D14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通信单元设备总数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45DA9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914E4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2527482">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F7D43BB">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065E488">
            <w:pPr>
              <w:jc w:val="center"/>
              <w:rPr>
                <w:rFonts w:hint="eastAsia" w:ascii="宋体" w:hAnsi="宋体" w:eastAsia="宋体" w:cs="宋体"/>
                <w:i w:val="0"/>
                <w:iCs w:val="0"/>
                <w:color w:val="000000"/>
                <w:sz w:val="20"/>
                <w:szCs w:val="20"/>
                <w:u w:val="none"/>
              </w:rPr>
            </w:pPr>
          </w:p>
        </w:tc>
      </w:tr>
      <w:tr w14:paraId="7ED23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6D09EF3A">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A35DEF4">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2AEE3E9">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7E9BBF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通信单元设备在线率</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6F123C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175102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7D194A5">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76254C9E">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FF3F05B">
            <w:pPr>
              <w:jc w:val="center"/>
              <w:rPr>
                <w:rFonts w:hint="eastAsia" w:ascii="宋体" w:hAnsi="宋体" w:eastAsia="宋体" w:cs="宋体"/>
                <w:i w:val="0"/>
                <w:iCs w:val="0"/>
                <w:color w:val="000000"/>
                <w:sz w:val="20"/>
                <w:szCs w:val="20"/>
                <w:u w:val="none"/>
              </w:rPr>
            </w:pPr>
          </w:p>
        </w:tc>
      </w:tr>
      <w:tr w14:paraId="1E19F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70B1BC0">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05BA73C">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BE31C16">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27517B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摄像头总数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25EDB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2C1B3C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D49AC23">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5CD8E46C">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86356DB">
            <w:pPr>
              <w:jc w:val="center"/>
              <w:rPr>
                <w:rFonts w:hint="eastAsia" w:ascii="宋体" w:hAnsi="宋体" w:eastAsia="宋体" w:cs="宋体"/>
                <w:i w:val="0"/>
                <w:iCs w:val="0"/>
                <w:color w:val="000000"/>
                <w:sz w:val="20"/>
                <w:szCs w:val="20"/>
                <w:u w:val="none"/>
              </w:rPr>
            </w:pPr>
          </w:p>
        </w:tc>
      </w:tr>
      <w:tr w14:paraId="5BDC0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342B69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767E26C">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7308198">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01A177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摄像头在线率</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7A2ED3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34C67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0BE8DABF">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2EA6EE22">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2AB37C20">
            <w:pPr>
              <w:jc w:val="center"/>
              <w:rPr>
                <w:rFonts w:hint="eastAsia" w:ascii="宋体" w:hAnsi="宋体" w:eastAsia="宋体" w:cs="宋体"/>
                <w:i w:val="0"/>
                <w:iCs w:val="0"/>
                <w:color w:val="000000"/>
                <w:sz w:val="20"/>
                <w:szCs w:val="20"/>
                <w:u w:val="none"/>
              </w:rPr>
            </w:pPr>
          </w:p>
        </w:tc>
      </w:tr>
      <w:tr w14:paraId="5A268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3CFEE80">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587980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ABF516B">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50F130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雷达总数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6522B7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4075D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6AB95327">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2E5EA5FD">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29B41A8D">
            <w:pPr>
              <w:jc w:val="center"/>
              <w:rPr>
                <w:rFonts w:hint="eastAsia" w:ascii="宋体" w:hAnsi="宋体" w:eastAsia="宋体" w:cs="宋体"/>
                <w:i w:val="0"/>
                <w:iCs w:val="0"/>
                <w:color w:val="000000"/>
                <w:sz w:val="20"/>
                <w:szCs w:val="20"/>
                <w:u w:val="none"/>
              </w:rPr>
            </w:pPr>
          </w:p>
        </w:tc>
      </w:tr>
      <w:tr w14:paraId="68A8D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4A2C80D">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F560FBA">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8AA2E00">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108EC4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雷达在线率</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25A8FE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C7954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9EDB485">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3477FE4A">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23977787">
            <w:pPr>
              <w:jc w:val="center"/>
              <w:rPr>
                <w:rFonts w:hint="eastAsia" w:ascii="宋体" w:hAnsi="宋体" w:eastAsia="宋体" w:cs="宋体"/>
                <w:i w:val="0"/>
                <w:iCs w:val="0"/>
                <w:color w:val="000000"/>
                <w:sz w:val="20"/>
                <w:szCs w:val="20"/>
                <w:u w:val="none"/>
              </w:rPr>
            </w:pPr>
          </w:p>
        </w:tc>
      </w:tr>
      <w:tr w14:paraId="42835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4A42A569">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8945CCD">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0F0F10A">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57A610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信号灯采集器总数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1B5A2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3CD29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785BB20">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3BD8192">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C253D44">
            <w:pPr>
              <w:jc w:val="center"/>
              <w:rPr>
                <w:rFonts w:hint="eastAsia" w:ascii="宋体" w:hAnsi="宋体" w:eastAsia="宋体" w:cs="宋体"/>
                <w:i w:val="0"/>
                <w:iCs w:val="0"/>
                <w:color w:val="000000"/>
                <w:sz w:val="20"/>
                <w:szCs w:val="20"/>
                <w:u w:val="none"/>
              </w:rPr>
            </w:pPr>
          </w:p>
        </w:tc>
      </w:tr>
      <w:tr w14:paraId="38DB9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AC4849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86C7869">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82C3B5C">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45943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信号灯采集器在线率</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17B65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AB97C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B197AFE">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5E7B6B36">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EA78AE3">
            <w:pPr>
              <w:jc w:val="center"/>
              <w:rPr>
                <w:rFonts w:hint="eastAsia" w:ascii="宋体" w:hAnsi="宋体" w:eastAsia="宋体" w:cs="宋体"/>
                <w:i w:val="0"/>
                <w:iCs w:val="0"/>
                <w:color w:val="000000"/>
                <w:sz w:val="20"/>
                <w:szCs w:val="20"/>
                <w:u w:val="none"/>
              </w:rPr>
            </w:pPr>
          </w:p>
        </w:tc>
      </w:tr>
      <w:tr w14:paraId="266F3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600BA87">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9BDADBF">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0D9118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设备运行趋势</w:t>
            </w:r>
          </w:p>
        </w:tc>
        <w:tc>
          <w:tcPr>
            <w:tcW w:w="924" w:type="dxa"/>
            <w:tcBorders>
              <w:top w:val="nil"/>
              <w:left w:val="nil"/>
              <w:bottom w:val="single" w:color="000000" w:sz="8" w:space="0"/>
              <w:right w:val="single" w:color="000000" w:sz="8" w:space="0"/>
            </w:tcBorders>
            <w:shd w:val="clear" w:color="auto" w:fill="auto"/>
            <w:vAlign w:val="center"/>
          </w:tcPr>
          <w:p w14:paraId="6A4465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多类设备在线趋势</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62A434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6A60C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7EA7D2E">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511EADF">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384ABB86">
            <w:pPr>
              <w:jc w:val="center"/>
              <w:rPr>
                <w:rFonts w:hint="eastAsia" w:ascii="宋体" w:hAnsi="宋体" w:eastAsia="宋体" w:cs="宋体"/>
                <w:i w:val="0"/>
                <w:iCs w:val="0"/>
                <w:color w:val="000000"/>
                <w:sz w:val="20"/>
                <w:szCs w:val="20"/>
                <w:u w:val="none"/>
              </w:rPr>
            </w:pPr>
          </w:p>
        </w:tc>
      </w:tr>
      <w:tr w14:paraId="6BBF3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88EF2B4">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9C8BB2F">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6D68412">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44905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边缘计算单元设备在线趋势</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11015B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1D38AC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552CD30">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3FBD3736">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39470935">
            <w:pPr>
              <w:jc w:val="center"/>
              <w:rPr>
                <w:rFonts w:hint="eastAsia" w:ascii="宋体" w:hAnsi="宋体" w:eastAsia="宋体" w:cs="宋体"/>
                <w:i w:val="0"/>
                <w:iCs w:val="0"/>
                <w:color w:val="000000"/>
                <w:sz w:val="20"/>
                <w:szCs w:val="20"/>
                <w:u w:val="none"/>
              </w:rPr>
            </w:pPr>
          </w:p>
        </w:tc>
      </w:tr>
      <w:tr w14:paraId="3E276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193F0E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945CE0E">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ECDC658">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28D675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摄像头在线趋势</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23501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2A55E3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D9B7E41">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34EA4B34">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C91F594">
            <w:pPr>
              <w:jc w:val="center"/>
              <w:rPr>
                <w:rFonts w:hint="eastAsia" w:ascii="宋体" w:hAnsi="宋体" w:eastAsia="宋体" w:cs="宋体"/>
                <w:i w:val="0"/>
                <w:iCs w:val="0"/>
                <w:color w:val="000000"/>
                <w:sz w:val="20"/>
                <w:szCs w:val="20"/>
                <w:u w:val="none"/>
              </w:rPr>
            </w:pPr>
          </w:p>
        </w:tc>
      </w:tr>
      <w:tr w14:paraId="2195E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58D96FD">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83FD01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D5B4C70">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62B3F3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雷达在线趋势</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62C2B0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32145F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09E10BFD">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3F02C380">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225A6289">
            <w:pPr>
              <w:jc w:val="center"/>
              <w:rPr>
                <w:rFonts w:hint="eastAsia" w:ascii="宋体" w:hAnsi="宋体" w:eastAsia="宋体" w:cs="宋体"/>
                <w:i w:val="0"/>
                <w:iCs w:val="0"/>
                <w:color w:val="000000"/>
                <w:sz w:val="20"/>
                <w:szCs w:val="20"/>
                <w:u w:val="none"/>
              </w:rPr>
            </w:pPr>
          </w:p>
        </w:tc>
      </w:tr>
      <w:tr w14:paraId="6FD2E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430E24F">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95C66B0">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7C1E517">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1AD42A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信号灯采集器在线趋势</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560D6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3E4FBD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29968C3E">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767D0FF9">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7E9AE53E">
            <w:pPr>
              <w:jc w:val="center"/>
              <w:rPr>
                <w:rFonts w:hint="eastAsia" w:ascii="宋体" w:hAnsi="宋体" w:eastAsia="宋体" w:cs="宋体"/>
                <w:i w:val="0"/>
                <w:iCs w:val="0"/>
                <w:color w:val="000000"/>
                <w:sz w:val="20"/>
                <w:szCs w:val="20"/>
                <w:u w:val="none"/>
              </w:rPr>
            </w:pPr>
          </w:p>
        </w:tc>
      </w:tr>
      <w:tr w14:paraId="12D06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D9BFE89">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DCB77B4">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62BF77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网联路口列表</w:t>
            </w:r>
          </w:p>
        </w:tc>
        <w:tc>
          <w:tcPr>
            <w:tcW w:w="924" w:type="dxa"/>
            <w:tcBorders>
              <w:top w:val="nil"/>
              <w:left w:val="nil"/>
              <w:bottom w:val="single" w:color="000000" w:sz="8" w:space="0"/>
              <w:right w:val="single" w:color="000000" w:sz="8" w:space="0"/>
            </w:tcBorders>
            <w:shd w:val="clear" w:color="auto" w:fill="auto"/>
            <w:vAlign w:val="center"/>
          </w:tcPr>
          <w:p w14:paraId="4876F5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路口列表信息</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25397A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DA4B5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214DF50C">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08B09092">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7F62D836">
            <w:pPr>
              <w:jc w:val="center"/>
              <w:rPr>
                <w:rFonts w:hint="eastAsia" w:ascii="宋体" w:hAnsi="宋体" w:eastAsia="宋体" w:cs="宋体"/>
                <w:i w:val="0"/>
                <w:iCs w:val="0"/>
                <w:color w:val="000000"/>
                <w:sz w:val="20"/>
                <w:szCs w:val="20"/>
                <w:u w:val="none"/>
              </w:rPr>
            </w:pPr>
          </w:p>
        </w:tc>
      </w:tr>
      <w:tr w14:paraId="145E4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6A3C9541">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12E4603">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FFD5347">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73D895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路侧点详情入口</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3CBEB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104625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AA0445C">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7FF494F2">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2BC89ABF">
            <w:pPr>
              <w:jc w:val="center"/>
              <w:rPr>
                <w:rFonts w:hint="eastAsia" w:ascii="宋体" w:hAnsi="宋体" w:eastAsia="宋体" w:cs="宋体"/>
                <w:i w:val="0"/>
                <w:iCs w:val="0"/>
                <w:color w:val="000000"/>
                <w:sz w:val="20"/>
                <w:szCs w:val="20"/>
                <w:u w:val="none"/>
              </w:rPr>
            </w:pPr>
          </w:p>
        </w:tc>
      </w:tr>
      <w:tr w14:paraId="38DB4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6867C729">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146B87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交通事件可视化</w:t>
            </w:r>
          </w:p>
        </w:tc>
        <w:tc>
          <w:tcPr>
            <w:tcW w:w="924" w:type="dxa"/>
            <w:vMerge w:val="restart"/>
            <w:tcBorders>
              <w:top w:val="nil"/>
              <w:left w:val="nil"/>
              <w:bottom w:val="single" w:color="000000" w:sz="8" w:space="0"/>
              <w:right w:val="single" w:color="000000" w:sz="8" w:space="0"/>
            </w:tcBorders>
            <w:shd w:val="clear" w:color="auto" w:fill="auto"/>
            <w:vAlign w:val="center"/>
          </w:tcPr>
          <w:p w14:paraId="51E2FC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交通事件实时分布</w:t>
            </w:r>
          </w:p>
        </w:tc>
        <w:tc>
          <w:tcPr>
            <w:tcW w:w="924" w:type="dxa"/>
            <w:tcBorders>
              <w:top w:val="nil"/>
              <w:left w:val="nil"/>
              <w:bottom w:val="single" w:color="000000" w:sz="8" w:space="0"/>
              <w:right w:val="single" w:color="000000" w:sz="8" w:space="0"/>
            </w:tcBorders>
            <w:shd w:val="clear" w:color="auto" w:fill="auto"/>
            <w:vAlign w:val="center"/>
          </w:tcPr>
          <w:p w14:paraId="78E3B4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交通事件地图可视化</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766C16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059B2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EE9EEAC">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57BDCDC5">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3B738687">
            <w:pPr>
              <w:jc w:val="center"/>
              <w:rPr>
                <w:rFonts w:hint="eastAsia" w:ascii="宋体" w:hAnsi="宋体" w:eastAsia="宋体" w:cs="宋体"/>
                <w:i w:val="0"/>
                <w:iCs w:val="0"/>
                <w:color w:val="000000"/>
                <w:sz w:val="20"/>
                <w:szCs w:val="20"/>
                <w:u w:val="none"/>
              </w:rPr>
            </w:pPr>
          </w:p>
        </w:tc>
      </w:tr>
      <w:tr w14:paraId="2872A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C4F56C4">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D151F7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4CEDF59">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07C37A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事件类型筛选</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2E26AF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A4AF6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6574D42E">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02E7DAFC">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F94D59F">
            <w:pPr>
              <w:jc w:val="center"/>
              <w:rPr>
                <w:rFonts w:hint="eastAsia" w:ascii="宋体" w:hAnsi="宋体" w:eastAsia="宋体" w:cs="宋体"/>
                <w:i w:val="0"/>
                <w:iCs w:val="0"/>
                <w:color w:val="000000"/>
                <w:sz w:val="20"/>
                <w:szCs w:val="20"/>
                <w:u w:val="none"/>
              </w:rPr>
            </w:pPr>
          </w:p>
        </w:tc>
      </w:tr>
      <w:tr w14:paraId="0B66B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BB076F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AB07ED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52B510E">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6B0792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交通事件通知</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09CE6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7C17D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19307787">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2BABA64">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4B9022A6">
            <w:pPr>
              <w:jc w:val="center"/>
              <w:rPr>
                <w:rFonts w:hint="eastAsia" w:ascii="宋体" w:hAnsi="宋体" w:eastAsia="宋体" w:cs="宋体"/>
                <w:i w:val="0"/>
                <w:iCs w:val="0"/>
                <w:color w:val="000000"/>
                <w:sz w:val="20"/>
                <w:szCs w:val="20"/>
                <w:u w:val="none"/>
              </w:rPr>
            </w:pPr>
          </w:p>
        </w:tc>
      </w:tr>
      <w:tr w14:paraId="464D5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7477D456">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E39DC7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1D1BC79">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15C63E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拥堵路口实时分布</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16590E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793809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0A2AE0A2">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2530595E">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82C7832">
            <w:pPr>
              <w:jc w:val="center"/>
              <w:rPr>
                <w:rFonts w:hint="eastAsia" w:ascii="宋体" w:hAnsi="宋体" w:eastAsia="宋体" w:cs="宋体"/>
                <w:i w:val="0"/>
                <w:iCs w:val="0"/>
                <w:color w:val="000000"/>
                <w:sz w:val="20"/>
                <w:szCs w:val="20"/>
                <w:u w:val="none"/>
              </w:rPr>
            </w:pPr>
          </w:p>
        </w:tc>
      </w:tr>
      <w:tr w14:paraId="1845B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18D455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F93DAB5">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7D71A2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当日事件</w:t>
            </w:r>
          </w:p>
        </w:tc>
        <w:tc>
          <w:tcPr>
            <w:tcW w:w="924" w:type="dxa"/>
            <w:tcBorders>
              <w:top w:val="nil"/>
              <w:left w:val="nil"/>
              <w:bottom w:val="single" w:color="000000" w:sz="8" w:space="0"/>
              <w:right w:val="single" w:color="000000" w:sz="8" w:space="0"/>
            </w:tcBorders>
            <w:shd w:val="clear" w:color="auto" w:fill="auto"/>
            <w:vAlign w:val="center"/>
          </w:tcPr>
          <w:p w14:paraId="5779F8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当日事件总数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18D802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11ADEC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360ABAC">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5D710A4C">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3F9DDFE">
            <w:pPr>
              <w:jc w:val="center"/>
              <w:rPr>
                <w:rFonts w:hint="eastAsia" w:ascii="宋体" w:hAnsi="宋体" w:eastAsia="宋体" w:cs="宋体"/>
                <w:i w:val="0"/>
                <w:iCs w:val="0"/>
                <w:color w:val="000000"/>
                <w:sz w:val="20"/>
                <w:szCs w:val="20"/>
                <w:u w:val="none"/>
              </w:rPr>
            </w:pPr>
          </w:p>
        </w:tc>
      </w:tr>
      <w:tr w14:paraId="742F9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ED40B5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1CCAF31">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8828F27">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BC876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当日事件趋势分析</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2D437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2B1BFD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6A1AFE68">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74AA224A">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FEB4C58">
            <w:pPr>
              <w:jc w:val="center"/>
              <w:rPr>
                <w:rFonts w:hint="eastAsia" w:ascii="宋体" w:hAnsi="宋体" w:eastAsia="宋体" w:cs="宋体"/>
                <w:i w:val="0"/>
                <w:iCs w:val="0"/>
                <w:color w:val="000000"/>
                <w:sz w:val="20"/>
                <w:szCs w:val="20"/>
                <w:u w:val="none"/>
              </w:rPr>
            </w:pPr>
          </w:p>
        </w:tc>
      </w:tr>
      <w:tr w14:paraId="7ECC8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8FA5907">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67710AA">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4019350">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1F3A8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当日事件类型分析</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1838FE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531BB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42546B2">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A9FAE67">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82FE2E8">
            <w:pPr>
              <w:jc w:val="center"/>
              <w:rPr>
                <w:rFonts w:hint="eastAsia" w:ascii="宋体" w:hAnsi="宋体" w:eastAsia="宋体" w:cs="宋体"/>
                <w:i w:val="0"/>
                <w:iCs w:val="0"/>
                <w:color w:val="000000"/>
                <w:sz w:val="20"/>
                <w:szCs w:val="20"/>
                <w:u w:val="none"/>
              </w:rPr>
            </w:pPr>
          </w:p>
        </w:tc>
      </w:tr>
      <w:tr w14:paraId="04581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343B630">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075DE86">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7B6FF8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事件研判</w:t>
            </w:r>
          </w:p>
        </w:tc>
        <w:tc>
          <w:tcPr>
            <w:tcW w:w="924" w:type="dxa"/>
            <w:tcBorders>
              <w:top w:val="nil"/>
              <w:left w:val="nil"/>
              <w:bottom w:val="single" w:color="000000" w:sz="8" w:space="0"/>
              <w:right w:val="single" w:color="000000" w:sz="8" w:space="0"/>
            </w:tcBorders>
            <w:shd w:val="clear" w:color="auto" w:fill="auto"/>
            <w:vAlign w:val="center"/>
          </w:tcPr>
          <w:p w14:paraId="4C0414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高发路口研判</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152AB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5B07A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9C893EA">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281C5DFB">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38B9B2E4">
            <w:pPr>
              <w:jc w:val="center"/>
              <w:rPr>
                <w:rFonts w:hint="eastAsia" w:ascii="宋体" w:hAnsi="宋体" w:eastAsia="宋体" w:cs="宋体"/>
                <w:i w:val="0"/>
                <w:iCs w:val="0"/>
                <w:color w:val="000000"/>
                <w:sz w:val="20"/>
                <w:szCs w:val="20"/>
                <w:u w:val="none"/>
              </w:rPr>
            </w:pPr>
          </w:p>
        </w:tc>
      </w:tr>
      <w:tr w14:paraId="7ED6E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914AC27">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26EDAB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24491BE">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1790FC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高发时段研判</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3AE53B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06D23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BBA13C0">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76F060CD">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1DEB5CB">
            <w:pPr>
              <w:jc w:val="center"/>
              <w:rPr>
                <w:rFonts w:hint="eastAsia" w:ascii="宋体" w:hAnsi="宋体" w:eastAsia="宋体" w:cs="宋体"/>
                <w:i w:val="0"/>
                <w:iCs w:val="0"/>
                <w:color w:val="000000"/>
                <w:sz w:val="20"/>
                <w:szCs w:val="20"/>
                <w:u w:val="none"/>
              </w:rPr>
            </w:pPr>
          </w:p>
        </w:tc>
      </w:tr>
      <w:tr w14:paraId="7F0E0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6EE06EB">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A8E768C">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A83CEA7">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16EAF2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高发类型</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D02E9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054E3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2B008A91">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7FA1B6DA">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73AA4250">
            <w:pPr>
              <w:jc w:val="center"/>
              <w:rPr>
                <w:rFonts w:hint="eastAsia" w:ascii="宋体" w:hAnsi="宋体" w:eastAsia="宋体" w:cs="宋体"/>
                <w:i w:val="0"/>
                <w:iCs w:val="0"/>
                <w:color w:val="000000"/>
                <w:sz w:val="20"/>
                <w:szCs w:val="20"/>
                <w:u w:val="none"/>
              </w:rPr>
            </w:pPr>
          </w:p>
        </w:tc>
      </w:tr>
      <w:tr w14:paraId="65900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34A46F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5A8CAF0">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6391C9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事件预警</w:t>
            </w:r>
          </w:p>
        </w:tc>
        <w:tc>
          <w:tcPr>
            <w:tcW w:w="924" w:type="dxa"/>
            <w:tcBorders>
              <w:top w:val="nil"/>
              <w:left w:val="nil"/>
              <w:bottom w:val="single" w:color="000000" w:sz="8" w:space="0"/>
              <w:right w:val="single" w:color="000000" w:sz="8" w:space="0"/>
            </w:tcBorders>
            <w:shd w:val="clear" w:color="auto" w:fill="auto"/>
            <w:vAlign w:val="center"/>
          </w:tcPr>
          <w:p w14:paraId="24202F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交通事件列表</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1DF1A9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1646E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07B7D754">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2E5FAC3F">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774FA31E">
            <w:pPr>
              <w:jc w:val="center"/>
              <w:rPr>
                <w:rFonts w:hint="eastAsia" w:ascii="宋体" w:hAnsi="宋体" w:eastAsia="宋体" w:cs="宋体"/>
                <w:i w:val="0"/>
                <w:iCs w:val="0"/>
                <w:color w:val="000000"/>
                <w:sz w:val="20"/>
                <w:szCs w:val="20"/>
                <w:u w:val="none"/>
              </w:rPr>
            </w:pPr>
          </w:p>
        </w:tc>
      </w:tr>
      <w:tr w14:paraId="74C45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09E476C">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2BB49DF">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FBA9991">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33D17F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交通事件详情</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235974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705175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BB110E3">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214585A9">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0F05A5A">
            <w:pPr>
              <w:jc w:val="center"/>
              <w:rPr>
                <w:rFonts w:hint="eastAsia" w:ascii="宋体" w:hAnsi="宋体" w:eastAsia="宋体" w:cs="宋体"/>
                <w:i w:val="0"/>
                <w:iCs w:val="0"/>
                <w:color w:val="000000"/>
                <w:sz w:val="20"/>
                <w:szCs w:val="20"/>
                <w:u w:val="none"/>
              </w:rPr>
            </w:pPr>
          </w:p>
        </w:tc>
      </w:tr>
      <w:tr w14:paraId="4811B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6D30CE0C">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C2B9A55">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EA1F265">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78EA6C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实时事件视频查询</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38B0D4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7C7BA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6BC78909">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56061F48">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3D861191">
            <w:pPr>
              <w:jc w:val="center"/>
              <w:rPr>
                <w:rFonts w:hint="eastAsia" w:ascii="宋体" w:hAnsi="宋体" w:eastAsia="宋体" w:cs="宋体"/>
                <w:i w:val="0"/>
                <w:iCs w:val="0"/>
                <w:color w:val="000000"/>
                <w:sz w:val="20"/>
                <w:szCs w:val="20"/>
                <w:u w:val="none"/>
              </w:rPr>
            </w:pPr>
          </w:p>
        </w:tc>
      </w:tr>
      <w:tr w14:paraId="2B433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5F56601">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5FC42B3">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93A949D">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04F7BD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历史事件视频查询</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160CE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20BE11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8A5D62A">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691D3EAC">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C780464">
            <w:pPr>
              <w:jc w:val="center"/>
              <w:rPr>
                <w:rFonts w:hint="eastAsia" w:ascii="宋体" w:hAnsi="宋体" w:eastAsia="宋体" w:cs="宋体"/>
                <w:i w:val="0"/>
                <w:iCs w:val="0"/>
                <w:color w:val="000000"/>
                <w:sz w:val="20"/>
                <w:szCs w:val="20"/>
                <w:u w:val="none"/>
              </w:rPr>
            </w:pPr>
          </w:p>
        </w:tc>
      </w:tr>
      <w:tr w14:paraId="307AC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BBF8B60">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56131F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全息路口可视化</w:t>
            </w:r>
          </w:p>
        </w:tc>
        <w:tc>
          <w:tcPr>
            <w:tcW w:w="924" w:type="dxa"/>
            <w:vMerge w:val="restart"/>
            <w:tcBorders>
              <w:top w:val="nil"/>
              <w:left w:val="nil"/>
              <w:bottom w:val="single" w:color="000000" w:sz="8" w:space="0"/>
              <w:right w:val="single" w:color="000000" w:sz="8" w:space="0"/>
            </w:tcBorders>
            <w:shd w:val="clear" w:color="auto" w:fill="auto"/>
            <w:vAlign w:val="center"/>
          </w:tcPr>
          <w:p w14:paraId="40C1BA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智慧路口分布</w:t>
            </w:r>
          </w:p>
        </w:tc>
        <w:tc>
          <w:tcPr>
            <w:tcW w:w="924" w:type="dxa"/>
            <w:tcBorders>
              <w:top w:val="nil"/>
              <w:left w:val="nil"/>
              <w:bottom w:val="single" w:color="000000" w:sz="8" w:space="0"/>
              <w:right w:val="single" w:color="000000" w:sz="8" w:space="0"/>
            </w:tcBorders>
            <w:shd w:val="clear" w:color="auto" w:fill="auto"/>
            <w:vAlign w:val="center"/>
          </w:tcPr>
          <w:p w14:paraId="5309FE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智慧路口地图可视化</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9221B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380530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95D27F2">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7C7C93D9">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316F45F7">
            <w:pPr>
              <w:jc w:val="center"/>
              <w:rPr>
                <w:rFonts w:hint="eastAsia" w:ascii="宋体" w:hAnsi="宋体" w:eastAsia="宋体" w:cs="宋体"/>
                <w:i w:val="0"/>
                <w:iCs w:val="0"/>
                <w:color w:val="000000"/>
                <w:sz w:val="20"/>
                <w:szCs w:val="20"/>
                <w:u w:val="none"/>
              </w:rPr>
            </w:pPr>
          </w:p>
        </w:tc>
      </w:tr>
      <w:tr w14:paraId="1C98A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B891C27">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8646BD4">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5AA5D5F">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76B337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路口/点位快速定位</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04CD1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D7F78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017A86AF">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2BE5BF4F">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8409A93">
            <w:pPr>
              <w:jc w:val="center"/>
              <w:rPr>
                <w:rFonts w:hint="eastAsia" w:ascii="宋体" w:hAnsi="宋体" w:eastAsia="宋体" w:cs="宋体"/>
                <w:i w:val="0"/>
                <w:iCs w:val="0"/>
                <w:color w:val="000000"/>
                <w:sz w:val="20"/>
                <w:szCs w:val="20"/>
                <w:u w:val="none"/>
              </w:rPr>
            </w:pPr>
          </w:p>
        </w:tc>
      </w:tr>
      <w:tr w14:paraId="38348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C1F59D9">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6D5EE5B">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105233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单路口概览</w:t>
            </w:r>
          </w:p>
        </w:tc>
        <w:tc>
          <w:tcPr>
            <w:tcW w:w="924" w:type="dxa"/>
            <w:tcBorders>
              <w:top w:val="nil"/>
              <w:left w:val="nil"/>
              <w:bottom w:val="single" w:color="000000" w:sz="8" w:space="0"/>
              <w:right w:val="single" w:color="000000" w:sz="8" w:space="0"/>
            </w:tcBorders>
            <w:shd w:val="clear" w:color="auto" w:fill="auto"/>
            <w:vAlign w:val="center"/>
          </w:tcPr>
          <w:p w14:paraId="1944CC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路口信息</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23E504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1C31A0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26566083">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5452EEC">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38523B88">
            <w:pPr>
              <w:jc w:val="center"/>
              <w:rPr>
                <w:rFonts w:hint="eastAsia" w:ascii="宋体" w:hAnsi="宋体" w:eastAsia="宋体" w:cs="宋体"/>
                <w:i w:val="0"/>
                <w:iCs w:val="0"/>
                <w:color w:val="000000"/>
                <w:sz w:val="20"/>
                <w:szCs w:val="20"/>
                <w:u w:val="none"/>
              </w:rPr>
            </w:pPr>
          </w:p>
        </w:tc>
      </w:tr>
      <w:tr w14:paraId="4695E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D953D0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CE12A76">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748A8FF">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1ADCCE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路口视频播放</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2AEF9C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17FD9F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0C708800">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7FBC81F9">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BFEE98E">
            <w:pPr>
              <w:jc w:val="center"/>
              <w:rPr>
                <w:rFonts w:hint="eastAsia" w:ascii="宋体" w:hAnsi="宋体" w:eastAsia="宋体" w:cs="宋体"/>
                <w:i w:val="0"/>
                <w:iCs w:val="0"/>
                <w:color w:val="000000"/>
                <w:sz w:val="20"/>
                <w:szCs w:val="20"/>
                <w:u w:val="none"/>
              </w:rPr>
            </w:pPr>
          </w:p>
        </w:tc>
      </w:tr>
      <w:tr w14:paraId="55F6E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860B0D9">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0D2C536">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96C8288">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267BDC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路口摄像头切换</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678F62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1ED600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EF390F0">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3073A238">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3D43D53">
            <w:pPr>
              <w:jc w:val="center"/>
              <w:rPr>
                <w:rFonts w:hint="eastAsia" w:ascii="宋体" w:hAnsi="宋体" w:eastAsia="宋体" w:cs="宋体"/>
                <w:i w:val="0"/>
                <w:iCs w:val="0"/>
                <w:color w:val="000000"/>
                <w:sz w:val="20"/>
                <w:szCs w:val="20"/>
                <w:u w:val="none"/>
              </w:rPr>
            </w:pPr>
          </w:p>
        </w:tc>
      </w:tr>
      <w:tr w14:paraId="3B5F9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245C944D">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02C68F9">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64B711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单路口设备分析</w:t>
            </w:r>
          </w:p>
        </w:tc>
        <w:tc>
          <w:tcPr>
            <w:tcW w:w="924" w:type="dxa"/>
            <w:tcBorders>
              <w:top w:val="nil"/>
              <w:left w:val="nil"/>
              <w:bottom w:val="single" w:color="000000" w:sz="8" w:space="0"/>
              <w:right w:val="single" w:color="000000" w:sz="8" w:space="0"/>
            </w:tcBorders>
            <w:shd w:val="clear" w:color="auto" w:fill="auto"/>
            <w:vAlign w:val="center"/>
          </w:tcPr>
          <w:p w14:paraId="396807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多类设备总数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B774A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7E9679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0C96091">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3285C5F">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20E2FA43">
            <w:pPr>
              <w:jc w:val="center"/>
              <w:rPr>
                <w:rFonts w:hint="eastAsia" w:ascii="宋体" w:hAnsi="宋体" w:eastAsia="宋体" w:cs="宋体"/>
                <w:i w:val="0"/>
                <w:iCs w:val="0"/>
                <w:color w:val="000000"/>
                <w:sz w:val="20"/>
                <w:szCs w:val="20"/>
                <w:u w:val="none"/>
              </w:rPr>
            </w:pPr>
          </w:p>
        </w:tc>
      </w:tr>
      <w:tr w14:paraId="00DC1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6E2B399">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2C8BFB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FA60A16">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1E78BE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多类设备在线率</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771CCA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3D493D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12BD7A3">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F1122EB">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7DA53E9">
            <w:pPr>
              <w:jc w:val="center"/>
              <w:rPr>
                <w:rFonts w:hint="eastAsia" w:ascii="宋体" w:hAnsi="宋体" w:eastAsia="宋体" w:cs="宋体"/>
                <w:i w:val="0"/>
                <w:iCs w:val="0"/>
                <w:color w:val="000000"/>
                <w:sz w:val="20"/>
                <w:szCs w:val="20"/>
                <w:u w:val="none"/>
              </w:rPr>
            </w:pPr>
          </w:p>
        </w:tc>
      </w:tr>
      <w:tr w14:paraId="6D9FD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370650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21D5505">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1926349">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7EF36E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边缘计算单元设备总数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FA54D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88823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2D8F58A2">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8C86365">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41B5E9E4">
            <w:pPr>
              <w:jc w:val="center"/>
              <w:rPr>
                <w:rFonts w:hint="eastAsia" w:ascii="宋体" w:hAnsi="宋体" w:eastAsia="宋体" w:cs="宋体"/>
                <w:i w:val="0"/>
                <w:iCs w:val="0"/>
                <w:color w:val="000000"/>
                <w:sz w:val="20"/>
                <w:szCs w:val="20"/>
                <w:u w:val="none"/>
              </w:rPr>
            </w:pPr>
          </w:p>
        </w:tc>
      </w:tr>
      <w:tr w14:paraId="5C3B7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618BF83B">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3DD72A6">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62C013E">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30177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边缘计算单元设备在线率</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0A761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3B5B7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1FE27F17">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3A291708">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B350EB8">
            <w:pPr>
              <w:jc w:val="center"/>
              <w:rPr>
                <w:rFonts w:hint="eastAsia" w:ascii="宋体" w:hAnsi="宋体" w:eastAsia="宋体" w:cs="宋体"/>
                <w:i w:val="0"/>
                <w:iCs w:val="0"/>
                <w:color w:val="000000"/>
                <w:sz w:val="20"/>
                <w:szCs w:val="20"/>
                <w:u w:val="none"/>
              </w:rPr>
            </w:pPr>
          </w:p>
        </w:tc>
      </w:tr>
      <w:tr w14:paraId="686DD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0A63A15">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63FD6D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EC2E45D">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AE008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摄像头总数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43A4E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136E65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01DF715B">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3746C3FF">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933E290">
            <w:pPr>
              <w:jc w:val="center"/>
              <w:rPr>
                <w:rFonts w:hint="eastAsia" w:ascii="宋体" w:hAnsi="宋体" w:eastAsia="宋体" w:cs="宋体"/>
                <w:i w:val="0"/>
                <w:iCs w:val="0"/>
                <w:color w:val="000000"/>
                <w:sz w:val="20"/>
                <w:szCs w:val="20"/>
                <w:u w:val="none"/>
              </w:rPr>
            </w:pPr>
          </w:p>
        </w:tc>
      </w:tr>
      <w:tr w14:paraId="23137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005AC3D">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95F814D">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D5F8B43">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3D217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摄像头在线率</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13C820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389F9F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CF61216">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A5F885C">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2623738">
            <w:pPr>
              <w:jc w:val="center"/>
              <w:rPr>
                <w:rFonts w:hint="eastAsia" w:ascii="宋体" w:hAnsi="宋体" w:eastAsia="宋体" w:cs="宋体"/>
                <w:i w:val="0"/>
                <w:iCs w:val="0"/>
                <w:color w:val="000000"/>
                <w:sz w:val="20"/>
                <w:szCs w:val="20"/>
                <w:u w:val="none"/>
              </w:rPr>
            </w:pPr>
          </w:p>
        </w:tc>
      </w:tr>
      <w:tr w14:paraId="4D762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6ED02A25">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CBCD2A3">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1578072">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5169C5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雷达总数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36BE30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2F01E3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71588DF">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3478C68D">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2271461">
            <w:pPr>
              <w:jc w:val="center"/>
              <w:rPr>
                <w:rFonts w:hint="eastAsia" w:ascii="宋体" w:hAnsi="宋体" w:eastAsia="宋体" w:cs="宋体"/>
                <w:i w:val="0"/>
                <w:iCs w:val="0"/>
                <w:color w:val="000000"/>
                <w:sz w:val="20"/>
                <w:szCs w:val="20"/>
                <w:u w:val="none"/>
              </w:rPr>
            </w:pPr>
          </w:p>
        </w:tc>
      </w:tr>
      <w:tr w14:paraId="28ED5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1EF9BEF">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7CBAEAF">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AA67C58">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30D964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雷达在线率</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4B8B6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FBF9F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63CA42C6">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071753B5">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D8C6D80">
            <w:pPr>
              <w:jc w:val="center"/>
              <w:rPr>
                <w:rFonts w:hint="eastAsia" w:ascii="宋体" w:hAnsi="宋体" w:eastAsia="宋体" w:cs="宋体"/>
                <w:i w:val="0"/>
                <w:iCs w:val="0"/>
                <w:color w:val="000000"/>
                <w:sz w:val="20"/>
                <w:szCs w:val="20"/>
                <w:u w:val="none"/>
              </w:rPr>
            </w:pPr>
          </w:p>
        </w:tc>
      </w:tr>
      <w:tr w14:paraId="30B9A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73524D6">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11F01F5">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3EBC55B">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78140A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信号灯采集器总数</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ED425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86038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6B8B231B">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4BE3A88">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CC0DC3F">
            <w:pPr>
              <w:jc w:val="center"/>
              <w:rPr>
                <w:rFonts w:hint="eastAsia" w:ascii="宋体" w:hAnsi="宋体" w:eastAsia="宋体" w:cs="宋体"/>
                <w:i w:val="0"/>
                <w:iCs w:val="0"/>
                <w:color w:val="000000"/>
                <w:sz w:val="20"/>
                <w:szCs w:val="20"/>
                <w:u w:val="none"/>
              </w:rPr>
            </w:pPr>
          </w:p>
        </w:tc>
      </w:tr>
      <w:tr w14:paraId="50F06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7E480E9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8C4659F">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E69DBE4">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0B113F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信号灯采集器在线率</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D7960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755B3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0263155">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CE4FA6A">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3B698029">
            <w:pPr>
              <w:jc w:val="center"/>
              <w:rPr>
                <w:rFonts w:hint="eastAsia" w:ascii="宋体" w:hAnsi="宋体" w:eastAsia="宋体" w:cs="宋体"/>
                <w:i w:val="0"/>
                <w:iCs w:val="0"/>
                <w:color w:val="000000"/>
                <w:sz w:val="20"/>
                <w:szCs w:val="20"/>
                <w:u w:val="none"/>
              </w:rPr>
            </w:pPr>
          </w:p>
        </w:tc>
      </w:tr>
      <w:tr w14:paraId="6D1A3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7AF84CE">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2770256">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6176E5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感知交通对象统计分析</w:t>
            </w:r>
          </w:p>
        </w:tc>
        <w:tc>
          <w:tcPr>
            <w:tcW w:w="924" w:type="dxa"/>
            <w:tcBorders>
              <w:top w:val="nil"/>
              <w:left w:val="nil"/>
              <w:bottom w:val="single" w:color="000000" w:sz="8" w:space="0"/>
              <w:right w:val="single" w:color="000000" w:sz="8" w:space="0"/>
            </w:tcBorders>
            <w:shd w:val="clear" w:color="auto" w:fill="auto"/>
            <w:vAlign w:val="center"/>
          </w:tcPr>
          <w:p w14:paraId="6B3413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机动车总数实时统计</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DCE2D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2BE743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24D7557A">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80CB402">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CB4B0BE">
            <w:pPr>
              <w:jc w:val="center"/>
              <w:rPr>
                <w:rFonts w:hint="eastAsia" w:ascii="宋体" w:hAnsi="宋体" w:eastAsia="宋体" w:cs="宋体"/>
                <w:i w:val="0"/>
                <w:iCs w:val="0"/>
                <w:color w:val="000000"/>
                <w:sz w:val="20"/>
                <w:szCs w:val="20"/>
                <w:u w:val="none"/>
              </w:rPr>
            </w:pPr>
          </w:p>
        </w:tc>
      </w:tr>
      <w:tr w14:paraId="0E154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617E3AD0">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1645E5B">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CA4EE9D">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78357E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机动车数量趋势</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A0485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CE14C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BC0636B">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0E497A0F">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7C3BDB5">
            <w:pPr>
              <w:jc w:val="center"/>
              <w:rPr>
                <w:rFonts w:hint="eastAsia" w:ascii="宋体" w:hAnsi="宋体" w:eastAsia="宋体" w:cs="宋体"/>
                <w:i w:val="0"/>
                <w:iCs w:val="0"/>
                <w:color w:val="000000"/>
                <w:sz w:val="20"/>
                <w:szCs w:val="20"/>
                <w:u w:val="none"/>
              </w:rPr>
            </w:pPr>
          </w:p>
        </w:tc>
      </w:tr>
      <w:tr w14:paraId="7B2DA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FF6BA1B">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3FC10532">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C312958">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8B96A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非机动车总数实时统计</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806AF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355B3D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A5C43E0">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279AF27E">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27218641">
            <w:pPr>
              <w:jc w:val="center"/>
              <w:rPr>
                <w:rFonts w:hint="eastAsia" w:ascii="宋体" w:hAnsi="宋体" w:eastAsia="宋体" w:cs="宋体"/>
                <w:i w:val="0"/>
                <w:iCs w:val="0"/>
                <w:color w:val="000000"/>
                <w:sz w:val="20"/>
                <w:szCs w:val="20"/>
                <w:u w:val="none"/>
              </w:rPr>
            </w:pPr>
          </w:p>
        </w:tc>
      </w:tr>
      <w:tr w14:paraId="31011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49B77CFD">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9A3D6C3">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F6DF3E9">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34803E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非机动车数量趋势</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2EBF97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83BF3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653BEC7">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2D916B9B">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BC64467">
            <w:pPr>
              <w:jc w:val="center"/>
              <w:rPr>
                <w:rFonts w:hint="eastAsia" w:ascii="宋体" w:hAnsi="宋体" w:eastAsia="宋体" w:cs="宋体"/>
                <w:i w:val="0"/>
                <w:iCs w:val="0"/>
                <w:color w:val="000000"/>
                <w:sz w:val="20"/>
                <w:szCs w:val="20"/>
                <w:u w:val="none"/>
              </w:rPr>
            </w:pPr>
          </w:p>
        </w:tc>
      </w:tr>
      <w:tr w14:paraId="4E40F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F6C588B">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B1F6F81">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34FA4D2">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5713D4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行人总数实时统计</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2E5444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70680E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0F62588">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29CB817E">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4A4BA47B">
            <w:pPr>
              <w:jc w:val="center"/>
              <w:rPr>
                <w:rFonts w:hint="eastAsia" w:ascii="宋体" w:hAnsi="宋体" w:eastAsia="宋体" w:cs="宋体"/>
                <w:i w:val="0"/>
                <w:iCs w:val="0"/>
                <w:color w:val="000000"/>
                <w:sz w:val="20"/>
                <w:szCs w:val="20"/>
                <w:u w:val="none"/>
              </w:rPr>
            </w:pPr>
          </w:p>
        </w:tc>
      </w:tr>
      <w:tr w14:paraId="57FF5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77F832C0">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49E6A1F">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D4033B0">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7B2115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行人数量趋势</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1ACB0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08FDB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5A99E98">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5FB8D48B">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4C286292">
            <w:pPr>
              <w:jc w:val="center"/>
              <w:rPr>
                <w:rFonts w:hint="eastAsia" w:ascii="宋体" w:hAnsi="宋体" w:eastAsia="宋体" w:cs="宋体"/>
                <w:i w:val="0"/>
                <w:iCs w:val="0"/>
                <w:color w:val="000000"/>
                <w:sz w:val="20"/>
                <w:szCs w:val="20"/>
                <w:u w:val="none"/>
              </w:rPr>
            </w:pPr>
          </w:p>
        </w:tc>
      </w:tr>
      <w:tr w14:paraId="12433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BF5A91C">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58E18FD">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674DA6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路口事件监控</w:t>
            </w:r>
          </w:p>
        </w:tc>
        <w:tc>
          <w:tcPr>
            <w:tcW w:w="924" w:type="dxa"/>
            <w:tcBorders>
              <w:top w:val="nil"/>
              <w:left w:val="nil"/>
              <w:bottom w:val="single" w:color="000000" w:sz="8" w:space="0"/>
              <w:right w:val="single" w:color="000000" w:sz="8" w:space="0"/>
            </w:tcBorders>
            <w:shd w:val="clear" w:color="auto" w:fill="auto"/>
            <w:vAlign w:val="center"/>
          </w:tcPr>
          <w:p w14:paraId="573C12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路口违法事件监控</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317780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7552B5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30DEE1ED">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335ED77">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20CCC023">
            <w:pPr>
              <w:jc w:val="center"/>
              <w:rPr>
                <w:rFonts w:hint="eastAsia" w:ascii="宋体" w:hAnsi="宋体" w:eastAsia="宋体" w:cs="宋体"/>
                <w:i w:val="0"/>
                <w:iCs w:val="0"/>
                <w:color w:val="000000"/>
                <w:sz w:val="20"/>
                <w:szCs w:val="20"/>
                <w:u w:val="none"/>
              </w:rPr>
            </w:pPr>
          </w:p>
        </w:tc>
      </w:tr>
      <w:tr w14:paraId="2D4B9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AC0B89D">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A6467AE">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F281166">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157A88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路口违法事件排名</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E5054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629D61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1014C38">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618CA5CA">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DB052A5">
            <w:pPr>
              <w:jc w:val="center"/>
              <w:rPr>
                <w:rFonts w:hint="eastAsia" w:ascii="宋体" w:hAnsi="宋体" w:eastAsia="宋体" w:cs="宋体"/>
                <w:i w:val="0"/>
                <w:iCs w:val="0"/>
                <w:color w:val="000000"/>
                <w:sz w:val="20"/>
                <w:szCs w:val="20"/>
                <w:u w:val="none"/>
              </w:rPr>
            </w:pPr>
          </w:p>
        </w:tc>
      </w:tr>
      <w:tr w14:paraId="2B90F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3E02B10">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582F5B06">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EA37CEE">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5323D4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路口事件列表</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7289B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19550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3E2D329">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03A27AED">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A04DBC2">
            <w:pPr>
              <w:jc w:val="center"/>
              <w:rPr>
                <w:rFonts w:hint="eastAsia" w:ascii="宋体" w:hAnsi="宋体" w:eastAsia="宋体" w:cs="宋体"/>
                <w:i w:val="0"/>
                <w:iCs w:val="0"/>
                <w:color w:val="000000"/>
                <w:sz w:val="20"/>
                <w:szCs w:val="20"/>
                <w:u w:val="none"/>
              </w:rPr>
            </w:pPr>
          </w:p>
        </w:tc>
      </w:tr>
      <w:tr w14:paraId="0EA03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5B4A4329">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76C169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互联网数据可视化</w:t>
            </w:r>
          </w:p>
        </w:tc>
        <w:tc>
          <w:tcPr>
            <w:tcW w:w="924" w:type="dxa"/>
            <w:vMerge w:val="restart"/>
            <w:tcBorders>
              <w:top w:val="nil"/>
              <w:left w:val="nil"/>
              <w:bottom w:val="single" w:color="000000" w:sz="8" w:space="0"/>
              <w:right w:val="single" w:color="000000" w:sz="8" w:space="0"/>
            </w:tcBorders>
            <w:shd w:val="clear" w:color="auto" w:fill="auto"/>
            <w:vAlign w:val="center"/>
          </w:tcPr>
          <w:p w14:paraId="472A5D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互联网数据分析展示</w:t>
            </w:r>
          </w:p>
        </w:tc>
        <w:tc>
          <w:tcPr>
            <w:tcW w:w="924" w:type="dxa"/>
            <w:tcBorders>
              <w:top w:val="nil"/>
              <w:left w:val="nil"/>
              <w:bottom w:val="single" w:color="000000" w:sz="8" w:space="0"/>
              <w:right w:val="single" w:color="000000" w:sz="8" w:space="0"/>
            </w:tcBorders>
            <w:shd w:val="clear" w:color="auto" w:fill="auto"/>
            <w:vAlign w:val="center"/>
          </w:tcPr>
          <w:p w14:paraId="6FE811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实时路口分析展示</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630277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6319E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6FB057D">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614B47D1">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3296715E">
            <w:pPr>
              <w:jc w:val="center"/>
              <w:rPr>
                <w:rFonts w:hint="eastAsia" w:ascii="宋体" w:hAnsi="宋体" w:eastAsia="宋体" w:cs="宋体"/>
                <w:i w:val="0"/>
                <w:iCs w:val="0"/>
                <w:color w:val="000000"/>
                <w:sz w:val="20"/>
                <w:szCs w:val="20"/>
                <w:u w:val="none"/>
              </w:rPr>
            </w:pPr>
          </w:p>
        </w:tc>
      </w:tr>
      <w:tr w14:paraId="6B1B9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21813DF9">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D964AEE">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3D4DBAD">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2F9F23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道路拥堵指数分析展示</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B7E74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D41BF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48E2A49">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03FB82C0">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3362A6B">
            <w:pPr>
              <w:jc w:val="center"/>
              <w:rPr>
                <w:rFonts w:hint="eastAsia" w:ascii="宋体" w:hAnsi="宋体" w:eastAsia="宋体" w:cs="宋体"/>
                <w:i w:val="0"/>
                <w:iCs w:val="0"/>
                <w:color w:val="000000"/>
                <w:sz w:val="20"/>
                <w:szCs w:val="20"/>
                <w:u w:val="none"/>
              </w:rPr>
            </w:pPr>
          </w:p>
        </w:tc>
      </w:tr>
      <w:tr w14:paraId="23905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B9B49C8">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73FD267">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702B1BC">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DACA1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区域拥堵指数分析展示</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7BB864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7769E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654F194F">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6FE1C3B8">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7C38EA20">
            <w:pPr>
              <w:jc w:val="center"/>
              <w:rPr>
                <w:rFonts w:hint="eastAsia" w:ascii="宋体" w:hAnsi="宋体" w:eastAsia="宋体" w:cs="宋体"/>
                <w:i w:val="0"/>
                <w:iCs w:val="0"/>
                <w:color w:val="000000"/>
                <w:sz w:val="20"/>
                <w:szCs w:val="20"/>
                <w:u w:val="none"/>
              </w:rPr>
            </w:pPr>
          </w:p>
        </w:tc>
      </w:tr>
      <w:tr w14:paraId="07871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6860AAB9">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A582F41">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D8590B9">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0BDBC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区域人流活力指数分析展示</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7C46DA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5AD32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4288F24">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7A961F6F">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393BA589">
            <w:pPr>
              <w:jc w:val="center"/>
              <w:rPr>
                <w:rFonts w:hint="eastAsia" w:ascii="宋体" w:hAnsi="宋体" w:eastAsia="宋体" w:cs="宋体"/>
                <w:i w:val="0"/>
                <w:iCs w:val="0"/>
                <w:color w:val="000000"/>
                <w:sz w:val="20"/>
                <w:szCs w:val="20"/>
                <w:u w:val="none"/>
              </w:rPr>
            </w:pPr>
          </w:p>
        </w:tc>
      </w:tr>
      <w:tr w14:paraId="07671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4715CC83">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76C923AF">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471972E7">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62C729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区域网格人流数量分析展示</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FDBDE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426F0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08176FA0">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66D9BA10">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4FD0FE1">
            <w:pPr>
              <w:jc w:val="center"/>
              <w:rPr>
                <w:rFonts w:hint="eastAsia" w:ascii="宋体" w:hAnsi="宋体" w:eastAsia="宋体" w:cs="宋体"/>
                <w:i w:val="0"/>
                <w:iCs w:val="0"/>
                <w:color w:val="000000"/>
                <w:sz w:val="20"/>
                <w:szCs w:val="20"/>
                <w:u w:val="none"/>
              </w:rPr>
            </w:pPr>
          </w:p>
        </w:tc>
      </w:tr>
      <w:tr w14:paraId="31E70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083DFDB3">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5237C9B">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2CD8EE32">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29C346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区域人流洞察分析展示</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231BB5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735128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6848A549">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798C197A">
            <w:pPr>
              <w:jc w:val="left"/>
              <w:rPr>
                <w:rFonts w:hint="eastAsia" w:ascii="宋体" w:hAnsi="宋体" w:eastAsia="宋体" w:cs="宋体"/>
                <w:i w:val="0"/>
                <w:iCs w:val="0"/>
                <w:color w:val="000000"/>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260D50AF">
            <w:pPr>
              <w:jc w:val="center"/>
              <w:rPr>
                <w:rFonts w:hint="eastAsia" w:ascii="宋体" w:hAnsi="宋体" w:eastAsia="宋体" w:cs="宋体"/>
                <w:i w:val="0"/>
                <w:iCs w:val="0"/>
                <w:color w:val="000000"/>
                <w:sz w:val="20"/>
                <w:szCs w:val="20"/>
                <w:u w:val="none"/>
              </w:rPr>
            </w:pPr>
          </w:p>
        </w:tc>
      </w:tr>
      <w:tr w14:paraId="2144A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8080" w:type="dxa"/>
            <w:gridSpan w:val="9"/>
            <w:tcBorders>
              <w:top w:val="nil"/>
              <w:left w:val="single" w:color="000000" w:sz="8" w:space="0"/>
              <w:bottom w:val="single" w:color="000000" w:sz="8" w:space="0"/>
              <w:right w:val="single" w:color="000000" w:sz="8" w:space="0"/>
            </w:tcBorders>
            <w:shd w:val="clear" w:color="auto" w:fill="auto"/>
            <w:vAlign w:val="center"/>
          </w:tcPr>
          <w:p w14:paraId="1F12A6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创新大道路侧及互联网数据开发和计算</w:t>
            </w:r>
          </w:p>
        </w:tc>
      </w:tr>
      <w:tr w14:paraId="1E9E0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5" w:hRule="atLeast"/>
        </w:trPr>
        <w:tc>
          <w:tcPr>
            <w:tcW w:w="923" w:type="dxa"/>
            <w:vMerge w:val="restart"/>
            <w:tcBorders>
              <w:top w:val="nil"/>
              <w:left w:val="single" w:color="000000" w:sz="8" w:space="0"/>
              <w:bottom w:val="single" w:color="000000" w:sz="8" w:space="0"/>
              <w:right w:val="single" w:color="000000" w:sz="8" w:space="0"/>
            </w:tcBorders>
            <w:shd w:val="clear" w:color="auto" w:fill="auto"/>
            <w:vAlign w:val="center"/>
          </w:tcPr>
          <w:p w14:paraId="17BD26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创新大道路侧及互联网数据开发和计算</w:t>
            </w:r>
          </w:p>
        </w:tc>
        <w:tc>
          <w:tcPr>
            <w:tcW w:w="924" w:type="dxa"/>
            <w:vMerge w:val="restart"/>
            <w:tcBorders>
              <w:top w:val="single" w:color="000000" w:sz="8" w:space="0"/>
              <w:left w:val="nil"/>
              <w:bottom w:val="single" w:color="000000" w:sz="8" w:space="0"/>
              <w:right w:val="single" w:color="000000" w:sz="8" w:space="0"/>
            </w:tcBorders>
            <w:shd w:val="clear" w:color="auto" w:fill="auto"/>
            <w:vAlign w:val="center"/>
          </w:tcPr>
          <w:p w14:paraId="4613F3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路侧感知设备协议开发和对接</w:t>
            </w:r>
          </w:p>
        </w:tc>
        <w:tc>
          <w:tcPr>
            <w:tcW w:w="924" w:type="dxa"/>
            <w:tcBorders>
              <w:top w:val="single" w:color="000000" w:sz="8" w:space="0"/>
              <w:left w:val="nil"/>
              <w:bottom w:val="single" w:color="000000" w:sz="8" w:space="0"/>
              <w:right w:val="single" w:color="000000" w:sz="8" w:space="0"/>
            </w:tcBorders>
            <w:shd w:val="clear" w:color="auto" w:fill="auto"/>
            <w:vAlign w:val="center"/>
          </w:tcPr>
          <w:p w14:paraId="508C4E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设备状态链路对接开发</w:t>
            </w:r>
          </w:p>
        </w:tc>
        <w:tc>
          <w:tcPr>
            <w:tcW w:w="924" w:type="dxa"/>
            <w:tcBorders>
              <w:top w:val="single" w:color="000000" w:sz="8" w:space="0"/>
              <w:left w:val="nil"/>
              <w:bottom w:val="single" w:color="000000" w:sz="8" w:space="0"/>
              <w:right w:val="single" w:color="000000" w:sz="8" w:space="0"/>
            </w:tcBorders>
            <w:shd w:val="clear" w:color="auto" w:fill="auto"/>
            <w:vAlign w:val="center"/>
          </w:tcPr>
          <w:p w14:paraId="6AE845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设备状态链路对接及接口协议开发</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3AA615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1AE825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E32F295">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single" w:color="000000" w:sz="8" w:space="0"/>
              <w:left w:val="nil"/>
              <w:bottom w:val="single" w:color="000000" w:sz="8" w:space="0"/>
              <w:right w:val="single" w:color="000000" w:sz="8" w:space="0"/>
            </w:tcBorders>
            <w:shd w:val="clear" w:color="auto" w:fill="auto"/>
            <w:vAlign w:val="center"/>
          </w:tcPr>
          <w:p w14:paraId="383EC227">
            <w:pPr>
              <w:jc w:val="left"/>
              <w:rPr>
                <w:rFonts w:hint="eastAsia" w:ascii="宋体" w:hAnsi="宋体" w:eastAsia="宋体" w:cs="宋体"/>
                <w:i w:val="0"/>
                <w:iCs w:val="0"/>
                <w:color w:val="0F1115"/>
                <w:sz w:val="20"/>
                <w:szCs w:val="20"/>
                <w:u w:val="none"/>
              </w:rPr>
            </w:pPr>
          </w:p>
        </w:tc>
        <w:tc>
          <w:tcPr>
            <w:tcW w:w="819" w:type="dxa"/>
            <w:tcBorders>
              <w:top w:val="single" w:color="000000" w:sz="8" w:space="0"/>
              <w:left w:val="nil"/>
              <w:bottom w:val="single" w:color="000000" w:sz="8" w:space="0"/>
              <w:right w:val="single" w:color="000000" w:sz="8" w:space="0"/>
            </w:tcBorders>
            <w:shd w:val="clear" w:color="auto" w:fill="auto"/>
            <w:vAlign w:val="bottom"/>
          </w:tcPr>
          <w:p w14:paraId="3B746B7E">
            <w:pPr>
              <w:jc w:val="center"/>
              <w:rPr>
                <w:rFonts w:hint="eastAsia" w:ascii="宋体" w:hAnsi="宋体" w:eastAsia="宋体" w:cs="宋体"/>
                <w:i w:val="0"/>
                <w:iCs w:val="0"/>
                <w:color w:val="000000"/>
                <w:sz w:val="20"/>
                <w:szCs w:val="20"/>
                <w:u w:val="none"/>
              </w:rPr>
            </w:pPr>
          </w:p>
        </w:tc>
      </w:tr>
      <w:tr w14:paraId="5046A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12DD8AC">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2FA211DD">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C4CC4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红绿灯数据链路对接开发</w:t>
            </w:r>
          </w:p>
        </w:tc>
        <w:tc>
          <w:tcPr>
            <w:tcW w:w="924" w:type="dxa"/>
            <w:tcBorders>
              <w:top w:val="nil"/>
              <w:left w:val="nil"/>
              <w:bottom w:val="single" w:color="000000" w:sz="8" w:space="0"/>
              <w:right w:val="single" w:color="000000" w:sz="8" w:space="0"/>
            </w:tcBorders>
            <w:shd w:val="clear" w:color="auto" w:fill="auto"/>
            <w:vAlign w:val="center"/>
          </w:tcPr>
          <w:p w14:paraId="30AD3A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红绿灯数据链路对接及接口协议开发</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1A9DD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719A2E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B18BA8D">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54F8F0E2">
            <w:pPr>
              <w:jc w:val="left"/>
              <w:rPr>
                <w:rFonts w:hint="eastAsia" w:ascii="宋体" w:hAnsi="宋体" w:eastAsia="宋体" w:cs="宋体"/>
                <w:i w:val="0"/>
                <w:iCs w:val="0"/>
                <w:color w:val="0F1115"/>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500BA664">
            <w:pPr>
              <w:jc w:val="center"/>
              <w:rPr>
                <w:rFonts w:hint="eastAsia" w:ascii="宋体" w:hAnsi="宋体" w:eastAsia="宋体" w:cs="宋体"/>
                <w:i w:val="0"/>
                <w:iCs w:val="0"/>
                <w:color w:val="000000"/>
                <w:sz w:val="20"/>
                <w:szCs w:val="20"/>
                <w:u w:val="none"/>
              </w:rPr>
            </w:pPr>
          </w:p>
        </w:tc>
      </w:tr>
      <w:tr w14:paraId="4D5D2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66B55B3E">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2A1EEB96">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B5CDA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感知链路对接开发</w:t>
            </w:r>
          </w:p>
        </w:tc>
        <w:tc>
          <w:tcPr>
            <w:tcW w:w="924" w:type="dxa"/>
            <w:tcBorders>
              <w:top w:val="nil"/>
              <w:left w:val="nil"/>
              <w:bottom w:val="single" w:color="000000" w:sz="8" w:space="0"/>
              <w:right w:val="single" w:color="000000" w:sz="8" w:space="0"/>
            </w:tcBorders>
            <w:shd w:val="clear" w:color="auto" w:fill="auto"/>
            <w:vAlign w:val="center"/>
          </w:tcPr>
          <w:p w14:paraId="7DF1AA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感知链路对接及接口协议开发</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06DB4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E6637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53881BDC">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2D100C34">
            <w:pPr>
              <w:jc w:val="left"/>
              <w:rPr>
                <w:rFonts w:hint="eastAsia" w:ascii="宋体" w:hAnsi="宋体" w:eastAsia="宋体" w:cs="宋体"/>
                <w:i w:val="0"/>
                <w:iCs w:val="0"/>
                <w:color w:val="0F1115"/>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6D8ADDB1">
            <w:pPr>
              <w:jc w:val="center"/>
              <w:rPr>
                <w:rFonts w:hint="eastAsia" w:ascii="宋体" w:hAnsi="宋体" w:eastAsia="宋体" w:cs="宋体"/>
                <w:i w:val="0"/>
                <w:iCs w:val="0"/>
                <w:color w:val="000000"/>
                <w:sz w:val="20"/>
                <w:szCs w:val="20"/>
                <w:u w:val="none"/>
              </w:rPr>
            </w:pPr>
          </w:p>
        </w:tc>
      </w:tr>
      <w:tr w14:paraId="3AF63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276E75E4">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29C4B88E">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7466A2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事件数据对接开发</w:t>
            </w:r>
          </w:p>
        </w:tc>
        <w:tc>
          <w:tcPr>
            <w:tcW w:w="924" w:type="dxa"/>
            <w:tcBorders>
              <w:top w:val="nil"/>
              <w:left w:val="nil"/>
              <w:bottom w:val="single" w:color="000000" w:sz="8" w:space="0"/>
              <w:right w:val="single" w:color="000000" w:sz="8" w:space="0"/>
            </w:tcBorders>
            <w:shd w:val="clear" w:color="auto" w:fill="auto"/>
            <w:vAlign w:val="center"/>
          </w:tcPr>
          <w:p w14:paraId="78B954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事件数据对接及接口协议开发</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52326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76CD64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0B11F20">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20BF5DA1">
            <w:pPr>
              <w:jc w:val="left"/>
              <w:rPr>
                <w:rFonts w:hint="eastAsia" w:ascii="宋体" w:hAnsi="宋体" w:eastAsia="宋体" w:cs="宋体"/>
                <w:i w:val="0"/>
                <w:iCs w:val="0"/>
                <w:color w:val="0F1115"/>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3D55A9FE">
            <w:pPr>
              <w:jc w:val="center"/>
              <w:rPr>
                <w:rFonts w:hint="eastAsia" w:ascii="宋体" w:hAnsi="宋体" w:eastAsia="宋体" w:cs="宋体"/>
                <w:i w:val="0"/>
                <w:iCs w:val="0"/>
                <w:color w:val="000000"/>
                <w:sz w:val="20"/>
                <w:szCs w:val="20"/>
                <w:u w:val="none"/>
              </w:rPr>
            </w:pPr>
          </w:p>
        </w:tc>
      </w:tr>
      <w:tr w14:paraId="0F9EA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2DECD565">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6BBBADD1">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6FC131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设备远程控制链路对接开发</w:t>
            </w:r>
          </w:p>
        </w:tc>
        <w:tc>
          <w:tcPr>
            <w:tcW w:w="924" w:type="dxa"/>
            <w:tcBorders>
              <w:top w:val="nil"/>
              <w:left w:val="nil"/>
              <w:bottom w:val="single" w:color="000000" w:sz="8" w:space="0"/>
              <w:right w:val="single" w:color="000000" w:sz="8" w:space="0"/>
            </w:tcBorders>
            <w:shd w:val="clear" w:color="auto" w:fill="auto"/>
            <w:vAlign w:val="center"/>
          </w:tcPr>
          <w:p w14:paraId="3B3B5A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设备远程控制链路对接及接口协议开发</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78037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C220F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382E67D">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3C316988">
            <w:pPr>
              <w:jc w:val="left"/>
              <w:rPr>
                <w:rFonts w:hint="eastAsia" w:ascii="宋体" w:hAnsi="宋体" w:eastAsia="宋体" w:cs="宋体"/>
                <w:i w:val="0"/>
                <w:iCs w:val="0"/>
                <w:color w:val="0F1115"/>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1ABB9E9">
            <w:pPr>
              <w:jc w:val="center"/>
              <w:rPr>
                <w:rFonts w:hint="eastAsia" w:ascii="宋体" w:hAnsi="宋体" w:eastAsia="宋体" w:cs="宋体"/>
                <w:i w:val="0"/>
                <w:iCs w:val="0"/>
                <w:color w:val="000000"/>
                <w:sz w:val="20"/>
                <w:szCs w:val="20"/>
                <w:u w:val="none"/>
              </w:rPr>
            </w:pPr>
          </w:p>
        </w:tc>
      </w:tr>
      <w:tr w14:paraId="7FA45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30CEC17A">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1A014F17">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55F1CD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视频链路对接开发</w:t>
            </w:r>
          </w:p>
        </w:tc>
        <w:tc>
          <w:tcPr>
            <w:tcW w:w="924" w:type="dxa"/>
            <w:tcBorders>
              <w:top w:val="nil"/>
              <w:left w:val="nil"/>
              <w:bottom w:val="single" w:color="000000" w:sz="8" w:space="0"/>
              <w:right w:val="single" w:color="000000" w:sz="8" w:space="0"/>
            </w:tcBorders>
            <w:shd w:val="clear" w:color="auto" w:fill="auto"/>
            <w:vAlign w:val="center"/>
          </w:tcPr>
          <w:p w14:paraId="671DF9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视频链路对接及接口协议开发</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023F9E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9D8D1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712EA6B4">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5A731530">
            <w:pPr>
              <w:jc w:val="left"/>
              <w:rPr>
                <w:rFonts w:hint="eastAsia" w:ascii="宋体" w:hAnsi="宋体" w:eastAsia="宋体" w:cs="宋体"/>
                <w:i w:val="0"/>
                <w:iCs w:val="0"/>
                <w:color w:val="0F1115"/>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448194F0">
            <w:pPr>
              <w:jc w:val="center"/>
              <w:rPr>
                <w:rFonts w:hint="eastAsia" w:ascii="宋体" w:hAnsi="宋体" w:eastAsia="宋体" w:cs="宋体"/>
                <w:i w:val="0"/>
                <w:iCs w:val="0"/>
                <w:color w:val="000000"/>
                <w:sz w:val="20"/>
                <w:szCs w:val="20"/>
                <w:u w:val="none"/>
              </w:rPr>
            </w:pPr>
          </w:p>
        </w:tc>
      </w:tr>
      <w:tr w14:paraId="75E7D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C728C63">
            <w:pPr>
              <w:jc w:val="center"/>
              <w:rPr>
                <w:rFonts w:hint="eastAsia" w:ascii="宋体" w:hAnsi="宋体" w:eastAsia="宋体" w:cs="宋体"/>
                <w:i w:val="0"/>
                <w:iCs w:val="0"/>
                <w:color w:val="000000"/>
                <w:sz w:val="20"/>
                <w:szCs w:val="20"/>
                <w:u w:val="none"/>
              </w:rPr>
            </w:pPr>
          </w:p>
        </w:tc>
        <w:tc>
          <w:tcPr>
            <w:tcW w:w="924" w:type="dxa"/>
            <w:vMerge w:val="continue"/>
            <w:tcBorders>
              <w:top w:val="single" w:color="000000" w:sz="8" w:space="0"/>
              <w:left w:val="nil"/>
              <w:bottom w:val="single" w:color="000000" w:sz="8" w:space="0"/>
              <w:right w:val="single" w:color="000000" w:sz="8" w:space="0"/>
            </w:tcBorders>
            <w:shd w:val="clear" w:color="auto" w:fill="auto"/>
            <w:vAlign w:val="center"/>
          </w:tcPr>
          <w:p w14:paraId="4508476B">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2B805F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部署和质量测试验证</w:t>
            </w:r>
          </w:p>
        </w:tc>
        <w:tc>
          <w:tcPr>
            <w:tcW w:w="924" w:type="dxa"/>
            <w:tcBorders>
              <w:top w:val="nil"/>
              <w:left w:val="nil"/>
              <w:bottom w:val="single" w:color="000000" w:sz="8" w:space="0"/>
              <w:right w:val="single" w:color="000000" w:sz="8" w:space="0"/>
            </w:tcBorders>
            <w:shd w:val="clear" w:color="auto" w:fill="auto"/>
            <w:vAlign w:val="center"/>
          </w:tcPr>
          <w:p w14:paraId="10E7C5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部署和质量测试验证</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646496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76CA78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45405FFB">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42990178">
            <w:pPr>
              <w:jc w:val="left"/>
              <w:rPr>
                <w:rFonts w:hint="eastAsia" w:ascii="宋体" w:hAnsi="宋体" w:eastAsia="宋体" w:cs="宋体"/>
                <w:i w:val="0"/>
                <w:iCs w:val="0"/>
                <w:color w:val="0F1115"/>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2B92B041">
            <w:pPr>
              <w:jc w:val="center"/>
              <w:rPr>
                <w:rFonts w:hint="eastAsia" w:ascii="宋体" w:hAnsi="宋体" w:eastAsia="宋体" w:cs="宋体"/>
                <w:i w:val="0"/>
                <w:iCs w:val="0"/>
                <w:color w:val="000000"/>
                <w:sz w:val="20"/>
                <w:szCs w:val="20"/>
                <w:u w:val="none"/>
              </w:rPr>
            </w:pPr>
          </w:p>
        </w:tc>
      </w:tr>
      <w:tr w14:paraId="6273B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28D2EF1B">
            <w:pPr>
              <w:jc w:val="center"/>
              <w:rPr>
                <w:rFonts w:hint="eastAsia" w:ascii="宋体" w:hAnsi="宋体" w:eastAsia="宋体" w:cs="宋体"/>
                <w:i w:val="0"/>
                <w:iCs w:val="0"/>
                <w:color w:val="000000"/>
                <w:sz w:val="20"/>
                <w:szCs w:val="20"/>
                <w:u w:val="none"/>
              </w:rPr>
            </w:pPr>
          </w:p>
        </w:tc>
        <w:tc>
          <w:tcPr>
            <w:tcW w:w="924" w:type="dxa"/>
            <w:vMerge w:val="restart"/>
            <w:tcBorders>
              <w:top w:val="nil"/>
              <w:left w:val="nil"/>
              <w:bottom w:val="single" w:color="000000" w:sz="8" w:space="0"/>
              <w:right w:val="single" w:color="000000" w:sz="8" w:space="0"/>
            </w:tcBorders>
            <w:shd w:val="clear" w:color="auto" w:fill="auto"/>
            <w:vAlign w:val="center"/>
          </w:tcPr>
          <w:p w14:paraId="157839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互联网数据协议开发和计算</w:t>
            </w:r>
          </w:p>
        </w:tc>
        <w:tc>
          <w:tcPr>
            <w:tcW w:w="924" w:type="dxa"/>
            <w:tcBorders>
              <w:top w:val="nil"/>
              <w:left w:val="nil"/>
              <w:bottom w:val="single" w:color="000000" w:sz="8" w:space="0"/>
              <w:right w:val="single" w:color="000000" w:sz="8" w:space="0"/>
            </w:tcBorders>
            <w:shd w:val="clear" w:color="auto" w:fill="auto"/>
            <w:vAlign w:val="center"/>
          </w:tcPr>
          <w:p w14:paraId="70F34E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交通路况</w:t>
            </w:r>
          </w:p>
        </w:tc>
        <w:tc>
          <w:tcPr>
            <w:tcW w:w="924" w:type="dxa"/>
            <w:tcBorders>
              <w:top w:val="nil"/>
              <w:left w:val="nil"/>
              <w:bottom w:val="single" w:color="000000" w:sz="8" w:space="0"/>
              <w:right w:val="single" w:color="000000" w:sz="8" w:space="0"/>
            </w:tcBorders>
            <w:shd w:val="clear" w:color="auto" w:fill="auto"/>
            <w:vAlign w:val="center"/>
          </w:tcPr>
          <w:p w14:paraId="2BC583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交通路况接对接及接口协议开发计算</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34C31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0C11DB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1405D2A9">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7937A1F2">
            <w:pPr>
              <w:jc w:val="left"/>
              <w:rPr>
                <w:rFonts w:hint="eastAsia" w:ascii="宋体" w:hAnsi="宋体" w:eastAsia="宋体" w:cs="宋体"/>
                <w:i w:val="0"/>
                <w:iCs w:val="0"/>
                <w:color w:val="0F1115"/>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21382E4E">
            <w:pPr>
              <w:jc w:val="center"/>
              <w:rPr>
                <w:rFonts w:hint="eastAsia" w:ascii="宋体" w:hAnsi="宋体" w:eastAsia="宋体" w:cs="宋体"/>
                <w:i w:val="0"/>
                <w:iCs w:val="0"/>
                <w:color w:val="000000"/>
                <w:sz w:val="20"/>
                <w:szCs w:val="20"/>
                <w:u w:val="none"/>
              </w:rPr>
            </w:pPr>
          </w:p>
        </w:tc>
      </w:tr>
      <w:tr w14:paraId="6F03D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13864AA3">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1897F55C">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258952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交通指数</w:t>
            </w:r>
          </w:p>
        </w:tc>
        <w:tc>
          <w:tcPr>
            <w:tcW w:w="924" w:type="dxa"/>
            <w:tcBorders>
              <w:top w:val="nil"/>
              <w:left w:val="nil"/>
              <w:bottom w:val="single" w:color="000000" w:sz="8" w:space="0"/>
              <w:right w:val="single" w:color="000000" w:sz="8" w:space="0"/>
            </w:tcBorders>
            <w:shd w:val="clear" w:color="auto" w:fill="auto"/>
            <w:vAlign w:val="center"/>
          </w:tcPr>
          <w:p w14:paraId="5DEF2E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交通指数对接及接口协议开发计算</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BB7F0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286E8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19580AFF">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E468C7C">
            <w:pPr>
              <w:jc w:val="left"/>
              <w:rPr>
                <w:rFonts w:hint="eastAsia" w:ascii="宋体" w:hAnsi="宋体" w:eastAsia="宋体" w:cs="宋体"/>
                <w:i w:val="0"/>
                <w:iCs w:val="0"/>
                <w:color w:val="0F1115"/>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141135CB">
            <w:pPr>
              <w:jc w:val="center"/>
              <w:rPr>
                <w:rFonts w:hint="eastAsia" w:ascii="宋体" w:hAnsi="宋体" w:eastAsia="宋体" w:cs="宋体"/>
                <w:i w:val="0"/>
                <w:iCs w:val="0"/>
                <w:color w:val="000000"/>
                <w:sz w:val="20"/>
                <w:szCs w:val="20"/>
                <w:u w:val="none"/>
              </w:rPr>
            </w:pPr>
          </w:p>
        </w:tc>
      </w:tr>
      <w:tr w14:paraId="25B29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41D4521D">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025F7F5E">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026487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实时人流</w:t>
            </w:r>
          </w:p>
        </w:tc>
        <w:tc>
          <w:tcPr>
            <w:tcW w:w="924" w:type="dxa"/>
            <w:tcBorders>
              <w:top w:val="nil"/>
              <w:left w:val="nil"/>
              <w:bottom w:val="single" w:color="000000" w:sz="8" w:space="0"/>
              <w:right w:val="single" w:color="000000" w:sz="8" w:space="0"/>
            </w:tcBorders>
            <w:shd w:val="clear" w:color="auto" w:fill="auto"/>
            <w:vAlign w:val="center"/>
          </w:tcPr>
          <w:p w14:paraId="5F0B31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实时人流对接及接口协议开发计算</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40AACA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54F8BC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67F0C748">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140BC8E3">
            <w:pPr>
              <w:jc w:val="left"/>
              <w:rPr>
                <w:rFonts w:hint="eastAsia" w:ascii="宋体" w:hAnsi="宋体" w:eastAsia="宋体" w:cs="宋体"/>
                <w:i w:val="0"/>
                <w:iCs w:val="0"/>
                <w:color w:val="0F1115"/>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0A8A4B59">
            <w:pPr>
              <w:jc w:val="center"/>
              <w:rPr>
                <w:rFonts w:hint="eastAsia" w:ascii="宋体" w:hAnsi="宋体" w:eastAsia="宋体" w:cs="宋体"/>
                <w:i w:val="0"/>
                <w:iCs w:val="0"/>
                <w:color w:val="000000"/>
                <w:sz w:val="20"/>
                <w:szCs w:val="20"/>
                <w:u w:val="none"/>
              </w:rPr>
            </w:pPr>
          </w:p>
        </w:tc>
      </w:tr>
      <w:tr w14:paraId="0472C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923" w:type="dxa"/>
            <w:vMerge w:val="continue"/>
            <w:tcBorders>
              <w:top w:val="nil"/>
              <w:left w:val="single" w:color="000000" w:sz="8" w:space="0"/>
              <w:bottom w:val="single" w:color="000000" w:sz="8" w:space="0"/>
              <w:right w:val="single" w:color="000000" w:sz="8" w:space="0"/>
            </w:tcBorders>
            <w:shd w:val="clear" w:color="auto" w:fill="auto"/>
            <w:vAlign w:val="center"/>
          </w:tcPr>
          <w:p w14:paraId="7497724E">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000000" w:sz="8" w:space="0"/>
              <w:right w:val="single" w:color="000000" w:sz="8" w:space="0"/>
            </w:tcBorders>
            <w:shd w:val="clear" w:color="auto" w:fill="auto"/>
            <w:vAlign w:val="center"/>
          </w:tcPr>
          <w:p w14:paraId="6A16378F">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000000" w:sz="8" w:space="0"/>
              <w:right w:val="single" w:color="000000" w:sz="8" w:space="0"/>
            </w:tcBorders>
            <w:shd w:val="clear" w:color="auto" w:fill="auto"/>
            <w:vAlign w:val="center"/>
          </w:tcPr>
          <w:p w14:paraId="4F3CAA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职住数据</w:t>
            </w:r>
          </w:p>
        </w:tc>
        <w:tc>
          <w:tcPr>
            <w:tcW w:w="924" w:type="dxa"/>
            <w:tcBorders>
              <w:top w:val="nil"/>
              <w:left w:val="nil"/>
              <w:bottom w:val="single" w:color="000000" w:sz="8" w:space="0"/>
              <w:right w:val="single" w:color="000000" w:sz="8" w:space="0"/>
            </w:tcBorders>
            <w:shd w:val="clear" w:color="auto" w:fill="auto"/>
            <w:vAlign w:val="center"/>
          </w:tcPr>
          <w:p w14:paraId="3A2B1F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职住数据对接及接口协议开发计算</w:t>
            </w:r>
          </w:p>
        </w:tc>
        <w:tc>
          <w:tcPr>
            <w:tcW w:w="1777" w:type="dxa"/>
            <w:tcBorders>
              <w:top w:val="single" w:color="000000" w:sz="8" w:space="0"/>
              <w:left w:val="nil"/>
              <w:bottom w:val="single" w:color="000000" w:sz="8" w:space="0"/>
              <w:right w:val="single" w:color="000000" w:sz="8" w:space="0"/>
            </w:tcBorders>
            <w:shd w:val="clear" w:color="auto" w:fill="auto"/>
            <w:vAlign w:val="center"/>
          </w:tcPr>
          <w:p w14:paraId="57EA53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000000" w:sz="8" w:space="0"/>
              <w:right w:val="single" w:color="000000" w:sz="8" w:space="0"/>
            </w:tcBorders>
            <w:shd w:val="clear" w:color="auto" w:fill="auto"/>
            <w:vAlign w:val="center"/>
          </w:tcPr>
          <w:p w14:paraId="4649E2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000000" w:sz="8" w:space="0"/>
              <w:right w:val="single" w:color="000000" w:sz="8" w:space="0"/>
            </w:tcBorders>
            <w:shd w:val="clear" w:color="auto" w:fill="auto"/>
            <w:vAlign w:val="center"/>
          </w:tcPr>
          <w:p w14:paraId="1299D6C6">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000000" w:sz="8" w:space="0"/>
              <w:right w:val="single" w:color="000000" w:sz="8" w:space="0"/>
            </w:tcBorders>
            <w:shd w:val="clear" w:color="auto" w:fill="auto"/>
            <w:vAlign w:val="center"/>
          </w:tcPr>
          <w:p w14:paraId="63DF2032">
            <w:pPr>
              <w:jc w:val="left"/>
              <w:rPr>
                <w:rFonts w:hint="eastAsia" w:ascii="宋体" w:hAnsi="宋体" w:eastAsia="宋体" w:cs="宋体"/>
                <w:i w:val="0"/>
                <w:iCs w:val="0"/>
                <w:color w:val="0F1115"/>
                <w:sz w:val="20"/>
                <w:szCs w:val="20"/>
                <w:u w:val="none"/>
              </w:rPr>
            </w:pPr>
          </w:p>
        </w:tc>
        <w:tc>
          <w:tcPr>
            <w:tcW w:w="819" w:type="dxa"/>
            <w:tcBorders>
              <w:top w:val="nil"/>
              <w:left w:val="nil"/>
              <w:bottom w:val="single" w:color="000000" w:sz="8" w:space="0"/>
              <w:right w:val="single" w:color="000000" w:sz="8" w:space="0"/>
            </w:tcBorders>
            <w:shd w:val="clear" w:color="auto" w:fill="auto"/>
            <w:vAlign w:val="bottom"/>
          </w:tcPr>
          <w:p w14:paraId="475E51B5">
            <w:pPr>
              <w:jc w:val="center"/>
              <w:rPr>
                <w:rFonts w:hint="eastAsia" w:ascii="宋体" w:hAnsi="宋体" w:eastAsia="宋体" w:cs="宋体"/>
                <w:i w:val="0"/>
                <w:iCs w:val="0"/>
                <w:color w:val="000000"/>
                <w:sz w:val="20"/>
                <w:szCs w:val="20"/>
                <w:u w:val="none"/>
              </w:rPr>
            </w:pPr>
          </w:p>
        </w:tc>
      </w:tr>
      <w:tr w14:paraId="5B4AA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923" w:type="dxa"/>
            <w:vMerge w:val="continue"/>
            <w:tcBorders>
              <w:top w:val="nil"/>
              <w:left w:val="single" w:color="000000" w:sz="8" w:space="0"/>
              <w:bottom w:val="single" w:color="auto" w:sz="4" w:space="0"/>
              <w:right w:val="single" w:color="000000" w:sz="8" w:space="0"/>
            </w:tcBorders>
            <w:shd w:val="clear" w:color="auto" w:fill="auto"/>
            <w:vAlign w:val="center"/>
          </w:tcPr>
          <w:p w14:paraId="6FE3594A">
            <w:pPr>
              <w:jc w:val="center"/>
              <w:rPr>
                <w:rFonts w:hint="eastAsia" w:ascii="宋体" w:hAnsi="宋体" w:eastAsia="宋体" w:cs="宋体"/>
                <w:i w:val="0"/>
                <w:iCs w:val="0"/>
                <w:color w:val="000000"/>
                <w:sz w:val="20"/>
                <w:szCs w:val="20"/>
                <w:u w:val="none"/>
              </w:rPr>
            </w:pPr>
          </w:p>
        </w:tc>
        <w:tc>
          <w:tcPr>
            <w:tcW w:w="924" w:type="dxa"/>
            <w:vMerge w:val="continue"/>
            <w:tcBorders>
              <w:top w:val="nil"/>
              <w:left w:val="nil"/>
              <w:bottom w:val="single" w:color="auto" w:sz="4" w:space="0"/>
              <w:right w:val="single" w:color="000000" w:sz="8" w:space="0"/>
            </w:tcBorders>
            <w:shd w:val="clear" w:color="auto" w:fill="auto"/>
            <w:vAlign w:val="center"/>
          </w:tcPr>
          <w:p w14:paraId="7A9112B6">
            <w:pPr>
              <w:jc w:val="center"/>
              <w:rPr>
                <w:rFonts w:hint="eastAsia" w:ascii="宋体" w:hAnsi="宋体" w:eastAsia="宋体" w:cs="宋体"/>
                <w:i w:val="0"/>
                <w:iCs w:val="0"/>
                <w:color w:val="000000"/>
                <w:sz w:val="20"/>
                <w:szCs w:val="20"/>
                <w:u w:val="none"/>
              </w:rPr>
            </w:pPr>
          </w:p>
        </w:tc>
        <w:tc>
          <w:tcPr>
            <w:tcW w:w="924" w:type="dxa"/>
            <w:tcBorders>
              <w:top w:val="nil"/>
              <w:left w:val="nil"/>
              <w:bottom w:val="single" w:color="auto" w:sz="4" w:space="0"/>
              <w:right w:val="single" w:color="000000" w:sz="8" w:space="0"/>
            </w:tcBorders>
            <w:shd w:val="clear" w:color="auto" w:fill="auto"/>
            <w:vAlign w:val="center"/>
          </w:tcPr>
          <w:p w14:paraId="16B9B7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OD 数据</w:t>
            </w:r>
          </w:p>
        </w:tc>
        <w:tc>
          <w:tcPr>
            <w:tcW w:w="924" w:type="dxa"/>
            <w:tcBorders>
              <w:top w:val="nil"/>
              <w:left w:val="nil"/>
              <w:bottom w:val="single" w:color="auto" w:sz="4" w:space="0"/>
              <w:right w:val="single" w:color="000000" w:sz="8" w:space="0"/>
            </w:tcBorders>
            <w:shd w:val="clear" w:color="auto" w:fill="auto"/>
            <w:vAlign w:val="center"/>
          </w:tcPr>
          <w:p w14:paraId="6C86CD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OD 数据对接及接口协议开发计算</w:t>
            </w:r>
          </w:p>
        </w:tc>
        <w:tc>
          <w:tcPr>
            <w:tcW w:w="1777" w:type="dxa"/>
            <w:tcBorders>
              <w:top w:val="single" w:color="000000" w:sz="8" w:space="0"/>
              <w:left w:val="nil"/>
              <w:bottom w:val="single" w:color="auto" w:sz="4" w:space="0"/>
              <w:right w:val="single" w:color="000000" w:sz="8" w:space="0"/>
            </w:tcBorders>
            <w:shd w:val="clear" w:color="auto" w:fill="auto"/>
            <w:vAlign w:val="center"/>
          </w:tcPr>
          <w:p w14:paraId="3CDFF6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485" w:type="dxa"/>
            <w:tcBorders>
              <w:top w:val="nil"/>
              <w:left w:val="nil"/>
              <w:bottom w:val="single" w:color="auto" w:sz="4" w:space="0"/>
              <w:right w:val="single" w:color="000000" w:sz="8" w:space="0"/>
            </w:tcBorders>
            <w:shd w:val="clear" w:color="auto" w:fill="auto"/>
            <w:vAlign w:val="center"/>
          </w:tcPr>
          <w:p w14:paraId="72F6C6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 w:type="dxa"/>
            <w:tcBorders>
              <w:top w:val="single" w:color="000000" w:sz="8" w:space="0"/>
              <w:left w:val="nil"/>
              <w:bottom w:val="single" w:color="auto" w:sz="4" w:space="0"/>
              <w:right w:val="single" w:color="000000" w:sz="8" w:space="0"/>
            </w:tcBorders>
            <w:shd w:val="clear" w:color="auto" w:fill="auto"/>
            <w:vAlign w:val="center"/>
          </w:tcPr>
          <w:p w14:paraId="67887B18">
            <w:pPr>
              <w:keepNext w:val="0"/>
              <w:keepLines w:val="0"/>
              <w:widowControl/>
              <w:suppressLineNumbers w:val="0"/>
              <w:jc w:val="center"/>
              <w:textAlignment w:val="center"/>
              <w:rPr>
                <w:rFonts w:hint="eastAsia" w:ascii="宋体" w:hAnsi="宋体" w:eastAsia="宋体" w:cs="宋体"/>
                <w:i w:val="0"/>
                <w:iCs w:val="0"/>
                <w:color w:val="0F1115"/>
                <w:sz w:val="20"/>
                <w:szCs w:val="20"/>
                <w:u w:val="none"/>
              </w:rPr>
            </w:pPr>
            <w:r>
              <w:rPr>
                <w:rFonts w:hint="eastAsia" w:ascii="宋体" w:hAnsi="宋体" w:eastAsia="宋体" w:cs="宋体"/>
                <w:i w:val="0"/>
                <w:iCs w:val="0"/>
                <w:color w:val="0F1115"/>
                <w:kern w:val="0"/>
                <w:sz w:val="20"/>
                <w:szCs w:val="20"/>
                <w:u w:val="none"/>
                <w:lang w:val="en-US" w:eastAsia="zh-CN" w:bidi="ar"/>
              </w:rPr>
              <w:t>项</w:t>
            </w:r>
          </w:p>
        </w:tc>
        <w:tc>
          <w:tcPr>
            <w:tcW w:w="819" w:type="dxa"/>
            <w:tcBorders>
              <w:top w:val="nil"/>
              <w:left w:val="nil"/>
              <w:bottom w:val="single" w:color="auto" w:sz="4" w:space="0"/>
              <w:right w:val="single" w:color="000000" w:sz="8" w:space="0"/>
            </w:tcBorders>
            <w:shd w:val="clear" w:color="auto" w:fill="auto"/>
            <w:vAlign w:val="center"/>
          </w:tcPr>
          <w:p w14:paraId="39774EF1">
            <w:pPr>
              <w:jc w:val="left"/>
              <w:rPr>
                <w:rFonts w:hint="eastAsia" w:ascii="宋体" w:hAnsi="宋体" w:eastAsia="宋体" w:cs="宋体"/>
                <w:i w:val="0"/>
                <w:iCs w:val="0"/>
                <w:color w:val="0F1115"/>
                <w:sz w:val="20"/>
                <w:szCs w:val="20"/>
                <w:u w:val="none"/>
              </w:rPr>
            </w:pPr>
          </w:p>
        </w:tc>
        <w:tc>
          <w:tcPr>
            <w:tcW w:w="819" w:type="dxa"/>
            <w:tcBorders>
              <w:top w:val="nil"/>
              <w:left w:val="nil"/>
              <w:bottom w:val="single" w:color="auto" w:sz="4" w:space="0"/>
              <w:right w:val="single" w:color="000000" w:sz="8" w:space="0"/>
            </w:tcBorders>
            <w:shd w:val="clear" w:color="auto" w:fill="auto"/>
            <w:vAlign w:val="bottom"/>
          </w:tcPr>
          <w:p w14:paraId="3D495081">
            <w:pPr>
              <w:jc w:val="center"/>
              <w:rPr>
                <w:rFonts w:hint="eastAsia" w:ascii="宋体" w:hAnsi="宋体" w:eastAsia="宋体" w:cs="宋体"/>
                <w:i w:val="0"/>
                <w:iCs w:val="0"/>
                <w:color w:val="000000"/>
                <w:sz w:val="20"/>
                <w:szCs w:val="20"/>
                <w:u w:val="none"/>
              </w:rPr>
            </w:pPr>
          </w:p>
        </w:tc>
      </w:tr>
      <w:tr w14:paraId="73C62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808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3456A154">
            <w:pPr>
              <w:jc w:val="both"/>
              <w:rPr>
                <w:rFonts w:hint="eastAsia" w:ascii="宋体" w:hAnsi="宋体" w:eastAsia="宋体" w:cs="宋体"/>
                <w:i w:val="0"/>
                <w:iCs w:val="0"/>
                <w:color w:val="000000"/>
                <w:sz w:val="20"/>
                <w:szCs w:val="20"/>
                <w:u w:val="none"/>
              </w:rPr>
            </w:pPr>
            <w:r>
              <w:rPr>
                <w:rFonts w:hint="eastAsia" w:ascii="宋体" w:hAnsi="宋体" w:eastAsia="宋体" w:cs="宋体"/>
                <w:b/>
                <w:bCs w:val="0"/>
                <w:szCs w:val="21"/>
                <w:lang w:val="en-US" w:eastAsia="zh-CN"/>
              </w:rPr>
              <w:t>分项报价小计</w:t>
            </w:r>
            <w:r>
              <w:rPr>
                <w:rFonts w:hint="eastAsia" w:ascii="宋体" w:hAnsi="宋体" w:eastAsia="宋体" w:cs="宋体"/>
                <w:b/>
                <w:bCs w:val="0"/>
                <w:szCs w:val="21"/>
              </w:rPr>
              <w:t>（币种：人民币；单位：元）小写：</w:t>
            </w:r>
          </w:p>
        </w:tc>
      </w:tr>
    </w:tbl>
    <w:p w14:paraId="10A487E2">
      <w:pPr>
        <w:spacing w:line="276" w:lineRule="auto"/>
        <w:ind w:firstLine="0" w:firstLineChars="0"/>
        <w:rPr>
          <w:rFonts w:hint="eastAsia" w:cs="宋体" w:asciiTheme="minorEastAsia" w:hAnsiTheme="minorEastAsia"/>
          <w:b/>
          <w:sz w:val="24"/>
          <w:szCs w:val="24"/>
        </w:rPr>
      </w:pPr>
    </w:p>
    <w:p w14:paraId="2E877865">
      <w:pPr>
        <w:spacing w:line="276" w:lineRule="auto"/>
        <w:ind w:firstLine="0" w:firstLineChars="0"/>
        <w:rPr>
          <w:rFonts w:hint="eastAsia" w:cs="宋体" w:asciiTheme="minorEastAsia" w:hAnsiTheme="minorEastAsia"/>
          <w:b/>
          <w:sz w:val="24"/>
          <w:szCs w:val="24"/>
        </w:rPr>
      </w:pPr>
    </w:p>
    <w:p w14:paraId="2730AC33">
      <w:pPr>
        <w:spacing w:line="276" w:lineRule="auto"/>
        <w:ind w:firstLine="0" w:firstLineChars="0"/>
        <w:rPr>
          <w:rFonts w:hint="eastAsia" w:cs="宋体" w:asciiTheme="minorEastAsia" w:hAnsiTheme="minorEastAsia"/>
          <w:b/>
          <w:sz w:val="24"/>
          <w:szCs w:val="24"/>
        </w:rPr>
      </w:pPr>
    </w:p>
    <w:p w14:paraId="2333E78F">
      <w:pPr>
        <w:pStyle w:val="19"/>
        <w:spacing w:before="78" w:line="218" w:lineRule="auto"/>
        <w:ind w:left="128"/>
        <w:outlineLvl w:val="3"/>
        <w:rPr>
          <w:sz w:val="24"/>
          <w:szCs w:val="24"/>
        </w:rPr>
      </w:pPr>
      <w:r>
        <w:rPr>
          <w:b/>
          <w:bCs/>
          <w:spacing w:val="-9"/>
          <w:sz w:val="24"/>
          <w:szCs w:val="24"/>
        </w:rPr>
        <w:t>（三）</w:t>
      </w:r>
      <w:r>
        <w:rPr>
          <w:spacing w:val="-72"/>
          <w:sz w:val="24"/>
          <w:szCs w:val="24"/>
        </w:rPr>
        <w:t xml:space="preserve"> </w:t>
      </w:r>
      <w:r>
        <w:rPr>
          <w:rFonts w:hint="eastAsia"/>
          <w:spacing w:val="-72"/>
          <w:sz w:val="24"/>
          <w:szCs w:val="24"/>
          <w:lang w:eastAsia="zh-CN"/>
        </w:rPr>
        <w:t>数据</w:t>
      </w:r>
      <w:r>
        <w:rPr>
          <w:b/>
          <w:bCs/>
          <w:spacing w:val="-9"/>
          <w:sz w:val="24"/>
          <w:szCs w:val="24"/>
        </w:rPr>
        <w:t>服务详细报价</w:t>
      </w:r>
    </w:p>
    <w:tbl>
      <w:tblPr>
        <w:tblStyle w:val="44"/>
        <w:tblW w:w="8818"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29"/>
        <w:gridCol w:w="888"/>
        <w:gridCol w:w="1676"/>
        <w:gridCol w:w="1722"/>
        <w:gridCol w:w="948"/>
        <w:gridCol w:w="736"/>
        <w:gridCol w:w="1060"/>
        <w:gridCol w:w="1059"/>
      </w:tblGrid>
      <w:tr w14:paraId="469E7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8818"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9DD4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互联网数据采购</w:t>
            </w:r>
          </w:p>
        </w:tc>
      </w:tr>
      <w:tr w14:paraId="4B56F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B39E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采购起始时间依据项目实际需要由采购人与中标人另行约定，数据采购服务不包含免费维保期</w:t>
            </w:r>
            <w:r>
              <w:rPr>
                <w:rFonts w:hint="eastAsia" w:ascii="宋体" w:hAnsi="宋体" w:eastAsia="宋体" w:cs="宋体"/>
                <w:b/>
                <w:bCs/>
                <w:i w:val="0"/>
                <w:iCs w:val="0"/>
                <w:color w:val="000000"/>
                <w:kern w:val="0"/>
                <w:sz w:val="20"/>
                <w:szCs w:val="20"/>
                <w:u w:val="none"/>
                <w:lang w:val="en-US" w:eastAsia="zh-CN" w:bidi="ar"/>
              </w:rPr>
              <w:t>）</w:t>
            </w:r>
          </w:p>
        </w:tc>
      </w:tr>
      <w:tr w14:paraId="0478A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9442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C0E7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分类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3449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数据项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E8D7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数据内容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79BD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1A88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BCA8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单价（元）</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1EB8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合价（元）</w:t>
            </w:r>
          </w:p>
        </w:tc>
      </w:tr>
      <w:tr w14:paraId="24275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BDD7EE"/>
            <w:noWrap/>
            <w:vAlign w:val="center"/>
          </w:tcPr>
          <w:p w14:paraId="197E82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一、互联网大数据</w:t>
            </w:r>
          </w:p>
        </w:tc>
        <w:tc>
          <w:tcPr>
            <w:tcW w:w="0" w:type="auto"/>
            <w:tcBorders>
              <w:top w:val="single" w:color="000000" w:sz="4" w:space="0"/>
              <w:left w:val="single" w:color="000000" w:sz="4" w:space="0"/>
              <w:bottom w:val="single" w:color="000000" w:sz="4" w:space="0"/>
              <w:right w:val="single" w:color="000000" w:sz="4" w:space="0"/>
            </w:tcBorders>
            <w:shd w:val="clear" w:color="auto" w:fill="BDD7EE"/>
            <w:noWrap/>
            <w:vAlign w:val="center"/>
          </w:tcPr>
          <w:p w14:paraId="11546739">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BDD7EE"/>
            <w:noWrap/>
            <w:vAlign w:val="center"/>
          </w:tcPr>
          <w:p w14:paraId="4372FBE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BDD7EE"/>
            <w:noWrap/>
            <w:vAlign w:val="center"/>
          </w:tcPr>
          <w:p w14:paraId="561254A9">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BDD7EE"/>
            <w:noWrap/>
            <w:vAlign w:val="center"/>
          </w:tcPr>
          <w:p w14:paraId="4CCFB02D">
            <w:pPr>
              <w:jc w:val="center"/>
              <w:rPr>
                <w:rFonts w:hint="eastAsia" w:ascii="宋体" w:hAnsi="宋体" w:eastAsia="宋体" w:cs="宋体"/>
                <w:i w:val="0"/>
                <w:iCs w:val="0"/>
                <w:color w:val="000000"/>
                <w:sz w:val="20"/>
                <w:szCs w:val="20"/>
                <w:u w:val="none"/>
              </w:rPr>
            </w:pPr>
          </w:p>
        </w:tc>
      </w:tr>
      <w:tr w14:paraId="564DA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326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87AB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交通态势类指标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1C9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实时路况</w:t>
            </w:r>
          </w:p>
        </w:tc>
        <w:tc>
          <w:tcPr>
            <w:tcW w:w="18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3462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9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0754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南山区/年</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BAD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3DC23">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8F641">
            <w:pPr>
              <w:jc w:val="center"/>
              <w:rPr>
                <w:rFonts w:hint="eastAsia" w:ascii="宋体" w:hAnsi="宋体" w:eastAsia="宋体" w:cs="宋体"/>
                <w:i w:val="0"/>
                <w:iCs w:val="0"/>
                <w:color w:val="000000"/>
                <w:sz w:val="20"/>
                <w:szCs w:val="20"/>
                <w:u w:val="none"/>
              </w:rPr>
            </w:pPr>
          </w:p>
        </w:tc>
      </w:tr>
      <w:tr w14:paraId="7597B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A1ACE">
            <w:pPr>
              <w:jc w:val="center"/>
              <w:rPr>
                <w:rFonts w:hint="eastAsia" w:ascii="宋体" w:hAnsi="宋体" w:eastAsia="宋体" w:cs="宋体"/>
                <w:i w:val="0"/>
                <w:iCs w:val="0"/>
                <w:color w:val="000000"/>
                <w:sz w:val="20"/>
                <w:szCs w:val="20"/>
                <w:u w:val="none"/>
              </w:rPr>
            </w:pPr>
          </w:p>
        </w:tc>
        <w:tc>
          <w:tcPr>
            <w:tcW w:w="8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A05B3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87C46">
            <w:pPr>
              <w:jc w:val="left"/>
              <w:rPr>
                <w:rFonts w:hint="eastAsia" w:ascii="宋体" w:hAnsi="宋体" w:eastAsia="宋体" w:cs="宋体"/>
                <w:i w:val="0"/>
                <w:iCs w:val="0"/>
                <w:color w:val="000000"/>
                <w:sz w:val="20"/>
                <w:szCs w:val="20"/>
                <w:u w:val="none"/>
              </w:rPr>
            </w:pPr>
          </w:p>
        </w:tc>
        <w:tc>
          <w:tcPr>
            <w:tcW w:w="18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212594">
            <w:pPr>
              <w:jc w:val="left"/>
              <w:rPr>
                <w:rFonts w:hint="eastAsia" w:ascii="宋体" w:hAnsi="宋体" w:eastAsia="宋体" w:cs="宋体"/>
                <w:i w:val="0"/>
                <w:iCs w:val="0"/>
                <w:color w:val="000000"/>
                <w:sz w:val="20"/>
                <w:szCs w:val="20"/>
                <w:u w:val="none"/>
              </w:rPr>
            </w:pPr>
          </w:p>
        </w:tc>
        <w:tc>
          <w:tcPr>
            <w:tcW w:w="9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40BD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CFD3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92A1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18F8A">
            <w:pPr>
              <w:jc w:val="center"/>
              <w:rPr>
                <w:rFonts w:hint="eastAsia" w:ascii="宋体" w:hAnsi="宋体" w:eastAsia="宋体" w:cs="宋体"/>
                <w:i w:val="0"/>
                <w:iCs w:val="0"/>
                <w:color w:val="000000"/>
                <w:sz w:val="20"/>
                <w:szCs w:val="20"/>
                <w:u w:val="none"/>
              </w:rPr>
            </w:pPr>
          </w:p>
        </w:tc>
      </w:tr>
      <w:tr w14:paraId="05BBB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89E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8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8174F">
            <w:pPr>
              <w:jc w:val="center"/>
              <w:rPr>
                <w:rFonts w:hint="eastAsia" w:ascii="宋体" w:hAnsi="宋体" w:eastAsia="宋体" w:cs="宋体"/>
                <w:i w:val="0"/>
                <w:iCs w:val="0"/>
                <w:color w:val="000000"/>
                <w:sz w:val="20"/>
                <w:szCs w:val="20"/>
                <w:u w:val="none"/>
              </w:rPr>
            </w:pPr>
          </w:p>
        </w:tc>
        <w:tc>
          <w:tcPr>
            <w:tcW w:w="1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C77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交通拥堵指数-区域实时</w:t>
            </w:r>
          </w:p>
        </w:tc>
        <w:tc>
          <w:tcPr>
            <w:tcW w:w="1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EA455">
            <w:pPr>
              <w:keepNext w:val="0"/>
              <w:keepLines w:val="0"/>
              <w:widowControl/>
              <w:suppressLineNumbers w:val="0"/>
              <w:jc w:val="left"/>
              <w:textAlignment w:val="center"/>
              <w:rPr>
                <w:rFonts w:hint="eastAsia" w:ascii="宋体" w:hAnsi="宋体" w:eastAsia="宋体" w:cs="宋体"/>
                <w:i w:val="0"/>
                <w:iCs w:val="0"/>
                <w:color w:val="000000"/>
                <w:sz w:val="19"/>
                <w:szCs w:val="19"/>
                <w:u w:val="none"/>
              </w:rPr>
            </w:pPr>
            <w:r>
              <w:rPr>
                <w:rFonts w:hint="eastAsia" w:ascii="宋体" w:hAnsi="宋体" w:eastAsia="宋体" w:cs="宋体"/>
                <w:i w:val="0"/>
                <w:iCs w:val="0"/>
                <w:color w:val="000000"/>
                <w:kern w:val="0"/>
                <w:sz w:val="19"/>
                <w:szCs w:val="19"/>
                <w:u w:val="none"/>
                <w:lang w:val="en-US" w:eastAsia="zh-CN" w:bidi="ar"/>
              </w:rPr>
              <w:t>根据招投标书有关要求和说明，定制</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F6D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南山区/年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B2E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93D15">
            <w:pPr>
              <w:jc w:val="center"/>
              <w:rPr>
                <w:rFonts w:hint="eastAsia" w:ascii="宋体" w:hAnsi="宋体" w:eastAsia="宋体" w:cs="宋体"/>
                <w:i w:val="0"/>
                <w:iCs w:val="0"/>
                <w:color w:val="000000"/>
                <w:sz w:val="20"/>
                <w:szCs w:val="20"/>
                <w:u w:val="none"/>
              </w:rPr>
            </w:pP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EF3BA">
            <w:pPr>
              <w:jc w:val="center"/>
              <w:rPr>
                <w:rFonts w:hint="eastAsia" w:ascii="宋体" w:hAnsi="宋体" w:eastAsia="宋体" w:cs="宋体"/>
                <w:i w:val="0"/>
                <w:iCs w:val="0"/>
                <w:color w:val="000000"/>
                <w:sz w:val="20"/>
                <w:szCs w:val="20"/>
                <w:u w:val="none"/>
              </w:rPr>
            </w:pPr>
          </w:p>
        </w:tc>
      </w:tr>
      <w:tr w14:paraId="6279B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A45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8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D2455">
            <w:pPr>
              <w:jc w:val="center"/>
              <w:rPr>
                <w:rFonts w:hint="eastAsia" w:ascii="宋体" w:hAnsi="宋体" w:eastAsia="宋体" w:cs="宋体"/>
                <w:i w:val="0"/>
                <w:iCs w:val="0"/>
                <w:color w:val="000000"/>
                <w:sz w:val="20"/>
                <w:szCs w:val="20"/>
                <w:u w:val="none"/>
              </w:rPr>
            </w:pPr>
          </w:p>
        </w:tc>
        <w:tc>
          <w:tcPr>
            <w:tcW w:w="1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C1D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交通拥堵指数-道路实时</w:t>
            </w:r>
          </w:p>
        </w:tc>
        <w:tc>
          <w:tcPr>
            <w:tcW w:w="1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A8C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8D3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南山区/年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41A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94CD3">
            <w:pPr>
              <w:jc w:val="center"/>
              <w:rPr>
                <w:rFonts w:hint="eastAsia" w:ascii="宋体" w:hAnsi="宋体" w:eastAsia="宋体" w:cs="宋体"/>
                <w:i w:val="0"/>
                <w:iCs w:val="0"/>
                <w:color w:val="000000"/>
                <w:sz w:val="20"/>
                <w:szCs w:val="20"/>
                <w:u w:val="none"/>
              </w:rPr>
            </w:pP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86694">
            <w:pPr>
              <w:jc w:val="center"/>
              <w:rPr>
                <w:rFonts w:hint="eastAsia" w:ascii="宋体" w:hAnsi="宋体" w:eastAsia="宋体" w:cs="宋体"/>
                <w:i w:val="0"/>
                <w:iCs w:val="0"/>
                <w:color w:val="000000"/>
                <w:sz w:val="20"/>
                <w:szCs w:val="20"/>
                <w:u w:val="none"/>
              </w:rPr>
            </w:pPr>
          </w:p>
        </w:tc>
      </w:tr>
      <w:tr w14:paraId="7020B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AAC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8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80E9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客流分析类指标</w:t>
            </w:r>
          </w:p>
        </w:tc>
        <w:tc>
          <w:tcPr>
            <w:tcW w:w="1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B2C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人-区域/网格实时人数&amp;人流活力指数&amp;洞察（升级版）</w:t>
            </w:r>
          </w:p>
        </w:tc>
        <w:tc>
          <w:tcPr>
            <w:tcW w:w="1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3CD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EE2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南山区/年</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FAF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F7C77">
            <w:pPr>
              <w:jc w:val="center"/>
              <w:rPr>
                <w:rFonts w:hint="eastAsia" w:ascii="宋体" w:hAnsi="宋体" w:eastAsia="宋体" w:cs="宋体"/>
                <w:i w:val="0"/>
                <w:iCs w:val="0"/>
                <w:color w:val="000000"/>
                <w:sz w:val="20"/>
                <w:szCs w:val="20"/>
                <w:u w:val="none"/>
              </w:rPr>
            </w:pP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FB9AC">
            <w:pPr>
              <w:jc w:val="center"/>
              <w:rPr>
                <w:rFonts w:hint="eastAsia" w:ascii="宋体" w:hAnsi="宋体" w:eastAsia="宋体" w:cs="宋体"/>
                <w:i w:val="0"/>
                <w:iCs w:val="0"/>
                <w:color w:val="000000"/>
                <w:sz w:val="20"/>
                <w:szCs w:val="20"/>
                <w:u w:val="none"/>
              </w:rPr>
            </w:pPr>
          </w:p>
        </w:tc>
      </w:tr>
      <w:tr w14:paraId="5A371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55F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8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3FA0E">
            <w:pPr>
              <w:jc w:val="center"/>
              <w:rPr>
                <w:rFonts w:hint="eastAsia" w:ascii="宋体" w:hAnsi="宋体" w:eastAsia="宋体" w:cs="宋体"/>
                <w:i w:val="0"/>
                <w:iCs w:val="0"/>
                <w:color w:val="000000"/>
                <w:sz w:val="20"/>
                <w:szCs w:val="20"/>
                <w:u w:val="none"/>
              </w:rPr>
            </w:pPr>
          </w:p>
        </w:tc>
        <w:tc>
          <w:tcPr>
            <w:tcW w:w="1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03D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职住数据</w:t>
            </w:r>
          </w:p>
        </w:tc>
        <w:tc>
          <w:tcPr>
            <w:tcW w:w="1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3A3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166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南山区/年</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453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3D8B7">
            <w:pPr>
              <w:jc w:val="center"/>
              <w:rPr>
                <w:rFonts w:hint="eastAsia" w:ascii="宋体" w:hAnsi="宋体" w:eastAsia="宋体" w:cs="宋体"/>
                <w:i w:val="0"/>
                <w:iCs w:val="0"/>
                <w:color w:val="000000"/>
                <w:sz w:val="20"/>
                <w:szCs w:val="20"/>
                <w:u w:val="none"/>
              </w:rPr>
            </w:pP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F0AC3">
            <w:pPr>
              <w:jc w:val="center"/>
              <w:rPr>
                <w:rFonts w:hint="eastAsia" w:ascii="宋体" w:hAnsi="宋体" w:eastAsia="宋体" w:cs="宋体"/>
                <w:i w:val="0"/>
                <w:iCs w:val="0"/>
                <w:color w:val="000000"/>
                <w:sz w:val="20"/>
                <w:szCs w:val="20"/>
                <w:u w:val="none"/>
              </w:rPr>
            </w:pPr>
          </w:p>
        </w:tc>
      </w:tr>
      <w:tr w14:paraId="41D8D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32D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8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4878C">
            <w:pPr>
              <w:jc w:val="center"/>
              <w:rPr>
                <w:rFonts w:hint="eastAsia" w:ascii="宋体" w:hAnsi="宋体" w:eastAsia="宋体" w:cs="宋体"/>
                <w:i w:val="0"/>
                <w:iCs w:val="0"/>
                <w:color w:val="000000"/>
                <w:sz w:val="20"/>
                <w:szCs w:val="20"/>
                <w:u w:val="none"/>
              </w:rPr>
            </w:pPr>
          </w:p>
        </w:tc>
        <w:tc>
          <w:tcPr>
            <w:tcW w:w="1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2F1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全量OD数据</w:t>
            </w:r>
          </w:p>
        </w:tc>
        <w:tc>
          <w:tcPr>
            <w:tcW w:w="1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FB8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根据招投标书有关要求和说明，定制</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389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南山区/年</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9B1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01DE3">
            <w:pPr>
              <w:jc w:val="left"/>
              <w:rPr>
                <w:rFonts w:hint="eastAsia" w:ascii="宋体" w:hAnsi="宋体" w:eastAsia="宋体" w:cs="宋体"/>
                <w:i w:val="0"/>
                <w:iCs w:val="0"/>
                <w:color w:val="000000"/>
                <w:sz w:val="20"/>
                <w:szCs w:val="20"/>
                <w:u w:val="none"/>
              </w:rPr>
            </w:pP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2A2A2">
            <w:pPr>
              <w:jc w:val="left"/>
              <w:rPr>
                <w:rFonts w:hint="eastAsia" w:ascii="宋体" w:hAnsi="宋体" w:eastAsia="宋体" w:cs="宋体"/>
                <w:i w:val="0"/>
                <w:iCs w:val="0"/>
                <w:color w:val="000000"/>
                <w:sz w:val="20"/>
                <w:szCs w:val="20"/>
                <w:u w:val="none"/>
              </w:rPr>
            </w:pPr>
          </w:p>
        </w:tc>
      </w:tr>
      <w:tr w14:paraId="3D35E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818"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D643F">
            <w:pPr>
              <w:jc w:val="left"/>
              <w:rPr>
                <w:rFonts w:hint="eastAsia" w:ascii="宋体" w:hAnsi="宋体" w:eastAsia="宋体" w:cs="宋体"/>
                <w:i w:val="0"/>
                <w:iCs w:val="0"/>
                <w:color w:val="000000"/>
                <w:sz w:val="20"/>
                <w:szCs w:val="20"/>
                <w:u w:val="none"/>
              </w:rPr>
            </w:pPr>
            <w:r>
              <w:rPr>
                <w:rFonts w:hint="eastAsia" w:ascii="宋体" w:hAnsi="宋体" w:eastAsia="宋体" w:cs="宋体"/>
                <w:b/>
                <w:bCs w:val="0"/>
                <w:szCs w:val="21"/>
                <w:lang w:val="en-US" w:eastAsia="zh-CN"/>
              </w:rPr>
              <w:t>分项报价小计</w:t>
            </w:r>
            <w:r>
              <w:rPr>
                <w:rFonts w:hint="eastAsia" w:ascii="宋体" w:hAnsi="宋体" w:eastAsia="宋体" w:cs="宋体"/>
                <w:b/>
                <w:bCs w:val="0"/>
                <w:szCs w:val="21"/>
              </w:rPr>
              <w:t>（币种：人民币；单位：元）小写：</w:t>
            </w:r>
          </w:p>
        </w:tc>
      </w:tr>
    </w:tbl>
    <w:p w14:paraId="1EF61C70">
      <w:pPr>
        <w:pStyle w:val="19"/>
        <w:spacing w:before="78" w:line="218" w:lineRule="auto"/>
        <w:ind w:left="128"/>
        <w:outlineLvl w:val="3"/>
        <w:rPr>
          <w:b/>
          <w:bCs/>
          <w:spacing w:val="-10"/>
          <w:sz w:val="24"/>
          <w:szCs w:val="24"/>
        </w:rPr>
      </w:pPr>
    </w:p>
    <w:p w14:paraId="46C65542">
      <w:pPr>
        <w:pStyle w:val="19"/>
        <w:spacing w:before="78" w:line="218" w:lineRule="auto"/>
        <w:ind w:left="128"/>
        <w:outlineLvl w:val="3"/>
        <w:rPr>
          <w:b/>
          <w:bCs/>
          <w:spacing w:val="-10"/>
          <w:sz w:val="24"/>
          <w:szCs w:val="24"/>
        </w:rPr>
      </w:pPr>
    </w:p>
    <w:p w14:paraId="441AC603">
      <w:pPr>
        <w:pStyle w:val="19"/>
        <w:spacing w:before="78" w:line="218" w:lineRule="auto"/>
        <w:ind w:left="128"/>
        <w:outlineLvl w:val="3"/>
        <w:rPr>
          <w:sz w:val="24"/>
          <w:szCs w:val="24"/>
        </w:rPr>
      </w:pPr>
      <w:r>
        <w:rPr>
          <w:b/>
          <w:bCs/>
          <w:spacing w:val="-10"/>
          <w:sz w:val="24"/>
          <w:szCs w:val="24"/>
        </w:rPr>
        <w:t>（四）</w:t>
      </w:r>
      <w:r>
        <w:rPr>
          <w:spacing w:val="-61"/>
          <w:sz w:val="24"/>
          <w:szCs w:val="24"/>
        </w:rPr>
        <w:t xml:space="preserve"> </w:t>
      </w:r>
      <w:r>
        <w:rPr>
          <w:b/>
          <w:bCs/>
          <w:spacing w:val="-10"/>
          <w:sz w:val="24"/>
          <w:szCs w:val="24"/>
        </w:rPr>
        <w:t>项目报价汇总表</w:t>
      </w:r>
    </w:p>
    <w:p w14:paraId="4C36E4C2">
      <w:pPr>
        <w:spacing w:line="148" w:lineRule="exact"/>
      </w:pPr>
    </w:p>
    <w:tbl>
      <w:tblPr>
        <w:tblStyle w:val="492"/>
        <w:tblW w:w="10677" w:type="dxa"/>
        <w:tblInd w:w="-8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3"/>
        <w:gridCol w:w="2067"/>
        <w:gridCol w:w="666"/>
        <w:gridCol w:w="800"/>
        <w:gridCol w:w="1300"/>
        <w:gridCol w:w="1417"/>
        <w:gridCol w:w="3844"/>
      </w:tblGrid>
      <w:tr w14:paraId="2D5176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3" w:hRule="atLeast"/>
        </w:trPr>
        <w:tc>
          <w:tcPr>
            <w:tcW w:w="583" w:type="dxa"/>
            <w:textDirection w:val="tbRlV"/>
            <w:vAlign w:val="center"/>
          </w:tcPr>
          <w:p w14:paraId="3216AC4C">
            <w:pPr>
              <w:pStyle w:val="491"/>
              <w:keepNext w:val="0"/>
              <w:keepLines w:val="0"/>
              <w:pageBreakBefore w:val="0"/>
              <w:widowControl w:val="0"/>
              <w:kinsoku/>
              <w:wordWrap/>
              <w:overflowPunct/>
              <w:topLinePunct w:val="0"/>
              <w:autoSpaceDE/>
              <w:autoSpaceDN/>
              <w:bidi w:val="0"/>
              <w:adjustRightInd/>
              <w:snapToGrid/>
              <w:spacing w:line="218" w:lineRule="auto"/>
              <w:ind w:left="59"/>
              <w:jc w:val="left"/>
              <w:textAlignment w:val="auto"/>
              <w:rPr>
                <w:rFonts w:hint="eastAsia"/>
                <w:b/>
                <w:bCs w:val="0"/>
                <w:sz w:val="20"/>
                <w:szCs w:val="20"/>
                <w:lang w:eastAsia="zh-CN"/>
              </w:rPr>
            </w:pPr>
            <w:r>
              <w:rPr>
                <w:rFonts w:hint="eastAsia"/>
                <w:b/>
                <w:bCs w:val="0"/>
                <w:spacing w:val="0"/>
                <w:sz w:val="20"/>
                <w:szCs w:val="20"/>
                <w:lang w:eastAsia="zh-CN"/>
              </w:rPr>
              <w:t>序 号</w:t>
            </w:r>
          </w:p>
        </w:tc>
        <w:tc>
          <w:tcPr>
            <w:tcW w:w="2067" w:type="dxa"/>
            <w:vAlign w:val="center"/>
          </w:tcPr>
          <w:p w14:paraId="64365E09">
            <w:pPr>
              <w:pStyle w:val="491"/>
              <w:keepNext w:val="0"/>
              <w:keepLines w:val="0"/>
              <w:pageBreakBefore w:val="0"/>
              <w:widowControl w:val="0"/>
              <w:kinsoku/>
              <w:wordWrap/>
              <w:overflowPunct/>
              <w:topLinePunct w:val="0"/>
              <w:autoSpaceDE/>
              <w:autoSpaceDN/>
              <w:bidi w:val="0"/>
              <w:adjustRightInd/>
              <w:snapToGrid/>
              <w:spacing w:line="231" w:lineRule="auto"/>
              <w:ind w:left="483"/>
              <w:jc w:val="left"/>
              <w:textAlignment w:val="auto"/>
              <w:rPr>
                <w:rFonts w:hint="eastAsia"/>
                <w:b/>
                <w:bCs w:val="0"/>
                <w:sz w:val="20"/>
                <w:szCs w:val="20"/>
                <w:lang w:eastAsia="zh-CN"/>
              </w:rPr>
            </w:pPr>
            <w:r>
              <w:rPr>
                <w:rFonts w:hint="eastAsia"/>
                <w:b/>
                <w:bCs w:val="0"/>
                <w:spacing w:val="0"/>
                <w:sz w:val="20"/>
                <w:szCs w:val="20"/>
                <w:lang w:eastAsia="zh-CN"/>
              </w:rPr>
              <w:t>名称</w:t>
            </w:r>
          </w:p>
        </w:tc>
        <w:tc>
          <w:tcPr>
            <w:tcW w:w="666" w:type="dxa"/>
            <w:vAlign w:val="center"/>
          </w:tcPr>
          <w:p w14:paraId="375802A6">
            <w:pPr>
              <w:pStyle w:val="491"/>
              <w:keepNext w:val="0"/>
              <w:keepLines w:val="0"/>
              <w:pageBreakBefore w:val="0"/>
              <w:widowControl w:val="0"/>
              <w:kinsoku/>
              <w:wordWrap/>
              <w:overflowPunct/>
              <w:topLinePunct w:val="0"/>
              <w:autoSpaceDE/>
              <w:autoSpaceDN/>
              <w:bidi w:val="0"/>
              <w:adjustRightInd/>
              <w:snapToGrid/>
              <w:spacing w:line="228" w:lineRule="auto"/>
              <w:ind w:left="168"/>
              <w:jc w:val="left"/>
              <w:textAlignment w:val="auto"/>
              <w:rPr>
                <w:rFonts w:hint="eastAsia"/>
                <w:b/>
                <w:bCs w:val="0"/>
                <w:sz w:val="20"/>
                <w:szCs w:val="20"/>
                <w:lang w:eastAsia="zh-CN"/>
              </w:rPr>
            </w:pPr>
            <w:r>
              <w:rPr>
                <w:rFonts w:hint="eastAsia"/>
                <w:b/>
                <w:bCs w:val="0"/>
                <w:spacing w:val="0"/>
                <w:sz w:val="20"/>
                <w:szCs w:val="20"/>
                <w:lang w:eastAsia="zh-CN"/>
              </w:rPr>
              <w:t>数量</w:t>
            </w:r>
          </w:p>
        </w:tc>
        <w:tc>
          <w:tcPr>
            <w:tcW w:w="800" w:type="dxa"/>
            <w:vAlign w:val="center"/>
          </w:tcPr>
          <w:p w14:paraId="2301A152">
            <w:pPr>
              <w:pStyle w:val="491"/>
              <w:keepNext w:val="0"/>
              <w:keepLines w:val="0"/>
              <w:pageBreakBefore w:val="0"/>
              <w:widowControl w:val="0"/>
              <w:kinsoku/>
              <w:wordWrap/>
              <w:overflowPunct/>
              <w:topLinePunct w:val="0"/>
              <w:autoSpaceDE/>
              <w:autoSpaceDN/>
              <w:bidi w:val="0"/>
              <w:adjustRightInd/>
              <w:snapToGrid/>
              <w:spacing w:line="229" w:lineRule="auto"/>
              <w:ind w:left="168"/>
              <w:jc w:val="left"/>
              <w:textAlignment w:val="auto"/>
              <w:rPr>
                <w:rFonts w:hint="eastAsia"/>
                <w:b/>
                <w:bCs w:val="0"/>
                <w:sz w:val="20"/>
                <w:szCs w:val="20"/>
                <w:lang w:eastAsia="zh-CN"/>
              </w:rPr>
            </w:pPr>
            <w:r>
              <w:rPr>
                <w:rFonts w:hint="eastAsia"/>
                <w:b/>
                <w:bCs w:val="0"/>
                <w:spacing w:val="0"/>
                <w:sz w:val="20"/>
                <w:szCs w:val="20"/>
                <w:lang w:eastAsia="zh-CN"/>
              </w:rPr>
              <w:t>单位</w:t>
            </w:r>
          </w:p>
        </w:tc>
        <w:tc>
          <w:tcPr>
            <w:tcW w:w="1300" w:type="dxa"/>
            <w:vAlign w:val="center"/>
          </w:tcPr>
          <w:p w14:paraId="10EB1087">
            <w:pPr>
              <w:pStyle w:val="491"/>
              <w:keepNext w:val="0"/>
              <w:keepLines w:val="0"/>
              <w:pageBreakBefore w:val="0"/>
              <w:widowControl w:val="0"/>
              <w:kinsoku/>
              <w:wordWrap/>
              <w:overflowPunct/>
              <w:topLinePunct w:val="0"/>
              <w:autoSpaceDE/>
              <w:autoSpaceDN/>
              <w:bidi w:val="0"/>
              <w:adjustRightInd/>
              <w:snapToGrid/>
              <w:spacing w:line="273" w:lineRule="auto"/>
              <w:ind w:left="136" w:right="140" w:firstLine="91"/>
              <w:jc w:val="left"/>
              <w:textAlignment w:val="auto"/>
              <w:rPr>
                <w:rFonts w:hint="eastAsia"/>
                <w:b/>
                <w:bCs w:val="0"/>
                <w:spacing w:val="0"/>
                <w:sz w:val="20"/>
                <w:szCs w:val="20"/>
                <w:lang w:eastAsia="zh-CN"/>
              </w:rPr>
            </w:pPr>
            <w:r>
              <w:rPr>
                <w:rFonts w:hint="eastAsia"/>
                <w:b/>
                <w:bCs w:val="0"/>
                <w:spacing w:val="0"/>
                <w:sz w:val="20"/>
                <w:szCs w:val="20"/>
                <w:lang w:eastAsia="zh-CN"/>
              </w:rPr>
              <w:t>合计</w:t>
            </w:r>
          </w:p>
          <w:p w14:paraId="22EEC353">
            <w:pPr>
              <w:pStyle w:val="491"/>
              <w:keepNext w:val="0"/>
              <w:keepLines w:val="0"/>
              <w:pageBreakBefore w:val="0"/>
              <w:widowControl w:val="0"/>
              <w:kinsoku/>
              <w:wordWrap/>
              <w:overflowPunct/>
              <w:topLinePunct w:val="0"/>
              <w:autoSpaceDE/>
              <w:autoSpaceDN/>
              <w:bidi w:val="0"/>
              <w:adjustRightInd/>
              <w:snapToGrid/>
              <w:spacing w:line="273" w:lineRule="auto"/>
              <w:ind w:left="136" w:right="140" w:firstLine="91"/>
              <w:jc w:val="left"/>
              <w:textAlignment w:val="auto"/>
              <w:rPr>
                <w:rFonts w:hint="eastAsia"/>
                <w:b/>
                <w:bCs w:val="0"/>
                <w:sz w:val="20"/>
                <w:szCs w:val="20"/>
                <w:lang w:eastAsia="zh-CN"/>
              </w:rPr>
            </w:pPr>
            <w:r>
              <w:rPr>
                <w:rFonts w:hint="eastAsia"/>
                <w:b/>
                <w:bCs w:val="0"/>
                <w:spacing w:val="0"/>
                <w:sz w:val="20"/>
                <w:szCs w:val="20"/>
                <w:lang w:eastAsia="zh-CN"/>
              </w:rPr>
              <w:t>（元）</w:t>
            </w:r>
          </w:p>
        </w:tc>
        <w:tc>
          <w:tcPr>
            <w:tcW w:w="1417" w:type="dxa"/>
            <w:vAlign w:val="center"/>
          </w:tcPr>
          <w:p w14:paraId="52F7B3CE">
            <w:pPr>
              <w:pStyle w:val="491"/>
              <w:keepNext w:val="0"/>
              <w:keepLines w:val="0"/>
              <w:pageBreakBefore w:val="0"/>
              <w:widowControl w:val="0"/>
              <w:kinsoku/>
              <w:wordWrap/>
              <w:overflowPunct/>
              <w:topLinePunct w:val="0"/>
              <w:autoSpaceDE/>
              <w:autoSpaceDN/>
              <w:bidi w:val="0"/>
              <w:adjustRightInd/>
              <w:snapToGrid/>
              <w:spacing w:line="273" w:lineRule="auto"/>
              <w:ind w:right="140"/>
              <w:jc w:val="left"/>
              <w:textAlignment w:val="auto"/>
              <w:rPr>
                <w:rFonts w:hint="eastAsia"/>
                <w:b/>
                <w:bCs w:val="0"/>
                <w:spacing w:val="0"/>
                <w:sz w:val="20"/>
                <w:szCs w:val="20"/>
                <w:lang w:eastAsia="zh-CN"/>
              </w:rPr>
            </w:pPr>
            <w:r>
              <w:rPr>
                <w:rFonts w:hint="eastAsia" w:ascii="宋体" w:hAnsi="宋体" w:eastAsia="宋体" w:cs="宋体"/>
                <w:b/>
                <w:bCs w:val="0"/>
                <w:color w:val="FF0000"/>
                <w:szCs w:val="21"/>
              </w:rPr>
              <w:t>最高限价（元）</w:t>
            </w:r>
          </w:p>
        </w:tc>
        <w:tc>
          <w:tcPr>
            <w:tcW w:w="3844" w:type="dxa"/>
            <w:vAlign w:val="center"/>
          </w:tcPr>
          <w:p w14:paraId="365169CA">
            <w:pPr>
              <w:pStyle w:val="491"/>
              <w:keepNext w:val="0"/>
              <w:keepLines w:val="0"/>
              <w:pageBreakBefore w:val="0"/>
              <w:widowControl w:val="0"/>
              <w:kinsoku/>
              <w:wordWrap/>
              <w:overflowPunct/>
              <w:topLinePunct w:val="0"/>
              <w:autoSpaceDE/>
              <w:autoSpaceDN/>
              <w:bidi w:val="0"/>
              <w:adjustRightInd/>
              <w:snapToGrid/>
              <w:spacing w:line="230" w:lineRule="auto"/>
              <w:ind w:left="2026"/>
              <w:jc w:val="left"/>
              <w:textAlignment w:val="auto"/>
              <w:rPr>
                <w:rFonts w:hint="eastAsia"/>
                <w:b/>
                <w:bCs w:val="0"/>
                <w:sz w:val="20"/>
                <w:szCs w:val="20"/>
                <w:lang w:eastAsia="zh-CN"/>
              </w:rPr>
            </w:pPr>
            <w:r>
              <w:rPr>
                <w:rFonts w:hint="eastAsia"/>
                <w:b/>
                <w:bCs w:val="0"/>
                <w:spacing w:val="0"/>
                <w:sz w:val="20"/>
                <w:szCs w:val="20"/>
                <w:lang w:eastAsia="zh-CN"/>
              </w:rPr>
              <w:t>备注</w:t>
            </w:r>
          </w:p>
        </w:tc>
      </w:tr>
      <w:tr w14:paraId="186C5C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583" w:type="dxa"/>
            <w:vAlign w:val="center"/>
          </w:tcPr>
          <w:p w14:paraId="161C4E40">
            <w:pPr>
              <w:pStyle w:val="491"/>
              <w:keepNext w:val="0"/>
              <w:keepLines w:val="0"/>
              <w:pageBreakBefore w:val="0"/>
              <w:widowControl w:val="0"/>
              <w:kinsoku/>
              <w:wordWrap/>
              <w:overflowPunct/>
              <w:topLinePunct w:val="0"/>
              <w:autoSpaceDE/>
              <w:autoSpaceDN/>
              <w:bidi w:val="0"/>
              <w:adjustRightInd/>
              <w:snapToGrid/>
              <w:spacing w:line="257" w:lineRule="exact"/>
              <w:ind w:left="180"/>
              <w:jc w:val="center"/>
              <w:textAlignment w:val="auto"/>
              <w:rPr>
                <w:rFonts w:hint="eastAsia"/>
                <w:bCs/>
                <w:sz w:val="20"/>
                <w:szCs w:val="20"/>
                <w:lang w:eastAsia="zh-CN"/>
              </w:rPr>
            </w:pPr>
            <w:r>
              <w:rPr>
                <w:rFonts w:hint="eastAsia"/>
                <w:bCs/>
                <w:position w:val="0"/>
                <w:sz w:val="20"/>
                <w:szCs w:val="20"/>
                <w:lang w:eastAsia="zh-CN"/>
              </w:rPr>
              <w:t>1</w:t>
            </w:r>
          </w:p>
        </w:tc>
        <w:tc>
          <w:tcPr>
            <w:tcW w:w="2067" w:type="dxa"/>
            <w:vAlign w:val="center"/>
          </w:tcPr>
          <w:p w14:paraId="1C4B4018">
            <w:pPr>
              <w:pStyle w:val="491"/>
              <w:keepNext w:val="0"/>
              <w:keepLines w:val="0"/>
              <w:pageBreakBefore w:val="0"/>
              <w:widowControl w:val="0"/>
              <w:kinsoku/>
              <w:wordWrap/>
              <w:overflowPunct/>
              <w:topLinePunct w:val="0"/>
              <w:autoSpaceDE/>
              <w:autoSpaceDN/>
              <w:bidi w:val="0"/>
              <w:adjustRightInd/>
              <w:snapToGrid/>
              <w:spacing w:line="228" w:lineRule="auto"/>
              <w:ind w:left="281"/>
              <w:jc w:val="left"/>
              <w:textAlignment w:val="auto"/>
              <w:rPr>
                <w:rFonts w:hint="eastAsia"/>
                <w:bCs/>
                <w:sz w:val="20"/>
                <w:szCs w:val="20"/>
                <w:lang w:eastAsia="zh-CN"/>
              </w:rPr>
            </w:pPr>
            <w:r>
              <w:rPr>
                <w:rFonts w:hint="eastAsia"/>
                <w:bCs/>
                <w:spacing w:val="0"/>
                <w:sz w:val="20"/>
                <w:szCs w:val="20"/>
                <w:lang w:eastAsia="zh-CN"/>
              </w:rPr>
              <w:t>硬件设备</w:t>
            </w:r>
          </w:p>
        </w:tc>
        <w:tc>
          <w:tcPr>
            <w:tcW w:w="666" w:type="dxa"/>
            <w:vAlign w:val="center"/>
          </w:tcPr>
          <w:p w14:paraId="25A1D3BC">
            <w:pPr>
              <w:pStyle w:val="491"/>
              <w:keepNext w:val="0"/>
              <w:keepLines w:val="0"/>
              <w:pageBreakBefore w:val="0"/>
              <w:widowControl w:val="0"/>
              <w:kinsoku/>
              <w:wordWrap/>
              <w:overflowPunct/>
              <w:topLinePunct w:val="0"/>
              <w:autoSpaceDE/>
              <w:autoSpaceDN/>
              <w:bidi w:val="0"/>
              <w:adjustRightInd/>
              <w:snapToGrid/>
              <w:spacing w:line="257" w:lineRule="exact"/>
              <w:ind w:left="332"/>
              <w:jc w:val="left"/>
              <w:textAlignment w:val="auto"/>
              <w:rPr>
                <w:rFonts w:hint="eastAsia"/>
                <w:bCs/>
                <w:sz w:val="20"/>
                <w:szCs w:val="20"/>
                <w:lang w:eastAsia="zh-CN"/>
              </w:rPr>
            </w:pPr>
            <w:r>
              <w:rPr>
                <w:rFonts w:hint="eastAsia"/>
                <w:bCs/>
                <w:position w:val="0"/>
                <w:sz w:val="20"/>
                <w:szCs w:val="20"/>
                <w:lang w:eastAsia="zh-CN"/>
              </w:rPr>
              <w:t>1</w:t>
            </w:r>
          </w:p>
        </w:tc>
        <w:tc>
          <w:tcPr>
            <w:tcW w:w="800" w:type="dxa"/>
            <w:vAlign w:val="center"/>
          </w:tcPr>
          <w:p w14:paraId="7E575696">
            <w:pPr>
              <w:pStyle w:val="491"/>
              <w:keepNext w:val="0"/>
              <w:keepLines w:val="0"/>
              <w:pageBreakBefore w:val="0"/>
              <w:widowControl w:val="0"/>
              <w:kinsoku/>
              <w:wordWrap/>
              <w:overflowPunct/>
              <w:topLinePunct w:val="0"/>
              <w:autoSpaceDE/>
              <w:autoSpaceDN/>
              <w:bidi w:val="0"/>
              <w:adjustRightInd/>
              <w:snapToGrid/>
              <w:spacing w:line="229" w:lineRule="auto"/>
              <w:ind w:left="271"/>
              <w:jc w:val="left"/>
              <w:textAlignment w:val="auto"/>
              <w:rPr>
                <w:rFonts w:hint="eastAsia"/>
                <w:bCs/>
                <w:sz w:val="20"/>
                <w:szCs w:val="20"/>
                <w:lang w:eastAsia="zh-CN"/>
              </w:rPr>
            </w:pPr>
            <w:r>
              <w:rPr>
                <w:rFonts w:hint="eastAsia"/>
                <w:bCs/>
                <w:sz w:val="20"/>
                <w:szCs w:val="20"/>
                <w:lang w:eastAsia="zh-CN"/>
              </w:rPr>
              <w:t>项</w:t>
            </w:r>
          </w:p>
        </w:tc>
        <w:tc>
          <w:tcPr>
            <w:tcW w:w="1300" w:type="dxa"/>
            <w:vAlign w:val="center"/>
          </w:tcPr>
          <w:p w14:paraId="49C20DD7">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Cs/>
                <w:sz w:val="20"/>
                <w:szCs w:val="20"/>
              </w:rPr>
            </w:pPr>
          </w:p>
        </w:tc>
        <w:tc>
          <w:tcPr>
            <w:tcW w:w="1417" w:type="dxa"/>
            <w:vMerge w:val="restart"/>
            <w:vAlign w:val="center"/>
          </w:tcPr>
          <w:p w14:paraId="6B5E4A66">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Cs/>
                <w:sz w:val="20"/>
                <w:szCs w:val="20"/>
              </w:rPr>
            </w:pPr>
            <w:r>
              <w:rPr>
                <w:rFonts w:hint="eastAsia" w:ascii="宋体" w:hAnsi="宋体" w:eastAsia="宋体" w:cs="宋体"/>
                <w:b/>
                <w:bCs w:val="0"/>
                <w:color w:val="FF0000"/>
                <w:szCs w:val="21"/>
                <w:lang w:val="en-US" w:eastAsia="zh-CN"/>
              </w:rPr>
              <w:t>78476276.67</w:t>
            </w:r>
          </w:p>
        </w:tc>
        <w:tc>
          <w:tcPr>
            <w:tcW w:w="3844" w:type="dxa"/>
            <w:vAlign w:val="center"/>
          </w:tcPr>
          <w:p w14:paraId="5EF77808">
            <w:pPr>
              <w:pStyle w:val="491"/>
              <w:keepNext w:val="0"/>
              <w:keepLines w:val="0"/>
              <w:pageBreakBefore w:val="0"/>
              <w:widowControl w:val="0"/>
              <w:kinsoku/>
              <w:wordWrap/>
              <w:overflowPunct/>
              <w:topLinePunct w:val="0"/>
              <w:autoSpaceDE/>
              <w:autoSpaceDN/>
              <w:bidi w:val="0"/>
              <w:adjustRightInd/>
              <w:snapToGrid/>
              <w:spacing w:line="273" w:lineRule="auto"/>
              <w:ind w:left="118" w:right="110" w:firstLine="5"/>
              <w:jc w:val="left"/>
              <w:textAlignment w:val="auto"/>
              <w:rPr>
                <w:rFonts w:hint="eastAsia"/>
                <w:bCs/>
                <w:sz w:val="20"/>
                <w:szCs w:val="20"/>
                <w:lang w:eastAsia="zh-CN"/>
              </w:rPr>
            </w:pPr>
            <w:r>
              <w:rPr>
                <w:rFonts w:hint="eastAsia"/>
                <w:bCs/>
                <w:spacing w:val="0"/>
                <w:sz w:val="20"/>
                <w:szCs w:val="20"/>
                <w:lang w:eastAsia="zh-CN"/>
              </w:rPr>
              <w:t>需与本节</w:t>
            </w:r>
            <w:r>
              <w:rPr>
                <w:rFonts w:hint="eastAsia"/>
                <w:b w:val="0"/>
                <w:bCs/>
                <w:spacing w:val="0"/>
                <w:sz w:val="20"/>
                <w:szCs w:val="20"/>
                <w:lang w:eastAsia="zh-CN"/>
              </w:rPr>
              <w:t>“（一）硬件设备详细报价”</w:t>
            </w:r>
            <w:r>
              <w:rPr>
                <w:rFonts w:hint="eastAsia"/>
                <w:bCs/>
                <w:spacing w:val="0"/>
                <w:sz w:val="20"/>
                <w:szCs w:val="20"/>
                <w:lang w:eastAsia="zh-CN"/>
              </w:rPr>
              <w:t>分项报价小计数额一致</w:t>
            </w:r>
          </w:p>
        </w:tc>
      </w:tr>
      <w:tr w14:paraId="6AD6E9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9" w:hRule="atLeast"/>
        </w:trPr>
        <w:tc>
          <w:tcPr>
            <w:tcW w:w="583" w:type="dxa"/>
            <w:vAlign w:val="center"/>
          </w:tcPr>
          <w:p w14:paraId="2188C8EF">
            <w:pPr>
              <w:pStyle w:val="491"/>
              <w:keepNext w:val="0"/>
              <w:keepLines w:val="0"/>
              <w:pageBreakBefore w:val="0"/>
              <w:widowControl w:val="0"/>
              <w:kinsoku/>
              <w:wordWrap/>
              <w:overflowPunct/>
              <w:topLinePunct w:val="0"/>
              <w:autoSpaceDE/>
              <w:autoSpaceDN/>
              <w:bidi w:val="0"/>
              <w:adjustRightInd/>
              <w:snapToGrid/>
              <w:spacing w:line="258" w:lineRule="exact"/>
              <w:ind w:left="168"/>
              <w:jc w:val="center"/>
              <w:textAlignment w:val="auto"/>
              <w:rPr>
                <w:rFonts w:hint="eastAsia"/>
                <w:bCs/>
                <w:sz w:val="20"/>
                <w:szCs w:val="20"/>
                <w:lang w:eastAsia="zh-CN"/>
              </w:rPr>
            </w:pPr>
            <w:r>
              <w:rPr>
                <w:rFonts w:hint="eastAsia"/>
                <w:bCs/>
                <w:position w:val="0"/>
                <w:sz w:val="20"/>
                <w:szCs w:val="20"/>
                <w:lang w:eastAsia="zh-CN"/>
              </w:rPr>
              <w:t>2</w:t>
            </w:r>
          </w:p>
        </w:tc>
        <w:tc>
          <w:tcPr>
            <w:tcW w:w="2067" w:type="dxa"/>
            <w:vAlign w:val="center"/>
          </w:tcPr>
          <w:p w14:paraId="604E1B40">
            <w:pPr>
              <w:pStyle w:val="491"/>
              <w:keepNext w:val="0"/>
              <w:keepLines w:val="0"/>
              <w:pageBreakBefore w:val="0"/>
              <w:widowControl w:val="0"/>
              <w:kinsoku/>
              <w:wordWrap/>
              <w:overflowPunct/>
              <w:topLinePunct w:val="0"/>
              <w:autoSpaceDE/>
              <w:autoSpaceDN/>
              <w:bidi w:val="0"/>
              <w:adjustRightInd/>
              <w:snapToGrid/>
              <w:spacing w:line="273" w:lineRule="auto"/>
              <w:ind w:left="583" w:right="176" w:hanging="400"/>
              <w:jc w:val="left"/>
              <w:textAlignment w:val="auto"/>
              <w:rPr>
                <w:rFonts w:hint="eastAsia"/>
                <w:bCs/>
                <w:sz w:val="20"/>
                <w:szCs w:val="20"/>
                <w:lang w:eastAsia="zh-CN"/>
              </w:rPr>
            </w:pPr>
            <w:r>
              <w:rPr>
                <w:rFonts w:hint="eastAsia"/>
                <w:bCs/>
                <w:spacing w:val="0"/>
                <w:sz w:val="20"/>
                <w:szCs w:val="20"/>
                <w:lang w:eastAsia="zh-CN"/>
              </w:rPr>
              <w:t>软件开发服</w:t>
            </w:r>
            <w:r>
              <w:rPr>
                <w:rFonts w:hint="eastAsia"/>
                <w:bCs/>
                <w:sz w:val="20"/>
                <w:szCs w:val="20"/>
                <w:lang w:eastAsia="zh-CN"/>
              </w:rPr>
              <w:t>务</w:t>
            </w:r>
          </w:p>
        </w:tc>
        <w:tc>
          <w:tcPr>
            <w:tcW w:w="666" w:type="dxa"/>
            <w:vAlign w:val="center"/>
          </w:tcPr>
          <w:p w14:paraId="68CF0B9D">
            <w:pPr>
              <w:pStyle w:val="491"/>
              <w:keepNext w:val="0"/>
              <w:keepLines w:val="0"/>
              <w:pageBreakBefore w:val="0"/>
              <w:widowControl w:val="0"/>
              <w:kinsoku/>
              <w:wordWrap/>
              <w:overflowPunct/>
              <w:topLinePunct w:val="0"/>
              <w:autoSpaceDE/>
              <w:autoSpaceDN/>
              <w:bidi w:val="0"/>
              <w:adjustRightInd/>
              <w:snapToGrid/>
              <w:spacing w:line="258" w:lineRule="exact"/>
              <w:ind w:left="332"/>
              <w:jc w:val="left"/>
              <w:textAlignment w:val="auto"/>
              <w:rPr>
                <w:rFonts w:hint="eastAsia"/>
                <w:bCs/>
                <w:sz w:val="20"/>
                <w:szCs w:val="20"/>
                <w:lang w:eastAsia="zh-CN"/>
              </w:rPr>
            </w:pPr>
            <w:r>
              <w:rPr>
                <w:rFonts w:hint="eastAsia"/>
                <w:bCs/>
                <w:position w:val="0"/>
                <w:sz w:val="20"/>
                <w:szCs w:val="20"/>
                <w:lang w:eastAsia="zh-CN"/>
              </w:rPr>
              <w:t>1</w:t>
            </w:r>
          </w:p>
        </w:tc>
        <w:tc>
          <w:tcPr>
            <w:tcW w:w="800" w:type="dxa"/>
            <w:vAlign w:val="center"/>
          </w:tcPr>
          <w:p w14:paraId="6C732135">
            <w:pPr>
              <w:pStyle w:val="491"/>
              <w:keepNext w:val="0"/>
              <w:keepLines w:val="0"/>
              <w:pageBreakBefore w:val="0"/>
              <w:widowControl w:val="0"/>
              <w:kinsoku/>
              <w:wordWrap/>
              <w:overflowPunct/>
              <w:topLinePunct w:val="0"/>
              <w:autoSpaceDE/>
              <w:autoSpaceDN/>
              <w:bidi w:val="0"/>
              <w:adjustRightInd/>
              <w:snapToGrid/>
              <w:spacing w:line="229" w:lineRule="auto"/>
              <w:ind w:left="271"/>
              <w:jc w:val="left"/>
              <w:textAlignment w:val="auto"/>
              <w:rPr>
                <w:rFonts w:hint="eastAsia"/>
                <w:bCs/>
                <w:sz w:val="20"/>
                <w:szCs w:val="20"/>
                <w:lang w:eastAsia="zh-CN"/>
              </w:rPr>
            </w:pPr>
            <w:r>
              <w:rPr>
                <w:rFonts w:hint="eastAsia"/>
                <w:bCs/>
                <w:sz w:val="20"/>
                <w:szCs w:val="20"/>
                <w:lang w:eastAsia="zh-CN"/>
              </w:rPr>
              <w:t>项</w:t>
            </w:r>
          </w:p>
        </w:tc>
        <w:tc>
          <w:tcPr>
            <w:tcW w:w="1300" w:type="dxa"/>
            <w:vAlign w:val="center"/>
          </w:tcPr>
          <w:p w14:paraId="55E80067">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Cs/>
                <w:sz w:val="20"/>
                <w:szCs w:val="20"/>
              </w:rPr>
            </w:pPr>
          </w:p>
        </w:tc>
        <w:tc>
          <w:tcPr>
            <w:tcW w:w="1417" w:type="dxa"/>
            <w:vMerge w:val="continue"/>
            <w:tcBorders/>
            <w:vAlign w:val="center"/>
          </w:tcPr>
          <w:p w14:paraId="26374E80">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Cs/>
                <w:sz w:val="20"/>
                <w:szCs w:val="20"/>
              </w:rPr>
            </w:pPr>
          </w:p>
        </w:tc>
        <w:tc>
          <w:tcPr>
            <w:tcW w:w="3844" w:type="dxa"/>
            <w:vAlign w:val="center"/>
          </w:tcPr>
          <w:p w14:paraId="58D0F199">
            <w:pPr>
              <w:pStyle w:val="491"/>
              <w:keepNext w:val="0"/>
              <w:keepLines w:val="0"/>
              <w:pageBreakBefore w:val="0"/>
              <w:widowControl w:val="0"/>
              <w:kinsoku/>
              <w:wordWrap/>
              <w:overflowPunct/>
              <w:topLinePunct w:val="0"/>
              <w:autoSpaceDE/>
              <w:autoSpaceDN/>
              <w:bidi w:val="0"/>
              <w:adjustRightInd/>
              <w:snapToGrid/>
              <w:spacing w:line="273" w:lineRule="auto"/>
              <w:ind w:left="111" w:right="107" w:firstLine="12"/>
              <w:jc w:val="left"/>
              <w:textAlignment w:val="auto"/>
              <w:rPr>
                <w:rFonts w:hint="eastAsia"/>
                <w:bCs/>
                <w:sz w:val="20"/>
                <w:szCs w:val="20"/>
                <w:lang w:eastAsia="zh-CN"/>
              </w:rPr>
            </w:pPr>
            <w:r>
              <w:rPr>
                <w:rFonts w:hint="eastAsia"/>
                <w:bCs/>
                <w:spacing w:val="0"/>
                <w:sz w:val="20"/>
                <w:szCs w:val="20"/>
                <w:lang w:eastAsia="zh-CN"/>
              </w:rPr>
              <w:t xml:space="preserve">需与本节 </w:t>
            </w:r>
            <w:r>
              <w:rPr>
                <w:rFonts w:hint="eastAsia"/>
                <w:b w:val="0"/>
                <w:bCs/>
                <w:spacing w:val="0"/>
                <w:sz w:val="20"/>
                <w:szCs w:val="20"/>
                <w:lang w:eastAsia="zh-CN"/>
              </w:rPr>
              <w:t>“（二）软件开发服务详细报价”</w:t>
            </w:r>
            <w:r>
              <w:rPr>
                <w:rFonts w:hint="eastAsia"/>
                <w:bCs/>
                <w:spacing w:val="0"/>
                <w:sz w:val="20"/>
                <w:szCs w:val="20"/>
                <w:lang w:eastAsia="zh-CN"/>
              </w:rPr>
              <w:t>分项报价小计数额一致</w:t>
            </w:r>
          </w:p>
        </w:tc>
      </w:tr>
      <w:tr w14:paraId="5FCEF8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583" w:type="dxa"/>
            <w:vAlign w:val="center"/>
          </w:tcPr>
          <w:p w14:paraId="4B92A259">
            <w:pPr>
              <w:pStyle w:val="491"/>
              <w:keepNext w:val="0"/>
              <w:keepLines w:val="0"/>
              <w:pageBreakBefore w:val="0"/>
              <w:widowControl w:val="0"/>
              <w:kinsoku/>
              <w:wordWrap/>
              <w:overflowPunct/>
              <w:topLinePunct w:val="0"/>
              <w:autoSpaceDE/>
              <w:autoSpaceDN/>
              <w:bidi w:val="0"/>
              <w:adjustRightInd/>
              <w:snapToGrid/>
              <w:spacing w:line="256" w:lineRule="exact"/>
              <w:ind w:left="169"/>
              <w:jc w:val="center"/>
              <w:textAlignment w:val="auto"/>
              <w:rPr>
                <w:rFonts w:hint="eastAsia"/>
                <w:bCs/>
                <w:sz w:val="20"/>
                <w:szCs w:val="20"/>
                <w:lang w:eastAsia="zh-CN"/>
              </w:rPr>
            </w:pPr>
            <w:r>
              <w:rPr>
                <w:rFonts w:hint="eastAsia"/>
                <w:bCs/>
                <w:position w:val="0"/>
                <w:sz w:val="20"/>
                <w:szCs w:val="20"/>
                <w:lang w:eastAsia="zh-CN"/>
              </w:rPr>
              <w:t>3</w:t>
            </w:r>
          </w:p>
        </w:tc>
        <w:tc>
          <w:tcPr>
            <w:tcW w:w="2067" w:type="dxa"/>
            <w:vAlign w:val="center"/>
          </w:tcPr>
          <w:p w14:paraId="21D09FA0">
            <w:pPr>
              <w:pStyle w:val="491"/>
              <w:keepNext w:val="0"/>
              <w:keepLines w:val="0"/>
              <w:pageBreakBefore w:val="0"/>
              <w:widowControl w:val="0"/>
              <w:kinsoku/>
              <w:wordWrap/>
              <w:overflowPunct/>
              <w:topLinePunct w:val="0"/>
              <w:autoSpaceDE/>
              <w:autoSpaceDN/>
              <w:bidi w:val="0"/>
              <w:adjustRightInd/>
              <w:snapToGrid/>
              <w:spacing w:line="228" w:lineRule="auto"/>
              <w:ind w:left="0" w:firstLine="200" w:firstLineChars="100"/>
              <w:jc w:val="left"/>
              <w:textAlignment w:val="auto"/>
              <w:rPr>
                <w:rFonts w:hint="eastAsia"/>
                <w:bCs/>
                <w:sz w:val="20"/>
                <w:szCs w:val="20"/>
                <w:lang w:eastAsia="zh-CN"/>
              </w:rPr>
            </w:pPr>
            <w:r>
              <w:rPr>
                <w:rFonts w:hint="eastAsia"/>
                <w:bCs/>
                <w:spacing w:val="0"/>
                <w:sz w:val="20"/>
                <w:szCs w:val="20"/>
                <w:lang w:eastAsia="zh-CN"/>
              </w:rPr>
              <w:t>数据服务</w:t>
            </w:r>
          </w:p>
        </w:tc>
        <w:tc>
          <w:tcPr>
            <w:tcW w:w="666" w:type="dxa"/>
            <w:vAlign w:val="center"/>
          </w:tcPr>
          <w:p w14:paraId="1B5FC46A">
            <w:pPr>
              <w:pStyle w:val="491"/>
              <w:keepNext w:val="0"/>
              <w:keepLines w:val="0"/>
              <w:pageBreakBefore w:val="0"/>
              <w:widowControl w:val="0"/>
              <w:kinsoku/>
              <w:wordWrap/>
              <w:overflowPunct/>
              <w:topLinePunct w:val="0"/>
              <w:autoSpaceDE/>
              <w:autoSpaceDN/>
              <w:bidi w:val="0"/>
              <w:adjustRightInd/>
              <w:snapToGrid/>
              <w:spacing w:line="258" w:lineRule="exact"/>
              <w:ind w:left="332"/>
              <w:jc w:val="left"/>
              <w:textAlignment w:val="auto"/>
              <w:rPr>
                <w:rFonts w:hint="eastAsia"/>
                <w:bCs/>
                <w:sz w:val="20"/>
                <w:szCs w:val="20"/>
                <w:lang w:eastAsia="zh-CN"/>
              </w:rPr>
            </w:pPr>
            <w:r>
              <w:rPr>
                <w:rFonts w:hint="eastAsia"/>
                <w:bCs/>
                <w:position w:val="0"/>
                <w:sz w:val="20"/>
                <w:szCs w:val="20"/>
                <w:lang w:eastAsia="zh-CN"/>
              </w:rPr>
              <w:t>1</w:t>
            </w:r>
          </w:p>
        </w:tc>
        <w:tc>
          <w:tcPr>
            <w:tcW w:w="800" w:type="dxa"/>
            <w:vAlign w:val="center"/>
          </w:tcPr>
          <w:p w14:paraId="103A2698">
            <w:pPr>
              <w:pStyle w:val="491"/>
              <w:keepNext w:val="0"/>
              <w:keepLines w:val="0"/>
              <w:pageBreakBefore w:val="0"/>
              <w:widowControl w:val="0"/>
              <w:kinsoku/>
              <w:wordWrap/>
              <w:overflowPunct/>
              <w:topLinePunct w:val="0"/>
              <w:autoSpaceDE/>
              <w:autoSpaceDN/>
              <w:bidi w:val="0"/>
              <w:adjustRightInd/>
              <w:snapToGrid/>
              <w:spacing w:line="229" w:lineRule="auto"/>
              <w:ind w:left="271"/>
              <w:jc w:val="left"/>
              <w:textAlignment w:val="auto"/>
              <w:rPr>
                <w:rFonts w:hint="eastAsia"/>
                <w:bCs/>
                <w:sz w:val="20"/>
                <w:szCs w:val="20"/>
                <w:lang w:eastAsia="zh-CN"/>
              </w:rPr>
            </w:pPr>
            <w:r>
              <w:rPr>
                <w:rFonts w:hint="eastAsia"/>
                <w:bCs/>
                <w:sz w:val="20"/>
                <w:szCs w:val="20"/>
                <w:lang w:eastAsia="zh-CN"/>
              </w:rPr>
              <w:t>项</w:t>
            </w:r>
          </w:p>
        </w:tc>
        <w:tc>
          <w:tcPr>
            <w:tcW w:w="1300" w:type="dxa"/>
            <w:vAlign w:val="center"/>
          </w:tcPr>
          <w:p w14:paraId="4647DEC2">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Cs/>
                <w:sz w:val="20"/>
                <w:szCs w:val="20"/>
              </w:rPr>
            </w:pPr>
          </w:p>
        </w:tc>
        <w:tc>
          <w:tcPr>
            <w:tcW w:w="1417" w:type="dxa"/>
            <w:vMerge w:val="continue"/>
            <w:tcBorders/>
            <w:vAlign w:val="center"/>
          </w:tcPr>
          <w:p w14:paraId="6036456D">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Cs/>
                <w:sz w:val="20"/>
                <w:szCs w:val="20"/>
              </w:rPr>
            </w:pPr>
          </w:p>
        </w:tc>
        <w:tc>
          <w:tcPr>
            <w:tcW w:w="3844" w:type="dxa"/>
            <w:vAlign w:val="center"/>
          </w:tcPr>
          <w:p w14:paraId="4912FD7C">
            <w:pPr>
              <w:pStyle w:val="491"/>
              <w:keepNext w:val="0"/>
              <w:keepLines w:val="0"/>
              <w:pageBreakBefore w:val="0"/>
              <w:widowControl w:val="0"/>
              <w:kinsoku/>
              <w:wordWrap/>
              <w:overflowPunct/>
              <w:topLinePunct w:val="0"/>
              <w:autoSpaceDE/>
              <w:autoSpaceDN/>
              <w:bidi w:val="0"/>
              <w:adjustRightInd/>
              <w:snapToGrid/>
              <w:spacing w:line="272" w:lineRule="auto"/>
              <w:ind w:left="114" w:right="111" w:firstLine="9"/>
              <w:jc w:val="left"/>
              <w:textAlignment w:val="auto"/>
              <w:rPr>
                <w:rFonts w:hint="eastAsia"/>
                <w:bCs/>
                <w:sz w:val="20"/>
                <w:szCs w:val="20"/>
                <w:lang w:eastAsia="zh-CN"/>
              </w:rPr>
            </w:pPr>
            <w:r>
              <w:rPr>
                <w:rFonts w:hint="eastAsia"/>
                <w:bCs/>
                <w:spacing w:val="0"/>
                <w:sz w:val="20"/>
                <w:szCs w:val="20"/>
                <w:lang w:eastAsia="zh-CN"/>
              </w:rPr>
              <w:t>需与本节“</w:t>
            </w:r>
            <w:r>
              <w:rPr>
                <w:rFonts w:hint="eastAsia"/>
                <w:b w:val="0"/>
                <w:bCs/>
                <w:spacing w:val="0"/>
                <w:sz w:val="20"/>
                <w:szCs w:val="20"/>
                <w:lang w:eastAsia="zh-CN"/>
              </w:rPr>
              <w:t>（三）服务详细报价”</w:t>
            </w:r>
            <w:r>
              <w:rPr>
                <w:rFonts w:hint="eastAsia"/>
                <w:bCs/>
                <w:spacing w:val="0"/>
                <w:sz w:val="20"/>
                <w:szCs w:val="20"/>
                <w:lang w:eastAsia="zh-CN"/>
              </w:rPr>
              <w:t>分项报价小计数额一致</w:t>
            </w:r>
          </w:p>
        </w:tc>
      </w:tr>
      <w:tr w14:paraId="0C69BC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6833" w:type="dxa"/>
            <w:gridSpan w:val="6"/>
            <w:vAlign w:val="center"/>
          </w:tcPr>
          <w:p w14:paraId="43220120">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Cs/>
                <w:sz w:val="20"/>
                <w:szCs w:val="20"/>
              </w:rPr>
            </w:pPr>
            <w:r>
              <w:rPr>
                <w:rFonts w:hint="eastAsia"/>
                <w:b/>
                <w:bCs w:val="0"/>
                <w:spacing w:val="0"/>
                <w:sz w:val="20"/>
                <w:szCs w:val="20"/>
                <w:lang w:eastAsia="zh-CN"/>
              </w:rPr>
              <w:t>合计</w:t>
            </w:r>
            <w:r>
              <w:rPr>
                <w:rFonts w:hint="eastAsia" w:ascii="宋体" w:hAnsi="宋体" w:eastAsia="宋体" w:cs="宋体"/>
                <w:b/>
                <w:bCs w:val="0"/>
                <w:szCs w:val="21"/>
              </w:rPr>
              <w:t>（即投标总价；币种：人民币；单位：元）小写：</w:t>
            </w:r>
          </w:p>
        </w:tc>
        <w:tc>
          <w:tcPr>
            <w:tcW w:w="3844" w:type="dxa"/>
            <w:vAlign w:val="center"/>
          </w:tcPr>
          <w:p w14:paraId="6E3F3052">
            <w:pPr>
              <w:pStyle w:val="491"/>
              <w:keepNext w:val="0"/>
              <w:keepLines w:val="0"/>
              <w:pageBreakBefore w:val="0"/>
              <w:widowControl w:val="0"/>
              <w:kinsoku/>
              <w:wordWrap/>
              <w:overflowPunct/>
              <w:topLinePunct w:val="0"/>
              <w:autoSpaceDE/>
              <w:autoSpaceDN/>
              <w:bidi w:val="0"/>
              <w:adjustRightInd/>
              <w:snapToGrid/>
              <w:spacing w:line="227" w:lineRule="auto"/>
              <w:ind w:left="115"/>
              <w:jc w:val="left"/>
              <w:textAlignment w:val="auto"/>
              <w:rPr>
                <w:rFonts w:hint="eastAsia"/>
                <w:bCs/>
                <w:sz w:val="20"/>
                <w:szCs w:val="20"/>
                <w:lang w:eastAsia="zh-CN"/>
              </w:rPr>
            </w:pPr>
            <w:r>
              <w:rPr>
                <w:rFonts w:hint="eastAsia"/>
                <w:b w:val="0"/>
                <w:bCs/>
                <w:spacing w:val="0"/>
                <w:sz w:val="20"/>
                <w:szCs w:val="20"/>
                <w:lang w:eastAsia="zh-CN"/>
              </w:rPr>
              <w:t>为硬件设备、软件开发服务、</w:t>
            </w:r>
            <w:r>
              <w:rPr>
                <w:rFonts w:hint="eastAsia"/>
                <w:b w:val="0"/>
                <w:bCs/>
                <w:spacing w:val="0"/>
                <w:sz w:val="20"/>
                <w:szCs w:val="20"/>
                <w:lang w:val="en-US" w:eastAsia="zh-CN"/>
              </w:rPr>
              <w:t>数据</w:t>
            </w:r>
            <w:r>
              <w:rPr>
                <w:rFonts w:hint="eastAsia"/>
                <w:b w:val="0"/>
                <w:bCs/>
                <w:spacing w:val="0"/>
                <w:sz w:val="20"/>
                <w:szCs w:val="20"/>
                <w:lang w:eastAsia="zh-CN"/>
              </w:rPr>
              <w:t>服务</w:t>
            </w:r>
            <w:r>
              <w:rPr>
                <w:rFonts w:hint="eastAsia"/>
                <w:b w:val="0"/>
                <w:bCs/>
                <w:spacing w:val="0"/>
                <w:sz w:val="20"/>
                <w:szCs w:val="20"/>
                <w:lang w:val="en-US" w:eastAsia="zh-CN"/>
              </w:rPr>
              <w:t>分项报价小计</w:t>
            </w:r>
            <w:r>
              <w:rPr>
                <w:rFonts w:hint="eastAsia"/>
                <w:b w:val="0"/>
                <w:bCs/>
                <w:spacing w:val="0"/>
                <w:sz w:val="20"/>
                <w:szCs w:val="20"/>
                <w:lang w:eastAsia="zh-CN"/>
              </w:rPr>
              <w:t>之和</w:t>
            </w:r>
          </w:p>
        </w:tc>
      </w:tr>
    </w:tbl>
    <w:p w14:paraId="1A0891FD">
      <w:pPr>
        <w:spacing w:line="276" w:lineRule="auto"/>
        <w:rPr>
          <w:rFonts w:ascii="宋体" w:hAnsi="Times New Roman" w:eastAsia="宋体" w:cs="Times New Roman"/>
          <w:szCs w:val="21"/>
          <w:highlight w:val="yellow"/>
        </w:rPr>
      </w:pPr>
      <w:r>
        <w:rPr>
          <w:rFonts w:hint="eastAsia" w:ascii="宋体" w:hAnsi="宋体" w:eastAsia="宋体" w:cs="Times New Roman"/>
          <w:szCs w:val="21"/>
        </w:rPr>
        <w:t>备注：</w:t>
      </w:r>
    </w:p>
    <w:p w14:paraId="270F24DD">
      <w:pPr>
        <w:spacing w:line="276" w:lineRule="auto"/>
        <w:ind w:firstLine="420" w:firstLineChars="200"/>
        <w:rPr>
          <w:rFonts w:ascii="宋体" w:hAnsi="Times New Roman" w:eastAsia="宋体" w:cs="Times New Roman"/>
          <w:szCs w:val="21"/>
        </w:rPr>
      </w:pPr>
      <w:r>
        <w:rPr>
          <w:rFonts w:ascii="宋体" w:hAnsi="宋体" w:eastAsia="宋体" w:cs="Times New Roman"/>
          <w:szCs w:val="21"/>
        </w:rPr>
        <w:t>1.</w:t>
      </w:r>
      <w:r>
        <w:rPr>
          <w:rFonts w:hint="eastAsia" w:ascii="宋体" w:hAnsi="宋体" w:eastAsia="宋体" w:cs="Times New Roman"/>
          <w:szCs w:val="21"/>
        </w:rPr>
        <w:t>所有价格应按“招标文件”中规定的货币单位填写；</w:t>
      </w:r>
    </w:p>
    <w:p w14:paraId="17C4DE15">
      <w:pPr>
        <w:spacing w:line="276" w:lineRule="auto"/>
        <w:ind w:firstLine="420" w:firstLineChars="200"/>
        <w:rPr>
          <w:rFonts w:ascii="宋体" w:hAnsi="Times New Roman" w:eastAsia="宋体" w:cs="Times New Roman"/>
          <w:szCs w:val="21"/>
        </w:rPr>
      </w:pPr>
      <w:r>
        <w:rPr>
          <w:rFonts w:ascii="宋体" w:hAnsi="宋体" w:eastAsia="宋体" w:cs="Times New Roman"/>
          <w:szCs w:val="21"/>
        </w:rPr>
        <w:t>2</w:t>
      </w:r>
      <w:r>
        <w:rPr>
          <w:rFonts w:ascii="宋体" w:hAnsi="Times New Roman" w:eastAsia="宋体" w:cs="Times New Roman"/>
          <w:szCs w:val="21"/>
        </w:rPr>
        <w:t>.</w:t>
      </w:r>
      <w:r>
        <w:rPr>
          <w:rFonts w:hint="eastAsia" w:ascii="宋体" w:hAnsi="宋体" w:eastAsia="宋体" w:cs="Times New Roman"/>
          <w:szCs w:val="21"/>
        </w:rPr>
        <w:t>投标总价应为以上各分项价格之和；</w:t>
      </w:r>
    </w:p>
    <w:p w14:paraId="08DFB95A">
      <w:pPr>
        <w:spacing w:line="276" w:lineRule="auto"/>
        <w:ind w:firstLine="420" w:firstLineChars="200"/>
        <w:rPr>
          <w:rFonts w:ascii="宋体" w:hAnsi="Times New Roman" w:eastAsia="宋体" w:cs="Times New Roman"/>
          <w:szCs w:val="21"/>
        </w:rPr>
      </w:pPr>
      <w:r>
        <w:rPr>
          <w:rFonts w:ascii="宋体" w:hAnsi="宋体" w:eastAsia="宋体" w:cs="Times New Roman"/>
          <w:szCs w:val="21"/>
        </w:rPr>
        <w:t>3.</w:t>
      </w:r>
      <w:r>
        <w:rPr>
          <w:rFonts w:hint="eastAsia" w:ascii="宋体" w:hAnsi="宋体" w:eastAsia="宋体" w:cs="Times New Roman"/>
          <w:szCs w:val="21"/>
        </w:rPr>
        <w:t>本表格式为参考格式可根据项目具体情况进行修改；</w:t>
      </w:r>
    </w:p>
    <w:p w14:paraId="75DC0A3D">
      <w:pPr>
        <w:spacing w:line="276" w:lineRule="auto"/>
        <w:ind w:firstLine="413" w:firstLineChars="196"/>
        <w:rPr>
          <w:rFonts w:ascii="宋体" w:hAnsi="Times New Roman" w:eastAsia="宋体" w:cs="Times New Roman"/>
          <w:b/>
          <w:szCs w:val="21"/>
        </w:rPr>
      </w:pPr>
      <w:r>
        <w:rPr>
          <w:rFonts w:ascii="宋体" w:hAnsi="宋体" w:eastAsia="宋体" w:cs="Times New Roman"/>
          <w:b/>
          <w:szCs w:val="21"/>
        </w:rPr>
        <w:t>4.</w:t>
      </w:r>
      <w:r>
        <w:rPr>
          <w:rFonts w:hint="eastAsia" w:ascii="宋体" w:hAnsi="宋体" w:eastAsia="宋体" w:cs="Times New Roman"/>
          <w:b/>
          <w:szCs w:val="21"/>
        </w:rPr>
        <w:t>投标总价和项目报价表中单个采购预算条目报价均不得超过对应的财政预算限额或设定的预算金额下的最高限价，否则将导致投标无效。</w:t>
      </w:r>
    </w:p>
    <w:p w14:paraId="4DDDF8BC">
      <w:pPr>
        <w:spacing w:line="276" w:lineRule="auto"/>
        <w:ind w:firstLine="413" w:firstLineChars="196"/>
        <w:rPr>
          <w:rFonts w:ascii="宋体" w:hAnsi="Times New Roman" w:eastAsia="宋体" w:cs="Times New Roman"/>
          <w:b/>
          <w:bCs/>
          <w:szCs w:val="21"/>
        </w:rPr>
      </w:pPr>
      <w:r>
        <w:rPr>
          <w:rFonts w:ascii="宋体" w:hAnsi="宋体" w:eastAsia="宋体" w:cs="Times New Roman"/>
          <w:b/>
          <w:bCs/>
          <w:szCs w:val="21"/>
        </w:rPr>
        <w:t>5.</w:t>
      </w:r>
      <w:r>
        <w:rPr>
          <w:rFonts w:hint="eastAsia" w:ascii="宋体" w:hAnsi="宋体" w:eastAsia="宋体" w:cs="Times New Roman"/>
          <w:b/>
          <w:bCs/>
          <w:szCs w:val="21"/>
        </w:rPr>
        <w:t>《 项目报价汇总表》的投标总价应与开标一览表的投标报价一致。</w:t>
      </w:r>
    </w:p>
    <w:p w14:paraId="076954C2">
      <w:pPr>
        <w:spacing w:line="276" w:lineRule="auto"/>
        <w:ind w:firstLine="0" w:firstLineChars="0"/>
        <w:rPr>
          <w:rFonts w:hint="eastAsia" w:cs="宋体" w:asciiTheme="minorEastAsia" w:hAnsiTheme="minorEastAsia"/>
          <w:b/>
          <w:sz w:val="24"/>
          <w:szCs w:val="24"/>
        </w:rPr>
      </w:pPr>
    </w:p>
    <w:p w14:paraId="5D444C09">
      <w:pPr>
        <w:widowControl/>
        <w:ind w:firstLine="482" w:firstLineChars="200"/>
        <w:jc w:val="left"/>
        <w:rPr>
          <w:rFonts w:ascii="宋体" w:hAnsi="宋体" w:eastAsia="宋体" w:cs="Times New Roman"/>
          <w:b/>
          <w:color w:val="FF0000"/>
          <w:kern w:val="0"/>
          <w:sz w:val="24"/>
          <w:szCs w:val="24"/>
        </w:rPr>
      </w:pPr>
    </w:p>
    <w:p w14:paraId="2B434557">
      <w:pPr>
        <w:widowControl/>
        <w:tabs>
          <w:tab w:val="left" w:pos="720"/>
        </w:tabs>
        <w:jc w:val="center"/>
        <w:rPr>
          <w:rFonts w:ascii="Times New Roman" w:hAnsi="Times New Roman" w:eastAsia="宋体" w:cs="Times New Roman"/>
          <w:b/>
          <w:kern w:val="0"/>
          <w:sz w:val="24"/>
          <w:szCs w:val="24"/>
        </w:rPr>
      </w:pPr>
      <w:r>
        <w:rPr>
          <w:rFonts w:hint="eastAsia" w:ascii="Times New Roman" w:hAnsi="Times New Roman" w:eastAsia="宋体" w:cs="Times New Roman"/>
          <w:b/>
          <w:kern w:val="0"/>
          <w:sz w:val="24"/>
          <w:szCs w:val="24"/>
        </w:rPr>
        <w:t>（二）核心产品品牌</w:t>
      </w:r>
    </w:p>
    <w:p w14:paraId="6E6F89B4">
      <w:pPr>
        <w:widowControl/>
        <w:ind w:firstLine="482" w:firstLineChars="200"/>
        <w:jc w:val="left"/>
        <w:rPr>
          <w:rFonts w:ascii="宋体" w:hAnsi="宋体" w:eastAsia="宋体" w:cs="Times New Roman"/>
          <w:b/>
          <w:color w:val="FF0000"/>
          <w:kern w:val="0"/>
          <w:sz w:val="24"/>
          <w:szCs w:val="24"/>
        </w:rPr>
      </w:pPr>
    </w:p>
    <w:p w14:paraId="1F77A5B1">
      <w:pPr>
        <w:widowControl/>
        <w:ind w:firstLine="482" w:firstLineChars="200"/>
        <w:jc w:val="left"/>
        <w:rPr>
          <w:rFonts w:ascii="宋体" w:hAnsi="宋体" w:eastAsia="宋体" w:cs="Times New Roman"/>
          <w:b/>
          <w:kern w:val="0"/>
          <w:sz w:val="24"/>
          <w:szCs w:val="24"/>
        </w:rPr>
      </w:pPr>
      <w:r>
        <w:rPr>
          <w:rFonts w:hint="eastAsia" w:ascii="Times New Roman" w:hAnsi="Times New Roman" w:eastAsia="宋体" w:cs="Times New Roman"/>
          <w:b/>
          <w:kern w:val="0"/>
          <w:sz w:val="24"/>
          <w:szCs w:val="24"/>
        </w:rPr>
        <w:t>我单位所投核心产品的品牌为：</w:t>
      </w:r>
      <w:r>
        <w:rPr>
          <w:rFonts w:hint="eastAsia" w:ascii="Times New Roman" w:hAnsi="Times New Roman" w:eastAsia="宋体" w:cs="Times New Roman"/>
          <w:b/>
          <w:kern w:val="0"/>
          <w:sz w:val="24"/>
          <w:szCs w:val="24"/>
          <w:u w:val="single"/>
        </w:rPr>
        <w:t xml:space="preserve">               </w:t>
      </w:r>
      <w:r>
        <w:rPr>
          <w:rFonts w:hint="eastAsia" w:ascii="Times New Roman" w:hAnsi="Times New Roman" w:eastAsia="宋体" w:cs="Times New Roman"/>
          <w:b/>
          <w:kern w:val="0"/>
          <w:sz w:val="24"/>
          <w:szCs w:val="24"/>
        </w:rPr>
        <w:t>。</w:t>
      </w:r>
    </w:p>
    <w:p w14:paraId="13552B1E">
      <w:pPr>
        <w:widowControl/>
        <w:ind w:firstLine="480" w:firstLineChars="200"/>
        <w:jc w:val="left"/>
        <w:rPr>
          <w:rFonts w:ascii="宋体" w:hAnsi="宋体" w:eastAsia="宋体" w:cs="Times New Roman"/>
          <w:kern w:val="0"/>
          <w:sz w:val="24"/>
          <w:szCs w:val="24"/>
        </w:rPr>
      </w:pPr>
      <w:r>
        <w:rPr>
          <w:rFonts w:hint="eastAsia" w:ascii="宋体" w:hAnsi="宋体" w:eastAsia="宋体" w:cs="Times New Roman"/>
          <w:kern w:val="0"/>
          <w:sz w:val="24"/>
          <w:szCs w:val="24"/>
        </w:rPr>
        <w:t>备注：单一产品采购项目，核心产品即为该单一产品。</w:t>
      </w:r>
    </w:p>
    <w:p w14:paraId="70577EEE">
      <w:pPr>
        <w:widowControl/>
        <w:ind w:firstLine="482" w:firstLineChars="200"/>
        <w:jc w:val="left"/>
        <w:rPr>
          <w:rFonts w:ascii="宋体" w:hAnsi="宋体" w:eastAsia="宋体" w:cs="Times New Roman"/>
          <w:b/>
          <w:color w:val="FF0000"/>
          <w:kern w:val="0"/>
          <w:sz w:val="24"/>
          <w:szCs w:val="24"/>
        </w:rPr>
      </w:pPr>
    </w:p>
    <w:p w14:paraId="5FD549D0">
      <w:pPr>
        <w:widowControl/>
        <w:ind w:firstLine="482" w:firstLineChars="200"/>
        <w:jc w:val="left"/>
        <w:rPr>
          <w:rFonts w:ascii="宋体" w:hAnsi="宋体" w:eastAsia="宋体" w:cs="Times New Roman"/>
          <w:b/>
          <w:color w:val="FF0000"/>
          <w:kern w:val="0"/>
          <w:sz w:val="24"/>
          <w:szCs w:val="24"/>
        </w:rPr>
      </w:pPr>
    </w:p>
    <w:p w14:paraId="6D2C233E">
      <w:pPr>
        <w:widowControl/>
        <w:jc w:val="left"/>
        <w:rPr>
          <w:rFonts w:ascii="Times New Roman" w:hAnsi="Times New Roman" w:eastAsia="宋体" w:cs="Times New Roman"/>
          <w:b/>
          <w:kern w:val="0"/>
          <w:sz w:val="24"/>
          <w:szCs w:val="24"/>
        </w:rPr>
      </w:pPr>
    </w:p>
    <w:p w14:paraId="6FD52580">
      <w:pPr>
        <w:widowControl/>
        <w:tabs>
          <w:tab w:val="left" w:pos="720"/>
        </w:tabs>
        <w:ind w:firstLine="1928" w:firstLineChars="800"/>
        <w:jc w:val="left"/>
        <w:rPr>
          <w:rFonts w:ascii="Times New Roman" w:hAnsi="Times New Roman" w:eastAsia="宋体" w:cs="Times New Roman"/>
          <w:b/>
          <w:kern w:val="0"/>
          <w:sz w:val="24"/>
          <w:szCs w:val="24"/>
        </w:rPr>
      </w:pPr>
      <w:r>
        <w:rPr>
          <w:rFonts w:hint="eastAsia" w:ascii="Times New Roman" w:hAnsi="Times New Roman" w:eastAsia="宋体" w:cs="Times New Roman"/>
          <w:b/>
          <w:kern w:val="0"/>
          <w:sz w:val="24"/>
          <w:szCs w:val="24"/>
        </w:rPr>
        <w:t>（三）可选配件报价清单（不包括在总报价内）</w:t>
      </w:r>
    </w:p>
    <w:p w14:paraId="6696B8A3">
      <w:pPr>
        <w:widowControl/>
        <w:ind w:firstLine="482" w:firstLineChars="200"/>
        <w:jc w:val="left"/>
        <w:rPr>
          <w:rFonts w:ascii="Times New Roman" w:hAnsi="宋体" w:eastAsia="宋体" w:cs="Times New Roman"/>
          <w:b/>
          <w:bCs/>
          <w:kern w:val="0"/>
          <w:sz w:val="24"/>
          <w:szCs w:val="21"/>
        </w:rPr>
      </w:pPr>
      <w:r>
        <w:rPr>
          <w:rFonts w:hint="eastAsia" w:ascii="Times New Roman" w:hAnsi="宋体" w:eastAsia="宋体" w:cs="Times New Roman"/>
          <w:b/>
          <w:bCs/>
          <w:kern w:val="0"/>
          <w:sz w:val="24"/>
          <w:szCs w:val="21"/>
        </w:rPr>
        <w:t>注：格式可以参照《（一）分项报价表》表格，并提供相应的品牌/规格/型号、原产地、制造商信息（没有品牌、型号的，用“定制”描述即可）、单价等详细信息</w:t>
      </w:r>
    </w:p>
    <w:p w14:paraId="2AFC67EF">
      <w:pPr>
        <w:widowControl/>
        <w:ind w:firstLine="482" w:firstLineChars="200"/>
        <w:jc w:val="left"/>
        <w:rPr>
          <w:rFonts w:ascii="Times New Roman" w:hAnsi="宋体" w:eastAsia="宋体" w:cs="Times New Roman"/>
          <w:b/>
          <w:bCs/>
          <w:kern w:val="0"/>
          <w:sz w:val="24"/>
          <w:szCs w:val="24"/>
        </w:rPr>
      </w:pPr>
    </w:p>
    <w:p w14:paraId="3BBAE35B">
      <w:pPr>
        <w:widowControl/>
        <w:ind w:firstLine="482" w:firstLineChars="200"/>
        <w:jc w:val="left"/>
        <w:rPr>
          <w:rFonts w:ascii="Times New Roman" w:hAnsi="宋体" w:eastAsia="宋体" w:cs="Times New Roman"/>
          <w:b/>
          <w:bCs/>
          <w:kern w:val="0"/>
          <w:sz w:val="24"/>
          <w:szCs w:val="24"/>
        </w:rPr>
      </w:pPr>
    </w:p>
    <w:p w14:paraId="00B2042F">
      <w:pPr>
        <w:widowControl/>
        <w:tabs>
          <w:tab w:val="left" w:pos="720"/>
        </w:tabs>
        <w:jc w:val="center"/>
        <w:rPr>
          <w:rFonts w:ascii="Times New Roman" w:hAnsi="Times New Roman" w:eastAsia="宋体" w:cs="Times New Roman"/>
          <w:b/>
          <w:kern w:val="0"/>
          <w:sz w:val="24"/>
          <w:szCs w:val="24"/>
        </w:rPr>
      </w:pPr>
      <w:r>
        <w:rPr>
          <w:rFonts w:hint="eastAsia" w:ascii="Times New Roman" w:hAnsi="Times New Roman" w:eastAsia="宋体" w:cs="Times New Roman"/>
          <w:b/>
          <w:kern w:val="0"/>
          <w:sz w:val="24"/>
          <w:szCs w:val="24"/>
        </w:rPr>
        <w:t>（四）</w:t>
      </w:r>
      <w:bookmarkStart w:id="65" w:name="_Hlk72073235"/>
      <w:r>
        <w:rPr>
          <w:rFonts w:hint="eastAsia" w:ascii="Times New Roman" w:hAnsi="Times New Roman" w:eastAsia="宋体" w:cs="Times New Roman"/>
          <w:b/>
          <w:kern w:val="0"/>
          <w:sz w:val="24"/>
          <w:szCs w:val="24"/>
        </w:rPr>
        <w:t>投标人认为需要涉及的其他内容报价清单</w:t>
      </w:r>
      <w:bookmarkEnd w:id="65"/>
    </w:p>
    <w:p w14:paraId="593E75BA">
      <w:pPr>
        <w:spacing w:line="240" w:lineRule="auto"/>
        <w:rPr>
          <w:rFonts w:ascii="Times New Roman" w:hAnsi="Times New Roman" w:eastAsia="宋体" w:cs="Times New Roman"/>
          <w:b/>
          <w:bCs/>
          <w:szCs w:val="24"/>
        </w:rPr>
      </w:pPr>
      <w:r>
        <w:rPr>
          <w:rFonts w:ascii="Times New Roman" w:hAnsi="Times New Roman" w:eastAsia="宋体" w:cs="Times New Roman"/>
          <w:b/>
          <w:bCs/>
          <w:szCs w:val="24"/>
        </w:rPr>
        <w:br w:type="page"/>
      </w:r>
    </w:p>
    <w:p w14:paraId="45738A9B">
      <w:pPr>
        <w:keepNext/>
        <w:keepLines/>
        <w:spacing w:before="260" w:after="260"/>
        <w:jc w:val="center"/>
        <w:outlineLvl w:val="2"/>
        <w:rPr>
          <w:rFonts w:ascii="Times New Roman" w:hAnsi="Times New Roman" w:eastAsia="黑体" w:cs="Times New Roman"/>
          <w:bCs/>
          <w:sz w:val="24"/>
          <w:szCs w:val="32"/>
        </w:rPr>
      </w:pPr>
      <w:r>
        <w:rPr>
          <w:rFonts w:hint="eastAsia" w:ascii="Times New Roman" w:hAnsi="Times New Roman" w:eastAsia="黑体" w:cs="Times New Roman"/>
          <w:bCs/>
          <w:sz w:val="24"/>
          <w:szCs w:val="32"/>
          <w:lang w:val="en-US" w:eastAsia="zh-CN"/>
        </w:rPr>
        <w:t>五</w:t>
      </w:r>
      <w:r>
        <w:rPr>
          <w:rFonts w:ascii="Times New Roman" w:hAnsi="Times New Roman" w:eastAsia="黑体" w:cs="Times New Roman"/>
          <w:bCs/>
          <w:sz w:val="24"/>
          <w:szCs w:val="32"/>
        </w:rPr>
        <w:t>、</w:t>
      </w:r>
      <w:bookmarkStart w:id="66" w:name="_Hlk72092634"/>
      <w:r>
        <w:rPr>
          <w:rFonts w:ascii="Times New Roman" w:hAnsi="Times New Roman" w:eastAsia="黑体" w:cs="Times New Roman"/>
          <w:bCs/>
          <w:sz w:val="24"/>
          <w:szCs w:val="32"/>
        </w:rPr>
        <w:t>实质性条款响应情况表</w:t>
      </w:r>
      <w:bookmarkEnd w:id="62"/>
      <w:bookmarkEnd w:id="66"/>
    </w:p>
    <w:tbl>
      <w:tblPr>
        <w:tblStyle w:val="44"/>
        <w:tblW w:w="864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977"/>
        <w:gridCol w:w="2410"/>
        <w:gridCol w:w="1275"/>
        <w:gridCol w:w="1276"/>
      </w:tblGrid>
      <w:tr w14:paraId="420CC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709" w:type="dxa"/>
            <w:vAlign w:val="center"/>
          </w:tcPr>
          <w:p w14:paraId="7C08C55B">
            <w:pPr>
              <w:adjustRightInd w:val="0"/>
              <w:snapToGrid w:val="0"/>
              <w:jc w:val="center"/>
              <w:rPr>
                <w:rFonts w:ascii="宋体" w:hAnsi="宋体" w:eastAsia="宋体" w:cs="宋体"/>
                <w:b/>
                <w:kern w:val="0"/>
                <w:szCs w:val="21"/>
                <w:highlight w:val="yellow"/>
              </w:rPr>
            </w:pPr>
            <w:r>
              <w:rPr>
                <w:rFonts w:hint="eastAsia" w:ascii="宋体" w:hAnsi="宋体" w:eastAsia="宋体" w:cs="宋体"/>
                <w:b/>
                <w:kern w:val="0"/>
                <w:szCs w:val="21"/>
                <w:highlight w:val="yellow"/>
              </w:rPr>
              <w:t>序号</w:t>
            </w:r>
          </w:p>
        </w:tc>
        <w:tc>
          <w:tcPr>
            <w:tcW w:w="2977" w:type="dxa"/>
            <w:vAlign w:val="center"/>
          </w:tcPr>
          <w:p w14:paraId="01FD7584">
            <w:pPr>
              <w:adjustRightInd w:val="0"/>
              <w:snapToGrid w:val="0"/>
              <w:jc w:val="center"/>
              <w:rPr>
                <w:rFonts w:ascii="宋体" w:hAnsi="宋体" w:eastAsia="宋体" w:cs="宋体"/>
                <w:b/>
                <w:kern w:val="0"/>
                <w:szCs w:val="21"/>
                <w:highlight w:val="yellow"/>
              </w:rPr>
            </w:pPr>
            <w:r>
              <w:rPr>
                <w:rFonts w:hint="eastAsia" w:ascii="宋体" w:hAnsi="宋体" w:eastAsia="宋体" w:cs="宋体"/>
                <w:b/>
                <w:color w:val="FF0000"/>
                <w:kern w:val="0"/>
                <w:szCs w:val="21"/>
                <w:highlight w:val="yellow"/>
              </w:rPr>
              <w:t>★</w:t>
            </w:r>
            <w:r>
              <w:rPr>
                <w:rFonts w:hint="eastAsia" w:ascii="宋体" w:hAnsi="宋体" w:eastAsia="宋体" w:cs="宋体"/>
                <w:b/>
                <w:kern w:val="0"/>
                <w:szCs w:val="21"/>
                <w:highlight w:val="yellow"/>
              </w:rPr>
              <w:t>实质性条款具体内容</w:t>
            </w:r>
          </w:p>
        </w:tc>
        <w:tc>
          <w:tcPr>
            <w:tcW w:w="2410" w:type="dxa"/>
            <w:vAlign w:val="center"/>
          </w:tcPr>
          <w:p w14:paraId="384272B2">
            <w:pPr>
              <w:adjustRightInd w:val="0"/>
              <w:snapToGrid w:val="0"/>
              <w:jc w:val="center"/>
              <w:rPr>
                <w:rFonts w:ascii="宋体" w:hAnsi="宋体" w:eastAsia="宋体" w:cs="宋体"/>
                <w:b/>
                <w:kern w:val="0"/>
                <w:szCs w:val="21"/>
                <w:highlight w:val="yellow"/>
              </w:rPr>
            </w:pPr>
            <w:r>
              <w:rPr>
                <w:rFonts w:hint="eastAsia" w:ascii="宋体" w:hAnsi="宋体" w:eastAsia="宋体" w:cs="宋体"/>
                <w:b/>
                <w:szCs w:val="24"/>
                <w:highlight w:val="yellow"/>
              </w:rPr>
              <w:t>投标响应</w:t>
            </w:r>
          </w:p>
        </w:tc>
        <w:tc>
          <w:tcPr>
            <w:tcW w:w="1275" w:type="dxa"/>
            <w:vAlign w:val="center"/>
          </w:tcPr>
          <w:p w14:paraId="3B501E74">
            <w:pPr>
              <w:adjustRightInd w:val="0"/>
              <w:snapToGrid w:val="0"/>
              <w:jc w:val="center"/>
              <w:rPr>
                <w:rFonts w:ascii="宋体" w:hAnsi="宋体" w:eastAsia="宋体" w:cs="宋体"/>
                <w:b/>
                <w:kern w:val="0"/>
                <w:szCs w:val="21"/>
                <w:highlight w:val="yellow"/>
              </w:rPr>
            </w:pPr>
            <w:r>
              <w:rPr>
                <w:rFonts w:hint="eastAsia" w:ascii="宋体" w:hAnsi="宋体" w:eastAsia="宋体" w:cs="宋体"/>
                <w:b/>
                <w:szCs w:val="24"/>
                <w:highlight w:val="yellow"/>
              </w:rPr>
              <w:t>偏离情况</w:t>
            </w:r>
          </w:p>
        </w:tc>
        <w:tc>
          <w:tcPr>
            <w:tcW w:w="1276" w:type="dxa"/>
            <w:vAlign w:val="center"/>
          </w:tcPr>
          <w:p w14:paraId="0FC54DEB">
            <w:pPr>
              <w:adjustRightInd w:val="0"/>
              <w:snapToGrid w:val="0"/>
              <w:jc w:val="center"/>
              <w:rPr>
                <w:rFonts w:ascii="宋体" w:hAnsi="宋体" w:eastAsia="宋体" w:cs="宋体"/>
                <w:b/>
                <w:kern w:val="0"/>
                <w:szCs w:val="21"/>
                <w:highlight w:val="yellow"/>
              </w:rPr>
            </w:pPr>
            <w:r>
              <w:rPr>
                <w:rFonts w:hint="eastAsia" w:ascii="宋体" w:hAnsi="宋体" w:eastAsia="宋体" w:cs="宋体"/>
                <w:b/>
                <w:szCs w:val="24"/>
                <w:highlight w:val="yellow"/>
              </w:rPr>
              <w:t>说明</w:t>
            </w:r>
          </w:p>
        </w:tc>
      </w:tr>
      <w:tr w14:paraId="7D9B6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09" w:type="dxa"/>
            <w:vAlign w:val="center"/>
          </w:tcPr>
          <w:p w14:paraId="656AAEC2">
            <w:pPr>
              <w:adjustRightInd w:val="0"/>
              <w:snapToGrid w:val="0"/>
              <w:jc w:val="center"/>
              <w:rPr>
                <w:rFonts w:ascii="宋体" w:hAnsi="宋体" w:eastAsia="宋体" w:cs="宋体"/>
                <w:kern w:val="0"/>
                <w:szCs w:val="21"/>
              </w:rPr>
            </w:pPr>
            <w:r>
              <w:rPr>
                <w:rFonts w:hint="eastAsia" w:ascii="宋体" w:hAnsi="宋体" w:eastAsia="宋体" w:cs="宋体"/>
                <w:kern w:val="0"/>
                <w:szCs w:val="21"/>
              </w:rPr>
              <w:t>1</w:t>
            </w:r>
          </w:p>
        </w:tc>
        <w:tc>
          <w:tcPr>
            <w:tcW w:w="2977" w:type="dxa"/>
            <w:vAlign w:val="center"/>
          </w:tcPr>
          <w:p w14:paraId="21F55FC9">
            <w:pPr>
              <w:adjustRightInd w:val="0"/>
              <w:snapToGrid w:val="0"/>
              <w:jc w:val="center"/>
              <w:rPr>
                <w:rFonts w:ascii="宋体" w:hAnsi="宋体" w:eastAsia="宋体" w:cs="宋体"/>
                <w:b/>
                <w:color w:val="FF0000"/>
                <w:kern w:val="0"/>
                <w:szCs w:val="21"/>
              </w:rPr>
            </w:pPr>
            <w:r>
              <w:rPr>
                <w:rFonts w:hint="eastAsia" w:ascii="宋体" w:hAnsi="宋体" w:eastAsia="宋体" w:cs="宋体"/>
                <w:b/>
                <w:color w:val="FF0000"/>
                <w:kern w:val="0"/>
                <w:szCs w:val="21"/>
              </w:rPr>
              <w:t>满足本项目标★的条款要求</w:t>
            </w:r>
          </w:p>
        </w:tc>
        <w:tc>
          <w:tcPr>
            <w:tcW w:w="2410" w:type="dxa"/>
            <w:vAlign w:val="center"/>
          </w:tcPr>
          <w:p w14:paraId="2E72393E">
            <w:pPr>
              <w:adjustRightInd w:val="0"/>
              <w:snapToGrid w:val="0"/>
              <w:jc w:val="center"/>
              <w:rPr>
                <w:rFonts w:ascii="宋体" w:hAnsi="宋体" w:eastAsia="宋体" w:cs="宋体"/>
                <w:kern w:val="0"/>
                <w:szCs w:val="21"/>
              </w:rPr>
            </w:pPr>
          </w:p>
        </w:tc>
        <w:tc>
          <w:tcPr>
            <w:tcW w:w="1275" w:type="dxa"/>
            <w:vAlign w:val="center"/>
          </w:tcPr>
          <w:p w14:paraId="2FC705A7">
            <w:pPr>
              <w:adjustRightInd w:val="0"/>
              <w:snapToGrid w:val="0"/>
              <w:jc w:val="center"/>
              <w:rPr>
                <w:rFonts w:ascii="宋体" w:hAnsi="宋体" w:eastAsia="宋体" w:cs="宋体"/>
                <w:kern w:val="0"/>
                <w:szCs w:val="21"/>
              </w:rPr>
            </w:pPr>
          </w:p>
        </w:tc>
        <w:tc>
          <w:tcPr>
            <w:tcW w:w="1276" w:type="dxa"/>
            <w:vAlign w:val="center"/>
          </w:tcPr>
          <w:p w14:paraId="206A13C6">
            <w:pPr>
              <w:adjustRightInd w:val="0"/>
              <w:snapToGrid w:val="0"/>
              <w:jc w:val="center"/>
              <w:rPr>
                <w:rFonts w:ascii="宋体" w:hAnsi="宋体" w:eastAsia="宋体" w:cs="宋体"/>
                <w:kern w:val="0"/>
                <w:szCs w:val="21"/>
              </w:rPr>
            </w:pPr>
          </w:p>
        </w:tc>
      </w:tr>
    </w:tbl>
    <w:p w14:paraId="0A02D1A2">
      <w:pPr>
        <w:rPr>
          <w:rFonts w:ascii="宋体" w:hAnsi="宋体" w:eastAsia="宋体" w:cs="宋体"/>
          <w:szCs w:val="21"/>
        </w:rPr>
      </w:pPr>
      <w:r>
        <w:rPr>
          <w:rFonts w:hint="eastAsia" w:ascii="宋体" w:hAnsi="宋体" w:eastAsia="宋体" w:cs="宋体"/>
          <w:szCs w:val="21"/>
        </w:rPr>
        <w:t>注：</w:t>
      </w:r>
    </w:p>
    <w:p w14:paraId="51710286">
      <w:pPr>
        <w:ind w:firstLine="420" w:firstLineChars="200"/>
        <w:rPr>
          <w:rFonts w:ascii="宋体" w:hAnsi="宋体" w:eastAsia="宋体" w:cs="宋体"/>
          <w:szCs w:val="21"/>
        </w:rPr>
      </w:pPr>
      <w:r>
        <w:rPr>
          <w:rFonts w:hint="eastAsia" w:ascii="宋体" w:hAnsi="宋体" w:eastAsia="宋体" w:cs="宋体"/>
          <w:szCs w:val="21"/>
        </w:rPr>
        <w:t>1.上表所列各项均为不可负偏离条款。</w:t>
      </w:r>
    </w:p>
    <w:p w14:paraId="3C23CD59">
      <w:pPr>
        <w:ind w:firstLine="420" w:firstLineChars="200"/>
        <w:rPr>
          <w:rFonts w:ascii="宋体" w:hAnsi="宋体" w:eastAsia="宋体" w:cs="宋体"/>
          <w:szCs w:val="21"/>
        </w:rPr>
      </w:pPr>
      <w:r>
        <w:rPr>
          <w:rFonts w:hint="eastAsia" w:ascii="宋体" w:hAnsi="宋体" w:eastAsia="宋体" w:cs="宋体"/>
          <w:szCs w:val="21"/>
        </w:rPr>
        <w:t>2.“投标响应”一栏应当详细填写投标人自身响应情况，而不能不合理照搬照抄招标文件实质性条款具体内容。</w:t>
      </w:r>
      <w:r>
        <w:rPr>
          <w:rFonts w:hint="eastAsia" w:ascii="宋体" w:hAnsi="宋体" w:eastAsia="宋体" w:cs="宋体"/>
          <w:b/>
          <w:szCs w:val="21"/>
        </w:rPr>
        <w:t>如完全满足实质性条款具体内容可填写“完全响应”。</w:t>
      </w:r>
    </w:p>
    <w:p w14:paraId="70970909">
      <w:pPr>
        <w:ind w:firstLine="420" w:firstLineChars="200"/>
        <w:rPr>
          <w:rFonts w:ascii="宋体" w:hAnsi="宋体" w:eastAsia="宋体" w:cs="宋体"/>
          <w:szCs w:val="21"/>
        </w:rPr>
      </w:pPr>
      <w:r>
        <w:rPr>
          <w:rFonts w:hint="eastAsia" w:ascii="宋体" w:hAnsi="宋体" w:eastAsia="宋体" w:cs="宋体"/>
          <w:szCs w:val="21"/>
        </w:rPr>
        <w:t>3.“偏离情况”一栏应填写</w:t>
      </w:r>
      <w:r>
        <w:rPr>
          <w:rFonts w:hint="eastAsia" w:ascii="宋体" w:hAnsi="宋体" w:eastAsia="宋体" w:cs="宋体"/>
          <w:b/>
          <w:szCs w:val="21"/>
        </w:rPr>
        <w:t>“正偏离”、“负偏离”或“无偏离”</w:t>
      </w:r>
      <w:r>
        <w:rPr>
          <w:rFonts w:hint="eastAsia" w:ascii="宋体" w:hAnsi="宋体" w:eastAsia="宋体" w:cs="宋体"/>
          <w:szCs w:val="21"/>
        </w:rPr>
        <w:t>，“正偏离”表示“投标响应优于实质性条款具体内容要求”，“负偏离”表示“投标响应不满足实质性条款具体内容要求”，“无偏离”表示“投标响应与实质性条款具体内容要求一致”。</w:t>
      </w:r>
    </w:p>
    <w:p w14:paraId="6605A8DE">
      <w:pPr>
        <w:ind w:firstLine="420" w:firstLineChars="200"/>
        <w:rPr>
          <w:rFonts w:ascii="宋体" w:hAnsi="宋体" w:eastAsia="宋体" w:cs="宋体"/>
          <w:szCs w:val="21"/>
        </w:rPr>
      </w:pPr>
      <w:r>
        <w:rPr>
          <w:rFonts w:hint="eastAsia" w:ascii="宋体" w:hAnsi="宋体" w:eastAsia="宋体" w:cs="宋体"/>
          <w:szCs w:val="21"/>
        </w:rPr>
        <w:t>4.评审委员会有权对投标响应情况作出判断（作出评审结论）。</w:t>
      </w:r>
    </w:p>
    <w:p w14:paraId="5049CB00">
      <w:pPr>
        <w:ind w:firstLine="420" w:firstLineChars="200"/>
        <w:rPr>
          <w:rFonts w:ascii="宋体" w:hAnsi="宋体" w:eastAsia="宋体" w:cs="宋体"/>
          <w:szCs w:val="21"/>
        </w:rPr>
      </w:pPr>
      <w:r>
        <w:rPr>
          <w:rFonts w:hint="eastAsia" w:ascii="宋体" w:hAnsi="宋体" w:eastAsia="宋体" w:cs="宋体"/>
          <w:szCs w:val="21"/>
        </w:rPr>
        <w:t>5.实质性响应条款“投标响应”情况与投标文件其它内容冲突的，</w:t>
      </w:r>
      <w:r>
        <w:rPr>
          <w:rFonts w:hint="eastAsia"/>
        </w:rPr>
        <w:t>以具体响应的内容为准（如：技术要求偏离表、商务要求偏离表、主要配置情况等）</w:t>
      </w:r>
      <w:r>
        <w:rPr>
          <w:rFonts w:hint="eastAsia" w:ascii="宋体" w:hAnsi="宋体" w:eastAsia="宋体" w:cs="宋体"/>
          <w:szCs w:val="21"/>
        </w:rPr>
        <w:t>。</w:t>
      </w:r>
    </w:p>
    <w:p w14:paraId="77C8BAC1">
      <w:pPr>
        <w:ind w:firstLine="420" w:firstLineChars="200"/>
        <w:rPr>
          <w:rFonts w:ascii="宋体" w:hAnsi="宋体" w:eastAsia="宋体" w:cs="宋体"/>
          <w:szCs w:val="21"/>
        </w:rPr>
      </w:pPr>
      <w:r>
        <w:rPr>
          <w:rFonts w:hint="eastAsia" w:ascii="宋体" w:hAnsi="宋体" w:eastAsia="宋体" w:cs="宋体"/>
          <w:szCs w:val="21"/>
        </w:rPr>
        <w:t>6.以上实质性条款中要求提供证明材料，需如实提供证明材料扫描件，在“说明”一栏中列明证明材料的位置，以便评审；未要求提供证明材料的，投标人可以不提供。</w:t>
      </w:r>
    </w:p>
    <w:p w14:paraId="2BC2B6BC">
      <w:pPr>
        <w:rPr>
          <w:rFonts w:ascii="宋体" w:hAnsi="宋体" w:eastAsia="宋体" w:cs="宋体"/>
          <w:b/>
          <w:szCs w:val="21"/>
        </w:rPr>
      </w:pPr>
    </w:p>
    <w:p w14:paraId="6ABDA92F">
      <w:pPr>
        <w:keepNext/>
        <w:keepLines/>
        <w:spacing w:before="260" w:after="260"/>
        <w:jc w:val="center"/>
        <w:outlineLvl w:val="2"/>
        <w:rPr>
          <w:rFonts w:ascii="Times New Roman" w:hAnsi="Times New Roman" w:eastAsia="黑体" w:cs="Times New Roman"/>
          <w:bCs/>
          <w:sz w:val="24"/>
          <w:szCs w:val="32"/>
        </w:rPr>
      </w:pPr>
      <w:r>
        <w:rPr>
          <w:rFonts w:hint="eastAsia" w:ascii="Times New Roman" w:hAnsi="Times New Roman" w:eastAsia="黑体" w:cs="Times New Roman"/>
          <w:bCs/>
          <w:sz w:val="24"/>
          <w:szCs w:val="32"/>
          <w:lang w:val="en-US" w:eastAsia="zh-CN"/>
        </w:rPr>
        <w:t>六</w:t>
      </w:r>
      <w:r>
        <w:rPr>
          <w:rFonts w:ascii="Times New Roman" w:hAnsi="Times New Roman" w:eastAsia="黑体" w:cs="Times New Roman"/>
          <w:bCs/>
          <w:sz w:val="24"/>
          <w:szCs w:val="32"/>
        </w:rPr>
        <w:t>、技术要求偏离表</w:t>
      </w:r>
    </w:p>
    <w:tbl>
      <w:tblPr>
        <w:tblStyle w:val="44"/>
        <w:tblW w:w="8754" w:type="dxa"/>
        <w:tblInd w:w="-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1200"/>
        <w:gridCol w:w="2922"/>
        <w:gridCol w:w="1701"/>
        <w:gridCol w:w="1276"/>
        <w:gridCol w:w="954"/>
      </w:tblGrid>
      <w:tr w14:paraId="39A6F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01" w:type="dxa"/>
            <w:vAlign w:val="center"/>
          </w:tcPr>
          <w:p w14:paraId="309F15D8">
            <w:pPr>
              <w:spacing w:line="276" w:lineRule="auto"/>
              <w:jc w:val="center"/>
              <w:rPr>
                <w:rFonts w:ascii="宋体" w:hAnsi="宋体" w:eastAsia="宋体" w:cs="宋体"/>
                <w:b/>
                <w:color w:val="000000"/>
                <w:szCs w:val="21"/>
              </w:rPr>
            </w:pPr>
            <w:r>
              <w:rPr>
                <w:rFonts w:hint="eastAsia" w:ascii="宋体" w:hAnsi="宋体" w:eastAsia="宋体" w:cs="宋体"/>
                <w:b/>
                <w:szCs w:val="21"/>
              </w:rPr>
              <w:t>序号</w:t>
            </w:r>
          </w:p>
        </w:tc>
        <w:tc>
          <w:tcPr>
            <w:tcW w:w="1200" w:type="dxa"/>
            <w:vAlign w:val="center"/>
          </w:tcPr>
          <w:p w14:paraId="5EC411B9">
            <w:pPr>
              <w:spacing w:line="276" w:lineRule="auto"/>
              <w:jc w:val="center"/>
              <w:rPr>
                <w:rFonts w:ascii="宋体" w:hAnsi="宋体" w:eastAsia="宋体" w:cs="宋体"/>
                <w:b/>
                <w:color w:val="000000"/>
                <w:szCs w:val="21"/>
              </w:rPr>
            </w:pPr>
            <w:r>
              <w:rPr>
                <w:rFonts w:hint="eastAsia" w:ascii="宋体" w:hAnsi="宋体" w:eastAsia="宋体" w:cs="宋体"/>
                <w:b/>
                <w:szCs w:val="21"/>
              </w:rPr>
              <w:t>货物名称</w:t>
            </w:r>
          </w:p>
        </w:tc>
        <w:tc>
          <w:tcPr>
            <w:tcW w:w="2922" w:type="dxa"/>
            <w:vAlign w:val="center"/>
          </w:tcPr>
          <w:p w14:paraId="760826A9">
            <w:pPr>
              <w:spacing w:line="276" w:lineRule="auto"/>
              <w:jc w:val="center"/>
              <w:rPr>
                <w:rFonts w:ascii="宋体" w:hAnsi="宋体" w:eastAsia="宋体" w:cs="宋体"/>
                <w:b/>
                <w:color w:val="000000"/>
                <w:szCs w:val="21"/>
              </w:rPr>
            </w:pPr>
            <w:r>
              <w:rPr>
                <w:rFonts w:hint="eastAsia" w:ascii="宋体" w:hAnsi="宋体" w:eastAsia="宋体" w:cs="宋体"/>
                <w:b/>
                <w:szCs w:val="21"/>
              </w:rPr>
              <w:t>招标技术要求</w:t>
            </w:r>
          </w:p>
        </w:tc>
        <w:tc>
          <w:tcPr>
            <w:tcW w:w="1701" w:type="dxa"/>
            <w:vAlign w:val="center"/>
          </w:tcPr>
          <w:p w14:paraId="5E0D8457">
            <w:pPr>
              <w:spacing w:line="276" w:lineRule="auto"/>
              <w:jc w:val="center"/>
              <w:rPr>
                <w:rFonts w:ascii="宋体" w:hAnsi="宋体" w:eastAsia="宋体" w:cs="宋体"/>
                <w:b/>
                <w:color w:val="000000"/>
                <w:szCs w:val="21"/>
              </w:rPr>
            </w:pPr>
            <w:r>
              <w:rPr>
                <w:rFonts w:hint="eastAsia" w:ascii="宋体" w:hAnsi="宋体" w:eastAsia="宋体" w:cs="宋体"/>
                <w:b/>
                <w:szCs w:val="21"/>
              </w:rPr>
              <w:t>投标技术响应</w:t>
            </w:r>
          </w:p>
        </w:tc>
        <w:tc>
          <w:tcPr>
            <w:tcW w:w="1276" w:type="dxa"/>
            <w:vAlign w:val="center"/>
          </w:tcPr>
          <w:p w14:paraId="562B4F6A">
            <w:pPr>
              <w:spacing w:line="276" w:lineRule="auto"/>
              <w:jc w:val="center"/>
              <w:rPr>
                <w:rFonts w:ascii="宋体" w:hAnsi="宋体" w:eastAsia="宋体" w:cs="宋体"/>
                <w:b/>
                <w:color w:val="000000"/>
                <w:szCs w:val="21"/>
              </w:rPr>
            </w:pPr>
            <w:r>
              <w:rPr>
                <w:rFonts w:hint="eastAsia" w:ascii="宋体" w:hAnsi="宋体" w:eastAsia="宋体" w:cs="宋体"/>
                <w:b/>
                <w:szCs w:val="21"/>
              </w:rPr>
              <w:t>偏离情况</w:t>
            </w:r>
          </w:p>
        </w:tc>
        <w:tc>
          <w:tcPr>
            <w:tcW w:w="954" w:type="dxa"/>
            <w:vAlign w:val="center"/>
          </w:tcPr>
          <w:p w14:paraId="7C4A7C6D">
            <w:pPr>
              <w:spacing w:line="276" w:lineRule="auto"/>
              <w:jc w:val="center"/>
              <w:rPr>
                <w:rFonts w:ascii="宋体" w:hAnsi="宋体" w:eastAsia="宋体" w:cs="宋体"/>
                <w:b/>
                <w:color w:val="000000"/>
                <w:szCs w:val="21"/>
              </w:rPr>
            </w:pPr>
            <w:r>
              <w:rPr>
                <w:rFonts w:hint="eastAsia" w:ascii="宋体" w:hAnsi="宋体" w:eastAsia="宋体" w:cs="宋体"/>
                <w:b/>
                <w:szCs w:val="21"/>
              </w:rPr>
              <w:t>说明</w:t>
            </w:r>
          </w:p>
        </w:tc>
      </w:tr>
      <w:tr w14:paraId="3E5EE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01" w:type="dxa"/>
            <w:vMerge w:val="restart"/>
            <w:vAlign w:val="center"/>
          </w:tcPr>
          <w:p w14:paraId="4E57404B">
            <w:pPr>
              <w:spacing w:line="276" w:lineRule="auto"/>
              <w:jc w:val="center"/>
              <w:rPr>
                <w:rFonts w:ascii="宋体" w:hAnsi="宋体" w:eastAsia="宋体" w:cs="宋体"/>
                <w:color w:val="000000"/>
                <w:szCs w:val="21"/>
              </w:rPr>
            </w:pPr>
            <w:r>
              <w:rPr>
                <w:rFonts w:hint="eastAsia" w:ascii="宋体" w:hAnsi="宋体" w:eastAsia="宋体" w:cs="宋体"/>
                <w:color w:val="000000"/>
                <w:szCs w:val="21"/>
              </w:rPr>
              <w:t>1</w:t>
            </w:r>
          </w:p>
        </w:tc>
        <w:tc>
          <w:tcPr>
            <w:tcW w:w="1200" w:type="dxa"/>
            <w:vMerge w:val="restart"/>
            <w:vAlign w:val="center"/>
          </w:tcPr>
          <w:p w14:paraId="247ED16E">
            <w:pPr>
              <w:spacing w:line="276" w:lineRule="auto"/>
              <w:jc w:val="center"/>
              <w:rPr>
                <w:rFonts w:ascii="宋体" w:hAnsi="宋体" w:eastAsia="宋体" w:cs="宋体"/>
                <w:color w:val="000000"/>
                <w:szCs w:val="21"/>
              </w:rPr>
            </w:pPr>
            <w:r>
              <w:rPr>
                <w:rFonts w:hint="eastAsia" w:ascii="宋体" w:hAnsi="宋体" w:eastAsia="宋体" w:cs="宋体"/>
                <w:color w:val="000000"/>
                <w:szCs w:val="21"/>
              </w:rPr>
              <w:t>***设备</w:t>
            </w:r>
          </w:p>
        </w:tc>
        <w:tc>
          <w:tcPr>
            <w:tcW w:w="2922" w:type="dxa"/>
          </w:tcPr>
          <w:p w14:paraId="4AFF27AC">
            <w:pPr>
              <w:spacing w:line="276" w:lineRule="auto"/>
              <w:jc w:val="center"/>
              <w:rPr>
                <w:rFonts w:ascii="宋体" w:hAnsi="宋体" w:eastAsia="宋体" w:cs="宋体"/>
                <w:color w:val="000000"/>
                <w:szCs w:val="21"/>
              </w:rPr>
            </w:pPr>
            <w:r>
              <w:rPr>
                <w:rFonts w:hint="eastAsia" w:ascii="宋体" w:hAnsi="宋体" w:eastAsia="宋体" w:cs="宋体"/>
                <w:szCs w:val="21"/>
              </w:rPr>
              <w:t>（填写相关内容）</w:t>
            </w:r>
          </w:p>
        </w:tc>
        <w:tc>
          <w:tcPr>
            <w:tcW w:w="1701" w:type="dxa"/>
          </w:tcPr>
          <w:p w14:paraId="383DF1F9">
            <w:pPr>
              <w:spacing w:line="276" w:lineRule="auto"/>
              <w:rPr>
                <w:rFonts w:ascii="宋体" w:hAnsi="宋体" w:eastAsia="宋体" w:cs="宋体"/>
                <w:color w:val="000000"/>
                <w:szCs w:val="21"/>
              </w:rPr>
            </w:pPr>
          </w:p>
        </w:tc>
        <w:tc>
          <w:tcPr>
            <w:tcW w:w="1276" w:type="dxa"/>
          </w:tcPr>
          <w:p w14:paraId="130F47D6">
            <w:pPr>
              <w:spacing w:line="276" w:lineRule="auto"/>
              <w:rPr>
                <w:rFonts w:ascii="宋体" w:hAnsi="宋体" w:eastAsia="宋体" w:cs="宋体"/>
                <w:color w:val="000000"/>
                <w:szCs w:val="21"/>
              </w:rPr>
            </w:pPr>
          </w:p>
        </w:tc>
        <w:tc>
          <w:tcPr>
            <w:tcW w:w="954" w:type="dxa"/>
          </w:tcPr>
          <w:p w14:paraId="4D847301">
            <w:pPr>
              <w:spacing w:line="276" w:lineRule="auto"/>
              <w:rPr>
                <w:rFonts w:ascii="宋体" w:hAnsi="宋体" w:eastAsia="宋体" w:cs="宋体"/>
                <w:color w:val="000000"/>
                <w:szCs w:val="21"/>
              </w:rPr>
            </w:pPr>
          </w:p>
        </w:tc>
      </w:tr>
      <w:tr w14:paraId="62F43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01" w:type="dxa"/>
            <w:vMerge w:val="continue"/>
            <w:vAlign w:val="center"/>
          </w:tcPr>
          <w:p w14:paraId="2774D1A7">
            <w:pPr>
              <w:spacing w:line="276" w:lineRule="auto"/>
              <w:jc w:val="center"/>
              <w:rPr>
                <w:rFonts w:ascii="宋体" w:hAnsi="宋体" w:eastAsia="宋体" w:cs="宋体"/>
                <w:color w:val="000000"/>
                <w:szCs w:val="21"/>
              </w:rPr>
            </w:pPr>
          </w:p>
        </w:tc>
        <w:tc>
          <w:tcPr>
            <w:tcW w:w="1200" w:type="dxa"/>
            <w:vMerge w:val="continue"/>
            <w:vAlign w:val="center"/>
          </w:tcPr>
          <w:p w14:paraId="3F263D85">
            <w:pPr>
              <w:spacing w:line="276" w:lineRule="auto"/>
              <w:jc w:val="center"/>
              <w:rPr>
                <w:rFonts w:ascii="宋体" w:hAnsi="宋体" w:eastAsia="宋体" w:cs="宋体"/>
                <w:color w:val="000000"/>
                <w:szCs w:val="21"/>
              </w:rPr>
            </w:pPr>
          </w:p>
        </w:tc>
        <w:tc>
          <w:tcPr>
            <w:tcW w:w="2922" w:type="dxa"/>
          </w:tcPr>
          <w:p w14:paraId="08BC6408">
            <w:pPr>
              <w:spacing w:line="276" w:lineRule="auto"/>
              <w:jc w:val="center"/>
              <w:rPr>
                <w:rFonts w:ascii="宋体" w:hAnsi="宋体" w:eastAsia="宋体" w:cs="宋体"/>
                <w:color w:val="000000"/>
                <w:szCs w:val="21"/>
              </w:rPr>
            </w:pPr>
            <w:r>
              <w:rPr>
                <w:rFonts w:hint="eastAsia" w:ascii="宋体" w:hAnsi="宋体" w:eastAsia="宋体" w:cs="宋体"/>
                <w:szCs w:val="21"/>
              </w:rPr>
              <w:t>（填写相关内容）</w:t>
            </w:r>
          </w:p>
        </w:tc>
        <w:tc>
          <w:tcPr>
            <w:tcW w:w="1701" w:type="dxa"/>
          </w:tcPr>
          <w:p w14:paraId="59F8ACBE">
            <w:pPr>
              <w:spacing w:line="276" w:lineRule="auto"/>
              <w:rPr>
                <w:rFonts w:ascii="宋体" w:hAnsi="宋体" w:eastAsia="宋体" w:cs="宋体"/>
                <w:color w:val="000000"/>
                <w:szCs w:val="21"/>
              </w:rPr>
            </w:pPr>
          </w:p>
        </w:tc>
        <w:tc>
          <w:tcPr>
            <w:tcW w:w="1276" w:type="dxa"/>
          </w:tcPr>
          <w:p w14:paraId="163C9C41">
            <w:pPr>
              <w:spacing w:line="276" w:lineRule="auto"/>
              <w:rPr>
                <w:rFonts w:ascii="宋体" w:hAnsi="宋体" w:eastAsia="宋体" w:cs="宋体"/>
                <w:color w:val="000000"/>
                <w:szCs w:val="21"/>
              </w:rPr>
            </w:pPr>
          </w:p>
        </w:tc>
        <w:tc>
          <w:tcPr>
            <w:tcW w:w="954" w:type="dxa"/>
          </w:tcPr>
          <w:p w14:paraId="70A77EC5">
            <w:pPr>
              <w:spacing w:line="276" w:lineRule="auto"/>
              <w:rPr>
                <w:rFonts w:ascii="宋体" w:hAnsi="宋体" w:eastAsia="宋体" w:cs="宋体"/>
                <w:color w:val="000000"/>
                <w:szCs w:val="21"/>
              </w:rPr>
            </w:pPr>
          </w:p>
        </w:tc>
      </w:tr>
      <w:tr w14:paraId="00B2E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01" w:type="dxa"/>
            <w:vMerge w:val="continue"/>
            <w:vAlign w:val="center"/>
          </w:tcPr>
          <w:p w14:paraId="70F33F9A">
            <w:pPr>
              <w:spacing w:line="276" w:lineRule="auto"/>
              <w:jc w:val="center"/>
              <w:rPr>
                <w:rFonts w:ascii="宋体" w:hAnsi="宋体" w:eastAsia="宋体" w:cs="宋体"/>
                <w:color w:val="000000"/>
                <w:szCs w:val="21"/>
              </w:rPr>
            </w:pPr>
          </w:p>
        </w:tc>
        <w:tc>
          <w:tcPr>
            <w:tcW w:w="1200" w:type="dxa"/>
            <w:vMerge w:val="continue"/>
            <w:vAlign w:val="center"/>
          </w:tcPr>
          <w:p w14:paraId="3133D8C4">
            <w:pPr>
              <w:spacing w:line="276" w:lineRule="auto"/>
              <w:jc w:val="center"/>
              <w:rPr>
                <w:rFonts w:ascii="宋体" w:hAnsi="宋体" w:eastAsia="宋体" w:cs="宋体"/>
                <w:color w:val="000000"/>
                <w:szCs w:val="21"/>
              </w:rPr>
            </w:pPr>
          </w:p>
        </w:tc>
        <w:tc>
          <w:tcPr>
            <w:tcW w:w="2922" w:type="dxa"/>
          </w:tcPr>
          <w:p w14:paraId="62575CD2">
            <w:pPr>
              <w:spacing w:line="276" w:lineRule="auto"/>
              <w:jc w:val="center"/>
              <w:rPr>
                <w:rFonts w:ascii="宋体" w:hAnsi="宋体" w:eastAsia="宋体" w:cs="宋体"/>
                <w:color w:val="000000"/>
                <w:szCs w:val="21"/>
              </w:rPr>
            </w:pPr>
            <w:r>
              <w:rPr>
                <w:rFonts w:hint="eastAsia" w:ascii="宋体" w:hAnsi="宋体" w:eastAsia="宋体" w:cs="宋体"/>
                <w:szCs w:val="21"/>
              </w:rPr>
              <w:t>（填写相关内容）</w:t>
            </w:r>
          </w:p>
        </w:tc>
        <w:tc>
          <w:tcPr>
            <w:tcW w:w="1701" w:type="dxa"/>
          </w:tcPr>
          <w:p w14:paraId="054177FA">
            <w:pPr>
              <w:spacing w:line="276" w:lineRule="auto"/>
              <w:rPr>
                <w:rFonts w:ascii="宋体" w:hAnsi="宋体" w:eastAsia="宋体" w:cs="宋体"/>
                <w:color w:val="000000"/>
                <w:szCs w:val="21"/>
              </w:rPr>
            </w:pPr>
          </w:p>
        </w:tc>
        <w:tc>
          <w:tcPr>
            <w:tcW w:w="1276" w:type="dxa"/>
          </w:tcPr>
          <w:p w14:paraId="280E6870">
            <w:pPr>
              <w:spacing w:line="276" w:lineRule="auto"/>
              <w:rPr>
                <w:rFonts w:ascii="宋体" w:hAnsi="宋体" w:eastAsia="宋体" w:cs="宋体"/>
                <w:color w:val="000000"/>
                <w:szCs w:val="21"/>
              </w:rPr>
            </w:pPr>
          </w:p>
        </w:tc>
        <w:tc>
          <w:tcPr>
            <w:tcW w:w="954" w:type="dxa"/>
          </w:tcPr>
          <w:p w14:paraId="63201701">
            <w:pPr>
              <w:spacing w:line="276" w:lineRule="auto"/>
              <w:rPr>
                <w:rFonts w:ascii="宋体" w:hAnsi="宋体" w:eastAsia="宋体" w:cs="宋体"/>
                <w:color w:val="000000"/>
                <w:szCs w:val="21"/>
              </w:rPr>
            </w:pPr>
          </w:p>
        </w:tc>
      </w:tr>
      <w:tr w14:paraId="7E911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01" w:type="dxa"/>
            <w:vMerge w:val="continue"/>
            <w:vAlign w:val="center"/>
          </w:tcPr>
          <w:p w14:paraId="2A4D9D33">
            <w:pPr>
              <w:spacing w:line="276" w:lineRule="auto"/>
              <w:jc w:val="center"/>
              <w:rPr>
                <w:rFonts w:ascii="宋体" w:hAnsi="宋体" w:eastAsia="宋体" w:cs="宋体"/>
                <w:color w:val="000000"/>
                <w:szCs w:val="21"/>
              </w:rPr>
            </w:pPr>
          </w:p>
        </w:tc>
        <w:tc>
          <w:tcPr>
            <w:tcW w:w="1200" w:type="dxa"/>
            <w:vMerge w:val="continue"/>
            <w:vAlign w:val="center"/>
          </w:tcPr>
          <w:p w14:paraId="7471A3BF">
            <w:pPr>
              <w:spacing w:line="276" w:lineRule="auto"/>
              <w:jc w:val="center"/>
              <w:rPr>
                <w:rFonts w:ascii="宋体" w:hAnsi="宋体" w:eastAsia="宋体" w:cs="宋体"/>
                <w:color w:val="000000"/>
                <w:szCs w:val="21"/>
              </w:rPr>
            </w:pPr>
          </w:p>
        </w:tc>
        <w:tc>
          <w:tcPr>
            <w:tcW w:w="2922" w:type="dxa"/>
          </w:tcPr>
          <w:p w14:paraId="5BC19174">
            <w:pPr>
              <w:spacing w:line="276" w:lineRule="auto"/>
              <w:jc w:val="center"/>
              <w:rPr>
                <w:rFonts w:ascii="宋体" w:hAnsi="宋体" w:eastAsia="宋体" w:cs="宋体"/>
                <w:color w:val="000000"/>
                <w:szCs w:val="21"/>
              </w:rPr>
            </w:pPr>
            <w:r>
              <w:rPr>
                <w:rFonts w:hint="eastAsia" w:ascii="宋体" w:hAnsi="宋体" w:eastAsia="宋体" w:cs="宋体"/>
                <w:szCs w:val="21"/>
              </w:rPr>
              <w:t>（填写相关内容）</w:t>
            </w:r>
          </w:p>
        </w:tc>
        <w:tc>
          <w:tcPr>
            <w:tcW w:w="1701" w:type="dxa"/>
          </w:tcPr>
          <w:p w14:paraId="7BC9213F">
            <w:pPr>
              <w:spacing w:line="276" w:lineRule="auto"/>
              <w:rPr>
                <w:rFonts w:ascii="宋体" w:hAnsi="宋体" w:eastAsia="宋体" w:cs="宋体"/>
                <w:color w:val="000000"/>
                <w:szCs w:val="21"/>
              </w:rPr>
            </w:pPr>
          </w:p>
        </w:tc>
        <w:tc>
          <w:tcPr>
            <w:tcW w:w="1276" w:type="dxa"/>
          </w:tcPr>
          <w:p w14:paraId="4A3230D8">
            <w:pPr>
              <w:spacing w:line="276" w:lineRule="auto"/>
              <w:rPr>
                <w:rFonts w:ascii="宋体" w:hAnsi="宋体" w:eastAsia="宋体" w:cs="宋体"/>
                <w:color w:val="000000"/>
                <w:szCs w:val="21"/>
              </w:rPr>
            </w:pPr>
          </w:p>
        </w:tc>
        <w:tc>
          <w:tcPr>
            <w:tcW w:w="954" w:type="dxa"/>
          </w:tcPr>
          <w:p w14:paraId="7DED2684">
            <w:pPr>
              <w:spacing w:line="276" w:lineRule="auto"/>
              <w:rPr>
                <w:rFonts w:ascii="宋体" w:hAnsi="宋体" w:eastAsia="宋体" w:cs="宋体"/>
                <w:color w:val="000000"/>
                <w:szCs w:val="21"/>
              </w:rPr>
            </w:pPr>
          </w:p>
        </w:tc>
      </w:tr>
      <w:tr w14:paraId="7B371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01" w:type="dxa"/>
            <w:vMerge w:val="continue"/>
            <w:vAlign w:val="center"/>
          </w:tcPr>
          <w:p w14:paraId="715BBBE2">
            <w:pPr>
              <w:spacing w:line="276" w:lineRule="auto"/>
              <w:jc w:val="center"/>
              <w:rPr>
                <w:rFonts w:ascii="宋体" w:hAnsi="宋体" w:eastAsia="宋体" w:cs="宋体"/>
                <w:color w:val="000000"/>
                <w:szCs w:val="21"/>
              </w:rPr>
            </w:pPr>
          </w:p>
        </w:tc>
        <w:tc>
          <w:tcPr>
            <w:tcW w:w="1200" w:type="dxa"/>
            <w:vMerge w:val="continue"/>
            <w:vAlign w:val="center"/>
          </w:tcPr>
          <w:p w14:paraId="0D7D6203">
            <w:pPr>
              <w:spacing w:line="276" w:lineRule="auto"/>
              <w:jc w:val="center"/>
              <w:rPr>
                <w:rFonts w:ascii="宋体" w:hAnsi="宋体" w:eastAsia="宋体" w:cs="宋体"/>
                <w:color w:val="000000"/>
                <w:szCs w:val="21"/>
              </w:rPr>
            </w:pPr>
          </w:p>
        </w:tc>
        <w:tc>
          <w:tcPr>
            <w:tcW w:w="2922" w:type="dxa"/>
          </w:tcPr>
          <w:p w14:paraId="7E929993">
            <w:pPr>
              <w:spacing w:line="276" w:lineRule="auto"/>
              <w:jc w:val="center"/>
              <w:rPr>
                <w:rFonts w:ascii="宋体" w:hAnsi="宋体" w:eastAsia="宋体" w:cs="宋体"/>
                <w:color w:val="000000"/>
                <w:szCs w:val="21"/>
              </w:rPr>
            </w:pPr>
            <w:r>
              <w:rPr>
                <w:rFonts w:hint="eastAsia" w:ascii="宋体" w:hAnsi="宋体" w:eastAsia="宋体" w:cs="宋体"/>
                <w:szCs w:val="21"/>
              </w:rPr>
              <w:t>（填写相关内容）</w:t>
            </w:r>
          </w:p>
        </w:tc>
        <w:tc>
          <w:tcPr>
            <w:tcW w:w="1701" w:type="dxa"/>
          </w:tcPr>
          <w:p w14:paraId="3B225703">
            <w:pPr>
              <w:spacing w:line="276" w:lineRule="auto"/>
              <w:rPr>
                <w:rFonts w:ascii="宋体" w:hAnsi="宋体" w:eastAsia="宋体" w:cs="宋体"/>
                <w:color w:val="000000"/>
                <w:szCs w:val="21"/>
              </w:rPr>
            </w:pPr>
          </w:p>
        </w:tc>
        <w:tc>
          <w:tcPr>
            <w:tcW w:w="1276" w:type="dxa"/>
          </w:tcPr>
          <w:p w14:paraId="2B8B672E">
            <w:pPr>
              <w:spacing w:line="276" w:lineRule="auto"/>
              <w:rPr>
                <w:rFonts w:ascii="宋体" w:hAnsi="宋体" w:eastAsia="宋体" w:cs="宋体"/>
                <w:color w:val="000000"/>
                <w:szCs w:val="21"/>
              </w:rPr>
            </w:pPr>
          </w:p>
        </w:tc>
        <w:tc>
          <w:tcPr>
            <w:tcW w:w="954" w:type="dxa"/>
          </w:tcPr>
          <w:p w14:paraId="02DD55AB">
            <w:pPr>
              <w:spacing w:line="276" w:lineRule="auto"/>
              <w:rPr>
                <w:rFonts w:ascii="宋体" w:hAnsi="宋体" w:eastAsia="宋体" w:cs="宋体"/>
                <w:color w:val="000000"/>
                <w:szCs w:val="21"/>
              </w:rPr>
            </w:pPr>
          </w:p>
        </w:tc>
      </w:tr>
      <w:tr w14:paraId="21220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01" w:type="dxa"/>
            <w:vMerge w:val="continue"/>
            <w:vAlign w:val="center"/>
          </w:tcPr>
          <w:p w14:paraId="4F4C4C50">
            <w:pPr>
              <w:spacing w:line="276" w:lineRule="auto"/>
              <w:jc w:val="center"/>
              <w:rPr>
                <w:rFonts w:ascii="宋体" w:hAnsi="宋体" w:eastAsia="宋体" w:cs="宋体"/>
                <w:color w:val="000000"/>
                <w:szCs w:val="21"/>
              </w:rPr>
            </w:pPr>
          </w:p>
        </w:tc>
        <w:tc>
          <w:tcPr>
            <w:tcW w:w="1200" w:type="dxa"/>
            <w:vMerge w:val="continue"/>
            <w:vAlign w:val="center"/>
          </w:tcPr>
          <w:p w14:paraId="71C5DF84">
            <w:pPr>
              <w:spacing w:line="276" w:lineRule="auto"/>
              <w:jc w:val="center"/>
              <w:rPr>
                <w:rFonts w:ascii="宋体" w:hAnsi="宋体" w:eastAsia="宋体" w:cs="宋体"/>
                <w:color w:val="000000"/>
                <w:szCs w:val="21"/>
              </w:rPr>
            </w:pPr>
          </w:p>
        </w:tc>
        <w:tc>
          <w:tcPr>
            <w:tcW w:w="2922" w:type="dxa"/>
          </w:tcPr>
          <w:p w14:paraId="6E60A823">
            <w:pPr>
              <w:spacing w:line="276" w:lineRule="auto"/>
              <w:jc w:val="center"/>
              <w:rPr>
                <w:rFonts w:ascii="宋体" w:hAnsi="宋体" w:eastAsia="宋体" w:cs="宋体"/>
                <w:color w:val="000000"/>
                <w:szCs w:val="21"/>
              </w:rPr>
            </w:pPr>
            <w:r>
              <w:rPr>
                <w:rFonts w:hint="eastAsia" w:ascii="宋体" w:hAnsi="宋体" w:eastAsia="宋体" w:cs="宋体"/>
                <w:color w:val="000000"/>
                <w:szCs w:val="21"/>
              </w:rPr>
              <w:t>……</w:t>
            </w:r>
          </w:p>
        </w:tc>
        <w:tc>
          <w:tcPr>
            <w:tcW w:w="1701" w:type="dxa"/>
          </w:tcPr>
          <w:p w14:paraId="119EC2AB">
            <w:pPr>
              <w:spacing w:line="276" w:lineRule="auto"/>
              <w:rPr>
                <w:rFonts w:ascii="宋体" w:hAnsi="宋体" w:eastAsia="宋体" w:cs="宋体"/>
                <w:color w:val="000000"/>
                <w:szCs w:val="21"/>
              </w:rPr>
            </w:pPr>
          </w:p>
        </w:tc>
        <w:tc>
          <w:tcPr>
            <w:tcW w:w="1276" w:type="dxa"/>
          </w:tcPr>
          <w:p w14:paraId="7331ACF2">
            <w:pPr>
              <w:spacing w:line="276" w:lineRule="auto"/>
              <w:rPr>
                <w:rFonts w:ascii="宋体" w:hAnsi="宋体" w:eastAsia="宋体" w:cs="宋体"/>
                <w:color w:val="000000"/>
                <w:szCs w:val="21"/>
              </w:rPr>
            </w:pPr>
          </w:p>
        </w:tc>
        <w:tc>
          <w:tcPr>
            <w:tcW w:w="954" w:type="dxa"/>
          </w:tcPr>
          <w:p w14:paraId="64011A51">
            <w:pPr>
              <w:spacing w:line="276" w:lineRule="auto"/>
              <w:rPr>
                <w:rFonts w:ascii="宋体" w:hAnsi="宋体" w:eastAsia="宋体" w:cs="宋体"/>
                <w:color w:val="000000"/>
                <w:szCs w:val="21"/>
              </w:rPr>
            </w:pPr>
          </w:p>
        </w:tc>
      </w:tr>
      <w:tr w14:paraId="20FC2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01" w:type="dxa"/>
            <w:vMerge w:val="continue"/>
            <w:vAlign w:val="center"/>
          </w:tcPr>
          <w:p w14:paraId="3D1790C8">
            <w:pPr>
              <w:spacing w:line="276" w:lineRule="auto"/>
              <w:jc w:val="center"/>
              <w:rPr>
                <w:rFonts w:ascii="宋体" w:hAnsi="宋体" w:eastAsia="宋体" w:cs="宋体"/>
                <w:color w:val="000000"/>
                <w:szCs w:val="21"/>
              </w:rPr>
            </w:pPr>
          </w:p>
        </w:tc>
        <w:tc>
          <w:tcPr>
            <w:tcW w:w="1200" w:type="dxa"/>
            <w:vMerge w:val="continue"/>
            <w:vAlign w:val="center"/>
          </w:tcPr>
          <w:p w14:paraId="31957B70">
            <w:pPr>
              <w:spacing w:line="276" w:lineRule="auto"/>
              <w:jc w:val="center"/>
              <w:rPr>
                <w:rFonts w:ascii="宋体" w:hAnsi="宋体" w:eastAsia="宋体" w:cs="宋体"/>
                <w:color w:val="000000"/>
                <w:szCs w:val="21"/>
              </w:rPr>
            </w:pPr>
          </w:p>
        </w:tc>
        <w:tc>
          <w:tcPr>
            <w:tcW w:w="2922" w:type="dxa"/>
          </w:tcPr>
          <w:p w14:paraId="08DD06B5">
            <w:pPr>
              <w:spacing w:line="276" w:lineRule="auto"/>
              <w:jc w:val="center"/>
              <w:rPr>
                <w:rFonts w:ascii="宋体" w:hAnsi="宋体" w:eastAsia="宋体" w:cs="宋体"/>
                <w:b/>
                <w:bCs/>
                <w:color w:val="000000"/>
                <w:szCs w:val="21"/>
              </w:rPr>
            </w:pPr>
            <w:r>
              <w:rPr>
                <w:rFonts w:hint="eastAsia" w:ascii="宋体" w:hAnsi="宋体" w:eastAsia="宋体" w:cs="宋体"/>
                <w:color w:val="000000"/>
                <w:szCs w:val="21"/>
              </w:rPr>
              <w:t>……</w:t>
            </w:r>
          </w:p>
        </w:tc>
        <w:tc>
          <w:tcPr>
            <w:tcW w:w="1701" w:type="dxa"/>
          </w:tcPr>
          <w:p w14:paraId="7C6B5266">
            <w:pPr>
              <w:spacing w:line="276" w:lineRule="auto"/>
              <w:rPr>
                <w:rFonts w:ascii="宋体" w:hAnsi="宋体" w:eastAsia="宋体" w:cs="宋体"/>
                <w:b/>
                <w:bCs/>
                <w:color w:val="FF0000"/>
                <w:szCs w:val="21"/>
              </w:rPr>
            </w:pPr>
          </w:p>
        </w:tc>
        <w:tc>
          <w:tcPr>
            <w:tcW w:w="1276" w:type="dxa"/>
          </w:tcPr>
          <w:p w14:paraId="6C41BFF2">
            <w:pPr>
              <w:spacing w:line="276" w:lineRule="auto"/>
              <w:rPr>
                <w:rFonts w:ascii="宋体" w:hAnsi="宋体" w:eastAsia="宋体" w:cs="宋体"/>
                <w:b/>
                <w:bCs/>
                <w:color w:val="FF0000"/>
                <w:szCs w:val="21"/>
              </w:rPr>
            </w:pPr>
          </w:p>
        </w:tc>
        <w:tc>
          <w:tcPr>
            <w:tcW w:w="954" w:type="dxa"/>
          </w:tcPr>
          <w:p w14:paraId="6BC548BB">
            <w:pPr>
              <w:spacing w:line="276" w:lineRule="auto"/>
              <w:rPr>
                <w:rFonts w:ascii="宋体" w:hAnsi="宋体" w:eastAsia="宋体" w:cs="宋体"/>
                <w:b/>
                <w:bCs/>
                <w:color w:val="FF0000"/>
                <w:szCs w:val="21"/>
              </w:rPr>
            </w:pPr>
          </w:p>
        </w:tc>
      </w:tr>
      <w:tr w14:paraId="7F26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01" w:type="dxa"/>
            <w:vMerge w:val="continue"/>
            <w:vAlign w:val="center"/>
          </w:tcPr>
          <w:p w14:paraId="5501B410">
            <w:pPr>
              <w:spacing w:line="276" w:lineRule="auto"/>
              <w:jc w:val="center"/>
              <w:rPr>
                <w:rFonts w:ascii="宋体" w:hAnsi="宋体" w:eastAsia="宋体" w:cs="宋体"/>
                <w:color w:val="000000"/>
                <w:szCs w:val="21"/>
              </w:rPr>
            </w:pPr>
          </w:p>
        </w:tc>
        <w:tc>
          <w:tcPr>
            <w:tcW w:w="1200" w:type="dxa"/>
            <w:vMerge w:val="continue"/>
            <w:vAlign w:val="center"/>
          </w:tcPr>
          <w:p w14:paraId="04200574">
            <w:pPr>
              <w:spacing w:line="276" w:lineRule="auto"/>
              <w:jc w:val="center"/>
              <w:rPr>
                <w:rFonts w:ascii="宋体" w:hAnsi="宋体" w:eastAsia="宋体" w:cs="宋体"/>
                <w:color w:val="000000"/>
                <w:szCs w:val="21"/>
              </w:rPr>
            </w:pPr>
          </w:p>
        </w:tc>
        <w:tc>
          <w:tcPr>
            <w:tcW w:w="2922" w:type="dxa"/>
          </w:tcPr>
          <w:p w14:paraId="67A2E9CC">
            <w:pPr>
              <w:spacing w:line="276" w:lineRule="auto"/>
              <w:jc w:val="center"/>
              <w:rPr>
                <w:rFonts w:ascii="宋体" w:hAnsi="宋体" w:eastAsia="宋体" w:cs="宋体"/>
                <w:color w:val="000000"/>
                <w:szCs w:val="21"/>
              </w:rPr>
            </w:pPr>
            <w:r>
              <w:rPr>
                <w:rFonts w:hint="eastAsia" w:ascii="宋体" w:hAnsi="宋体" w:eastAsia="宋体" w:cs="宋体"/>
                <w:color w:val="000000"/>
                <w:szCs w:val="21"/>
              </w:rPr>
              <w:t>……</w:t>
            </w:r>
          </w:p>
        </w:tc>
        <w:tc>
          <w:tcPr>
            <w:tcW w:w="1701" w:type="dxa"/>
          </w:tcPr>
          <w:p w14:paraId="3B60E17A">
            <w:pPr>
              <w:spacing w:line="276" w:lineRule="auto"/>
              <w:rPr>
                <w:rFonts w:ascii="宋体" w:hAnsi="宋体" w:eastAsia="宋体" w:cs="宋体"/>
                <w:color w:val="000000"/>
                <w:szCs w:val="21"/>
              </w:rPr>
            </w:pPr>
          </w:p>
        </w:tc>
        <w:tc>
          <w:tcPr>
            <w:tcW w:w="1276" w:type="dxa"/>
          </w:tcPr>
          <w:p w14:paraId="04E50053">
            <w:pPr>
              <w:spacing w:line="276" w:lineRule="auto"/>
              <w:rPr>
                <w:rFonts w:ascii="宋体" w:hAnsi="宋体" w:eastAsia="宋体" w:cs="宋体"/>
                <w:color w:val="000000"/>
                <w:szCs w:val="21"/>
              </w:rPr>
            </w:pPr>
          </w:p>
        </w:tc>
        <w:tc>
          <w:tcPr>
            <w:tcW w:w="954" w:type="dxa"/>
          </w:tcPr>
          <w:p w14:paraId="58388BAF">
            <w:pPr>
              <w:spacing w:line="276" w:lineRule="auto"/>
              <w:rPr>
                <w:rFonts w:ascii="宋体" w:hAnsi="宋体" w:eastAsia="宋体" w:cs="宋体"/>
                <w:color w:val="000000"/>
                <w:szCs w:val="21"/>
              </w:rPr>
            </w:pPr>
          </w:p>
        </w:tc>
      </w:tr>
      <w:tr w14:paraId="0ACF1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701" w:type="dxa"/>
            <w:vMerge w:val="restart"/>
            <w:vAlign w:val="center"/>
          </w:tcPr>
          <w:p w14:paraId="38DA3EED">
            <w:pPr>
              <w:spacing w:line="276" w:lineRule="auto"/>
              <w:jc w:val="center"/>
              <w:rPr>
                <w:rFonts w:ascii="宋体" w:hAnsi="宋体" w:eastAsia="宋体" w:cs="宋体"/>
                <w:color w:val="000000"/>
                <w:szCs w:val="21"/>
              </w:rPr>
            </w:pPr>
            <w:r>
              <w:rPr>
                <w:rFonts w:hint="eastAsia" w:ascii="宋体" w:hAnsi="宋体" w:eastAsia="宋体" w:cs="宋体"/>
                <w:color w:val="000000"/>
                <w:szCs w:val="21"/>
              </w:rPr>
              <w:t>2</w:t>
            </w:r>
          </w:p>
        </w:tc>
        <w:tc>
          <w:tcPr>
            <w:tcW w:w="1200" w:type="dxa"/>
            <w:vMerge w:val="restart"/>
            <w:vAlign w:val="center"/>
          </w:tcPr>
          <w:p w14:paraId="05CB120B">
            <w:pPr>
              <w:spacing w:line="276" w:lineRule="auto"/>
              <w:jc w:val="center"/>
              <w:rPr>
                <w:rFonts w:ascii="宋体" w:hAnsi="宋体" w:eastAsia="宋体" w:cs="宋体"/>
                <w:color w:val="000000"/>
                <w:szCs w:val="21"/>
              </w:rPr>
            </w:pPr>
            <w:r>
              <w:rPr>
                <w:rFonts w:hint="eastAsia" w:ascii="宋体" w:hAnsi="宋体" w:eastAsia="宋体" w:cs="宋体"/>
                <w:color w:val="000000"/>
                <w:szCs w:val="21"/>
              </w:rPr>
              <w:t>**设备</w:t>
            </w:r>
          </w:p>
        </w:tc>
        <w:tc>
          <w:tcPr>
            <w:tcW w:w="2922" w:type="dxa"/>
          </w:tcPr>
          <w:p w14:paraId="492CDC19">
            <w:pPr>
              <w:spacing w:line="276" w:lineRule="auto"/>
              <w:jc w:val="center"/>
              <w:rPr>
                <w:rFonts w:ascii="宋体" w:hAnsi="宋体" w:eastAsia="宋体" w:cs="宋体"/>
                <w:b/>
                <w:bCs/>
                <w:color w:val="000000"/>
                <w:szCs w:val="21"/>
              </w:rPr>
            </w:pPr>
            <w:r>
              <w:rPr>
                <w:rFonts w:hint="eastAsia" w:ascii="宋体" w:hAnsi="宋体" w:eastAsia="宋体" w:cs="宋体"/>
                <w:szCs w:val="21"/>
              </w:rPr>
              <w:t>（填写相关内容）</w:t>
            </w:r>
          </w:p>
        </w:tc>
        <w:tc>
          <w:tcPr>
            <w:tcW w:w="1701" w:type="dxa"/>
          </w:tcPr>
          <w:p w14:paraId="4ACC0A32">
            <w:pPr>
              <w:spacing w:line="276" w:lineRule="auto"/>
              <w:rPr>
                <w:rFonts w:ascii="宋体" w:hAnsi="宋体" w:eastAsia="宋体" w:cs="宋体"/>
                <w:b/>
                <w:bCs/>
                <w:color w:val="FF0000"/>
                <w:szCs w:val="21"/>
              </w:rPr>
            </w:pPr>
          </w:p>
        </w:tc>
        <w:tc>
          <w:tcPr>
            <w:tcW w:w="1276" w:type="dxa"/>
          </w:tcPr>
          <w:p w14:paraId="78EA9776">
            <w:pPr>
              <w:spacing w:line="276" w:lineRule="auto"/>
              <w:rPr>
                <w:rFonts w:ascii="宋体" w:hAnsi="宋体" w:eastAsia="宋体" w:cs="宋体"/>
                <w:b/>
                <w:bCs/>
                <w:color w:val="FF0000"/>
                <w:szCs w:val="21"/>
              </w:rPr>
            </w:pPr>
          </w:p>
        </w:tc>
        <w:tc>
          <w:tcPr>
            <w:tcW w:w="954" w:type="dxa"/>
          </w:tcPr>
          <w:p w14:paraId="2880CE67">
            <w:pPr>
              <w:spacing w:line="276" w:lineRule="auto"/>
              <w:rPr>
                <w:rFonts w:ascii="宋体" w:hAnsi="宋体" w:eastAsia="宋体" w:cs="宋体"/>
                <w:b/>
                <w:bCs/>
                <w:color w:val="FF0000"/>
                <w:szCs w:val="21"/>
              </w:rPr>
            </w:pPr>
          </w:p>
        </w:tc>
      </w:tr>
      <w:tr w14:paraId="3F9A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01" w:type="dxa"/>
            <w:vMerge w:val="continue"/>
          </w:tcPr>
          <w:p w14:paraId="57395352">
            <w:pPr>
              <w:spacing w:line="276" w:lineRule="auto"/>
              <w:jc w:val="center"/>
              <w:rPr>
                <w:rFonts w:ascii="宋体" w:hAnsi="宋体" w:eastAsia="宋体" w:cs="宋体"/>
                <w:color w:val="000000"/>
                <w:szCs w:val="21"/>
              </w:rPr>
            </w:pPr>
          </w:p>
        </w:tc>
        <w:tc>
          <w:tcPr>
            <w:tcW w:w="1200" w:type="dxa"/>
            <w:vMerge w:val="continue"/>
          </w:tcPr>
          <w:p w14:paraId="4696A3DD">
            <w:pPr>
              <w:spacing w:line="276" w:lineRule="auto"/>
              <w:rPr>
                <w:rFonts w:ascii="宋体" w:hAnsi="宋体" w:eastAsia="宋体" w:cs="宋体"/>
                <w:color w:val="000000"/>
                <w:szCs w:val="21"/>
              </w:rPr>
            </w:pPr>
          </w:p>
        </w:tc>
        <w:tc>
          <w:tcPr>
            <w:tcW w:w="2922" w:type="dxa"/>
          </w:tcPr>
          <w:p w14:paraId="67A19E2B">
            <w:pPr>
              <w:spacing w:line="276" w:lineRule="auto"/>
              <w:jc w:val="center"/>
              <w:rPr>
                <w:rFonts w:ascii="宋体" w:hAnsi="宋体" w:eastAsia="宋体" w:cs="宋体"/>
                <w:color w:val="000000"/>
                <w:szCs w:val="21"/>
              </w:rPr>
            </w:pPr>
            <w:r>
              <w:rPr>
                <w:rFonts w:hint="eastAsia" w:ascii="宋体" w:hAnsi="宋体" w:eastAsia="宋体" w:cs="宋体"/>
                <w:szCs w:val="21"/>
              </w:rPr>
              <w:t>（填写相关内容）</w:t>
            </w:r>
          </w:p>
        </w:tc>
        <w:tc>
          <w:tcPr>
            <w:tcW w:w="1701" w:type="dxa"/>
          </w:tcPr>
          <w:p w14:paraId="1880CED9">
            <w:pPr>
              <w:spacing w:line="276" w:lineRule="auto"/>
              <w:rPr>
                <w:rFonts w:ascii="宋体" w:hAnsi="宋体" w:eastAsia="宋体" w:cs="宋体"/>
                <w:color w:val="000000"/>
                <w:szCs w:val="21"/>
              </w:rPr>
            </w:pPr>
          </w:p>
        </w:tc>
        <w:tc>
          <w:tcPr>
            <w:tcW w:w="1276" w:type="dxa"/>
          </w:tcPr>
          <w:p w14:paraId="7994F6D2">
            <w:pPr>
              <w:spacing w:line="276" w:lineRule="auto"/>
              <w:rPr>
                <w:rFonts w:ascii="宋体" w:hAnsi="宋体" w:eastAsia="宋体" w:cs="宋体"/>
                <w:color w:val="000000"/>
                <w:szCs w:val="21"/>
              </w:rPr>
            </w:pPr>
          </w:p>
        </w:tc>
        <w:tc>
          <w:tcPr>
            <w:tcW w:w="954" w:type="dxa"/>
          </w:tcPr>
          <w:p w14:paraId="7D272F9C">
            <w:pPr>
              <w:spacing w:line="276" w:lineRule="auto"/>
              <w:rPr>
                <w:rFonts w:ascii="宋体" w:hAnsi="宋体" w:eastAsia="宋体" w:cs="宋体"/>
                <w:color w:val="000000"/>
                <w:szCs w:val="21"/>
              </w:rPr>
            </w:pPr>
          </w:p>
        </w:tc>
      </w:tr>
      <w:tr w14:paraId="36F24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 w:hRule="atLeast"/>
        </w:trPr>
        <w:tc>
          <w:tcPr>
            <w:tcW w:w="701" w:type="dxa"/>
            <w:vMerge w:val="continue"/>
          </w:tcPr>
          <w:p w14:paraId="06824260">
            <w:pPr>
              <w:spacing w:line="276" w:lineRule="auto"/>
              <w:jc w:val="center"/>
              <w:rPr>
                <w:rFonts w:ascii="宋体" w:hAnsi="宋体" w:eastAsia="宋体" w:cs="宋体"/>
                <w:color w:val="000000"/>
                <w:szCs w:val="21"/>
              </w:rPr>
            </w:pPr>
          </w:p>
        </w:tc>
        <w:tc>
          <w:tcPr>
            <w:tcW w:w="1200" w:type="dxa"/>
            <w:vMerge w:val="continue"/>
          </w:tcPr>
          <w:p w14:paraId="1EA8A8E3">
            <w:pPr>
              <w:spacing w:line="276" w:lineRule="auto"/>
              <w:rPr>
                <w:rFonts w:ascii="宋体" w:hAnsi="宋体" w:eastAsia="宋体" w:cs="宋体"/>
                <w:color w:val="000000"/>
                <w:szCs w:val="21"/>
              </w:rPr>
            </w:pPr>
          </w:p>
        </w:tc>
        <w:tc>
          <w:tcPr>
            <w:tcW w:w="2922" w:type="dxa"/>
          </w:tcPr>
          <w:p w14:paraId="4E6F823A">
            <w:pPr>
              <w:spacing w:line="276" w:lineRule="auto"/>
              <w:jc w:val="center"/>
              <w:rPr>
                <w:rFonts w:ascii="宋体" w:hAnsi="宋体" w:eastAsia="宋体" w:cs="宋体"/>
                <w:color w:val="000000"/>
                <w:szCs w:val="21"/>
              </w:rPr>
            </w:pPr>
            <w:r>
              <w:rPr>
                <w:rFonts w:hint="eastAsia" w:ascii="宋体" w:hAnsi="宋体" w:eastAsia="宋体" w:cs="宋体"/>
                <w:szCs w:val="21"/>
              </w:rPr>
              <w:t>（填写相关内容）</w:t>
            </w:r>
          </w:p>
        </w:tc>
        <w:tc>
          <w:tcPr>
            <w:tcW w:w="1701" w:type="dxa"/>
          </w:tcPr>
          <w:p w14:paraId="09712C9F">
            <w:pPr>
              <w:spacing w:line="276" w:lineRule="auto"/>
              <w:rPr>
                <w:rFonts w:ascii="宋体" w:hAnsi="宋体" w:eastAsia="宋体" w:cs="宋体"/>
                <w:color w:val="000000"/>
                <w:szCs w:val="21"/>
              </w:rPr>
            </w:pPr>
          </w:p>
        </w:tc>
        <w:tc>
          <w:tcPr>
            <w:tcW w:w="1276" w:type="dxa"/>
          </w:tcPr>
          <w:p w14:paraId="732DC160">
            <w:pPr>
              <w:spacing w:line="276" w:lineRule="auto"/>
              <w:rPr>
                <w:rFonts w:ascii="宋体" w:hAnsi="宋体" w:eastAsia="宋体" w:cs="宋体"/>
                <w:color w:val="000000"/>
                <w:szCs w:val="21"/>
              </w:rPr>
            </w:pPr>
          </w:p>
        </w:tc>
        <w:tc>
          <w:tcPr>
            <w:tcW w:w="954" w:type="dxa"/>
          </w:tcPr>
          <w:p w14:paraId="111853D9">
            <w:pPr>
              <w:spacing w:line="276" w:lineRule="auto"/>
              <w:rPr>
                <w:rFonts w:ascii="宋体" w:hAnsi="宋体" w:eastAsia="宋体" w:cs="宋体"/>
                <w:color w:val="000000"/>
                <w:szCs w:val="21"/>
              </w:rPr>
            </w:pPr>
          </w:p>
        </w:tc>
      </w:tr>
      <w:tr w14:paraId="24D4B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1" w:type="dxa"/>
            <w:vMerge w:val="continue"/>
          </w:tcPr>
          <w:p w14:paraId="12FB34B1">
            <w:pPr>
              <w:spacing w:line="276" w:lineRule="auto"/>
              <w:jc w:val="center"/>
              <w:rPr>
                <w:rFonts w:ascii="宋体" w:hAnsi="宋体" w:eastAsia="宋体" w:cs="宋体"/>
                <w:color w:val="000000"/>
                <w:szCs w:val="21"/>
              </w:rPr>
            </w:pPr>
          </w:p>
        </w:tc>
        <w:tc>
          <w:tcPr>
            <w:tcW w:w="1200" w:type="dxa"/>
            <w:vMerge w:val="continue"/>
          </w:tcPr>
          <w:p w14:paraId="33C2630F">
            <w:pPr>
              <w:spacing w:line="276" w:lineRule="auto"/>
              <w:rPr>
                <w:rFonts w:ascii="宋体" w:hAnsi="宋体" w:eastAsia="宋体" w:cs="宋体"/>
                <w:color w:val="000000"/>
                <w:szCs w:val="21"/>
              </w:rPr>
            </w:pPr>
          </w:p>
        </w:tc>
        <w:tc>
          <w:tcPr>
            <w:tcW w:w="2922" w:type="dxa"/>
          </w:tcPr>
          <w:p w14:paraId="0D7A92BF">
            <w:pPr>
              <w:spacing w:line="276" w:lineRule="auto"/>
              <w:jc w:val="center"/>
              <w:rPr>
                <w:rFonts w:ascii="宋体" w:hAnsi="宋体" w:eastAsia="宋体" w:cs="宋体"/>
                <w:color w:val="000000"/>
                <w:szCs w:val="21"/>
              </w:rPr>
            </w:pPr>
            <w:r>
              <w:rPr>
                <w:rFonts w:hint="eastAsia" w:ascii="宋体" w:hAnsi="宋体" w:eastAsia="宋体" w:cs="宋体"/>
                <w:color w:val="000000"/>
                <w:szCs w:val="21"/>
              </w:rPr>
              <w:t>……</w:t>
            </w:r>
          </w:p>
        </w:tc>
        <w:tc>
          <w:tcPr>
            <w:tcW w:w="1701" w:type="dxa"/>
          </w:tcPr>
          <w:p w14:paraId="525C6FD2">
            <w:pPr>
              <w:spacing w:line="276" w:lineRule="auto"/>
              <w:rPr>
                <w:rFonts w:ascii="宋体" w:hAnsi="宋体" w:eastAsia="宋体" w:cs="宋体"/>
                <w:color w:val="000000"/>
                <w:szCs w:val="21"/>
              </w:rPr>
            </w:pPr>
          </w:p>
        </w:tc>
        <w:tc>
          <w:tcPr>
            <w:tcW w:w="1276" w:type="dxa"/>
          </w:tcPr>
          <w:p w14:paraId="68069FDC">
            <w:pPr>
              <w:spacing w:line="276" w:lineRule="auto"/>
              <w:rPr>
                <w:rFonts w:ascii="宋体" w:hAnsi="宋体" w:eastAsia="宋体" w:cs="宋体"/>
                <w:color w:val="000000"/>
                <w:szCs w:val="21"/>
              </w:rPr>
            </w:pPr>
          </w:p>
        </w:tc>
        <w:tc>
          <w:tcPr>
            <w:tcW w:w="954" w:type="dxa"/>
          </w:tcPr>
          <w:p w14:paraId="037CFCF8">
            <w:pPr>
              <w:spacing w:line="276" w:lineRule="auto"/>
              <w:rPr>
                <w:rFonts w:ascii="宋体" w:hAnsi="宋体" w:eastAsia="宋体" w:cs="宋体"/>
                <w:color w:val="000000"/>
                <w:szCs w:val="21"/>
              </w:rPr>
            </w:pPr>
          </w:p>
        </w:tc>
      </w:tr>
    </w:tbl>
    <w:p w14:paraId="242607FF">
      <w:pPr>
        <w:rPr>
          <w:rFonts w:ascii="Times New Roman" w:hAnsi="Times New Roman" w:eastAsia="宋体" w:cs="Times New Roman"/>
          <w:b/>
          <w:szCs w:val="21"/>
        </w:rPr>
      </w:pPr>
      <w:bookmarkStart w:id="67" w:name="_Hlk72095977"/>
      <w:r>
        <w:rPr>
          <w:rFonts w:ascii="Times New Roman" w:hAnsi="Times New Roman" w:eastAsia="宋体" w:cs="Times New Roman"/>
          <w:b/>
          <w:szCs w:val="21"/>
        </w:rPr>
        <w:t>证明资料【如有的话，供应商提供的证明资料应统一编号（排序），格式自定】</w:t>
      </w:r>
      <w:bookmarkEnd w:id="67"/>
      <w:r>
        <w:rPr>
          <w:rFonts w:ascii="Times New Roman" w:hAnsi="Times New Roman" w:eastAsia="宋体" w:cs="Times New Roman"/>
          <w:b/>
          <w:szCs w:val="21"/>
        </w:rPr>
        <w:t>：</w:t>
      </w:r>
    </w:p>
    <w:p w14:paraId="728B67E3">
      <w:pPr>
        <w:ind w:firstLine="422" w:firstLineChars="200"/>
        <w:rPr>
          <w:rFonts w:ascii="Times New Roman" w:hAnsi="Times New Roman" w:eastAsia="宋体" w:cs="Times New Roman"/>
          <w:b/>
          <w:szCs w:val="21"/>
        </w:rPr>
      </w:pPr>
    </w:p>
    <w:p w14:paraId="23ECD01B">
      <w:pPr>
        <w:ind w:firstLine="422" w:firstLineChars="200"/>
        <w:rPr>
          <w:rFonts w:ascii="宋体" w:hAnsi="宋体" w:eastAsia="宋体" w:cs="宋体"/>
          <w:b/>
          <w:szCs w:val="21"/>
        </w:rPr>
      </w:pPr>
      <w:r>
        <w:rPr>
          <w:rFonts w:hint="eastAsia" w:ascii="宋体" w:hAnsi="宋体" w:eastAsia="宋体" w:cs="宋体"/>
          <w:b/>
          <w:szCs w:val="21"/>
        </w:rPr>
        <w:t>《技术要求偏离表》编制指引：</w:t>
      </w:r>
    </w:p>
    <w:p w14:paraId="534F9970">
      <w:pPr>
        <w:ind w:firstLine="422" w:firstLineChars="200"/>
        <w:rPr>
          <w:rFonts w:ascii="宋体" w:hAnsi="宋体" w:eastAsia="宋体" w:cs="宋体"/>
          <w:b/>
          <w:szCs w:val="21"/>
        </w:rPr>
      </w:pPr>
      <w:r>
        <w:rPr>
          <w:rFonts w:hint="eastAsia" w:ascii="宋体" w:hAnsi="宋体" w:eastAsia="宋体" w:cs="宋体"/>
          <w:b/>
          <w:szCs w:val="21"/>
        </w:rPr>
        <w:t>1.技术要求偏离表的序号、货物名称、招标技术要求等栏目对应“用户需求书”中的“技术要求”章节相关内容。</w:t>
      </w:r>
    </w:p>
    <w:p w14:paraId="2BFCC1FC">
      <w:pPr>
        <w:ind w:firstLine="422" w:firstLineChars="200"/>
        <w:rPr>
          <w:rFonts w:ascii="宋体" w:hAnsi="宋体" w:eastAsia="宋体" w:cs="宋体"/>
          <w:b/>
          <w:color w:val="FF0000"/>
          <w:szCs w:val="21"/>
        </w:rPr>
      </w:pPr>
      <w:r>
        <w:rPr>
          <w:rFonts w:hint="eastAsia" w:ascii="宋体" w:hAnsi="宋体" w:eastAsia="宋体" w:cs="宋体"/>
          <w:b/>
          <w:szCs w:val="21"/>
        </w:rPr>
        <w:t>2.“投标技术响应”一栏必须一一对照“招标技术要求”，详细填写投标人自身投标货物的具体参数，而不能不合理照搬照抄招标文件的技术要求，以体现具体响应情况。</w:t>
      </w:r>
      <w:r>
        <w:rPr>
          <w:rFonts w:hint="eastAsia" w:ascii="宋体" w:hAnsi="宋体" w:eastAsia="宋体" w:cs="宋体"/>
          <w:b/>
          <w:color w:val="FF0000"/>
          <w:szCs w:val="21"/>
        </w:rPr>
        <w:t>“投标技术响应”必须与所投产品客观实际保持一致，响应不实且情节严重的，经查实，将依法记入供应商诚信档案或受到行政处罚。</w:t>
      </w:r>
    </w:p>
    <w:p w14:paraId="70FEC306">
      <w:pPr>
        <w:ind w:firstLine="422" w:firstLineChars="200"/>
        <w:rPr>
          <w:rFonts w:ascii="宋体" w:hAnsi="宋体" w:eastAsia="宋体" w:cs="宋体"/>
          <w:b/>
          <w:color w:val="FF0000"/>
          <w:szCs w:val="21"/>
        </w:rPr>
      </w:pPr>
      <w:r>
        <w:rPr>
          <w:rFonts w:hint="eastAsia" w:ascii="宋体" w:hAnsi="宋体" w:eastAsia="宋体" w:cs="宋体"/>
          <w:b/>
          <w:szCs w:val="21"/>
        </w:rPr>
        <w:t>3.“偏离情况”一栏填写如实填写“正偏离”、“负偏离”或“无偏离”，其中：“正偏离”表示“投标响应优于招标技术要求”，“负偏离”表示“投标响应不满足招标技术要求”，“无偏离”表示“投标响应与招标技术要求一致”。“投标技术响应”对比“招标技术要求”存在响应不全（包括未响应整项招标技术要求或者未响应一项招标技术要求的部分内容），均视为“负偏离”。带★号条款为不可负偏离条款，不作为评分准则中的评分内容，如未响应或出现负偏离的，将做投标无效处理。</w:t>
      </w:r>
      <w:r>
        <w:rPr>
          <w:rFonts w:hint="eastAsia" w:ascii="宋体" w:hAnsi="宋体" w:eastAsia="宋体" w:cs="宋体"/>
          <w:b/>
          <w:color w:val="FF0000"/>
          <w:szCs w:val="21"/>
        </w:rPr>
        <w:t>“偏离情况”必须与所投产品客观实际保持一致，响应不实且情节严重的，经查实，将依法记入供应商诚信档案或受到行政处罚。</w:t>
      </w:r>
    </w:p>
    <w:p w14:paraId="4A40FED3">
      <w:pPr>
        <w:ind w:firstLine="422" w:firstLineChars="200"/>
        <w:rPr>
          <w:rFonts w:ascii="宋体" w:hAnsi="宋体" w:eastAsia="宋体" w:cs="宋体"/>
          <w:b/>
          <w:szCs w:val="21"/>
        </w:rPr>
      </w:pPr>
      <w:r>
        <w:rPr>
          <w:rFonts w:hint="eastAsia" w:ascii="宋体" w:hAnsi="宋体" w:eastAsia="宋体" w:cs="宋体"/>
          <w:b/>
          <w:szCs w:val="21"/>
        </w:rPr>
        <w:t>4.未要求提供证明资料的招标技术要求，可以不提供证明资料（如实响应即可）。如未要求提供证明资料的招标技术要求，投标人提供相应的证明资料，出现证明资料与响应情况不一致的，以证明资料情况为准。</w:t>
      </w:r>
    </w:p>
    <w:p w14:paraId="21D2802C">
      <w:pPr>
        <w:ind w:firstLine="422" w:firstLineChars="200"/>
        <w:rPr>
          <w:rFonts w:ascii="宋体" w:hAnsi="宋体" w:eastAsia="宋体" w:cs="宋体"/>
          <w:b/>
          <w:szCs w:val="21"/>
        </w:rPr>
      </w:pPr>
      <w:r>
        <w:rPr>
          <w:rFonts w:hint="eastAsia" w:ascii="宋体" w:hAnsi="宋体" w:eastAsia="宋体" w:cs="宋体"/>
          <w:b/>
          <w:szCs w:val="21"/>
        </w:rPr>
        <w:t>5.证明资料条款响应要求：要求提供证明资料（且已对证明资料的形式、内容作出明确要求）进行响应的条款，可在“说明”一栏中列明是否提供了符合要求的证明资料，以及所提供证明资料在表后“证明资料”中的编号（位置），以便评审；此类条款应严格依照要求的形式、内容提供证明资料，如未提供证明资料（或：证明资料的形式、内容等不符合要求；证明资料显示不符合招标技术要求；证明资料模糊不清无法判断或未显示是否满足招标技术要求），且投标人在“偏离情况”一栏响应为“正偏离”或“无偏离”的，经评审委员会认定，将判定为负偏离。</w:t>
      </w:r>
    </w:p>
    <w:p w14:paraId="364806DB">
      <w:pPr>
        <w:ind w:firstLine="422" w:firstLineChars="200"/>
        <w:rPr>
          <w:rFonts w:ascii="宋体" w:hAnsi="宋体" w:eastAsia="宋体" w:cs="宋体"/>
          <w:b/>
          <w:szCs w:val="21"/>
        </w:rPr>
      </w:pPr>
      <w:r>
        <w:rPr>
          <w:rFonts w:hint="eastAsia" w:ascii="宋体" w:hAnsi="宋体" w:eastAsia="宋体" w:cs="宋体"/>
          <w:b/>
          <w:szCs w:val="21"/>
        </w:rPr>
        <w:t>6.表后“证明资料”部分内容的编制：提供的所有证明资料应当统一编号（排序），且证明资料的编号（顺序）、数量和名称（形式）均应与“说明”一栏所填内容保持一致（一一对应），以便评审委员会查看。未按照招标文件要求在表后放置证明材料的供应商将承担不利后果，经评审委员会认定，相关技术要求将判定为负偏离。</w:t>
      </w:r>
    </w:p>
    <w:p w14:paraId="353D6E5A">
      <w:pPr>
        <w:ind w:firstLine="422" w:firstLineChars="200"/>
        <w:rPr>
          <w:rFonts w:ascii="宋体" w:hAnsi="宋体" w:eastAsia="宋体" w:cs="宋体"/>
          <w:b/>
          <w:szCs w:val="21"/>
        </w:rPr>
      </w:pPr>
      <w:r>
        <w:rPr>
          <w:rFonts w:hint="eastAsia" w:ascii="宋体" w:hAnsi="宋体" w:eastAsia="宋体" w:cs="宋体"/>
          <w:b/>
          <w:szCs w:val="21"/>
        </w:rPr>
        <w:t>7.证明资料的形式及其它具体要求：</w:t>
      </w:r>
    </w:p>
    <w:p w14:paraId="01D7A482">
      <w:pPr>
        <w:ind w:firstLine="422" w:firstLineChars="200"/>
        <w:rPr>
          <w:rFonts w:ascii="宋体" w:hAnsi="宋体" w:eastAsia="宋体" w:cs="宋体"/>
          <w:b/>
          <w:szCs w:val="21"/>
        </w:rPr>
      </w:pPr>
      <w:r>
        <w:rPr>
          <w:rFonts w:hint="eastAsia" w:ascii="宋体" w:hAnsi="宋体" w:eastAsia="宋体" w:cs="宋体"/>
          <w:b/>
          <w:szCs w:val="21"/>
        </w:rPr>
        <w:t>（1）除照片、图片（截图）及不需加盖公章的文字说明（技术说明）外，其它证明资料均要求为原件扫描件；</w:t>
      </w:r>
    </w:p>
    <w:p w14:paraId="617935B0">
      <w:pPr>
        <w:ind w:firstLine="422" w:firstLineChars="200"/>
        <w:rPr>
          <w:rFonts w:ascii="宋体" w:hAnsi="宋体" w:eastAsia="宋体" w:cs="宋体"/>
          <w:b/>
          <w:szCs w:val="21"/>
        </w:rPr>
      </w:pPr>
      <w:r>
        <w:rPr>
          <w:rFonts w:hint="eastAsia" w:ascii="宋体" w:hAnsi="宋体" w:eastAsia="宋体" w:cs="宋体"/>
          <w:b/>
          <w:szCs w:val="21"/>
        </w:rPr>
        <w:t>（2）提供证明资料的形式包括但不限于：a.制造商公布（出具）的产品说明书、产品彩页；b.我国政府机构出具的产品检验和核准证件等；c.第三方机构出具的检测（检验、测试）报告、认证证书等；已对证明资料的形式、内容作出具体要求的，必须严格按要求的形式、内容提供证明资料；</w:t>
      </w:r>
    </w:p>
    <w:p w14:paraId="3A8E11F1">
      <w:pPr>
        <w:ind w:firstLine="422" w:firstLineChars="200"/>
        <w:rPr>
          <w:rFonts w:ascii="宋体" w:hAnsi="宋体" w:eastAsia="宋体" w:cs="宋体"/>
          <w:b/>
          <w:szCs w:val="21"/>
        </w:rPr>
      </w:pPr>
      <w:r>
        <w:rPr>
          <w:rFonts w:hint="eastAsia" w:ascii="宋体" w:hAnsi="宋体" w:eastAsia="宋体" w:cs="宋体"/>
          <w:b/>
          <w:szCs w:val="21"/>
        </w:rPr>
        <w:t>（3）产品说明书或彩页应为制造商公布（出具）的中文产品说明书或彩页；提供外文说明书或彩页的，必须同时提供加盖制造商公章的对应中文翻译说明，评标依据以中文翻译内容为准，外文说明书或彩页仅供参考；产品说明书或彩页的尺寸和清晰度应该能够在电脑上被阅读、识别和判断；</w:t>
      </w:r>
    </w:p>
    <w:p w14:paraId="5965593D">
      <w:pPr>
        <w:ind w:firstLine="422" w:firstLineChars="200"/>
        <w:rPr>
          <w:rFonts w:ascii="宋体" w:hAnsi="宋体" w:eastAsia="宋体" w:cs="宋体"/>
          <w:b/>
          <w:szCs w:val="21"/>
        </w:rPr>
      </w:pPr>
      <w:r>
        <w:rPr>
          <w:rFonts w:hint="eastAsia" w:ascii="宋体" w:hAnsi="宋体" w:eastAsia="宋体" w:cs="宋体"/>
          <w:b/>
          <w:szCs w:val="21"/>
        </w:rPr>
        <w:t>我国政府机构出具的产品检验和核准证件应为证件正面、背面和附件标注的全部具体内容；产品检验和核准证件的尺寸和清晰度应该能够在电脑上被阅读、识别和判断；</w:t>
      </w:r>
    </w:p>
    <w:p w14:paraId="2CA06D9B">
      <w:pPr>
        <w:ind w:firstLine="422" w:firstLineChars="200"/>
        <w:rPr>
          <w:rFonts w:ascii="宋体" w:hAnsi="宋体" w:eastAsia="宋体" w:cs="宋体"/>
          <w:b/>
          <w:szCs w:val="21"/>
        </w:rPr>
      </w:pPr>
      <w:r>
        <w:rPr>
          <w:rFonts w:hint="eastAsia" w:ascii="宋体" w:hAnsi="宋体" w:eastAsia="宋体" w:cs="宋体"/>
          <w:b/>
          <w:szCs w:val="21"/>
        </w:rPr>
        <w:t>第三方机构出具的检测（检验、测试）报告、认证（证明）证书应为中文报告或证书；提供外文报告或证书的，必须同时提供对应的中文翻译文字说明，评标依据以中文翻译文字说明内容为准，外文报告或证书仅供参考；报告或证书的尺寸和清晰度应该能够在电脑上被阅读、识别和判断；</w:t>
      </w:r>
    </w:p>
    <w:p w14:paraId="0304F011">
      <w:pPr>
        <w:ind w:firstLine="422" w:firstLineChars="200"/>
        <w:rPr>
          <w:rFonts w:ascii="宋体" w:hAnsi="宋体" w:eastAsia="宋体" w:cs="宋体"/>
          <w:b/>
          <w:szCs w:val="21"/>
        </w:rPr>
      </w:pPr>
      <w:r>
        <w:rPr>
          <w:rFonts w:hint="eastAsia" w:ascii="宋体" w:hAnsi="宋体" w:eastAsia="宋体" w:cs="宋体"/>
          <w:b/>
          <w:szCs w:val="21"/>
        </w:rPr>
        <w:t>其它证明资料的形式要求参照以上要求执行；</w:t>
      </w:r>
    </w:p>
    <w:p w14:paraId="23237ABD">
      <w:pPr>
        <w:ind w:firstLine="422" w:firstLineChars="200"/>
        <w:rPr>
          <w:rFonts w:ascii="宋体" w:hAnsi="宋体" w:eastAsia="宋体" w:cs="宋体"/>
          <w:b/>
          <w:szCs w:val="21"/>
        </w:rPr>
      </w:pPr>
      <w:r>
        <w:rPr>
          <w:rFonts w:hint="eastAsia" w:ascii="宋体" w:hAnsi="宋体" w:eastAsia="宋体" w:cs="宋体"/>
          <w:b/>
          <w:szCs w:val="21"/>
        </w:rPr>
        <w:t>（4）证明资料均要求原件备查。</w:t>
      </w:r>
    </w:p>
    <w:p w14:paraId="558E0ADA">
      <w:pPr>
        <w:ind w:firstLine="422" w:firstLineChars="200"/>
        <w:rPr>
          <w:rFonts w:hint="eastAsia" w:eastAsia="宋体"/>
          <w:b/>
          <w:bCs w:val="0"/>
          <w:sz w:val="21"/>
          <w:szCs w:val="21"/>
          <w:lang w:val="en-US" w:eastAsia="zh-CN"/>
        </w:rPr>
      </w:pPr>
      <w:r>
        <w:rPr>
          <w:rFonts w:hint="eastAsia"/>
          <w:b/>
          <w:bCs w:val="0"/>
          <w:sz w:val="21"/>
          <w:szCs w:val="21"/>
          <w:lang w:val="en-US" w:eastAsia="zh-CN"/>
        </w:rPr>
        <w:t>8、</w:t>
      </w:r>
      <w:r>
        <w:rPr>
          <w:rFonts w:hint="eastAsia"/>
          <w:b/>
          <w:bCs w:val="0"/>
          <w:szCs w:val="21"/>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r>
        <w:rPr>
          <w:rFonts w:hint="eastAsia"/>
          <w:b/>
          <w:bCs w:val="0"/>
          <w:szCs w:val="21"/>
          <w:lang w:eastAsia="zh-CN"/>
        </w:rPr>
        <w:t>。</w:t>
      </w:r>
    </w:p>
    <w:p w14:paraId="337BE4BD">
      <w:pPr>
        <w:ind w:firstLine="422" w:firstLineChars="200"/>
        <w:rPr>
          <w:rFonts w:ascii="宋体" w:hAnsi="宋体" w:eastAsia="宋体" w:cs="宋体"/>
          <w:b/>
          <w:szCs w:val="21"/>
        </w:rPr>
      </w:pPr>
      <w:r>
        <w:rPr>
          <w:rFonts w:hint="eastAsia" w:ascii="宋体" w:hAnsi="宋体" w:eastAsia="宋体" w:cs="宋体"/>
          <w:b/>
          <w:szCs w:val="21"/>
          <w:lang w:val="en-US" w:eastAsia="zh-CN"/>
        </w:rPr>
        <w:t>9</w:t>
      </w:r>
      <w:r>
        <w:rPr>
          <w:rFonts w:hint="eastAsia" w:ascii="宋体" w:hAnsi="宋体" w:eastAsia="宋体" w:cs="宋体"/>
          <w:b/>
          <w:szCs w:val="21"/>
        </w:rPr>
        <w:t>.其它注意事项：</w:t>
      </w:r>
    </w:p>
    <w:p w14:paraId="7BC1973B">
      <w:pPr>
        <w:ind w:firstLine="422" w:firstLineChars="200"/>
        <w:rPr>
          <w:rFonts w:ascii="宋体" w:hAnsi="宋体" w:eastAsia="宋体" w:cs="宋体"/>
          <w:b/>
          <w:szCs w:val="21"/>
        </w:rPr>
      </w:pPr>
      <w:r>
        <w:rPr>
          <w:rFonts w:hint="eastAsia" w:ascii="宋体" w:hAnsi="宋体" w:eastAsia="宋体" w:cs="宋体"/>
          <w:b/>
          <w:szCs w:val="21"/>
        </w:rPr>
        <w:t>（1）评审委员会有权对投标人的响应情况作出判断（评审结论）；</w:t>
      </w:r>
    </w:p>
    <w:p w14:paraId="632DF3F8">
      <w:pPr>
        <w:ind w:firstLine="422" w:firstLineChars="200"/>
        <w:rPr>
          <w:rFonts w:ascii="Times New Roman" w:hAnsi="Times New Roman" w:eastAsia="宋体" w:cs="Times New Roman"/>
          <w:b/>
          <w:szCs w:val="21"/>
        </w:rPr>
      </w:pPr>
      <w:r>
        <w:rPr>
          <w:rFonts w:hint="eastAsia" w:ascii="宋体" w:hAnsi="宋体" w:eastAsia="宋体" w:cs="宋体"/>
          <w:b/>
          <w:szCs w:val="21"/>
        </w:rPr>
        <w:t>（2）评审委员会有权对以谋取中标为目的的技术规格模糊响应（如有意不合理照搬照抄招标文件的技术要求）或虚假响应予以认定，并视情况经政府集中采购机构报主管部门进行处理。</w:t>
      </w:r>
    </w:p>
    <w:p w14:paraId="25294E60">
      <w:pPr>
        <w:rPr>
          <w:rFonts w:ascii="Times New Roman" w:hAnsi="Times New Roman" w:eastAsia="宋体" w:cs="Times New Roman"/>
          <w:sz w:val="24"/>
          <w:szCs w:val="24"/>
        </w:rPr>
      </w:pPr>
    </w:p>
    <w:p w14:paraId="490EAF31">
      <w:pPr>
        <w:rPr>
          <w:rFonts w:ascii="Times New Roman" w:hAnsi="Times New Roman" w:eastAsia="黑体" w:cs="Times New Roman"/>
          <w:sz w:val="24"/>
          <w:szCs w:val="24"/>
        </w:rPr>
      </w:pPr>
      <w:r>
        <w:rPr>
          <w:rFonts w:ascii="Times New Roman" w:hAnsi="Times New Roman" w:eastAsia="黑体" w:cs="Times New Roman"/>
          <w:sz w:val="24"/>
          <w:szCs w:val="24"/>
        </w:rPr>
        <w:br w:type="page"/>
      </w:r>
    </w:p>
    <w:p w14:paraId="2163197F">
      <w:pPr>
        <w:keepNext/>
        <w:keepLines/>
        <w:tabs>
          <w:tab w:val="left" w:pos="1890"/>
        </w:tabs>
        <w:spacing w:before="260" w:after="260"/>
        <w:jc w:val="center"/>
        <w:outlineLvl w:val="2"/>
        <w:rPr>
          <w:rFonts w:ascii="Times New Roman" w:hAnsi="Times New Roman" w:eastAsia="黑体" w:cs="Times New Roman"/>
          <w:bCs/>
          <w:sz w:val="24"/>
          <w:szCs w:val="32"/>
        </w:rPr>
      </w:pPr>
      <w:r>
        <w:rPr>
          <w:rFonts w:hint="eastAsia" w:ascii="Times New Roman" w:hAnsi="Times New Roman" w:eastAsia="黑体" w:cs="Times New Roman"/>
          <w:bCs/>
          <w:sz w:val="24"/>
          <w:szCs w:val="32"/>
          <w:lang w:val="en-US" w:eastAsia="zh-CN"/>
        </w:rPr>
        <w:t>七</w:t>
      </w:r>
      <w:r>
        <w:rPr>
          <w:rFonts w:ascii="Times New Roman" w:hAnsi="Times New Roman" w:eastAsia="黑体" w:cs="Times New Roman"/>
          <w:bCs/>
          <w:sz w:val="24"/>
          <w:szCs w:val="32"/>
        </w:rPr>
        <w:t>、商务要求偏离表</w:t>
      </w:r>
    </w:p>
    <w:tbl>
      <w:tblPr>
        <w:tblStyle w:val="44"/>
        <w:tblW w:w="8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840"/>
        <w:gridCol w:w="2976"/>
        <w:gridCol w:w="1274"/>
        <w:gridCol w:w="850"/>
        <w:gridCol w:w="760"/>
      </w:tblGrid>
      <w:tr w14:paraId="09F4E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7" w:type="dxa"/>
            <w:vAlign w:val="center"/>
          </w:tcPr>
          <w:p w14:paraId="6F28E3E6">
            <w:pPr>
              <w:jc w:val="center"/>
              <w:rPr>
                <w:rFonts w:ascii="Times New Roman" w:hAnsi="Times New Roman" w:eastAsia="宋体" w:cs="Times New Roman"/>
                <w:b/>
                <w:sz w:val="22"/>
                <w:szCs w:val="24"/>
              </w:rPr>
            </w:pPr>
            <w:r>
              <w:rPr>
                <w:rFonts w:ascii="Times New Roman" w:hAnsi="Times New Roman" w:eastAsia="宋体" w:cs="Times New Roman"/>
                <w:b/>
                <w:sz w:val="22"/>
                <w:szCs w:val="24"/>
              </w:rPr>
              <w:t>序号</w:t>
            </w:r>
          </w:p>
        </w:tc>
        <w:tc>
          <w:tcPr>
            <w:tcW w:w="1840" w:type="dxa"/>
            <w:vAlign w:val="center"/>
          </w:tcPr>
          <w:p w14:paraId="52C36874">
            <w:pPr>
              <w:jc w:val="center"/>
              <w:rPr>
                <w:rFonts w:ascii="Times New Roman" w:hAnsi="Times New Roman" w:eastAsia="宋体" w:cs="Times New Roman"/>
                <w:b/>
                <w:sz w:val="22"/>
                <w:szCs w:val="24"/>
              </w:rPr>
            </w:pPr>
            <w:r>
              <w:rPr>
                <w:rFonts w:ascii="Times New Roman" w:hAnsi="Times New Roman" w:eastAsia="宋体" w:cs="Times New Roman"/>
                <w:b/>
                <w:sz w:val="22"/>
                <w:szCs w:val="24"/>
              </w:rPr>
              <w:t>商务需求项</w:t>
            </w:r>
          </w:p>
        </w:tc>
        <w:tc>
          <w:tcPr>
            <w:tcW w:w="2976" w:type="dxa"/>
            <w:vAlign w:val="center"/>
          </w:tcPr>
          <w:p w14:paraId="65EA2303">
            <w:pPr>
              <w:jc w:val="center"/>
              <w:rPr>
                <w:rFonts w:ascii="Times New Roman" w:hAnsi="Times New Roman" w:eastAsia="宋体" w:cs="Times New Roman"/>
                <w:b/>
                <w:sz w:val="22"/>
                <w:szCs w:val="24"/>
              </w:rPr>
            </w:pPr>
            <w:r>
              <w:rPr>
                <w:rFonts w:ascii="Times New Roman" w:hAnsi="Times New Roman" w:eastAsia="宋体" w:cs="Times New Roman"/>
                <w:b/>
                <w:sz w:val="22"/>
                <w:szCs w:val="24"/>
              </w:rPr>
              <w:t>招标商务要求</w:t>
            </w:r>
          </w:p>
        </w:tc>
        <w:tc>
          <w:tcPr>
            <w:tcW w:w="1274" w:type="dxa"/>
            <w:vAlign w:val="center"/>
          </w:tcPr>
          <w:p w14:paraId="31DEF4A2">
            <w:pPr>
              <w:jc w:val="center"/>
              <w:rPr>
                <w:rFonts w:ascii="Times New Roman" w:hAnsi="Times New Roman" w:eastAsia="宋体" w:cs="Times New Roman"/>
                <w:b/>
                <w:sz w:val="22"/>
                <w:szCs w:val="24"/>
              </w:rPr>
            </w:pPr>
            <w:r>
              <w:rPr>
                <w:rFonts w:ascii="Times New Roman" w:hAnsi="Times New Roman" w:eastAsia="宋体" w:cs="Times New Roman"/>
                <w:b/>
                <w:sz w:val="22"/>
                <w:szCs w:val="24"/>
              </w:rPr>
              <w:t>投标商务响应</w:t>
            </w:r>
          </w:p>
        </w:tc>
        <w:tc>
          <w:tcPr>
            <w:tcW w:w="850" w:type="dxa"/>
            <w:vAlign w:val="center"/>
          </w:tcPr>
          <w:p w14:paraId="0A0569D3">
            <w:pPr>
              <w:jc w:val="center"/>
              <w:rPr>
                <w:rFonts w:ascii="Times New Roman" w:hAnsi="Times New Roman" w:eastAsia="宋体" w:cs="Times New Roman"/>
                <w:b/>
                <w:sz w:val="22"/>
                <w:szCs w:val="24"/>
              </w:rPr>
            </w:pPr>
            <w:r>
              <w:rPr>
                <w:rFonts w:ascii="Times New Roman" w:hAnsi="Times New Roman" w:eastAsia="宋体" w:cs="Times New Roman"/>
                <w:b/>
                <w:sz w:val="22"/>
                <w:szCs w:val="24"/>
              </w:rPr>
              <w:t>偏离情况</w:t>
            </w:r>
          </w:p>
        </w:tc>
        <w:tc>
          <w:tcPr>
            <w:tcW w:w="760" w:type="dxa"/>
            <w:vAlign w:val="center"/>
          </w:tcPr>
          <w:p w14:paraId="4FE3A2D5">
            <w:pPr>
              <w:jc w:val="center"/>
              <w:rPr>
                <w:rFonts w:ascii="Times New Roman" w:hAnsi="Times New Roman" w:eastAsia="宋体" w:cs="Times New Roman"/>
                <w:b/>
                <w:sz w:val="22"/>
                <w:szCs w:val="24"/>
              </w:rPr>
            </w:pPr>
            <w:r>
              <w:rPr>
                <w:rFonts w:ascii="Times New Roman" w:hAnsi="Times New Roman" w:eastAsia="宋体" w:cs="Times New Roman"/>
                <w:b/>
                <w:sz w:val="22"/>
                <w:szCs w:val="24"/>
              </w:rPr>
              <w:t>说明</w:t>
            </w:r>
          </w:p>
        </w:tc>
      </w:tr>
      <w:tr w14:paraId="0ED37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517" w:type="dxa"/>
            <w:gridSpan w:val="6"/>
            <w:vAlign w:val="center"/>
          </w:tcPr>
          <w:p w14:paraId="7542BA00">
            <w:pPr>
              <w:rPr>
                <w:rFonts w:ascii="Times New Roman" w:hAnsi="Times New Roman" w:eastAsia="宋体" w:cs="Times New Roman"/>
                <w:b/>
                <w:szCs w:val="24"/>
              </w:rPr>
            </w:pPr>
            <w:r>
              <w:rPr>
                <w:rFonts w:ascii="Times New Roman" w:hAnsi="Times New Roman" w:eastAsia="宋体" w:cs="Times New Roman"/>
                <w:b/>
                <w:szCs w:val="24"/>
              </w:rPr>
              <w:t>（一）免费保修期内售后服务要求</w:t>
            </w:r>
          </w:p>
        </w:tc>
      </w:tr>
      <w:tr w14:paraId="6C8C4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817" w:type="dxa"/>
            <w:vAlign w:val="center"/>
          </w:tcPr>
          <w:p w14:paraId="272A8E01">
            <w:pPr>
              <w:jc w:val="center"/>
              <w:rPr>
                <w:rFonts w:ascii="Times New Roman" w:hAnsi="Times New Roman" w:eastAsia="宋体" w:cs="Times New Roman"/>
                <w:bCs/>
                <w:szCs w:val="24"/>
              </w:rPr>
            </w:pPr>
            <w:r>
              <w:rPr>
                <w:rFonts w:ascii="Times New Roman" w:hAnsi="Times New Roman" w:eastAsia="宋体" w:cs="Times New Roman"/>
                <w:bCs/>
                <w:szCs w:val="24"/>
              </w:rPr>
              <w:t>1</w:t>
            </w:r>
          </w:p>
        </w:tc>
        <w:tc>
          <w:tcPr>
            <w:tcW w:w="1840" w:type="dxa"/>
            <w:vAlign w:val="center"/>
          </w:tcPr>
          <w:p w14:paraId="65C11CB0">
            <w:pPr>
              <w:jc w:val="center"/>
              <w:rPr>
                <w:rFonts w:ascii="Times New Roman" w:hAnsi="Times New Roman" w:eastAsia="宋体" w:cs="Times New Roman"/>
                <w:szCs w:val="24"/>
              </w:rPr>
            </w:pPr>
            <w:r>
              <w:rPr>
                <w:rFonts w:ascii="Times New Roman" w:hAnsi="Times New Roman" w:eastAsia="宋体" w:cs="Times New Roman"/>
                <w:szCs w:val="24"/>
              </w:rPr>
              <w:t>****</w:t>
            </w:r>
          </w:p>
        </w:tc>
        <w:tc>
          <w:tcPr>
            <w:tcW w:w="2976" w:type="dxa"/>
            <w:vAlign w:val="center"/>
          </w:tcPr>
          <w:p w14:paraId="00ABEF3B">
            <w:pPr>
              <w:jc w:val="center"/>
              <w:rPr>
                <w:rFonts w:ascii="Times New Roman" w:hAnsi="Times New Roman" w:eastAsia="宋体" w:cs="Times New Roman"/>
                <w:b/>
                <w:szCs w:val="24"/>
              </w:rPr>
            </w:pPr>
            <w:r>
              <w:rPr>
                <w:rFonts w:ascii="Times New Roman" w:hAnsi="Times New Roman" w:eastAsia="宋体" w:cs="Times New Roman"/>
                <w:bCs/>
                <w:szCs w:val="21"/>
              </w:rPr>
              <w:t>（填写相关内容）</w:t>
            </w:r>
          </w:p>
        </w:tc>
        <w:tc>
          <w:tcPr>
            <w:tcW w:w="1274" w:type="dxa"/>
            <w:vAlign w:val="center"/>
          </w:tcPr>
          <w:p w14:paraId="07936022">
            <w:pPr>
              <w:jc w:val="center"/>
              <w:rPr>
                <w:rFonts w:ascii="Times New Roman" w:hAnsi="Times New Roman" w:eastAsia="宋体" w:cs="Times New Roman"/>
                <w:bCs/>
                <w:szCs w:val="21"/>
              </w:rPr>
            </w:pPr>
          </w:p>
        </w:tc>
        <w:tc>
          <w:tcPr>
            <w:tcW w:w="850" w:type="dxa"/>
            <w:vAlign w:val="center"/>
          </w:tcPr>
          <w:p w14:paraId="72174D88">
            <w:pPr>
              <w:jc w:val="center"/>
              <w:rPr>
                <w:rFonts w:ascii="Times New Roman" w:hAnsi="Times New Roman" w:eastAsia="宋体" w:cs="Times New Roman"/>
                <w:bCs/>
                <w:szCs w:val="21"/>
              </w:rPr>
            </w:pPr>
          </w:p>
        </w:tc>
        <w:tc>
          <w:tcPr>
            <w:tcW w:w="760" w:type="dxa"/>
            <w:vAlign w:val="center"/>
          </w:tcPr>
          <w:p w14:paraId="1C93D381">
            <w:pPr>
              <w:jc w:val="center"/>
              <w:rPr>
                <w:rFonts w:ascii="Times New Roman" w:hAnsi="Times New Roman" w:eastAsia="宋体" w:cs="Times New Roman"/>
                <w:bCs/>
                <w:szCs w:val="21"/>
              </w:rPr>
            </w:pPr>
          </w:p>
        </w:tc>
      </w:tr>
      <w:tr w14:paraId="35644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817" w:type="dxa"/>
            <w:vAlign w:val="center"/>
          </w:tcPr>
          <w:p w14:paraId="263D2C9F">
            <w:pPr>
              <w:jc w:val="center"/>
              <w:rPr>
                <w:rFonts w:ascii="Times New Roman" w:hAnsi="Times New Roman" w:eastAsia="宋体" w:cs="Times New Roman"/>
                <w:bCs/>
                <w:szCs w:val="24"/>
              </w:rPr>
            </w:pPr>
            <w:r>
              <w:rPr>
                <w:rFonts w:ascii="Times New Roman" w:hAnsi="Times New Roman" w:eastAsia="宋体" w:cs="Times New Roman"/>
                <w:bCs/>
                <w:szCs w:val="24"/>
              </w:rPr>
              <w:t>…</w:t>
            </w:r>
          </w:p>
        </w:tc>
        <w:tc>
          <w:tcPr>
            <w:tcW w:w="1840" w:type="dxa"/>
            <w:vAlign w:val="center"/>
          </w:tcPr>
          <w:p w14:paraId="50131F99">
            <w:pPr>
              <w:jc w:val="center"/>
              <w:rPr>
                <w:rFonts w:ascii="Times New Roman" w:hAnsi="Times New Roman" w:eastAsia="宋体" w:cs="Times New Roman"/>
                <w:szCs w:val="24"/>
              </w:rPr>
            </w:pPr>
            <w:r>
              <w:rPr>
                <w:rFonts w:ascii="Times New Roman" w:hAnsi="Times New Roman" w:eastAsia="宋体" w:cs="Times New Roman"/>
                <w:szCs w:val="24"/>
              </w:rPr>
              <w:t>****</w:t>
            </w:r>
          </w:p>
        </w:tc>
        <w:tc>
          <w:tcPr>
            <w:tcW w:w="2976" w:type="dxa"/>
            <w:vAlign w:val="center"/>
          </w:tcPr>
          <w:p w14:paraId="3BEB43B4">
            <w:pPr>
              <w:jc w:val="center"/>
              <w:rPr>
                <w:rFonts w:ascii="Times New Roman" w:hAnsi="Times New Roman" w:eastAsia="宋体" w:cs="Times New Roman"/>
                <w:bCs/>
                <w:szCs w:val="21"/>
              </w:rPr>
            </w:pPr>
            <w:r>
              <w:rPr>
                <w:rFonts w:ascii="Times New Roman" w:hAnsi="Times New Roman" w:eastAsia="宋体" w:cs="Times New Roman"/>
                <w:szCs w:val="24"/>
              </w:rPr>
              <w:t>（填写相关内容）</w:t>
            </w:r>
          </w:p>
        </w:tc>
        <w:tc>
          <w:tcPr>
            <w:tcW w:w="1274" w:type="dxa"/>
            <w:vAlign w:val="center"/>
          </w:tcPr>
          <w:p w14:paraId="1814D6F4">
            <w:pPr>
              <w:jc w:val="center"/>
              <w:rPr>
                <w:rFonts w:ascii="Times New Roman" w:hAnsi="Times New Roman" w:eastAsia="宋体" w:cs="Times New Roman"/>
                <w:bCs/>
                <w:szCs w:val="21"/>
              </w:rPr>
            </w:pPr>
          </w:p>
        </w:tc>
        <w:tc>
          <w:tcPr>
            <w:tcW w:w="850" w:type="dxa"/>
            <w:vAlign w:val="center"/>
          </w:tcPr>
          <w:p w14:paraId="0D611607">
            <w:pPr>
              <w:jc w:val="center"/>
              <w:rPr>
                <w:rFonts w:ascii="Times New Roman" w:hAnsi="Times New Roman" w:eastAsia="宋体" w:cs="Times New Roman"/>
                <w:bCs/>
                <w:szCs w:val="21"/>
              </w:rPr>
            </w:pPr>
          </w:p>
        </w:tc>
        <w:tc>
          <w:tcPr>
            <w:tcW w:w="760" w:type="dxa"/>
            <w:vAlign w:val="center"/>
          </w:tcPr>
          <w:p w14:paraId="185F7E9B">
            <w:pPr>
              <w:jc w:val="center"/>
              <w:rPr>
                <w:rFonts w:ascii="Times New Roman" w:hAnsi="Times New Roman" w:eastAsia="宋体" w:cs="Times New Roman"/>
                <w:bCs/>
                <w:szCs w:val="21"/>
              </w:rPr>
            </w:pPr>
          </w:p>
        </w:tc>
      </w:tr>
      <w:tr w14:paraId="2F404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8517" w:type="dxa"/>
            <w:gridSpan w:val="6"/>
            <w:vAlign w:val="center"/>
          </w:tcPr>
          <w:p w14:paraId="585FD3B4">
            <w:pPr>
              <w:rPr>
                <w:rFonts w:ascii="Times New Roman" w:hAnsi="Times New Roman" w:eastAsia="宋体" w:cs="Times New Roman"/>
                <w:bCs/>
                <w:szCs w:val="21"/>
              </w:rPr>
            </w:pPr>
            <w:r>
              <w:rPr>
                <w:rFonts w:ascii="Times New Roman" w:hAnsi="Times New Roman" w:eastAsia="宋体" w:cs="Times New Roman"/>
                <w:b/>
                <w:szCs w:val="24"/>
              </w:rPr>
              <w:t>（二）免费保修期外售后服务要求</w:t>
            </w:r>
          </w:p>
        </w:tc>
      </w:tr>
      <w:tr w14:paraId="3207E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817" w:type="dxa"/>
            <w:vAlign w:val="center"/>
          </w:tcPr>
          <w:p w14:paraId="4A6B6F6F">
            <w:pPr>
              <w:jc w:val="center"/>
              <w:rPr>
                <w:rFonts w:ascii="Times New Roman" w:hAnsi="Times New Roman" w:eastAsia="宋体" w:cs="Times New Roman"/>
                <w:bCs/>
                <w:szCs w:val="24"/>
              </w:rPr>
            </w:pPr>
            <w:r>
              <w:rPr>
                <w:rFonts w:ascii="Times New Roman" w:hAnsi="Times New Roman" w:eastAsia="宋体" w:cs="Times New Roman"/>
                <w:szCs w:val="24"/>
              </w:rPr>
              <w:t>1</w:t>
            </w:r>
          </w:p>
        </w:tc>
        <w:tc>
          <w:tcPr>
            <w:tcW w:w="1840" w:type="dxa"/>
            <w:vAlign w:val="center"/>
          </w:tcPr>
          <w:p w14:paraId="57D48388">
            <w:pPr>
              <w:jc w:val="center"/>
              <w:rPr>
                <w:rFonts w:ascii="Times New Roman" w:hAnsi="Times New Roman" w:eastAsia="宋体" w:cs="Times New Roman"/>
                <w:szCs w:val="24"/>
              </w:rPr>
            </w:pPr>
            <w:r>
              <w:rPr>
                <w:rFonts w:ascii="Times New Roman" w:hAnsi="Times New Roman" w:eastAsia="宋体" w:cs="Times New Roman"/>
                <w:szCs w:val="24"/>
              </w:rPr>
              <w:t>****</w:t>
            </w:r>
          </w:p>
        </w:tc>
        <w:tc>
          <w:tcPr>
            <w:tcW w:w="2976" w:type="dxa"/>
            <w:vAlign w:val="center"/>
          </w:tcPr>
          <w:p w14:paraId="16874D72">
            <w:pPr>
              <w:jc w:val="center"/>
              <w:rPr>
                <w:rFonts w:ascii="Times New Roman" w:hAnsi="Times New Roman" w:eastAsia="宋体" w:cs="Times New Roman"/>
                <w:szCs w:val="24"/>
              </w:rPr>
            </w:pPr>
            <w:r>
              <w:rPr>
                <w:rFonts w:ascii="Times New Roman" w:hAnsi="Times New Roman" w:eastAsia="宋体" w:cs="Times New Roman"/>
                <w:szCs w:val="24"/>
              </w:rPr>
              <w:t>（填写相关内容）</w:t>
            </w:r>
          </w:p>
        </w:tc>
        <w:tc>
          <w:tcPr>
            <w:tcW w:w="1274" w:type="dxa"/>
            <w:vAlign w:val="center"/>
          </w:tcPr>
          <w:p w14:paraId="5570A77A">
            <w:pPr>
              <w:jc w:val="center"/>
              <w:rPr>
                <w:rFonts w:ascii="Times New Roman" w:hAnsi="Times New Roman" w:eastAsia="宋体" w:cs="Times New Roman"/>
                <w:bCs/>
                <w:szCs w:val="21"/>
              </w:rPr>
            </w:pPr>
          </w:p>
        </w:tc>
        <w:tc>
          <w:tcPr>
            <w:tcW w:w="850" w:type="dxa"/>
            <w:vAlign w:val="center"/>
          </w:tcPr>
          <w:p w14:paraId="178F2133">
            <w:pPr>
              <w:jc w:val="center"/>
              <w:rPr>
                <w:rFonts w:ascii="Times New Roman" w:hAnsi="Times New Roman" w:eastAsia="宋体" w:cs="Times New Roman"/>
                <w:bCs/>
                <w:szCs w:val="21"/>
              </w:rPr>
            </w:pPr>
          </w:p>
        </w:tc>
        <w:tc>
          <w:tcPr>
            <w:tcW w:w="760" w:type="dxa"/>
            <w:vAlign w:val="center"/>
          </w:tcPr>
          <w:p w14:paraId="22360823">
            <w:pPr>
              <w:jc w:val="center"/>
              <w:rPr>
                <w:rFonts w:ascii="Times New Roman" w:hAnsi="Times New Roman" w:eastAsia="宋体" w:cs="Times New Roman"/>
                <w:bCs/>
                <w:szCs w:val="21"/>
              </w:rPr>
            </w:pPr>
          </w:p>
        </w:tc>
      </w:tr>
      <w:tr w14:paraId="1D577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817" w:type="dxa"/>
            <w:vAlign w:val="center"/>
          </w:tcPr>
          <w:p w14:paraId="7846C207">
            <w:pPr>
              <w:jc w:val="center"/>
              <w:rPr>
                <w:rFonts w:ascii="Times New Roman" w:hAnsi="Times New Roman" w:eastAsia="宋体" w:cs="Times New Roman"/>
                <w:bCs/>
                <w:szCs w:val="24"/>
              </w:rPr>
            </w:pPr>
            <w:r>
              <w:rPr>
                <w:rFonts w:ascii="Times New Roman" w:hAnsi="Times New Roman" w:eastAsia="宋体" w:cs="Times New Roman"/>
                <w:szCs w:val="24"/>
              </w:rPr>
              <w:t>…</w:t>
            </w:r>
          </w:p>
        </w:tc>
        <w:tc>
          <w:tcPr>
            <w:tcW w:w="1840" w:type="dxa"/>
            <w:vAlign w:val="center"/>
          </w:tcPr>
          <w:p w14:paraId="626ADAB1">
            <w:pPr>
              <w:jc w:val="center"/>
              <w:rPr>
                <w:rFonts w:ascii="Times New Roman" w:hAnsi="Times New Roman" w:eastAsia="宋体" w:cs="Times New Roman"/>
                <w:szCs w:val="24"/>
              </w:rPr>
            </w:pPr>
            <w:r>
              <w:rPr>
                <w:rFonts w:ascii="Times New Roman" w:hAnsi="Times New Roman" w:eastAsia="宋体" w:cs="Times New Roman"/>
                <w:szCs w:val="24"/>
              </w:rPr>
              <w:t>****</w:t>
            </w:r>
          </w:p>
        </w:tc>
        <w:tc>
          <w:tcPr>
            <w:tcW w:w="2976" w:type="dxa"/>
            <w:vAlign w:val="center"/>
          </w:tcPr>
          <w:p w14:paraId="3718DCE2">
            <w:pPr>
              <w:jc w:val="center"/>
              <w:rPr>
                <w:rFonts w:ascii="Times New Roman" w:hAnsi="Times New Roman" w:eastAsia="宋体" w:cs="Times New Roman"/>
                <w:szCs w:val="24"/>
              </w:rPr>
            </w:pPr>
            <w:r>
              <w:rPr>
                <w:rFonts w:ascii="Times New Roman" w:hAnsi="Times New Roman" w:eastAsia="宋体" w:cs="Times New Roman"/>
                <w:szCs w:val="24"/>
              </w:rPr>
              <w:t>（填写相关内容）</w:t>
            </w:r>
          </w:p>
        </w:tc>
        <w:tc>
          <w:tcPr>
            <w:tcW w:w="1274" w:type="dxa"/>
            <w:vAlign w:val="center"/>
          </w:tcPr>
          <w:p w14:paraId="6168851F">
            <w:pPr>
              <w:jc w:val="center"/>
              <w:rPr>
                <w:rFonts w:ascii="Times New Roman" w:hAnsi="Times New Roman" w:eastAsia="宋体" w:cs="Times New Roman"/>
                <w:bCs/>
                <w:szCs w:val="21"/>
              </w:rPr>
            </w:pPr>
          </w:p>
        </w:tc>
        <w:tc>
          <w:tcPr>
            <w:tcW w:w="850" w:type="dxa"/>
            <w:vAlign w:val="center"/>
          </w:tcPr>
          <w:p w14:paraId="079E514D">
            <w:pPr>
              <w:jc w:val="center"/>
              <w:rPr>
                <w:rFonts w:ascii="Times New Roman" w:hAnsi="Times New Roman" w:eastAsia="宋体" w:cs="Times New Roman"/>
                <w:bCs/>
                <w:szCs w:val="21"/>
              </w:rPr>
            </w:pPr>
          </w:p>
        </w:tc>
        <w:tc>
          <w:tcPr>
            <w:tcW w:w="760" w:type="dxa"/>
            <w:vAlign w:val="center"/>
          </w:tcPr>
          <w:p w14:paraId="28C7B1EA">
            <w:pPr>
              <w:jc w:val="center"/>
              <w:rPr>
                <w:rFonts w:ascii="Times New Roman" w:hAnsi="Times New Roman" w:eastAsia="宋体" w:cs="Times New Roman"/>
                <w:bCs/>
                <w:szCs w:val="21"/>
              </w:rPr>
            </w:pPr>
          </w:p>
        </w:tc>
      </w:tr>
      <w:tr w14:paraId="70D8B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8517" w:type="dxa"/>
            <w:gridSpan w:val="6"/>
            <w:vAlign w:val="center"/>
          </w:tcPr>
          <w:p w14:paraId="0EC8CE64">
            <w:pPr>
              <w:rPr>
                <w:rFonts w:ascii="Times New Roman" w:hAnsi="Times New Roman" w:eastAsia="宋体" w:cs="Times New Roman"/>
                <w:b/>
                <w:bCs/>
                <w:szCs w:val="21"/>
              </w:rPr>
            </w:pPr>
            <w:r>
              <w:rPr>
                <w:rFonts w:hint="eastAsia" w:ascii="Times New Roman" w:hAnsi="Times New Roman" w:eastAsia="宋体" w:cs="Times New Roman"/>
                <w:b/>
                <w:bCs/>
                <w:szCs w:val="21"/>
              </w:rPr>
              <w:t>（三）其他商务要求</w:t>
            </w:r>
          </w:p>
        </w:tc>
      </w:tr>
      <w:tr w14:paraId="7A755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817" w:type="dxa"/>
            <w:vAlign w:val="center"/>
          </w:tcPr>
          <w:p w14:paraId="3E7FC59D">
            <w:pPr>
              <w:jc w:val="center"/>
              <w:rPr>
                <w:rFonts w:ascii="Times New Roman" w:hAnsi="Times New Roman" w:eastAsia="宋体" w:cs="Times New Roman"/>
                <w:bCs/>
                <w:szCs w:val="24"/>
              </w:rPr>
            </w:pPr>
            <w:r>
              <w:rPr>
                <w:rFonts w:ascii="Times New Roman" w:hAnsi="Times New Roman" w:eastAsia="宋体" w:cs="Times New Roman"/>
                <w:szCs w:val="24"/>
              </w:rPr>
              <w:t>1</w:t>
            </w:r>
          </w:p>
        </w:tc>
        <w:tc>
          <w:tcPr>
            <w:tcW w:w="1840" w:type="dxa"/>
            <w:vAlign w:val="center"/>
          </w:tcPr>
          <w:p w14:paraId="0EA932D8">
            <w:pPr>
              <w:jc w:val="center"/>
              <w:rPr>
                <w:rFonts w:ascii="Times New Roman" w:hAnsi="Times New Roman" w:eastAsia="宋体" w:cs="Times New Roman"/>
                <w:szCs w:val="24"/>
              </w:rPr>
            </w:pPr>
            <w:r>
              <w:rPr>
                <w:rFonts w:ascii="Times New Roman" w:hAnsi="Times New Roman" w:eastAsia="宋体" w:cs="Times New Roman"/>
                <w:szCs w:val="24"/>
              </w:rPr>
              <w:t>****</w:t>
            </w:r>
          </w:p>
        </w:tc>
        <w:tc>
          <w:tcPr>
            <w:tcW w:w="2976" w:type="dxa"/>
            <w:vAlign w:val="center"/>
          </w:tcPr>
          <w:p w14:paraId="58B90AB5">
            <w:pPr>
              <w:jc w:val="center"/>
              <w:rPr>
                <w:rFonts w:ascii="Times New Roman" w:hAnsi="Times New Roman" w:eastAsia="宋体" w:cs="Times New Roman"/>
                <w:szCs w:val="24"/>
              </w:rPr>
            </w:pPr>
            <w:r>
              <w:rPr>
                <w:rFonts w:ascii="Times New Roman" w:hAnsi="Times New Roman" w:eastAsia="宋体" w:cs="Times New Roman"/>
                <w:szCs w:val="24"/>
              </w:rPr>
              <w:t>（填写相关内容）</w:t>
            </w:r>
          </w:p>
        </w:tc>
        <w:tc>
          <w:tcPr>
            <w:tcW w:w="1274" w:type="dxa"/>
            <w:vAlign w:val="center"/>
          </w:tcPr>
          <w:p w14:paraId="7348396D">
            <w:pPr>
              <w:jc w:val="center"/>
              <w:rPr>
                <w:rFonts w:ascii="Times New Roman" w:hAnsi="Times New Roman" w:eastAsia="宋体" w:cs="Times New Roman"/>
                <w:bCs/>
                <w:szCs w:val="21"/>
              </w:rPr>
            </w:pPr>
          </w:p>
        </w:tc>
        <w:tc>
          <w:tcPr>
            <w:tcW w:w="850" w:type="dxa"/>
            <w:vAlign w:val="center"/>
          </w:tcPr>
          <w:p w14:paraId="0CD88FF9">
            <w:pPr>
              <w:jc w:val="center"/>
              <w:rPr>
                <w:rFonts w:ascii="Times New Roman" w:hAnsi="Times New Roman" w:eastAsia="宋体" w:cs="Times New Roman"/>
                <w:bCs/>
                <w:szCs w:val="21"/>
              </w:rPr>
            </w:pPr>
          </w:p>
        </w:tc>
        <w:tc>
          <w:tcPr>
            <w:tcW w:w="760" w:type="dxa"/>
            <w:vAlign w:val="center"/>
          </w:tcPr>
          <w:p w14:paraId="6EC95DAD">
            <w:pPr>
              <w:jc w:val="center"/>
              <w:rPr>
                <w:rFonts w:ascii="Times New Roman" w:hAnsi="Times New Roman" w:eastAsia="宋体" w:cs="Times New Roman"/>
                <w:bCs/>
                <w:szCs w:val="21"/>
              </w:rPr>
            </w:pPr>
          </w:p>
        </w:tc>
      </w:tr>
      <w:tr w14:paraId="65063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817" w:type="dxa"/>
            <w:vAlign w:val="center"/>
          </w:tcPr>
          <w:p w14:paraId="07951F49">
            <w:pPr>
              <w:jc w:val="center"/>
              <w:rPr>
                <w:rFonts w:ascii="Times New Roman" w:hAnsi="Times New Roman" w:eastAsia="宋体" w:cs="Times New Roman"/>
                <w:bCs/>
                <w:szCs w:val="24"/>
              </w:rPr>
            </w:pPr>
            <w:r>
              <w:rPr>
                <w:rFonts w:ascii="Times New Roman" w:hAnsi="Times New Roman" w:eastAsia="宋体" w:cs="Times New Roman"/>
                <w:szCs w:val="24"/>
              </w:rPr>
              <w:t>…</w:t>
            </w:r>
          </w:p>
        </w:tc>
        <w:tc>
          <w:tcPr>
            <w:tcW w:w="1840" w:type="dxa"/>
            <w:vAlign w:val="center"/>
          </w:tcPr>
          <w:p w14:paraId="1F4551DB">
            <w:pPr>
              <w:jc w:val="center"/>
              <w:rPr>
                <w:rFonts w:ascii="Times New Roman" w:hAnsi="Times New Roman" w:eastAsia="宋体" w:cs="Times New Roman"/>
                <w:szCs w:val="24"/>
              </w:rPr>
            </w:pPr>
            <w:r>
              <w:rPr>
                <w:rFonts w:ascii="Times New Roman" w:hAnsi="Times New Roman" w:eastAsia="宋体" w:cs="Times New Roman"/>
                <w:szCs w:val="24"/>
              </w:rPr>
              <w:t>****</w:t>
            </w:r>
          </w:p>
        </w:tc>
        <w:tc>
          <w:tcPr>
            <w:tcW w:w="2976" w:type="dxa"/>
            <w:vAlign w:val="center"/>
          </w:tcPr>
          <w:p w14:paraId="0A8203FF">
            <w:pPr>
              <w:jc w:val="center"/>
              <w:rPr>
                <w:rFonts w:ascii="Times New Roman" w:hAnsi="Times New Roman" w:eastAsia="宋体" w:cs="Times New Roman"/>
                <w:szCs w:val="24"/>
              </w:rPr>
            </w:pPr>
            <w:r>
              <w:rPr>
                <w:rFonts w:ascii="Times New Roman" w:hAnsi="Times New Roman" w:eastAsia="宋体" w:cs="Times New Roman"/>
                <w:szCs w:val="24"/>
              </w:rPr>
              <w:t>（填写相关内容）</w:t>
            </w:r>
          </w:p>
        </w:tc>
        <w:tc>
          <w:tcPr>
            <w:tcW w:w="1274" w:type="dxa"/>
            <w:vAlign w:val="center"/>
          </w:tcPr>
          <w:p w14:paraId="0B8111EA">
            <w:pPr>
              <w:jc w:val="center"/>
              <w:rPr>
                <w:rFonts w:ascii="Times New Roman" w:hAnsi="Times New Roman" w:eastAsia="宋体" w:cs="Times New Roman"/>
                <w:bCs/>
                <w:szCs w:val="21"/>
              </w:rPr>
            </w:pPr>
          </w:p>
        </w:tc>
        <w:tc>
          <w:tcPr>
            <w:tcW w:w="850" w:type="dxa"/>
            <w:vAlign w:val="center"/>
          </w:tcPr>
          <w:p w14:paraId="5688C3F7">
            <w:pPr>
              <w:jc w:val="center"/>
              <w:rPr>
                <w:rFonts w:ascii="Times New Roman" w:hAnsi="Times New Roman" w:eastAsia="宋体" w:cs="Times New Roman"/>
                <w:bCs/>
                <w:szCs w:val="21"/>
              </w:rPr>
            </w:pPr>
          </w:p>
        </w:tc>
        <w:tc>
          <w:tcPr>
            <w:tcW w:w="760" w:type="dxa"/>
            <w:vAlign w:val="center"/>
          </w:tcPr>
          <w:p w14:paraId="36374861">
            <w:pPr>
              <w:jc w:val="center"/>
              <w:rPr>
                <w:rFonts w:ascii="Times New Roman" w:hAnsi="Times New Roman" w:eastAsia="宋体" w:cs="Times New Roman"/>
                <w:bCs/>
                <w:szCs w:val="21"/>
              </w:rPr>
            </w:pPr>
          </w:p>
        </w:tc>
      </w:tr>
    </w:tbl>
    <w:p w14:paraId="5CEE4658">
      <w:pPr>
        <w:ind w:firstLine="422" w:firstLineChars="200"/>
        <w:rPr>
          <w:rFonts w:ascii="Times New Roman" w:hAnsi="Times New Roman" w:eastAsia="宋体" w:cs="Times New Roman"/>
          <w:b/>
          <w:szCs w:val="21"/>
        </w:rPr>
      </w:pPr>
      <w:r>
        <w:rPr>
          <w:rFonts w:hint="eastAsia" w:ascii="Times New Roman" w:hAnsi="Times New Roman" w:eastAsia="宋体" w:cs="Times New Roman"/>
          <w:b/>
          <w:szCs w:val="21"/>
        </w:rPr>
        <w:t>《商务要求偏离表》编制指引：</w:t>
      </w:r>
    </w:p>
    <w:p w14:paraId="6745641E">
      <w:pPr>
        <w:ind w:firstLine="422" w:firstLineChars="200"/>
        <w:rPr>
          <w:rFonts w:ascii="Times New Roman" w:hAnsi="Times New Roman" w:eastAsia="宋体" w:cs="Times New Roman"/>
          <w:b/>
          <w:szCs w:val="21"/>
        </w:rPr>
      </w:pPr>
      <w:r>
        <w:rPr>
          <w:rFonts w:hint="eastAsia" w:ascii="Times New Roman" w:hAnsi="Times New Roman" w:eastAsia="宋体" w:cs="Times New Roman"/>
          <w:b/>
          <w:szCs w:val="21"/>
        </w:rPr>
        <w:t>1.商务要求偏离表的序号、商务需求项、招标商务要求等栏目对应“用户需求书”中的“商务要求”章节相关内容。</w:t>
      </w:r>
    </w:p>
    <w:p w14:paraId="2DE95395">
      <w:pPr>
        <w:ind w:firstLine="422" w:firstLineChars="200"/>
        <w:rPr>
          <w:rFonts w:ascii="Times New Roman" w:hAnsi="Times New Roman" w:eastAsia="宋体" w:cs="Times New Roman"/>
          <w:b/>
          <w:szCs w:val="21"/>
        </w:rPr>
      </w:pPr>
      <w:r>
        <w:rPr>
          <w:rFonts w:hint="eastAsia" w:ascii="Times New Roman" w:hAnsi="Times New Roman" w:eastAsia="宋体" w:cs="Times New Roman"/>
          <w:b/>
          <w:szCs w:val="21"/>
        </w:rPr>
        <w:t>2.“投标商务响应”一栏必须一一对照“招标商务要求”，详细填写自身响应情况，而不能不合理照搬照抄招标文件的商务要求，以体现具体响应情况。</w:t>
      </w:r>
    </w:p>
    <w:p w14:paraId="1A403DDB">
      <w:pPr>
        <w:ind w:firstLine="422" w:firstLineChars="200"/>
        <w:rPr>
          <w:rFonts w:ascii="Times New Roman" w:hAnsi="Times New Roman" w:eastAsia="宋体" w:cs="Times New Roman"/>
          <w:b/>
          <w:szCs w:val="21"/>
        </w:rPr>
      </w:pPr>
      <w:r>
        <w:rPr>
          <w:rFonts w:hint="eastAsia" w:ascii="Times New Roman" w:hAnsi="Times New Roman" w:eastAsia="宋体" w:cs="Times New Roman"/>
          <w:b/>
          <w:szCs w:val="21"/>
        </w:rPr>
        <w:t>3.“偏离情况”一栏填写如实填写“正偏离”、“负偏离”或“无偏离”，其中：“正偏离”表示“投标响应优于招标商务要求”，“负偏离”表示“投标响应不满足招标商务要求”，“无偏离”表示“投标响应与招标商务要求一致”。</w:t>
      </w:r>
    </w:p>
    <w:p w14:paraId="7A2252C9">
      <w:pPr>
        <w:ind w:firstLine="422" w:firstLineChars="200"/>
        <w:rPr>
          <w:rFonts w:ascii="Times New Roman" w:hAnsi="Times New Roman" w:eastAsia="宋体" w:cs="Times New Roman"/>
          <w:b/>
          <w:szCs w:val="21"/>
        </w:rPr>
      </w:pPr>
      <w:r>
        <w:rPr>
          <w:rFonts w:hint="eastAsia" w:ascii="Times New Roman" w:hAnsi="Times New Roman" w:eastAsia="宋体" w:cs="Times New Roman"/>
          <w:b/>
          <w:szCs w:val="21"/>
        </w:rPr>
        <w:t>“投标商务响应”对比“招标商务要求”存在响应不全（包括未响应整项招标商务要求或者未响应一项招标商务要求的部分内容），均视为“负偏离”。</w:t>
      </w:r>
    </w:p>
    <w:p w14:paraId="0AFC2723">
      <w:pPr>
        <w:ind w:firstLine="422" w:firstLineChars="200"/>
        <w:rPr>
          <w:rFonts w:ascii="Times New Roman" w:hAnsi="Times New Roman" w:eastAsia="宋体" w:cs="Times New Roman"/>
          <w:b/>
          <w:color w:val="FF0000"/>
          <w:szCs w:val="21"/>
        </w:rPr>
      </w:pPr>
      <w:r>
        <w:rPr>
          <w:rFonts w:hint="eastAsia" w:ascii="Times New Roman" w:hAnsi="Times New Roman" w:eastAsia="宋体" w:cs="Times New Roman"/>
          <w:b/>
          <w:color w:val="FF0000"/>
          <w:szCs w:val="21"/>
        </w:rPr>
        <w:t>4.带★号条款为不可偏离条款，如未响应或出现负偏离的，将作投标无效处理。</w:t>
      </w:r>
    </w:p>
    <w:p w14:paraId="7756F7F9">
      <w:pPr>
        <w:keepNext w:val="0"/>
        <w:keepLines w:val="0"/>
        <w:spacing w:before="0" w:after="0"/>
        <w:jc w:val="left"/>
        <w:outlineLvl w:val="9"/>
        <w:rPr>
          <w:rFonts w:asciiTheme="minorHAnsi" w:hAnsiTheme="minorHAnsi" w:eastAsiaTheme="minorEastAsia" w:cstheme="minorBidi"/>
          <w:bCs w:val="0"/>
          <w:sz w:val="21"/>
          <w:szCs w:val="22"/>
          <w:highlight w:val="none"/>
        </w:rPr>
      </w:pPr>
    </w:p>
    <w:p w14:paraId="06FDC74C">
      <w:pPr>
        <w:keepNext/>
        <w:keepLines/>
        <w:spacing w:before="260" w:after="260"/>
        <w:jc w:val="center"/>
        <w:outlineLvl w:val="2"/>
        <w:rPr>
          <w:rFonts w:ascii="Times New Roman" w:hAnsi="Times New Roman" w:eastAsia="黑体" w:cs="Times New Roman"/>
          <w:bCs/>
          <w:sz w:val="24"/>
          <w:szCs w:val="24"/>
        </w:rPr>
      </w:pPr>
      <w:r>
        <w:rPr>
          <w:rFonts w:hint="eastAsia" w:ascii="Times New Roman" w:hAnsi="Times New Roman" w:eastAsia="黑体" w:cs="Times New Roman"/>
          <w:bCs/>
          <w:sz w:val="24"/>
          <w:szCs w:val="24"/>
          <w:highlight w:val="none"/>
          <w:lang w:val="en-US" w:eastAsia="zh-CN"/>
        </w:rPr>
        <w:t>八</w:t>
      </w:r>
      <w:r>
        <w:rPr>
          <w:rFonts w:hint="eastAsia" w:ascii="Times New Roman" w:hAnsi="Times New Roman" w:eastAsia="黑体" w:cs="Times New Roman"/>
          <w:bCs/>
          <w:sz w:val="24"/>
          <w:szCs w:val="24"/>
          <w:highlight w:val="none"/>
        </w:rPr>
        <w:t>、</w:t>
      </w:r>
      <w:r>
        <w:rPr>
          <w:rFonts w:ascii="Times New Roman" w:hAnsi="Times New Roman" w:eastAsia="黑体" w:cs="Times New Roman"/>
          <w:bCs/>
          <w:sz w:val="24"/>
          <w:szCs w:val="24"/>
          <w:highlight w:val="none"/>
        </w:rPr>
        <w:t>类似</w:t>
      </w:r>
      <w:r>
        <w:rPr>
          <w:rFonts w:ascii="Times New Roman" w:hAnsi="Times New Roman" w:eastAsia="黑体" w:cs="Times New Roman"/>
          <w:bCs/>
          <w:sz w:val="24"/>
          <w:szCs w:val="24"/>
        </w:rPr>
        <w:t>项目业绩</w:t>
      </w:r>
    </w:p>
    <w:tbl>
      <w:tblPr>
        <w:tblStyle w:val="44"/>
        <w:tblW w:w="8931" w:type="dxa"/>
        <w:tblInd w:w="1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730"/>
        <w:gridCol w:w="1985"/>
        <w:gridCol w:w="1701"/>
        <w:gridCol w:w="1417"/>
        <w:gridCol w:w="1418"/>
      </w:tblGrid>
      <w:tr w14:paraId="0178DA6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680" w:type="dxa"/>
            <w:vAlign w:val="center"/>
          </w:tcPr>
          <w:p w14:paraId="77635157">
            <w:pPr>
              <w:jc w:val="center"/>
              <w:rPr>
                <w:rFonts w:ascii="宋体" w:hAnsi="宋体" w:eastAsia="宋体" w:cs="宋体"/>
                <w:szCs w:val="21"/>
              </w:rPr>
            </w:pPr>
            <w:r>
              <w:rPr>
                <w:rFonts w:hint="eastAsia" w:ascii="宋体" w:hAnsi="宋体" w:eastAsia="宋体" w:cs="宋体"/>
                <w:szCs w:val="21"/>
              </w:rPr>
              <w:t>序号</w:t>
            </w:r>
          </w:p>
        </w:tc>
        <w:tc>
          <w:tcPr>
            <w:tcW w:w="1730" w:type="dxa"/>
            <w:vAlign w:val="center"/>
          </w:tcPr>
          <w:p w14:paraId="348961CF">
            <w:pPr>
              <w:jc w:val="center"/>
              <w:rPr>
                <w:rFonts w:ascii="宋体" w:hAnsi="宋体" w:eastAsia="宋体" w:cs="宋体"/>
                <w:szCs w:val="21"/>
              </w:rPr>
            </w:pPr>
            <w:r>
              <w:rPr>
                <w:rFonts w:hint="eastAsia" w:ascii="宋体" w:hAnsi="宋体" w:eastAsia="宋体" w:cs="宋体"/>
                <w:szCs w:val="21"/>
              </w:rPr>
              <w:t>采购单位</w:t>
            </w:r>
          </w:p>
        </w:tc>
        <w:tc>
          <w:tcPr>
            <w:tcW w:w="1985" w:type="dxa"/>
            <w:vAlign w:val="center"/>
          </w:tcPr>
          <w:p w14:paraId="35BEDFFB">
            <w:pPr>
              <w:jc w:val="center"/>
              <w:rPr>
                <w:rFonts w:ascii="宋体" w:hAnsi="宋体" w:eastAsia="宋体" w:cs="宋体"/>
                <w:szCs w:val="21"/>
              </w:rPr>
            </w:pPr>
            <w:r>
              <w:rPr>
                <w:rFonts w:hint="eastAsia" w:ascii="宋体" w:hAnsi="宋体" w:eastAsia="宋体" w:cs="宋体"/>
                <w:szCs w:val="21"/>
              </w:rPr>
              <w:t>项目名称</w:t>
            </w:r>
          </w:p>
        </w:tc>
        <w:tc>
          <w:tcPr>
            <w:tcW w:w="1701" w:type="dxa"/>
            <w:vAlign w:val="center"/>
          </w:tcPr>
          <w:p w14:paraId="6E530599">
            <w:pPr>
              <w:jc w:val="center"/>
              <w:rPr>
                <w:rFonts w:ascii="宋体" w:hAnsi="宋体" w:eastAsia="宋体" w:cs="宋体"/>
                <w:szCs w:val="21"/>
              </w:rPr>
            </w:pPr>
            <w:r>
              <w:rPr>
                <w:rFonts w:hint="eastAsia" w:ascii="宋体" w:hAnsi="宋体" w:eastAsia="宋体" w:cs="宋体"/>
                <w:szCs w:val="21"/>
              </w:rPr>
              <w:t>合同或协议签订时间</w:t>
            </w:r>
          </w:p>
        </w:tc>
        <w:tc>
          <w:tcPr>
            <w:tcW w:w="1417" w:type="dxa"/>
            <w:vAlign w:val="center"/>
          </w:tcPr>
          <w:p w14:paraId="298A99D5">
            <w:pPr>
              <w:jc w:val="center"/>
              <w:rPr>
                <w:rFonts w:ascii="宋体" w:hAnsi="宋体" w:eastAsia="宋体" w:cs="宋体"/>
                <w:szCs w:val="21"/>
              </w:rPr>
            </w:pPr>
            <w:r>
              <w:rPr>
                <w:rFonts w:hint="eastAsia" w:ascii="宋体" w:hAnsi="宋体" w:eastAsia="宋体" w:cs="宋体"/>
                <w:szCs w:val="21"/>
              </w:rPr>
              <w:t>项目完成</w:t>
            </w:r>
          </w:p>
          <w:p w14:paraId="3C0094DF">
            <w:pPr>
              <w:jc w:val="center"/>
              <w:rPr>
                <w:rFonts w:ascii="宋体" w:hAnsi="宋体" w:eastAsia="宋体" w:cs="宋体"/>
                <w:szCs w:val="21"/>
              </w:rPr>
            </w:pPr>
            <w:r>
              <w:rPr>
                <w:rFonts w:hint="eastAsia" w:ascii="宋体" w:hAnsi="宋体" w:eastAsia="宋体" w:cs="宋体"/>
                <w:szCs w:val="21"/>
              </w:rPr>
              <w:t>验收评价</w:t>
            </w:r>
          </w:p>
        </w:tc>
        <w:tc>
          <w:tcPr>
            <w:tcW w:w="1418" w:type="dxa"/>
            <w:vAlign w:val="center"/>
          </w:tcPr>
          <w:p w14:paraId="51D48EBE">
            <w:pPr>
              <w:jc w:val="center"/>
              <w:rPr>
                <w:rFonts w:ascii="宋体" w:hAnsi="宋体" w:eastAsia="宋体" w:cs="宋体"/>
                <w:szCs w:val="21"/>
              </w:rPr>
            </w:pPr>
            <w:r>
              <w:rPr>
                <w:rFonts w:hint="eastAsia" w:ascii="宋体" w:hAnsi="宋体" w:eastAsia="宋体" w:cs="宋体"/>
                <w:szCs w:val="21"/>
              </w:rPr>
              <w:t>备注</w:t>
            </w:r>
          </w:p>
        </w:tc>
      </w:tr>
      <w:tr w14:paraId="2206A16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680" w:type="dxa"/>
            <w:vAlign w:val="center"/>
          </w:tcPr>
          <w:p w14:paraId="3B958190">
            <w:pPr>
              <w:jc w:val="center"/>
              <w:rPr>
                <w:rFonts w:ascii="宋体" w:hAnsi="宋体" w:eastAsia="宋体" w:cs="宋体"/>
                <w:szCs w:val="21"/>
              </w:rPr>
            </w:pPr>
            <w:r>
              <w:rPr>
                <w:rFonts w:hint="eastAsia" w:ascii="宋体" w:hAnsi="宋体" w:eastAsia="宋体" w:cs="宋体"/>
                <w:szCs w:val="21"/>
              </w:rPr>
              <w:t>1</w:t>
            </w:r>
          </w:p>
        </w:tc>
        <w:tc>
          <w:tcPr>
            <w:tcW w:w="1730" w:type="dxa"/>
            <w:vAlign w:val="center"/>
          </w:tcPr>
          <w:p w14:paraId="10B8110D">
            <w:pPr>
              <w:rPr>
                <w:rFonts w:ascii="宋体" w:hAnsi="宋体" w:eastAsia="宋体" w:cs="宋体"/>
                <w:szCs w:val="21"/>
              </w:rPr>
            </w:pPr>
          </w:p>
        </w:tc>
        <w:tc>
          <w:tcPr>
            <w:tcW w:w="1985" w:type="dxa"/>
            <w:vAlign w:val="center"/>
          </w:tcPr>
          <w:p w14:paraId="70343E4A">
            <w:pPr>
              <w:rPr>
                <w:rFonts w:ascii="宋体" w:hAnsi="宋体" w:eastAsia="宋体" w:cs="宋体"/>
                <w:szCs w:val="21"/>
              </w:rPr>
            </w:pPr>
          </w:p>
        </w:tc>
        <w:tc>
          <w:tcPr>
            <w:tcW w:w="1701" w:type="dxa"/>
            <w:vAlign w:val="center"/>
          </w:tcPr>
          <w:p w14:paraId="34769C97">
            <w:pPr>
              <w:rPr>
                <w:rFonts w:ascii="宋体" w:hAnsi="宋体" w:eastAsia="宋体" w:cs="宋体"/>
                <w:szCs w:val="21"/>
              </w:rPr>
            </w:pPr>
          </w:p>
        </w:tc>
        <w:tc>
          <w:tcPr>
            <w:tcW w:w="1417" w:type="dxa"/>
            <w:vAlign w:val="center"/>
          </w:tcPr>
          <w:p w14:paraId="2250F5EB">
            <w:pPr>
              <w:rPr>
                <w:rFonts w:ascii="宋体" w:hAnsi="宋体" w:eastAsia="宋体" w:cs="宋体"/>
                <w:szCs w:val="21"/>
              </w:rPr>
            </w:pPr>
          </w:p>
        </w:tc>
        <w:tc>
          <w:tcPr>
            <w:tcW w:w="1418" w:type="dxa"/>
            <w:vAlign w:val="center"/>
          </w:tcPr>
          <w:p w14:paraId="73C49831">
            <w:pPr>
              <w:rPr>
                <w:rFonts w:ascii="宋体" w:hAnsi="宋体" w:eastAsia="宋体" w:cs="宋体"/>
                <w:szCs w:val="21"/>
              </w:rPr>
            </w:pPr>
          </w:p>
        </w:tc>
      </w:tr>
      <w:tr w14:paraId="57EDB0D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680" w:type="dxa"/>
            <w:vAlign w:val="center"/>
          </w:tcPr>
          <w:p w14:paraId="4C1F2662">
            <w:pPr>
              <w:jc w:val="center"/>
              <w:rPr>
                <w:rFonts w:ascii="宋体" w:hAnsi="宋体" w:eastAsia="宋体" w:cs="宋体"/>
                <w:szCs w:val="21"/>
              </w:rPr>
            </w:pPr>
            <w:r>
              <w:rPr>
                <w:rFonts w:hint="eastAsia" w:ascii="宋体" w:hAnsi="宋体" w:eastAsia="宋体" w:cs="宋体"/>
                <w:szCs w:val="21"/>
              </w:rPr>
              <w:t>2</w:t>
            </w:r>
          </w:p>
        </w:tc>
        <w:tc>
          <w:tcPr>
            <w:tcW w:w="1730" w:type="dxa"/>
            <w:vAlign w:val="center"/>
          </w:tcPr>
          <w:p w14:paraId="73A5AAC6">
            <w:pPr>
              <w:rPr>
                <w:rFonts w:ascii="宋体" w:hAnsi="宋体" w:eastAsia="宋体" w:cs="宋体"/>
                <w:szCs w:val="21"/>
              </w:rPr>
            </w:pPr>
          </w:p>
        </w:tc>
        <w:tc>
          <w:tcPr>
            <w:tcW w:w="1985" w:type="dxa"/>
            <w:vAlign w:val="center"/>
          </w:tcPr>
          <w:p w14:paraId="6845AADB">
            <w:pPr>
              <w:rPr>
                <w:rFonts w:ascii="宋体" w:hAnsi="宋体" w:eastAsia="宋体" w:cs="宋体"/>
                <w:szCs w:val="21"/>
              </w:rPr>
            </w:pPr>
          </w:p>
        </w:tc>
        <w:tc>
          <w:tcPr>
            <w:tcW w:w="1701" w:type="dxa"/>
            <w:vAlign w:val="center"/>
          </w:tcPr>
          <w:p w14:paraId="7DD92DAF">
            <w:pPr>
              <w:rPr>
                <w:rFonts w:ascii="宋体" w:hAnsi="宋体" w:eastAsia="宋体" w:cs="宋体"/>
                <w:szCs w:val="21"/>
              </w:rPr>
            </w:pPr>
          </w:p>
        </w:tc>
        <w:tc>
          <w:tcPr>
            <w:tcW w:w="1417" w:type="dxa"/>
            <w:vAlign w:val="center"/>
          </w:tcPr>
          <w:p w14:paraId="2DB84EA0">
            <w:pPr>
              <w:rPr>
                <w:rFonts w:ascii="宋体" w:hAnsi="宋体" w:eastAsia="宋体" w:cs="宋体"/>
                <w:szCs w:val="21"/>
              </w:rPr>
            </w:pPr>
          </w:p>
        </w:tc>
        <w:tc>
          <w:tcPr>
            <w:tcW w:w="1418" w:type="dxa"/>
            <w:vAlign w:val="center"/>
          </w:tcPr>
          <w:p w14:paraId="426A0650">
            <w:pPr>
              <w:rPr>
                <w:rFonts w:ascii="宋体" w:hAnsi="宋体" w:eastAsia="宋体" w:cs="宋体"/>
                <w:szCs w:val="21"/>
              </w:rPr>
            </w:pPr>
          </w:p>
        </w:tc>
      </w:tr>
      <w:tr w14:paraId="2E34FD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680" w:type="dxa"/>
            <w:vAlign w:val="center"/>
          </w:tcPr>
          <w:p w14:paraId="0605F78A">
            <w:pPr>
              <w:jc w:val="center"/>
              <w:rPr>
                <w:rFonts w:ascii="宋体" w:hAnsi="宋体" w:eastAsia="宋体" w:cs="宋体"/>
                <w:szCs w:val="21"/>
              </w:rPr>
            </w:pPr>
            <w:r>
              <w:rPr>
                <w:rFonts w:hint="eastAsia" w:ascii="宋体" w:hAnsi="宋体" w:eastAsia="宋体" w:cs="宋体"/>
                <w:szCs w:val="21"/>
              </w:rPr>
              <w:t>…</w:t>
            </w:r>
          </w:p>
        </w:tc>
        <w:tc>
          <w:tcPr>
            <w:tcW w:w="1730" w:type="dxa"/>
            <w:vAlign w:val="center"/>
          </w:tcPr>
          <w:p w14:paraId="75B2472D">
            <w:pPr>
              <w:rPr>
                <w:rFonts w:ascii="宋体" w:hAnsi="宋体" w:eastAsia="宋体" w:cs="宋体"/>
                <w:szCs w:val="21"/>
              </w:rPr>
            </w:pPr>
          </w:p>
        </w:tc>
        <w:tc>
          <w:tcPr>
            <w:tcW w:w="1985" w:type="dxa"/>
            <w:vAlign w:val="center"/>
          </w:tcPr>
          <w:p w14:paraId="2DDEE9D7">
            <w:pPr>
              <w:rPr>
                <w:rFonts w:ascii="宋体" w:hAnsi="宋体" w:eastAsia="宋体" w:cs="宋体"/>
                <w:szCs w:val="21"/>
              </w:rPr>
            </w:pPr>
          </w:p>
        </w:tc>
        <w:tc>
          <w:tcPr>
            <w:tcW w:w="1701" w:type="dxa"/>
            <w:vAlign w:val="center"/>
          </w:tcPr>
          <w:p w14:paraId="369CED7D">
            <w:pPr>
              <w:rPr>
                <w:rFonts w:ascii="宋体" w:hAnsi="宋体" w:eastAsia="宋体" w:cs="宋体"/>
                <w:szCs w:val="21"/>
              </w:rPr>
            </w:pPr>
          </w:p>
        </w:tc>
        <w:tc>
          <w:tcPr>
            <w:tcW w:w="1417" w:type="dxa"/>
            <w:vAlign w:val="center"/>
          </w:tcPr>
          <w:p w14:paraId="3995CD88">
            <w:pPr>
              <w:rPr>
                <w:rFonts w:ascii="宋体" w:hAnsi="宋体" w:eastAsia="宋体" w:cs="宋体"/>
                <w:szCs w:val="21"/>
              </w:rPr>
            </w:pPr>
          </w:p>
        </w:tc>
        <w:tc>
          <w:tcPr>
            <w:tcW w:w="1418" w:type="dxa"/>
            <w:vAlign w:val="center"/>
          </w:tcPr>
          <w:p w14:paraId="42CB3EFB">
            <w:pPr>
              <w:rPr>
                <w:rFonts w:ascii="宋体" w:hAnsi="宋体" w:eastAsia="宋体" w:cs="宋体"/>
                <w:szCs w:val="21"/>
              </w:rPr>
            </w:pPr>
          </w:p>
        </w:tc>
      </w:tr>
    </w:tbl>
    <w:p w14:paraId="3804F505">
      <w:pPr>
        <w:ind w:firstLine="420" w:firstLineChars="200"/>
        <w:rPr>
          <w:rFonts w:ascii="宋体" w:hAnsi="宋体" w:eastAsia="宋体" w:cs="宋体"/>
          <w:bCs/>
          <w:szCs w:val="24"/>
        </w:rPr>
      </w:pPr>
      <w:r>
        <w:rPr>
          <w:rFonts w:hint="eastAsia" w:ascii="宋体" w:hAnsi="宋体" w:eastAsia="宋体" w:cs="宋体"/>
          <w:bCs/>
          <w:szCs w:val="24"/>
        </w:rPr>
        <w:t>注：</w:t>
      </w:r>
    </w:p>
    <w:p w14:paraId="44674D9B">
      <w:pPr>
        <w:ind w:firstLine="420" w:firstLineChars="200"/>
        <w:rPr>
          <w:rFonts w:ascii="宋体" w:hAnsi="宋体" w:eastAsia="宋体" w:cs="宋体"/>
          <w:bCs/>
          <w:szCs w:val="24"/>
        </w:rPr>
      </w:pPr>
      <w:r>
        <w:rPr>
          <w:rFonts w:hint="eastAsia" w:ascii="宋体" w:hAnsi="宋体" w:eastAsia="宋体" w:cs="宋体"/>
          <w:bCs/>
          <w:szCs w:val="24"/>
        </w:rPr>
        <w:t>1.此表可按格式进行扩展、增删；</w:t>
      </w:r>
    </w:p>
    <w:p w14:paraId="615864DF">
      <w:pPr>
        <w:ind w:firstLine="420" w:firstLineChars="200"/>
        <w:rPr>
          <w:rFonts w:ascii="宋体" w:hAnsi="宋体" w:eastAsia="宋体" w:cs="宋体"/>
          <w:bCs/>
          <w:szCs w:val="24"/>
        </w:rPr>
      </w:pPr>
      <w:r>
        <w:rPr>
          <w:rFonts w:hint="eastAsia" w:ascii="宋体" w:hAnsi="宋体" w:eastAsia="宋体" w:cs="宋体"/>
          <w:bCs/>
          <w:szCs w:val="24"/>
        </w:rPr>
        <w:t>2.此表所填情况须符合招标文件评标信息中“类似项目业绩”评分准则要求，并按评分准则要求提供相关证明材料。</w:t>
      </w:r>
    </w:p>
    <w:p w14:paraId="390DE57E">
      <w:pPr>
        <w:keepNext w:val="0"/>
        <w:keepLines w:val="0"/>
        <w:spacing w:before="0" w:after="0"/>
        <w:jc w:val="left"/>
        <w:outlineLvl w:val="9"/>
        <w:rPr>
          <w:rFonts w:asciiTheme="minorHAnsi" w:hAnsiTheme="minorHAnsi" w:eastAsiaTheme="minorEastAsia" w:cstheme="minorBidi"/>
          <w:bCs w:val="0"/>
          <w:sz w:val="21"/>
          <w:szCs w:val="22"/>
          <w:highlight w:val="none"/>
        </w:rPr>
      </w:pPr>
    </w:p>
    <w:p w14:paraId="66556A63">
      <w:pPr>
        <w:keepNext/>
        <w:keepLines/>
        <w:adjustRightInd w:val="0"/>
        <w:snapToGrid w:val="0"/>
        <w:spacing w:before="260" w:after="260" w:line="276" w:lineRule="auto"/>
        <w:jc w:val="center"/>
        <w:outlineLvl w:val="2"/>
        <w:rPr>
          <w:rFonts w:ascii="黑体" w:hAnsi="宋体" w:eastAsia="黑体" w:cs="Times New Roman"/>
          <w:bCs/>
          <w:kern w:val="0"/>
          <w:sz w:val="24"/>
          <w:szCs w:val="24"/>
        </w:rPr>
      </w:pPr>
      <w:r>
        <w:rPr>
          <w:rFonts w:hint="eastAsia" w:ascii="黑体" w:hAnsi="宋体" w:eastAsia="黑体" w:cs="Times New Roman"/>
          <w:bCs/>
          <w:kern w:val="0"/>
          <w:sz w:val="24"/>
          <w:szCs w:val="24"/>
          <w:lang w:val="en-US" w:eastAsia="zh-CN"/>
        </w:rPr>
        <w:t>九</w:t>
      </w:r>
      <w:r>
        <w:rPr>
          <w:rFonts w:hint="eastAsia" w:ascii="黑体" w:hAnsi="宋体" w:eastAsia="黑体" w:cs="Times New Roman"/>
          <w:bCs/>
          <w:kern w:val="0"/>
          <w:sz w:val="24"/>
          <w:szCs w:val="24"/>
        </w:rPr>
        <w:t>、项目</w:t>
      </w:r>
      <w:r>
        <w:rPr>
          <w:rFonts w:hint="eastAsia" w:ascii="黑体" w:hAnsi="宋体" w:eastAsia="黑体" w:cs="Times New Roman"/>
          <w:bCs/>
          <w:kern w:val="0"/>
          <w:sz w:val="24"/>
          <w:szCs w:val="24"/>
          <w:lang w:val="en-US" w:eastAsia="zh-CN"/>
        </w:rPr>
        <w:t>实施</w:t>
      </w:r>
      <w:r>
        <w:rPr>
          <w:rFonts w:hint="eastAsia" w:ascii="黑体" w:hAnsi="宋体" w:eastAsia="黑体" w:cs="Times New Roman"/>
          <w:bCs/>
          <w:kern w:val="0"/>
          <w:sz w:val="24"/>
          <w:szCs w:val="24"/>
        </w:rPr>
        <w:t>方案</w:t>
      </w:r>
    </w:p>
    <w:p w14:paraId="7B62C029">
      <w:pPr>
        <w:adjustRightInd w:val="0"/>
        <w:snapToGrid w:val="0"/>
        <w:spacing w:after="120" w:line="276" w:lineRule="auto"/>
        <w:rPr>
          <w:rFonts w:ascii="Times New Roman" w:hAnsi="Times New Roman" w:eastAsia="宋体" w:cs="Times New Roman"/>
          <w:b/>
          <w:bCs/>
          <w:szCs w:val="21"/>
        </w:rPr>
      </w:pPr>
      <w:r>
        <w:rPr>
          <w:rFonts w:hint="eastAsia" w:ascii="Times New Roman" w:hAnsi="Times New Roman" w:eastAsia="宋体" w:cs="Times New Roman"/>
          <w:szCs w:val="21"/>
        </w:rPr>
        <w:t>（特别提示：投标人须按本招标文件评标信息中“项目</w:t>
      </w:r>
      <w:r>
        <w:rPr>
          <w:rFonts w:hint="eastAsia" w:ascii="Times New Roman" w:hAnsi="Times New Roman" w:eastAsia="宋体" w:cs="Times New Roman"/>
          <w:szCs w:val="21"/>
          <w:lang w:val="en-US" w:eastAsia="zh-CN"/>
        </w:rPr>
        <w:t>实施</w:t>
      </w:r>
      <w:r>
        <w:rPr>
          <w:rFonts w:hint="eastAsia" w:ascii="Times New Roman" w:hAnsi="Times New Roman" w:eastAsia="宋体" w:cs="Times New Roman"/>
          <w:szCs w:val="21"/>
        </w:rPr>
        <w:t>方案”这一评分因素要求，提供证明资料）</w:t>
      </w:r>
    </w:p>
    <w:p w14:paraId="7F638EDC">
      <w:pPr>
        <w:keepNext/>
        <w:keepLines/>
        <w:adjustRightInd w:val="0"/>
        <w:snapToGrid w:val="0"/>
        <w:spacing w:before="260" w:after="260" w:line="276" w:lineRule="auto"/>
        <w:jc w:val="center"/>
        <w:outlineLvl w:val="2"/>
        <w:rPr>
          <w:rFonts w:ascii="黑体" w:hAnsi="宋体" w:eastAsia="黑体" w:cs="Times New Roman"/>
          <w:bCs/>
          <w:kern w:val="0"/>
          <w:sz w:val="24"/>
          <w:szCs w:val="24"/>
        </w:rPr>
      </w:pPr>
      <w:r>
        <w:rPr>
          <w:rFonts w:hint="eastAsia" w:ascii="黑体" w:hAnsi="宋体" w:eastAsia="黑体" w:cs="Times New Roman"/>
          <w:bCs/>
          <w:kern w:val="0"/>
          <w:sz w:val="24"/>
          <w:szCs w:val="24"/>
        </w:rPr>
        <w:t>十、拟安排的项目负责人情况（仅限</w:t>
      </w:r>
      <w:r>
        <w:rPr>
          <w:rFonts w:hint="eastAsia" w:ascii="黑体" w:hAnsi="宋体" w:eastAsia="黑体" w:cs="Times New Roman"/>
          <w:bCs/>
          <w:kern w:val="0"/>
          <w:sz w:val="24"/>
          <w:szCs w:val="24"/>
          <w:lang w:val="en-US" w:eastAsia="zh-CN"/>
        </w:rPr>
        <w:t>一</w:t>
      </w:r>
      <w:r>
        <w:rPr>
          <w:rFonts w:hint="eastAsia" w:ascii="黑体" w:hAnsi="宋体" w:eastAsia="黑体" w:cs="Times New Roman"/>
          <w:bCs/>
          <w:kern w:val="0"/>
          <w:sz w:val="24"/>
          <w:szCs w:val="24"/>
        </w:rPr>
        <w:t>人）</w:t>
      </w:r>
    </w:p>
    <w:tbl>
      <w:tblPr>
        <w:tblStyle w:val="44"/>
        <w:tblW w:w="890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4"/>
        <w:gridCol w:w="1348"/>
        <w:gridCol w:w="932"/>
        <w:gridCol w:w="932"/>
        <w:gridCol w:w="1224"/>
        <w:gridCol w:w="992"/>
        <w:gridCol w:w="1171"/>
        <w:gridCol w:w="1149"/>
      </w:tblGrid>
      <w:tr w14:paraId="40199D6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27" w:hRule="atLeast"/>
          <w:jc w:val="center"/>
        </w:trPr>
        <w:tc>
          <w:tcPr>
            <w:tcW w:w="1154" w:type="dxa"/>
            <w:vMerge w:val="restart"/>
            <w:vAlign w:val="center"/>
          </w:tcPr>
          <w:p w14:paraId="519F84CC">
            <w:pPr>
              <w:spacing w:line="276" w:lineRule="auto"/>
              <w:jc w:val="center"/>
              <w:rPr>
                <w:rFonts w:ascii="宋体" w:hAnsi="宋体" w:eastAsia="宋体" w:cs="Times New Roman"/>
                <w:szCs w:val="21"/>
              </w:rPr>
            </w:pPr>
            <w:r>
              <w:rPr>
                <w:rFonts w:hint="eastAsia" w:ascii="宋体" w:hAnsi="宋体" w:eastAsia="宋体" w:cs="Times New Roman"/>
                <w:szCs w:val="21"/>
              </w:rPr>
              <w:t>类别</w:t>
            </w:r>
          </w:p>
        </w:tc>
        <w:tc>
          <w:tcPr>
            <w:tcW w:w="1348" w:type="dxa"/>
            <w:vMerge w:val="restart"/>
            <w:vAlign w:val="center"/>
          </w:tcPr>
          <w:p w14:paraId="4B90FCBB">
            <w:pPr>
              <w:spacing w:line="276" w:lineRule="auto"/>
              <w:jc w:val="center"/>
              <w:rPr>
                <w:rFonts w:ascii="宋体" w:hAnsi="宋体" w:eastAsia="宋体" w:cs="Times New Roman"/>
                <w:szCs w:val="21"/>
              </w:rPr>
            </w:pPr>
            <w:r>
              <w:rPr>
                <w:rFonts w:hint="eastAsia" w:ascii="宋体" w:hAnsi="宋体" w:eastAsia="宋体" w:cs="Times New Roman"/>
                <w:szCs w:val="21"/>
              </w:rPr>
              <w:t>姓名</w:t>
            </w:r>
          </w:p>
        </w:tc>
        <w:tc>
          <w:tcPr>
            <w:tcW w:w="932" w:type="dxa"/>
            <w:vMerge w:val="restart"/>
            <w:vAlign w:val="center"/>
          </w:tcPr>
          <w:p w14:paraId="3F9E9BC6">
            <w:pPr>
              <w:spacing w:line="276" w:lineRule="auto"/>
              <w:jc w:val="center"/>
              <w:rPr>
                <w:rFonts w:ascii="宋体" w:hAnsi="宋体" w:eastAsia="宋体" w:cs="Times New Roman"/>
                <w:szCs w:val="21"/>
              </w:rPr>
            </w:pPr>
            <w:r>
              <w:rPr>
                <w:rFonts w:hint="eastAsia" w:ascii="宋体" w:hAnsi="宋体" w:eastAsia="宋体" w:cs="Times New Roman"/>
                <w:szCs w:val="21"/>
              </w:rPr>
              <w:t>职称</w:t>
            </w:r>
          </w:p>
        </w:tc>
        <w:tc>
          <w:tcPr>
            <w:tcW w:w="932" w:type="dxa"/>
            <w:vMerge w:val="restart"/>
            <w:vAlign w:val="center"/>
          </w:tcPr>
          <w:p w14:paraId="47F40C6E">
            <w:pPr>
              <w:spacing w:line="276" w:lineRule="auto"/>
              <w:jc w:val="center"/>
              <w:rPr>
                <w:rFonts w:ascii="宋体" w:hAnsi="宋体" w:eastAsia="宋体" w:cs="Times New Roman"/>
                <w:szCs w:val="21"/>
              </w:rPr>
            </w:pPr>
            <w:r>
              <w:rPr>
                <w:rFonts w:hint="eastAsia" w:ascii="宋体" w:hAnsi="宋体" w:eastAsia="宋体" w:cs="Times New Roman"/>
                <w:szCs w:val="21"/>
              </w:rPr>
              <w:t>学历</w:t>
            </w:r>
          </w:p>
        </w:tc>
        <w:tc>
          <w:tcPr>
            <w:tcW w:w="4536" w:type="dxa"/>
            <w:gridSpan w:val="4"/>
            <w:vAlign w:val="center"/>
          </w:tcPr>
          <w:p w14:paraId="78CFEB5E">
            <w:pPr>
              <w:spacing w:line="276" w:lineRule="auto"/>
              <w:jc w:val="center"/>
              <w:rPr>
                <w:rFonts w:ascii="宋体" w:hAnsi="宋体" w:eastAsia="宋体" w:cs="Times New Roman"/>
                <w:szCs w:val="21"/>
              </w:rPr>
            </w:pPr>
            <w:r>
              <w:rPr>
                <w:rFonts w:hint="eastAsia" w:ascii="宋体" w:hAnsi="宋体" w:eastAsia="宋体" w:cs="Times New Roman"/>
                <w:szCs w:val="21"/>
              </w:rPr>
              <w:t>上岗资格证明</w:t>
            </w:r>
          </w:p>
        </w:tc>
      </w:tr>
      <w:tr w14:paraId="36BD8F2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jc w:val="center"/>
        </w:trPr>
        <w:tc>
          <w:tcPr>
            <w:tcW w:w="1154" w:type="dxa"/>
            <w:vMerge w:val="continue"/>
            <w:vAlign w:val="center"/>
          </w:tcPr>
          <w:p w14:paraId="486D3DC2">
            <w:pPr>
              <w:spacing w:line="276" w:lineRule="auto"/>
              <w:jc w:val="center"/>
              <w:rPr>
                <w:rFonts w:ascii="宋体" w:hAnsi="宋体" w:eastAsia="宋体" w:cs="Times New Roman"/>
                <w:szCs w:val="21"/>
              </w:rPr>
            </w:pPr>
          </w:p>
        </w:tc>
        <w:tc>
          <w:tcPr>
            <w:tcW w:w="1348" w:type="dxa"/>
            <w:vMerge w:val="continue"/>
            <w:vAlign w:val="center"/>
          </w:tcPr>
          <w:p w14:paraId="6C4D431F">
            <w:pPr>
              <w:spacing w:line="276" w:lineRule="auto"/>
              <w:jc w:val="center"/>
              <w:rPr>
                <w:rFonts w:ascii="宋体" w:hAnsi="宋体" w:eastAsia="宋体" w:cs="Times New Roman"/>
                <w:szCs w:val="21"/>
              </w:rPr>
            </w:pPr>
          </w:p>
        </w:tc>
        <w:tc>
          <w:tcPr>
            <w:tcW w:w="932" w:type="dxa"/>
            <w:vMerge w:val="continue"/>
          </w:tcPr>
          <w:p w14:paraId="150215EF">
            <w:pPr>
              <w:spacing w:line="276" w:lineRule="auto"/>
              <w:jc w:val="center"/>
              <w:rPr>
                <w:rFonts w:ascii="宋体" w:hAnsi="宋体" w:eastAsia="宋体" w:cs="Times New Roman"/>
                <w:szCs w:val="21"/>
              </w:rPr>
            </w:pPr>
          </w:p>
        </w:tc>
        <w:tc>
          <w:tcPr>
            <w:tcW w:w="932" w:type="dxa"/>
            <w:vMerge w:val="continue"/>
            <w:vAlign w:val="center"/>
          </w:tcPr>
          <w:p w14:paraId="18BAB1CD">
            <w:pPr>
              <w:spacing w:line="276" w:lineRule="auto"/>
              <w:jc w:val="center"/>
              <w:rPr>
                <w:rFonts w:ascii="宋体" w:hAnsi="宋体" w:eastAsia="宋体" w:cs="Times New Roman"/>
                <w:szCs w:val="21"/>
              </w:rPr>
            </w:pPr>
          </w:p>
        </w:tc>
        <w:tc>
          <w:tcPr>
            <w:tcW w:w="1224" w:type="dxa"/>
            <w:vAlign w:val="center"/>
          </w:tcPr>
          <w:p w14:paraId="575F5B74">
            <w:pPr>
              <w:spacing w:line="276" w:lineRule="auto"/>
              <w:jc w:val="center"/>
              <w:rPr>
                <w:rFonts w:ascii="宋体" w:hAnsi="宋体" w:eastAsia="宋体" w:cs="Times New Roman"/>
                <w:szCs w:val="21"/>
              </w:rPr>
            </w:pPr>
            <w:r>
              <w:rPr>
                <w:rFonts w:hint="eastAsia" w:ascii="宋体" w:hAnsi="宋体" w:eastAsia="宋体" w:cs="Times New Roman"/>
                <w:szCs w:val="21"/>
              </w:rPr>
              <w:t>证书名称</w:t>
            </w:r>
          </w:p>
        </w:tc>
        <w:tc>
          <w:tcPr>
            <w:tcW w:w="992" w:type="dxa"/>
            <w:vAlign w:val="center"/>
          </w:tcPr>
          <w:p w14:paraId="7F4F2F07">
            <w:pPr>
              <w:spacing w:line="276" w:lineRule="auto"/>
              <w:jc w:val="center"/>
              <w:rPr>
                <w:rFonts w:ascii="宋体" w:hAnsi="宋体" w:eastAsia="宋体" w:cs="Times New Roman"/>
                <w:szCs w:val="21"/>
              </w:rPr>
            </w:pPr>
            <w:r>
              <w:rPr>
                <w:rFonts w:hint="eastAsia" w:ascii="宋体" w:hAnsi="宋体" w:eastAsia="宋体" w:cs="Times New Roman"/>
                <w:szCs w:val="21"/>
              </w:rPr>
              <w:t>级别</w:t>
            </w:r>
          </w:p>
        </w:tc>
        <w:tc>
          <w:tcPr>
            <w:tcW w:w="1171" w:type="dxa"/>
            <w:vAlign w:val="center"/>
          </w:tcPr>
          <w:p w14:paraId="193B0B3A">
            <w:pPr>
              <w:spacing w:line="276" w:lineRule="auto"/>
              <w:jc w:val="center"/>
              <w:rPr>
                <w:rFonts w:ascii="宋体" w:hAnsi="宋体" w:eastAsia="宋体" w:cs="Times New Roman"/>
                <w:szCs w:val="21"/>
              </w:rPr>
            </w:pPr>
            <w:r>
              <w:rPr>
                <w:rFonts w:hint="eastAsia" w:ascii="宋体" w:hAnsi="宋体" w:eastAsia="宋体" w:cs="Times New Roman"/>
                <w:szCs w:val="21"/>
              </w:rPr>
              <w:t>证号</w:t>
            </w:r>
          </w:p>
        </w:tc>
        <w:tc>
          <w:tcPr>
            <w:tcW w:w="1149" w:type="dxa"/>
            <w:vAlign w:val="center"/>
          </w:tcPr>
          <w:p w14:paraId="776CBDA1">
            <w:pPr>
              <w:spacing w:line="276" w:lineRule="auto"/>
              <w:jc w:val="center"/>
              <w:rPr>
                <w:rFonts w:ascii="宋体" w:hAnsi="宋体" w:eastAsia="宋体" w:cs="Times New Roman"/>
                <w:szCs w:val="21"/>
              </w:rPr>
            </w:pPr>
            <w:r>
              <w:rPr>
                <w:rFonts w:hint="eastAsia" w:ascii="宋体" w:hAnsi="宋体" w:eastAsia="宋体" w:cs="Times New Roman"/>
                <w:szCs w:val="21"/>
              </w:rPr>
              <w:t>专业</w:t>
            </w:r>
          </w:p>
        </w:tc>
      </w:tr>
      <w:tr w14:paraId="039957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jc w:val="center"/>
        </w:trPr>
        <w:tc>
          <w:tcPr>
            <w:tcW w:w="1154" w:type="dxa"/>
            <w:vAlign w:val="center"/>
          </w:tcPr>
          <w:p w14:paraId="78608253">
            <w:pPr>
              <w:jc w:val="center"/>
              <w:rPr>
                <w:rFonts w:ascii="宋体" w:hAnsi="宋体" w:eastAsia="宋体" w:cs="Times New Roman"/>
                <w:szCs w:val="21"/>
              </w:rPr>
            </w:pPr>
            <w:r>
              <w:rPr>
                <w:rFonts w:hint="eastAsia" w:ascii="宋体" w:hAnsi="宋体" w:eastAsia="宋体" w:cs="Times New Roman"/>
                <w:szCs w:val="21"/>
              </w:rPr>
              <w:t>拟派项目负责人</w:t>
            </w:r>
          </w:p>
        </w:tc>
        <w:tc>
          <w:tcPr>
            <w:tcW w:w="1348" w:type="dxa"/>
            <w:vAlign w:val="center"/>
          </w:tcPr>
          <w:p w14:paraId="104E6155">
            <w:pPr>
              <w:jc w:val="center"/>
              <w:rPr>
                <w:rFonts w:ascii="宋体" w:hAnsi="宋体" w:eastAsia="宋体" w:cs="Times New Roman"/>
                <w:szCs w:val="21"/>
              </w:rPr>
            </w:pPr>
          </w:p>
        </w:tc>
        <w:tc>
          <w:tcPr>
            <w:tcW w:w="932" w:type="dxa"/>
            <w:vAlign w:val="center"/>
          </w:tcPr>
          <w:p w14:paraId="4A50A425">
            <w:pPr>
              <w:jc w:val="center"/>
              <w:rPr>
                <w:rFonts w:ascii="宋体" w:hAnsi="宋体" w:eastAsia="宋体" w:cs="Times New Roman"/>
                <w:szCs w:val="21"/>
              </w:rPr>
            </w:pPr>
          </w:p>
        </w:tc>
        <w:tc>
          <w:tcPr>
            <w:tcW w:w="932" w:type="dxa"/>
            <w:vAlign w:val="center"/>
          </w:tcPr>
          <w:p w14:paraId="463BE514">
            <w:pPr>
              <w:jc w:val="center"/>
              <w:rPr>
                <w:rFonts w:ascii="宋体" w:hAnsi="宋体" w:eastAsia="宋体" w:cs="Times New Roman"/>
                <w:szCs w:val="21"/>
              </w:rPr>
            </w:pPr>
          </w:p>
        </w:tc>
        <w:tc>
          <w:tcPr>
            <w:tcW w:w="1224" w:type="dxa"/>
            <w:vAlign w:val="center"/>
          </w:tcPr>
          <w:p w14:paraId="495C42ED">
            <w:pPr>
              <w:jc w:val="center"/>
              <w:rPr>
                <w:rFonts w:ascii="宋体" w:hAnsi="宋体" w:eastAsia="宋体" w:cs="Times New Roman"/>
                <w:szCs w:val="21"/>
              </w:rPr>
            </w:pPr>
          </w:p>
        </w:tc>
        <w:tc>
          <w:tcPr>
            <w:tcW w:w="992" w:type="dxa"/>
            <w:vAlign w:val="center"/>
          </w:tcPr>
          <w:p w14:paraId="4EA82FD4">
            <w:pPr>
              <w:jc w:val="center"/>
              <w:rPr>
                <w:rFonts w:ascii="宋体" w:hAnsi="宋体" w:eastAsia="宋体" w:cs="Times New Roman"/>
                <w:szCs w:val="21"/>
              </w:rPr>
            </w:pPr>
          </w:p>
        </w:tc>
        <w:tc>
          <w:tcPr>
            <w:tcW w:w="1171" w:type="dxa"/>
            <w:vAlign w:val="center"/>
          </w:tcPr>
          <w:p w14:paraId="2760B8D9">
            <w:pPr>
              <w:jc w:val="center"/>
              <w:rPr>
                <w:rFonts w:ascii="宋体" w:hAnsi="宋体" w:eastAsia="宋体" w:cs="Times New Roman"/>
                <w:szCs w:val="21"/>
              </w:rPr>
            </w:pPr>
          </w:p>
        </w:tc>
        <w:tc>
          <w:tcPr>
            <w:tcW w:w="1149" w:type="dxa"/>
            <w:vAlign w:val="center"/>
          </w:tcPr>
          <w:p w14:paraId="4641BDFE">
            <w:pPr>
              <w:jc w:val="center"/>
              <w:rPr>
                <w:rFonts w:ascii="宋体" w:hAnsi="宋体" w:eastAsia="宋体" w:cs="Times New Roman"/>
                <w:szCs w:val="21"/>
              </w:rPr>
            </w:pPr>
          </w:p>
        </w:tc>
      </w:tr>
    </w:tbl>
    <w:p w14:paraId="62F71E0B">
      <w:pPr>
        <w:spacing w:after="120" w:line="276" w:lineRule="auto"/>
        <w:rPr>
          <w:rFonts w:ascii="Times New Roman" w:hAnsi="Times New Roman" w:eastAsia="宋体" w:cs="Times New Roman"/>
          <w:b/>
          <w:bCs/>
          <w:szCs w:val="21"/>
        </w:rPr>
      </w:pPr>
      <w:r>
        <w:rPr>
          <w:rFonts w:hint="eastAsia" w:ascii="Times New Roman" w:hAnsi="Times New Roman" w:eastAsia="宋体" w:cs="Times New Roman"/>
          <w:szCs w:val="21"/>
        </w:rPr>
        <w:t>（特别提示：以上表格仅供参考。投标人须按本招标文件评标信息中“拟安排的项目负责人情况（仅限</w:t>
      </w:r>
      <w:r>
        <w:rPr>
          <w:rFonts w:hint="eastAsia" w:ascii="Times New Roman" w:hAnsi="Times New Roman" w:eastAsia="宋体" w:cs="Times New Roman"/>
          <w:szCs w:val="21"/>
          <w:lang w:val="en-US" w:eastAsia="zh-CN"/>
        </w:rPr>
        <w:t>一</w:t>
      </w:r>
      <w:r>
        <w:rPr>
          <w:rFonts w:hint="eastAsia" w:ascii="Times New Roman" w:hAnsi="Times New Roman" w:eastAsia="宋体" w:cs="Times New Roman"/>
          <w:szCs w:val="21"/>
        </w:rPr>
        <w:t>人）”这一评分因素要求，提供证明资料）</w:t>
      </w:r>
    </w:p>
    <w:p w14:paraId="6D296114">
      <w:pPr>
        <w:adjustRightInd w:val="0"/>
        <w:snapToGrid w:val="0"/>
        <w:rPr>
          <w:rFonts w:ascii="Times New Roman" w:hAnsi="Times New Roman" w:eastAsia="宋体" w:cs="Times New Roman"/>
          <w:szCs w:val="24"/>
        </w:rPr>
      </w:pPr>
    </w:p>
    <w:p w14:paraId="5BADABE6">
      <w:pPr>
        <w:keepNext/>
        <w:keepLines/>
        <w:spacing w:before="260" w:after="260"/>
        <w:jc w:val="center"/>
        <w:outlineLvl w:val="2"/>
        <w:rPr>
          <w:rFonts w:ascii="黑体" w:hAnsi="宋体" w:eastAsia="黑体" w:cs="Times New Roman"/>
          <w:bCs/>
          <w:kern w:val="0"/>
          <w:sz w:val="24"/>
          <w:szCs w:val="24"/>
        </w:rPr>
      </w:pPr>
      <w:bookmarkStart w:id="68" w:name="_Toc59916727"/>
      <w:r>
        <w:rPr>
          <w:rFonts w:hint="eastAsia" w:ascii="黑体" w:hAnsi="宋体" w:eastAsia="黑体" w:cs="Times New Roman"/>
          <w:bCs/>
          <w:kern w:val="0"/>
          <w:sz w:val="24"/>
          <w:szCs w:val="24"/>
        </w:rPr>
        <w:t>十一、</w:t>
      </w:r>
      <w:bookmarkEnd w:id="68"/>
      <w:r>
        <w:rPr>
          <w:rFonts w:hint="eastAsia" w:ascii="黑体" w:hAnsi="宋体" w:eastAsia="黑体" w:cs="Times New Roman"/>
          <w:bCs/>
          <w:kern w:val="0"/>
          <w:sz w:val="24"/>
          <w:szCs w:val="24"/>
        </w:rPr>
        <w:t>拟安排的项目团队成员情况（项目负责人除外）</w:t>
      </w:r>
    </w:p>
    <w:tbl>
      <w:tblPr>
        <w:tblStyle w:val="44"/>
        <w:tblW w:w="8830"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876"/>
        <w:gridCol w:w="877"/>
        <w:gridCol w:w="877"/>
        <w:gridCol w:w="877"/>
        <w:gridCol w:w="1151"/>
        <w:gridCol w:w="933"/>
        <w:gridCol w:w="1101"/>
        <w:gridCol w:w="1080"/>
      </w:tblGrid>
      <w:tr w14:paraId="687D31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58" w:type="dxa"/>
            <w:vMerge w:val="restart"/>
            <w:vAlign w:val="center"/>
          </w:tcPr>
          <w:p w14:paraId="32A8484E">
            <w:pPr>
              <w:spacing w:line="276" w:lineRule="auto"/>
              <w:jc w:val="center"/>
              <w:rPr>
                <w:rFonts w:ascii="宋体" w:hAnsi="宋体" w:eastAsia="宋体" w:cs="宋体"/>
                <w:szCs w:val="21"/>
              </w:rPr>
            </w:pPr>
            <w:r>
              <w:rPr>
                <w:rFonts w:hint="eastAsia" w:ascii="宋体" w:hAnsi="宋体" w:eastAsia="宋体" w:cs="宋体"/>
                <w:szCs w:val="21"/>
              </w:rPr>
              <w:t>岗位</w:t>
            </w:r>
          </w:p>
        </w:tc>
        <w:tc>
          <w:tcPr>
            <w:tcW w:w="876" w:type="dxa"/>
            <w:vMerge w:val="restart"/>
            <w:vAlign w:val="center"/>
          </w:tcPr>
          <w:p w14:paraId="093F2C75">
            <w:pPr>
              <w:spacing w:line="276" w:lineRule="auto"/>
              <w:jc w:val="center"/>
              <w:rPr>
                <w:rFonts w:ascii="宋体" w:hAnsi="宋体" w:eastAsia="宋体" w:cs="宋体"/>
                <w:szCs w:val="21"/>
              </w:rPr>
            </w:pPr>
            <w:r>
              <w:rPr>
                <w:rFonts w:hint="eastAsia" w:ascii="宋体" w:hAnsi="宋体" w:eastAsia="宋体" w:cs="宋体"/>
                <w:szCs w:val="21"/>
              </w:rPr>
              <w:t>职务</w:t>
            </w:r>
          </w:p>
        </w:tc>
        <w:tc>
          <w:tcPr>
            <w:tcW w:w="877" w:type="dxa"/>
            <w:vMerge w:val="restart"/>
            <w:vAlign w:val="center"/>
          </w:tcPr>
          <w:p w14:paraId="325B5054">
            <w:pPr>
              <w:spacing w:line="276" w:lineRule="auto"/>
              <w:jc w:val="center"/>
              <w:rPr>
                <w:rFonts w:ascii="宋体" w:hAnsi="宋体" w:eastAsia="宋体" w:cs="宋体"/>
                <w:szCs w:val="21"/>
              </w:rPr>
            </w:pPr>
            <w:r>
              <w:rPr>
                <w:rFonts w:hint="eastAsia" w:ascii="宋体" w:hAnsi="宋体" w:eastAsia="宋体" w:cs="宋体"/>
                <w:szCs w:val="21"/>
              </w:rPr>
              <w:t>姓名</w:t>
            </w:r>
          </w:p>
        </w:tc>
        <w:tc>
          <w:tcPr>
            <w:tcW w:w="877" w:type="dxa"/>
            <w:vMerge w:val="restart"/>
            <w:vAlign w:val="center"/>
          </w:tcPr>
          <w:p w14:paraId="284685F5">
            <w:pPr>
              <w:spacing w:line="276" w:lineRule="auto"/>
              <w:jc w:val="center"/>
              <w:rPr>
                <w:rFonts w:ascii="宋体" w:hAnsi="宋体" w:eastAsia="宋体" w:cs="宋体"/>
                <w:szCs w:val="21"/>
              </w:rPr>
            </w:pPr>
            <w:r>
              <w:rPr>
                <w:rFonts w:hint="eastAsia" w:ascii="宋体" w:hAnsi="宋体" w:eastAsia="宋体" w:cs="宋体"/>
                <w:szCs w:val="21"/>
              </w:rPr>
              <w:t>职称</w:t>
            </w:r>
          </w:p>
        </w:tc>
        <w:tc>
          <w:tcPr>
            <w:tcW w:w="877" w:type="dxa"/>
            <w:vMerge w:val="restart"/>
            <w:vAlign w:val="center"/>
          </w:tcPr>
          <w:p w14:paraId="2C298422">
            <w:pPr>
              <w:spacing w:line="276" w:lineRule="auto"/>
              <w:jc w:val="center"/>
              <w:rPr>
                <w:rFonts w:ascii="宋体" w:hAnsi="宋体" w:eastAsia="宋体" w:cs="宋体"/>
                <w:szCs w:val="21"/>
              </w:rPr>
            </w:pPr>
            <w:r>
              <w:rPr>
                <w:rFonts w:hint="eastAsia" w:ascii="宋体" w:hAnsi="宋体" w:eastAsia="宋体" w:cs="宋体"/>
                <w:szCs w:val="21"/>
              </w:rPr>
              <w:t>学历</w:t>
            </w:r>
          </w:p>
        </w:tc>
        <w:tc>
          <w:tcPr>
            <w:tcW w:w="4265" w:type="dxa"/>
            <w:gridSpan w:val="4"/>
            <w:vAlign w:val="center"/>
          </w:tcPr>
          <w:p w14:paraId="34193D17">
            <w:pPr>
              <w:spacing w:line="276" w:lineRule="auto"/>
              <w:jc w:val="center"/>
              <w:rPr>
                <w:rFonts w:ascii="宋体" w:hAnsi="宋体" w:eastAsia="宋体" w:cs="宋体"/>
                <w:szCs w:val="21"/>
              </w:rPr>
            </w:pPr>
            <w:r>
              <w:rPr>
                <w:rFonts w:hint="eastAsia" w:ascii="宋体" w:hAnsi="宋体" w:eastAsia="宋体" w:cs="宋体"/>
                <w:szCs w:val="21"/>
              </w:rPr>
              <w:t>上岗资格证明</w:t>
            </w:r>
          </w:p>
        </w:tc>
      </w:tr>
      <w:tr w14:paraId="7133A1F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1058" w:type="dxa"/>
            <w:vMerge w:val="continue"/>
            <w:vAlign w:val="center"/>
          </w:tcPr>
          <w:p w14:paraId="2FA41065">
            <w:pPr>
              <w:spacing w:line="276" w:lineRule="auto"/>
              <w:jc w:val="center"/>
              <w:rPr>
                <w:rFonts w:ascii="宋体" w:hAnsi="宋体" w:eastAsia="宋体" w:cs="宋体"/>
                <w:szCs w:val="21"/>
              </w:rPr>
            </w:pPr>
          </w:p>
        </w:tc>
        <w:tc>
          <w:tcPr>
            <w:tcW w:w="876" w:type="dxa"/>
            <w:vMerge w:val="continue"/>
            <w:vAlign w:val="center"/>
          </w:tcPr>
          <w:p w14:paraId="2CE58E12">
            <w:pPr>
              <w:spacing w:line="276" w:lineRule="auto"/>
              <w:jc w:val="center"/>
              <w:rPr>
                <w:rFonts w:ascii="宋体" w:hAnsi="宋体" w:eastAsia="宋体" w:cs="宋体"/>
                <w:szCs w:val="21"/>
              </w:rPr>
            </w:pPr>
          </w:p>
        </w:tc>
        <w:tc>
          <w:tcPr>
            <w:tcW w:w="877" w:type="dxa"/>
            <w:vMerge w:val="continue"/>
            <w:vAlign w:val="center"/>
          </w:tcPr>
          <w:p w14:paraId="11657687">
            <w:pPr>
              <w:spacing w:line="276" w:lineRule="auto"/>
              <w:jc w:val="center"/>
              <w:rPr>
                <w:rFonts w:ascii="宋体" w:hAnsi="宋体" w:eastAsia="宋体" w:cs="宋体"/>
                <w:szCs w:val="21"/>
              </w:rPr>
            </w:pPr>
          </w:p>
        </w:tc>
        <w:tc>
          <w:tcPr>
            <w:tcW w:w="877" w:type="dxa"/>
            <w:vMerge w:val="continue"/>
          </w:tcPr>
          <w:p w14:paraId="656848F0">
            <w:pPr>
              <w:spacing w:line="276" w:lineRule="auto"/>
              <w:jc w:val="center"/>
              <w:rPr>
                <w:rFonts w:ascii="宋体" w:hAnsi="宋体" w:eastAsia="宋体" w:cs="宋体"/>
                <w:szCs w:val="21"/>
              </w:rPr>
            </w:pPr>
          </w:p>
        </w:tc>
        <w:tc>
          <w:tcPr>
            <w:tcW w:w="877" w:type="dxa"/>
            <w:vMerge w:val="continue"/>
            <w:vAlign w:val="center"/>
          </w:tcPr>
          <w:p w14:paraId="2457D020">
            <w:pPr>
              <w:spacing w:line="276" w:lineRule="auto"/>
              <w:jc w:val="center"/>
              <w:rPr>
                <w:rFonts w:ascii="宋体" w:hAnsi="宋体" w:eastAsia="宋体" w:cs="宋体"/>
                <w:szCs w:val="21"/>
              </w:rPr>
            </w:pPr>
          </w:p>
        </w:tc>
        <w:tc>
          <w:tcPr>
            <w:tcW w:w="1151" w:type="dxa"/>
            <w:vAlign w:val="center"/>
          </w:tcPr>
          <w:p w14:paraId="6D2F8CAB">
            <w:pPr>
              <w:spacing w:line="276" w:lineRule="auto"/>
              <w:jc w:val="center"/>
              <w:rPr>
                <w:rFonts w:ascii="宋体" w:hAnsi="宋体" w:eastAsia="宋体" w:cs="宋体"/>
                <w:szCs w:val="21"/>
              </w:rPr>
            </w:pPr>
            <w:r>
              <w:rPr>
                <w:rFonts w:hint="eastAsia" w:ascii="宋体" w:hAnsi="宋体" w:eastAsia="宋体" w:cs="宋体"/>
                <w:szCs w:val="21"/>
              </w:rPr>
              <w:t>证书名称</w:t>
            </w:r>
          </w:p>
        </w:tc>
        <w:tc>
          <w:tcPr>
            <w:tcW w:w="933" w:type="dxa"/>
            <w:vAlign w:val="center"/>
          </w:tcPr>
          <w:p w14:paraId="2EAD8388">
            <w:pPr>
              <w:spacing w:line="276" w:lineRule="auto"/>
              <w:jc w:val="center"/>
              <w:rPr>
                <w:rFonts w:ascii="宋体" w:hAnsi="宋体" w:eastAsia="宋体" w:cs="宋体"/>
                <w:szCs w:val="21"/>
              </w:rPr>
            </w:pPr>
            <w:r>
              <w:rPr>
                <w:rFonts w:hint="eastAsia" w:ascii="宋体" w:hAnsi="宋体" w:eastAsia="宋体" w:cs="宋体"/>
                <w:szCs w:val="21"/>
              </w:rPr>
              <w:t>级别</w:t>
            </w:r>
          </w:p>
        </w:tc>
        <w:tc>
          <w:tcPr>
            <w:tcW w:w="1101" w:type="dxa"/>
            <w:vAlign w:val="center"/>
          </w:tcPr>
          <w:p w14:paraId="70D123F9">
            <w:pPr>
              <w:spacing w:line="276" w:lineRule="auto"/>
              <w:jc w:val="center"/>
              <w:rPr>
                <w:rFonts w:ascii="宋体" w:hAnsi="宋体" w:eastAsia="宋体" w:cs="宋体"/>
                <w:szCs w:val="21"/>
              </w:rPr>
            </w:pPr>
            <w:r>
              <w:rPr>
                <w:rFonts w:hint="eastAsia" w:ascii="宋体" w:hAnsi="宋体" w:eastAsia="宋体" w:cs="宋体"/>
                <w:szCs w:val="21"/>
              </w:rPr>
              <w:t>证号</w:t>
            </w:r>
          </w:p>
        </w:tc>
        <w:tc>
          <w:tcPr>
            <w:tcW w:w="1080" w:type="dxa"/>
            <w:vAlign w:val="center"/>
          </w:tcPr>
          <w:p w14:paraId="4FB9C317">
            <w:pPr>
              <w:spacing w:line="276" w:lineRule="auto"/>
              <w:jc w:val="center"/>
              <w:rPr>
                <w:rFonts w:ascii="宋体" w:hAnsi="宋体" w:eastAsia="宋体" w:cs="宋体"/>
                <w:szCs w:val="21"/>
              </w:rPr>
            </w:pPr>
            <w:r>
              <w:rPr>
                <w:rFonts w:hint="eastAsia" w:ascii="宋体" w:hAnsi="宋体" w:eastAsia="宋体" w:cs="宋体"/>
                <w:szCs w:val="21"/>
              </w:rPr>
              <w:t>专业</w:t>
            </w:r>
          </w:p>
        </w:tc>
      </w:tr>
      <w:tr w14:paraId="01D642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1058" w:type="dxa"/>
            <w:vMerge w:val="restart"/>
            <w:vAlign w:val="center"/>
          </w:tcPr>
          <w:p w14:paraId="1C3B67A5">
            <w:pPr>
              <w:jc w:val="center"/>
              <w:rPr>
                <w:rFonts w:ascii="宋体" w:hAnsi="宋体" w:eastAsia="宋体" w:cs="宋体"/>
                <w:szCs w:val="21"/>
              </w:rPr>
            </w:pPr>
            <w:r>
              <w:rPr>
                <w:rFonts w:hint="eastAsia" w:ascii="宋体" w:hAnsi="宋体" w:eastAsia="宋体" w:cs="宋体"/>
                <w:szCs w:val="21"/>
              </w:rPr>
              <w:t>.....</w:t>
            </w:r>
          </w:p>
        </w:tc>
        <w:tc>
          <w:tcPr>
            <w:tcW w:w="876" w:type="dxa"/>
            <w:vAlign w:val="center"/>
          </w:tcPr>
          <w:p w14:paraId="19E0FF3E">
            <w:pPr>
              <w:jc w:val="center"/>
              <w:rPr>
                <w:rFonts w:ascii="宋体" w:hAnsi="宋体" w:eastAsia="宋体" w:cs="宋体"/>
                <w:szCs w:val="21"/>
              </w:rPr>
            </w:pPr>
          </w:p>
        </w:tc>
        <w:tc>
          <w:tcPr>
            <w:tcW w:w="877" w:type="dxa"/>
            <w:vAlign w:val="center"/>
          </w:tcPr>
          <w:p w14:paraId="49970D82">
            <w:pPr>
              <w:jc w:val="center"/>
              <w:rPr>
                <w:rFonts w:ascii="宋体" w:hAnsi="宋体" w:eastAsia="宋体" w:cs="宋体"/>
                <w:szCs w:val="21"/>
              </w:rPr>
            </w:pPr>
          </w:p>
        </w:tc>
        <w:tc>
          <w:tcPr>
            <w:tcW w:w="877" w:type="dxa"/>
            <w:vAlign w:val="center"/>
          </w:tcPr>
          <w:p w14:paraId="44087DD5">
            <w:pPr>
              <w:jc w:val="center"/>
              <w:rPr>
                <w:rFonts w:ascii="宋体" w:hAnsi="宋体" w:eastAsia="宋体" w:cs="宋体"/>
                <w:szCs w:val="21"/>
              </w:rPr>
            </w:pPr>
          </w:p>
        </w:tc>
        <w:tc>
          <w:tcPr>
            <w:tcW w:w="877" w:type="dxa"/>
            <w:vAlign w:val="center"/>
          </w:tcPr>
          <w:p w14:paraId="37166D0E">
            <w:pPr>
              <w:jc w:val="center"/>
              <w:rPr>
                <w:rFonts w:ascii="宋体" w:hAnsi="宋体" w:eastAsia="宋体" w:cs="宋体"/>
                <w:szCs w:val="21"/>
              </w:rPr>
            </w:pPr>
          </w:p>
        </w:tc>
        <w:tc>
          <w:tcPr>
            <w:tcW w:w="1151" w:type="dxa"/>
            <w:vAlign w:val="center"/>
          </w:tcPr>
          <w:p w14:paraId="4D528FA4">
            <w:pPr>
              <w:jc w:val="center"/>
              <w:rPr>
                <w:rFonts w:ascii="宋体" w:hAnsi="宋体" w:eastAsia="宋体" w:cs="宋体"/>
                <w:szCs w:val="21"/>
              </w:rPr>
            </w:pPr>
          </w:p>
        </w:tc>
        <w:tc>
          <w:tcPr>
            <w:tcW w:w="933" w:type="dxa"/>
            <w:vAlign w:val="center"/>
          </w:tcPr>
          <w:p w14:paraId="6923EC21">
            <w:pPr>
              <w:jc w:val="center"/>
              <w:rPr>
                <w:rFonts w:ascii="宋体" w:hAnsi="宋体" w:eastAsia="宋体" w:cs="宋体"/>
                <w:szCs w:val="21"/>
              </w:rPr>
            </w:pPr>
          </w:p>
        </w:tc>
        <w:tc>
          <w:tcPr>
            <w:tcW w:w="1101" w:type="dxa"/>
            <w:vAlign w:val="center"/>
          </w:tcPr>
          <w:p w14:paraId="432451FA">
            <w:pPr>
              <w:jc w:val="center"/>
              <w:rPr>
                <w:rFonts w:ascii="宋体" w:hAnsi="宋体" w:eastAsia="宋体" w:cs="宋体"/>
                <w:szCs w:val="21"/>
              </w:rPr>
            </w:pPr>
          </w:p>
        </w:tc>
        <w:tc>
          <w:tcPr>
            <w:tcW w:w="1080" w:type="dxa"/>
            <w:vAlign w:val="center"/>
          </w:tcPr>
          <w:p w14:paraId="0A450E62">
            <w:pPr>
              <w:jc w:val="center"/>
              <w:rPr>
                <w:rFonts w:ascii="宋体" w:hAnsi="宋体" w:eastAsia="宋体" w:cs="宋体"/>
                <w:szCs w:val="21"/>
              </w:rPr>
            </w:pPr>
          </w:p>
        </w:tc>
      </w:tr>
      <w:tr w14:paraId="4A93E57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1058" w:type="dxa"/>
            <w:vMerge w:val="continue"/>
            <w:vAlign w:val="center"/>
          </w:tcPr>
          <w:p w14:paraId="6D97DAE9">
            <w:pPr>
              <w:jc w:val="center"/>
              <w:rPr>
                <w:rFonts w:ascii="宋体" w:hAnsi="宋体" w:eastAsia="宋体" w:cs="宋体"/>
                <w:szCs w:val="21"/>
              </w:rPr>
            </w:pPr>
          </w:p>
        </w:tc>
        <w:tc>
          <w:tcPr>
            <w:tcW w:w="876" w:type="dxa"/>
            <w:vAlign w:val="center"/>
          </w:tcPr>
          <w:p w14:paraId="6D9219B1">
            <w:pPr>
              <w:jc w:val="center"/>
              <w:rPr>
                <w:rFonts w:ascii="宋体" w:hAnsi="宋体" w:eastAsia="宋体" w:cs="宋体"/>
                <w:szCs w:val="21"/>
              </w:rPr>
            </w:pPr>
          </w:p>
        </w:tc>
        <w:tc>
          <w:tcPr>
            <w:tcW w:w="877" w:type="dxa"/>
            <w:vAlign w:val="center"/>
          </w:tcPr>
          <w:p w14:paraId="6113E4D2">
            <w:pPr>
              <w:jc w:val="center"/>
              <w:rPr>
                <w:rFonts w:ascii="宋体" w:hAnsi="宋体" w:eastAsia="宋体" w:cs="宋体"/>
                <w:szCs w:val="21"/>
              </w:rPr>
            </w:pPr>
          </w:p>
        </w:tc>
        <w:tc>
          <w:tcPr>
            <w:tcW w:w="877" w:type="dxa"/>
            <w:vAlign w:val="center"/>
          </w:tcPr>
          <w:p w14:paraId="7BBAECDF">
            <w:pPr>
              <w:jc w:val="center"/>
              <w:rPr>
                <w:rFonts w:ascii="宋体" w:hAnsi="宋体" w:eastAsia="宋体" w:cs="宋体"/>
                <w:szCs w:val="21"/>
              </w:rPr>
            </w:pPr>
          </w:p>
        </w:tc>
        <w:tc>
          <w:tcPr>
            <w:tcW w:w="877" w:type="dxa"/>
            <w:vAlign w:val="center"/>
          </w:tcPr>
          <w:p w14:paraId="12BCF625">
            <w:pPr>
              <w:jc w:val="center"/>
              <w:rPr>
                <w:rFonts w:ascii="宋体" w:hAnsi="宋体" w:eastAsia="宋体" w:cs="宋体"/>
                <w:szCs w:val="21"/>
              </w:rPr>
            </w:pPr>
          </w:p>
        </w:tc>
        <w:tc>
          <w:tcPr>
            <w:tcW w:w="1151" w:type="dxa"/>
            <w:vAlign w:val="center"/>
          </w:tcPr>
          <w:p w14:paraId="6CF0BA2A">
            <w:pPr>
              <w:jc w:val="center"/>
              <w:rPr>
                <w:rFonts w:ascii="宋体" w:hAnsi="宋体" w:eastAsia="宋体" w:cs="宋体"/>
                <w:szCs w:val="21"/>
              </w:rPr>
            </w:pPr>
          </w:p>
        </w:tc>
        <w:tc>
          <w:tcPr>
            <w:tcW w:w="933" w:type="dxa"/>
            <w:vAlign w:val="center"/>
          </w:tcPr>
          <w:p w14:paraId="62D4019C">
            <w:pPr>
              <w:jc w:val="center"/>
              <w:rPr>
                <w:rFonts w:ascii="宋体" w:hAnsi="宋体" w:eastAsia="宋体" w:cs="宋体"/>
                <w:szCs w:val="21"/>
              </w:rPr>
            </w:pPr>
          </w:p>
        </w:tc>
        <w:tc>
          <w:tcPr>
            <w:tcW w:w="1101" w:type="dxa"/>
            <w:vAlign w:val="center"/>
          </w:tcPr>
          <w:p w14:paraId="73FD8415">
            <w:pPr>
              <w:jc w:val="center"/>
              <w:rPr>
                <w:rFonts w:ascii="宋体" w:hAnsi="宋体" w:eastAsia="宋体" w:cs="宋体"/>
                <w:szCs w:val="21"/>
              </w:rPr>
            </w:pPr>
          </w:p>
        </w:tc>
        <w:tc>
          <w:tcPr>
            <w:tcW w:w="1080" w:type="dxa"/>
            <w:vAlign w:val="center"/>
          </w:tcPr>
          <w:p w14:paraId="127AF77E">
            <w:pPr>
              <w:jc w:val="center"/>
              <w:rPr>
                <w:rFonts w:ascii="宋体" w:hAnsi="宋体" w:eastAsia="宋体" w:cs="宋体"/>
                <w:szCs w:val="21"/>
              </w:rPr>
            </w:pPr>
          </w:p>
        </w:tc>
      </w:tr>
      <w:tr w14:paraId="36ED143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1058" w:type="dxa"/>
            <w:vMerge w:val="continue"/>
            <w:vAlign w:val="center"/>
          </w:tcPr>
          <w:p w14:paraId="42F14948">
            <w:pPr>
              <w:jc w:val="center"/>
              <w:rPr>
                <w:rFonts w:ascii="宋体" w:hAnsi="宋体" w:eastAsia="宋体" w:cs="宋体"/>
                <w:szCs w:val="21"/>
              </w:rPr>
            </w:pPr>
          </w:p>
        </w:tc>
        <w:tc>
          <w:tcPr>
            <w:tcW w:w="876" w:type="dxa"/>
            <w:vAlign w:val="center"/>
          </w:tcPr>
          <w:p w14:paraId="6C64E299">
            <w:pPr>
              <w:jc w:val="center"/>
              <w:rPr>
                <w:rFonts w:ascii="宋体" w:hAnsi="宋体" w:eastAsia="宋体" w:cs="宋体"/>
                <w:szCs w:val="21"/>
              </w:rPr>
            </w:pPr>
          </w:p>
        </w:tc>
        <w:tc>
          <w:tcPr>
            <w:tcW w:w="877" w:type="dxa"/>
            <w:vAlign w:val="center"/>
          </w:tcPr>
          <w:p w14:paraId="489ED572">
            <w:pPr>
              <w:jc w:val="center"/>
              <w:rPr>
                <w:rFonts w:ascii="宋体" w:hAnsi="宋体" w:eastAsia="宋体" w:cs="宋体"/>
                <w:szCs w:val="21"/>
              </w:rPr>
            </w:pPr>
          </w:p>
        </w:tc>
        <w:tc>
          <w:tcPr>
            <w:tcW w:w="877" w:type="dxa"/>
            <w:vAlign w:val="center"/>
          </w:tcPr>
          <w:p w14:paraId="0D64E6F9">
            <w:pPr>
              <w:jc w:val="center"/>
              <w:rPr>
                <w:rFonts w:ascii="宋体" w:hAnsi="宋体" w:eastAsia="宋体" w:cs="宋体"/>
                <w:szCs w:val="21"/>
              </w:rPr>
            </w:pPr>
          </w:p>
        </w:tc>
        <w:tc>
          <w:tcPr>
            <w:tcW w:w="877" w:type="dxa"/>
            <w:vAlign w:val="center"/>
          </w:tcPr>
          <w:p w14:paraId="697A1DFE">
            <w:pPr>
              <w:jc w:val="center"/>
              <w:rPr>
                <w:rFonts w:ascii="宋体" w:hAnsi="宋体" w:eastAsia="宋体" w:cs="宋体"/>
                <w:szCs w:val="21"/>
              </w:rPr>
            </w:pPr>
          </w:p>
        </w:tc>
        <w:tc>
          <w:tcPr>
            <w:tcW w:w="1151" w:type="dxa"/>
            <w:vAlign w:val="center"/>
          </w:tcPr>
          <w:p w14:paraId="708ABF36">
            <w:pPr>
              <w:jc w:val="center"/>
              <w:rPr>
                <w:rFonts w:ascii="宋体" w:hAnsi="宋体" w:eastAsia="宋体" w:cs="宋体"/>
                <w:szCs w:val="21"/>
              </w:rPr>
            </w:pPr>
          </w:p>
        </w:tc>
        <w:tc>
          <w:tcPr>
            <w:tcW w:w="933" w:type="dxa"/>
            <w:vAlign w:val="center"/>
          </w:tcPr>
          <w:p w14:paraId="41D1E6A5">
            <w:pPr>
              <w:jc w:val="center"/>
              <w:rPr>
                <w:rFonts w:ascii="宋体" w:hAnsi="宋体" w:eastAsia="宋体" w:cs="宋体"/>
                <w:szCs w:val="21"/>
              </w:rPr>
            </w:pPr>
          </w:p>
        </w:tc>
        <w:tc>
          <w:tcPr>
            <w:tcW w:w="1101" w:type="dxa"/>
            <w:vAlign w:val="center"/>
          </w:tcPr>
          <w:p w14:paraId="4BD50F63">
            <w:pPr>
              <w:jc w:val="center"/>
              <w:rPr>
                <w:rFonts w:ascii="宋体" w:hAnsi="宋体" w:eastAsia="宋体" w:cs="宋体"/>
                <w:szCs w:val="21"/>
              </w:rPr>
            </w:pPr>
          </w:p>
        </w:tc>
        <w:tc>
          <w:tcPr>
            <w:tcW w:w="1080" w:type="dxa"/>
            <w:vAlign w:val="center"/>
          </w:tcPr>
          <w:p w14:paraId="4D732068">
            <w:pPr>
              <w:jc w:val="center"/>
              <w:rPr>
                <w:rFonts w:ascii="宋体" w:hAnsi="宋体" w:eastAsia="宋体" w:cs="宋体"/>
                <w:szCs w:val="21"/>
              </w:rPr>
            </w:pPr>
          </w:p>
        </w:tc>
      </w:tr>
      <w:tr w14:paraId="1671096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52" w:hRule="atLeast"/>
          <w:jc w:val="center"/>
        </w:trPr>
        <w:tc>
          <w:tcPr>
            <w:tcW w:w="1058" w:type="dxa"/>
            <w:vMerge w:val="restart"/>
            <w:vAlign w:val="center"/>
          </w:tcPr>
          <w:p w14:paraId="27265954">
            <w:pPr>
              <w:jc w:val="center"/>
              <w:rPr>
                <w:rFonts w:ascii="宋体" w:hAnsi="宋体" w:eastAsia="宋体" w:cs="宋体"/>
                <w:szCs w:val="21"/>
              </w:rPr>
            </w:pPr>
            <w:r>
              <w:rPr>
                <w:rFonts w:hint="eastAsia" w:ascii="宋体" w:hAnsi="宋体" w:eastAsia="宋体" w:cs="宋体"/>
                <w:szCs w:val="21"/>
              </w:rPr>
              <w:t>....</w:t>
            </w:r>
          </w:p>
        </w:tc>
        <w:tc>
          <w:tcPr>
            <w:tcW w:w="876" w:type="dxa"/>
            <w:vAlign w:val="center"/>
          </w:tcPr>
          <w:p w14:paraId="4D0FD5B8">
            <w:pPr>
              <w:jc w:val="center"/>
              <w:rPr>
                <w:rFonts w:ascii="宋体" w:hAnsi="宋体" w:eastAsia="宋体" w:cs="宋体"/>
                <w:szCs w:val="21"/>
              </w:rPr>
            </w:pPr>
          </w:p>
        </w:tc>
        <w:tc>
          <w:tcPr>
            <w:tcW w:w="877" w:type="dxa"/>
            <w:vAlign w:val="center"/>
          </w:tcPr>
          <w:p w14:paraId="69847996">
            <w:pPr>
              <w:jc w:val="center"/>
              <w:rPr>
                <w:rFonts w:ascii="宋体" w:hAnsi="宋体" w:eastAsia="宋体" w:cs="宋体"/>
                <w:szCs w:val="21"/>
              </w:rPr>
            </w:pPr>
          </w:p>
        </w:tc>
        <w:tc>
          <w:tcPr>
            <w:tcW w:w="877" w:type="dxa"/>
            <w:vAlign w:val="center"/>
          </w:tcPr>
          <w:p w14:paraId="100012EA">
            <w:pPr>
              <w:jc w:val="center"/>
              <w:rPr>
                <w:rFonts w:ascii="宋体" w:hAnsi="宋体" w:eastAsia="宋体" w:cs="宋体"/>
                <w:szCs w:val="21"/>
              </w:rPr>
            </w:pPr>
          </w:p>
        </w:tc>
        <w:tc>
          <w:tcPr>
            <w:tcW w:w="877" w:type="dxa"/>
            <w:vAlign w:val="center"/>
          </w:tcPr>
          <w:p w14:paraId="0711C177">
            <w:pPr>
              <w:jc w:val="center"/>
              <w:rPr>
                <w:rFonts w:ascii="宋体" w:hAnsi="宋体" w:eastAsia="宋体" w:cs="宋体"/>
                <w:szCs w:val="21"/>
              </w:rPr>
            </w:pPr>
          </w:p>
        </w:tc>
        <w:tc>
          <w:tcPr>
            <w:tcW w:w="1151" w:type="dxa"/>
            <w:vAlign w:val="center"/>
          </w:tcPr>
          <w:p w14:paraId="643918A5">
            <w:pPr>
              <w:jc w:val="center"/>
              <w:rPr>
                <w:rFonts w:ascii="宋体" w:hAnsi="宋体" w:eastAsia="宋体" w:cs="宋体"/>
                <w:szCs w:val="21"/>
              </w:rPr>
            </w:pPr>
          </w:p>
        </w:tc>
        <w:tc>
          <w:tcPr>
            <w:tcW w:w="933" w:type="dxa"/>
            <w:vAlign w:val="center"/>
          </w:tcPr>
          <w:p w14:paraId="3BBD055E">
            <w:pPr>
              <w:jc w:val="center"/>
              <w:rPr>
                <w:rFonts w:ascii="宋体" w:hAnsi="宋体" w:eastAsia="宋体" w:cs="宋体"/>
                <w:szCs w:val="21"/>
              </w:rPr>
            </w:pPr>
          </w:p>
        </w:tc>
        <w:tc>
          <w:tcPr>
            <w:tcW w:w="1101" w:type="dxa"/>
            <w:vAlign w:val="center"/>
          </w:tcPr>
          <w:p w14:paraId="044A87D8">
            <w:pPr>
              <w:jc w:val="center"/>
              <w:rPr>
                <w:rFonts w:ascii="宋体" w:hAnsi="宋体" w:eastAsia="宋体" w:cs="宋体"/>
                <w:szCs w:val="21"/>
              </w:rPr>
            </w:pPr>
          </w:p>
        </w:tc>
        <w:tc>
          <w:tcPr>
            <w:tcW w:w="1080" w:type="dxa"/>
            <w:vAlign w:val="center"/>
          </w:tcPr>
          <w:p w14:paraId="07EDA2D3">
            <w:pPr>
              <w:jc w:val="center"/>
              <w:rPr>
                <w:rFonts w:ascii="宋体" w:hAnsi="宋体" w:eastAsia="宋体" w:cs="宋体"/>
                <w:szCs w:val="21"/>
              </w:rPr>
            </w:pPr>
          </w:p>
        </w:tc>
      </w:tr>
      <w:tr w14:paraId="51AF666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58" w:type="dxa"/>
            <w:vMerge w:val="continue"/>
            <w:vAlign w:val="center"/>
          </w:tcPr>
          <w:p w14:paraId="2E6E79B1">
            <w:pPr>
              <w:jc w:val="center"/>
              <w:rPr>
                <w:rFonts w:ascii="宋体" w:hAnsi="宋体" w:eastAsia="宋体" w:cs="宋体"/>
                <w:szCs w:val="21"/>
              </w:rPr>
            </w:pPr>
          </w:p>
        </w:tc>
        <w:tc>
          <w:tcPr>
            <w:tcW w:w="876" w:type="dxa"/>
            <w:vAlign w:val="center"/>
          </w:tcPr>
          <w:p w14:paraId="6A46FC60">
            <w:pPr>
              <w:jc w:val="center"/>
              <w:rPr>
                <w:rFonts w:ascii="宋体" w:hAnsi="宋体" w:eastAsia="宋体" w:cs="宋体"/>
                <w:szCs w:val="21"/>
              </w:rPr>
            </w:pPr>
          </w:p>
        </w:tc>
        <w:tc>
          <w:tcPr>
            <w:tcW w:w="877" w:type="dxa"/>
            <w:vAlign w:val="center"/>
          </w:tcPr>
          <w:p w14:paraId="3A56227A">
            <w:pPr>
              <w:jc w:val="center"/>
              <w:rPr>
                <w:rFonts w:ascii="宋体" w:hAnsi="宋体" w:eastAsia="宋体" w:cs="宋体"/>
                <w:szCs w:val="21"/>
              </w:rPr>
            </w:pPr>
          </w:p>
        </w:tc>
        <w:tc>
          <w:tcPr>
            <w:tcW w:w="877" w:type="dxa"/>
            <w:vAlign w:val="center"/>
          </w:tcPr>
          <w:p w14:paraId="01A630D9">
            <w:pPr>
              <w:jc w:val="center"/>
              <w:rPr>
                <w:rFonts w:ascii="宋体" w:hAnsi="宋体" w:eastAsia="宋体" w:cs="宋体"/>
                <w:szCs w:val="21"/>
              </w:rPr>
            </w:pPr>
          </w:p>
        </w:tc>
        <w:tc>
          <w:tcPr>
            <w:tcW w:w="877" w:type="dxa"/>
            <w:vAlign w:val="center"/>
          </w:tcPr>
          <w:p w14:paraId="4C91842E">
            <w:pPr>
              <w:jc w:val="center"/>
              <w:rPr>
                <w:rFonts w:ascii="宋体" w:hAnsi="宋体" w:eastAsia="宋体" w:cs="宋体"/>
                <w:szCs w:val="21"/>
              </w:rPr>
            </w:pPr>
          </w:p>
        </w:tc>
        <w:tc>
          <w:tcPr>
            <w:tcW w:w="1151" w:type="dxa"/>
            <w:vAlign w:val="center"/>
          </w:tcPr>
          <w:p w14:paraId="11EC69D9">
            <w:pPr>
              <w:jc w:val="center"/>
              <w:rPr>
                <w:rFonts w:ascii="宋体" w:hAnsi="宋体" w:eastAsia="宋体" w:cs="宋体"/>
                <w:szCs w:val="21"/>
              </w:rPr>
            </w:pPr>
          </w:p>
        </w:tc>
        <w:tc>
          <w:tcPr>
            <w:tcW w:w="933" w:type="dxa"/>
            <w:vAlign w:val="center"/>
          </w:tcPr>
          <w:p w14:paraId="08E81B41">
            <w:pPr>
              <w:jc w:val="center"/>
              <w:rPr>
                <w:rFonts w:ascii="宋体" w:hAnsi="宋体" w:eastAsia="宋体" w:cs="宋体"/>
                <w:szCs w:val="21"/>
              </w:rPr>
            </w:pPr>
          </w:p>
        </w:tc>
        <w:tc>
          <w:tcPr>
            <w:tcW w:w="1101" w:type="dxa"/>
            <w:vAlign w:val="center"/>
          </w:tcPr>
          <w:p w14:paraId="0F5635FD">
            <w:pPr>
              <w:jc w:val="center"/>
              <w:rPr>
                <w:rFonts w:ascii="宋体" w:hAnsi="宋体" w:eastAsia="宋体" w:cs="宋体"/>
                <w:szCs w:val="21"/>
              </w:rPr>
            </w:pPr>
          </w:p>
        </w:tc>
        <w:tc>
          <w:tcPr>
            <w:tcW w:w="1080" w:type="dxa"/>
            <w:vAlign w:val="center"/>
          </w:tcPr>
          <w:p w14:paraId="0C4031C8">
            <w:pPr>
              <w:jc w:val="center"/>
              <w:rPr>
                <w:rFonts w:ascii="宋体" w:hAnsi="宋体" w:eastAsia="宋体" w:cs="宋体"/>
                <w:szCs w:val="21"/>
              </w:rPr>
            </w:pPr>
          </w:p>
        </w:tc>
      </w:tr>
    </w:tbl>
    <w:p w14:paraId="0699ADB6">
      <w:pPr>
        <w:spacing w:after="120" w:line="276" w:lineRule="auto"/>
        <w:rPr>
          <w:rFonts w:ascii="Times New Roman" w:hAnsi="Times New Roman" w:eastAsia="宋体" w:cs="Times New Roman"/>
          <w:b/>
          <w:bCs/>
          <w:szCs w:val="21"/>
        </w:rPr>
      </w:pPr>
      <w:r>
        <w:rPr>
          <w:rFonts w:hint="eastAsia" w:ascii="Times New Roman" w:hAnsi="Times New Roman" w:eastAsia="宋体" w:cs="Times New Roman"/>
          <w:szCs w:val="21"/>
        </w:rPr>
        <w:t>（特别提示：以上表格仅供参考。投标人须按本招标文件评标信息中“</w:t>
      </w:r>
      <w:r>
        <w:rPr>
          <w:rFonts w:hint="eastAsia" w:ascii="宋体" w:hAnsi="宋体" w:cs="宋体"/>
          <w:color w:val="000000"/>
          <w:kern w:val="0"/>
          <w:szCs w:val="21"/>
        </w:rPr>
        <w:t>拟安排的项目团队成员情况（项目负责人除外）</w:t>
      </w:r>
      <w:r>
        <w:rPr>
          <w:rFonts w:hint="eastAsia" w:ascii="Times New Roman" w:hAnsi="Times New Roman" w:eastAsia="宋体" w:cs="Times New Roman"/>
          <w:szCs w:val="21"/>
        </w:rPr>
        <w:t>”这一评分因素要求，提供证明资料）</w:t>
      </w:r>
    </w:p>
    <w:p w14:paraId="535D2B74">
      <w:pPr>
        <w:pStyle w:val="8"/>
        <w:rPr>
          <w:rFonts w:asciiTheme="minorHAnsi" w:hAnsiTheme="minorHAnsi" w:eastAsiaTheme="minorEastAsia" w:cstheme="minorBidi"/>
          <w:bCs w:val="0"/>
          <w:sz w:val="21"/>
          <w:szCs w:val="22"/>
          <w:highlight w:val="none"/>
        </w:rPr>
      </w:pPr>
    </w:p>
    <w:p w14:paraId="4780AFF9">
      <w:pPr>
        <w:rPr>
          <w:rFonts w:ascii="Times New Roman" w:hAnsi="Times New Roman" w:eastAsia="黑体" w:cs="Times New Roman"/>
          <w:sz w:val="24"/>
          <w:szCs w:val="24"/>
        </w:rPr>
      </w:pPr>
    </w:p>
    <w:p w14:paraId="71446305">
      <w:pPr>
        <w:rPr>
          <w:rFonts w:ascii="Times New Roman" w:hAnsi="Times New Roman" w:eastAsia="黑体" w:cs="Times New Roman"/>
          <w:sz w:val="24"/>
          <w:szCs w:val="24"/>
        </w:rPr>
      </w:pPr>
      <w:r>
        <w:rPr>
          <w:rFonts w:hint="eastAsia" w:ascii="Times New Roman" w:hAnsi="Times New Roman" w:eastAsia="黑体" w:cs="Times New Roman"/>
          <w:sz w:val="24"/>
          <w:szCs w:val="24"/>
        </w:rPr>
        <w:br w:type="page"/>
      </w:r>
    </w:p>
    <w:p w14:paraId="02EBF2B0">
      <w:pPr>
        <w:keepNext/>
        <w:keepLines/>
        <w:spacing w:before="260" w:after="260" w:line="276" w:lineRule="auto"/>
        <w:jc w:val="center"/>
        <w:outlineLvl w:val="2"/>
        <w:rPr>
          <w:rFonts w:ascii="Times New Roman" w:hAnsi="Times New Roman" w:eastAsia="黑体" w:cs="Times New Roman"/>
          <w:bCs/>
          <w:sz w:val="24"/>
          <w:szCs w:val="32"/>
          <w:highlight w:val="none"/>
        </w:rPr>
      </w:pPr>
      <w:r>
        <w:rPr>
          <w:rFonts w:hint="eastAsia" w:ascii="Times New Roman" w:hAnsi="Times New Roman" w:eastAsia="黑体" w:cs="Times New Roman"/>
          <w:bCs/>
          <w:sz w:val="24"/>
          <w:szCs w:val="32"/>
          <w:highlight w:val="none"/>
          <w:lang w:val="en-US" w:eastAsia="zh-CN"/>
        </w:rPr>
        <w:t>十二</w:t>
      </w:r>
      <w:r>
        <w:rPr>
          <w:rFonts w:hint="eastAsia" w:ascii="Times New Roman" w:hAnsi="Times New Roman" w:eastAsia="黑体" w:cs="Times New Roman"/>
          <w:bCs/>
          <w:sz w:val="24"/>
          <w:szCs w:val="32"/>
          <w:highlight w:val="none"/>
        </w:rPr>
        <w:t>、</w:t>
      </w:r>
      <w:r>
        <w:rPr>
          <w:rFonts w:ascii="Times New Roman" w:hAnsi="Times New Roman" w:eastAsia="黑体" w:cs="Times New Roman"/>
          <w:bCs/>
          <w:sz w:val="24"/>
          <w:szCs w:val="32"/>
          <w:highlight w:val="none"/>
        </w:rPr>
        <w:t>投标人认为需要加以说明的其他内容</w:t>
      </w:r>
    </w:p>
    <w:p w14:paraId="5C8DFFF1">
      <w:pPr>
        <w:widowControl/>
        <w:jc w:val="center"/>
        <w:rPr>
          <w:rFonts w:ascii="黑体" w:hAnsi="宋体" w:eastAsia="黑体" w:cs="Times New Roman"/>
          <w:kern w:val="0"/>
          <w:sz w:val="24"/>
          <w:szCs w:val="20"/>
          <w:highlight w:val="none"/>
        </w:rPr>
      </w:pPr>
      <w:r>
        <w:rPr>
          <w:rFonts w:hint="eastAsia" w:ascii="黑体" w:hAnsi="宋体" w:eastAsia="黑体" w:cs="Times New Roman"/>
          <w:kern w:val="0"/>
          <w:sz w:val="24"/>
          <w:szCs w:val="20"/>
          <w:highlight w:val="none"/>
        </w:rPr>
        <w:t>（一）政府采购违法行为风险知悉确认书</w:t>
      </w:r>
    </w:p>
    <w:p w14:paraId="41D5D9CA">
      <w:pPr>
        <w:widowControl/>
        <w:jc w:val="center"/>
        <w:rPr>
          <w:rFonts w:ascii="黑体" w:hAnsi="宋体" w:eastAsia="黑体" w:cs="Times New Roman"/>
          <w:kern w:val="0"/>
          <w:sz w:val="24"/>
          <w:szCs w:val="20"/>
          <w:highlight w:val="none"/>
        </w:rPr>
      </w:pPr>
    </w:p>
    <w:p w14:paraId="1B6B1864">
      <w:pPr>
        <w:spacing w:after="156" w:afterLines="50" w:line="360" w:lineRule="exact"/>
        <w:ind w:firstLine="422" w:firstLineChars="200"/>
        <w:rPr>
          <w:rFonts w:ascii="宋体" w:hAnsi="宋体" w:eastAsia="宋体" w:cs="宋体"/>
          <w:b/>
          <w:bCs/>
          <w:szCs w:val="21"/>
        </w:rPr>
      </w:pPr>
      <w:r>
        <w:rPr>
          <w:rFonts w:hint="eastAsia" w:ascii="宋体" w:hAnsi="宋体" w:eastAsia="宋体" w:cs="宋体"/>
          <w:b/>
          <w:bCs/>
          <w:szCs w:val="21"/>
        </w:rPr>
        <w:t>我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4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7811"/>
      </w:tblGrid>
      <w:tr w14:paraId="01183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tcPr>
          <w:p w14:paraId="4B8B098F">
            <w:pPr>
              <w:spacing w:line="400" w:lineRule="exact"/>
              <w:jc w:val="center"/>
              <w:rPr>
                <w:rFonts w:ascii="宋体" w:hAnsi="宋体" w:eastAsia="宋体" w:cs="宋体"/>
                <w:szCs w:val="21"/>
              </w:rPr>
            </w:pPr>
            <w:r>
              <w:rPr>
                <w:rFonts w:hint="eastAsia" w:ascii="宋体" w:hAnsi="宋体" w:eastAsia="宋体" w:cs="宋体"/>
                <w:szCs w:val="21"/>
              </w:rPr>
              <w:t>序号</w:t>
            </w:r>
          </w:p>
        </w:tc>
        <w:tc>
          <w:tcPr>
            <w:tcW w:w="7811" w:type="dxa"/>
          </w:tcPr>
          <w:p w14:paraId="40890F5A">
            <w:pPr>
              <w:spacing w:line="400" w:lineRule="exact"/>
              <w:jc w:val="center"/>
              <w:rPr>
                <w:rFonts w:ascii="宋体" w:hAnsi="宋体" w:eastAsia="宋体" w:cs="宋体"/>
                <w:szCs w:val="21"/>
              </w:rPr>
            </w:pPr>
            <w:r>
              <w:rPr>
                <w:rFonts w:hint="eastAsia" w:ascii="宋体" w:hAnsi="宋体" w:eastAsia="宋体" w:cs="宋体"/>
                <w:b/>
                <w:bCs/>
                <w:szCs w:val="21"/>
              </w:rPr>
              <w:t>供应商参与投标禁止情形</w:t>
            </w:r>
          </w:p>
        </w:tc>
      </w:tr>
      <w:tr w14:paraId="34E5B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726D242A">
            <w:pPr>
              <w:spacing w:line="400" w:lineRule="exact"/>
              <w:jc w:val="center"/>
              <w:rPr>
                <w:rFonts w:ascii="宋体" w:hAnsi="宋体" w:eastAsia="宋体" w:cs="宋体"/>
                <w:szCs w:val="21"/>
              </w:rPr>
            </w:pPr>
            <w:r>
              <w:rPr>
                <w:rFonts w:hint="eastAsia" w:ascii="宋体" w:hAnsi="宋体" w:eastAsia="宋体" w:cs="宋体"/>
                <w:szCs w:val="21"/>
              </w:rPr>
              <w:t>1</w:t>
            </w:r>
          </w:p>
        </w:tc>
        <w:tc>
          <w:tcPr>
            <w:tcW w:w="7811" w:type="dxa"/>
            <w:vAlign w:val="center"/>
          </w:tcPr>
          <w:p w14:paraId="1ABF97CC">
            <w:pPr>
              <w:spacing w:line="400" w:lineRule="exact"/>
              <w:jc w:val="left"/>
              <w:rPr>
                <w:rFonts w:ascii="宋体" w:hAnsi="宋体" w:eastAsia="宋体" w:cs="宋体"/>
                <w:szCs w:val="21"/>
              </w:rPr>
            </w:pPr>
            <w:r>
              <w:rPr>
                <w:rFonts w:hint="eastAsia" w:ascii="宋体" w:hAnsi="宋体" w:eastAsia="宋体" w:cs="宋体"/>
                <w:szCs w:val="21"/>
              </w:rPr>
              <w:t>与其他投标供应商的法定代表人、主要经营负责人、投标授权代表人、项目负责人、主要技术人员为</w:t>
            </w:r>
            <w:r>
              <w:rPr>
                <w:rFonts w:hint="eastAsia" w:ascii="宋体" w:hAnsi="宋体" w:eastAsia="宋体" w:cs="宋体"/>
                <w:b/>
                <w:bCs/>
                <w:szCs w:val="21"/>
              </w:rPr>
              <w:t>同一人、属同一单位或者在同一单位缴纳社会保险</w:t>
            </w:r>
            <w:r>
              <w:rPr>
                <w:rFonts w:hint="eastAsia" w:ascii="宋体" w:hAnsi="宋体" w:eastAsia="宋体" w:cs="宋体"/>
                <w:szCs w:val="21"/>
              </w:rPr>
              <w:t>。</w:t>
            </w:r>
          </w:p>
        </w:tc>
      </w:tr>
      <w:tr w14:paraId="7255F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41E2A0FD">
            <w:pPr>
              <w:spacing w:line="400" w:lineRule="exact"/>
              <w:jc w:val="center"/>
              <w:rPr>
                <w:rFonts w:ascii="宋体" w:hAnsi="宋体" w:eastAsia="宋体" w:cs="宋体"/>
                <w:szCs w:val="21"/>
              </w:rPr>
            </w:pPr>
            <w:r>
              <w:rPr>
                <w:rFonts w:hint="eastAsia" w:ascii="宋体" w:hAnsi="宋体" w:eastAsia="宋体" w:cs="宋体"/>
                <w:szCs w:val="21"/>
              </w:rPr>
              <w:t>2</w:t>
            </w:r>
          </w:p>
        </w:tc>
        <w:tc>
          <w:tcPr>
            <w:tcW w:w="7811" w:type="dxa"/>
            <w:vAlign w:val="center"/>
          </w:tcPr>
          <w:p w14:paraId="2FE0888B">
            <w:pPr>
              <w:spacing w:line="400" w:lineRule="exact"/>
              <w:jc w:val="left"/>
              <w:rPr>
                <w:rFonts w:ascii="宋体" w:hAnsi="宋体" w:eastAsia="宋体" w:cs="宋体"/>
                <w:szCs w:val="21"/>
              </w:rPr>
            </w:pPr>
            <w:r>
              <w:rPr>
                <w:rFonts w:hint="eastAsia" w:ascii="宋体" w:hAnsi="宋体" w:eastAsia="宋体" w:cs="宋体"/>
                <w:szCs w:val="21"/>
              </w:rPr>
              <w:t>参与本项目政府采购活动时，与其他投标供应商存在单位负责人为</w:t>
            </w:r>
            <w:r>
              <w:rPr>
                <w:rFonts w:hint="eastAsia" w:ascii="宋体" w:hAnsi="宋体" w:eastAsia="宋体" w:cs="宋体"/>
                <w:b/>
                <w:bCs/>
                <w:szCs w:val="21"/>
              </w:rPr>
              <w:t>同一人或直接控股、管理关系</w:t>
            </w:r>
            <w:r>
              <w:rPr>
                <w:rFonts w:hint="eastAsia" w:ascii="宋体" w:hAnsi="宋体" w:eastAsia="宋体" w:cs="宋体"/>
                <w:szCs w:val="21"/>
              </w:rPr>
              <w:t>。</w:t>
            </w:r>
          </w:p>
        </w:tc>
      </w:tr>
      <w:tr w14:paraId="25D42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20A2B7DE">
            <w:pPr>
              <w:spacing w:line="400" w:lineRule="exact"/>
              <w:jc w:val="center"/>
              <w:rPr>
                <w:rFonts w:ascii="宋体" w:hAnsi="宋体" w:eastAsia="宋体" w:cs="宋体"/>
                <w:szCs w:val="21"/>
              </w:rPr>
            </w:pPr>
            <w:r>
              <w:rPr>
                <w:rFonts w:hint="eastAsia" w:ascii="宋体" w:hAnsi="宋体" w:eastAsia="宋体" w:cs="宋体"/>
                <w:szCs w:val="21"/>
              </w:rPr>
              <w:t>3</w:t>
            </w:r>
          </w:p>
        </w:tc>
        <w:tc>
          <w:tcPr>
            <w:tcW w:w="7811" w:type="dxa"/>
            <w:vAlign w:val="center"/>
          </w:tcPr>
          <w:p w14:paraId="0CCDF397">
            <w:pPr>
              <w:spacing w:line="400" w:lineRule="exact"/>
              <w:jc w:val="left"/>
              <w:rPr>
                <w:rFonts w:ascii="宋体" w:hAnsi="宋体" w:eastAsia="宋体" w:cs="宋体"/>
                <w:szCs w:val="21"/>
              </w:rPr>
            </w:pPr>
            <w:r>
              <w:rPr>
                <w:rFonts w:hint="eastAsia" w:ascii="宋体" w:hAnsi="宋体" w:eastAsia="宋体" w:cs="宋体"/>
                <w:szCs w:val="21"/>
              </w:rPr>
              <w:t>与其他投标供应商的投标文件或部分投标文件</w:t>
            </w:r>
            <w:r>
              <w:rPr>
                <w:rFonts w:hint="eastAsia" w:ascii="宋体" w:hAnsi="宋体" w:eastAsia="宋体" w:cs="宋体"/>
                <w:b/>
                <w:bCs/>
                <w:szCs w:val="21"/>
              </w:rPr>
              <w:t>相互混装或存在非正常一致</w:t>
            </w:r>
            <w:r>
              <w:rPr>
                <w:rFonts w:hint="eastAsia" w:ascii="宋体" w:hAnsi="宋体" w:eastAsia="宋体" w:cs="宋体"/>
                <w:szCs w:val="21"/>
              </w:rPr>
              <w:t>。</w:t>
            </w:r>
          </w:p>
        </w:tc>
      </w:tr>
      <w:tr w14:paraId="579F2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4B90D27F">
            <w:pPr>
              <w:spacing w:line="400" w:lineRule="exact"/>
              <w:jc w:val="center"/>
              <w:rPr>
                <w:rFonts w:ascii="宋体" w:hAnsi="宋体" w:eastAsia="宋体" w:cs="宋体"/>
                <w:szCs w:val="21"/>
              </w:rPr>
            </w:pPr>
            <w:r>
              <w:rPr>
                <w:rFonts w:hint="eastAsia" w:ascii="宋体" w:hAnsi="宋体" w:eastAsia="宋体" w:cs="宋体"/>
                <w:szCs w:val="21"/>
              </w:rPr>
              <w:t>4</w:t>
            </w:r>
          </w:p>
        </w:tc>
        <w:tc>
          <w:tcPr>
            <w:tcW w:w="7811" w:type="dxa"/>
            <w:vAlign w:val="center"/>
          </w:tcPr>
          <w:p w14:paraId="4EE9299E">
            <w:pPr>
              <w:spacing w:line="400" w:lineRule="exact"/>
              <w:jc w:val="left"/>
              <w:rPr>
                <w:rFonts w:ascii="宋体" w:hAnsi="宋体" w:eastAsia="宋体" w:cs="宋体"/>
                <w:szCs w:val="21"/>
              </w:rPr>
            </w:pPr>
            <w:r>
              <w:rPr>
                <w:rFonts w:hint="eastAsia" w:ascii="宋体" w:hAnsi="宋体" w:eastAsia="宋体" w:cs="宋体"/>
                <w:szCs w:val="21"/>
              </w:rPr>
              <w:t>与其他投标供应商的投标文件由</w:t>
            </w:r>
            <w:r>
              <w:rPr>
                <w:rFonts w:hint="eastAsia" w:ascii="宋体" w:hAnsi="宋体" w:eastAsia="宋体" w:cs="宋体"/>
                <w:b/>
                <w:bCs/>
                <w:szCs w:val="21"/>
              </w:rPr>
              <w:t>同一单位或者同一人编制</w:t>
            </w:r>
            <w:r>
              <w:rPr>
                <w:rFonts w:hint="eastAsia" w:ascii="宋体" w:hAnsi="宋体" w:eastAsia="宋体" w:cs="宋体"/>
                <w:szCs w:val="21"/>
              </w:rPr>
              <w:t>，或者使用</w:t>
            </w:r>
            <w:r>
              <w:rPr>
                <w:rFonts w:hint="eastAsia" w:ascii="宋体" w:hAnsi="宋体" w:eastAsia="宋体" w:cs="宋体"/>
                <w:b/>
                <w:bCs/>
                <w:szCs w:val="21"/>
              </w:rPr>
              <w:t>同一设备编制</w:t>
            </w:r>
            <w:r>
              <w:rPr>
                <w:rFonts w:hint="eastAsia" w:ascii="宋体" w:hAnsi="宋体" w:eastAsia="宋体" w:cs="宋体"/>
                <w:szCs w:val="21"/>
              </w:rPr>
              <w:t>（“文件制作机器码”“文件创建标识码”一致）。</w:t>
            </w:r>
          </w:p>
        </w:tc>
      </w:tr>
      <w:tr w14:paraId="0B2A3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1A18BAF9">
            <w:pPr>
              <w:spacing w:line="400" w:lineRule="exact"/>
              <w:jc w:val="center"/>
              <w:rPr>
                <w:rFonts w:ascii="宋体" w:hAnsi="宋体" w:eastAsia="宋体" w:cs="宋体"/>
                <w:szCs w:val="21"/>
              </w:rPr>
            </w:pPr>
            <w:r>
              <w:rPr>
                <w:rFonts w:hint="eastAsia" w:ascii="宋体" w:hAnsi="宋体" w:eastAsia="宋体" w:cs="宋体"/>
                <w:szCs w:val="21"/>
              </w:rPr>
              <w:t>5</w:t>
            </w:r>
          </w:p>
        </w:tc>
        <w:tc>
          <w:tcPr>
            <w:tcW w:w="7811" w:type="dxa"/>
            <w:vAlign w:val="center"/>
          </w:tcPr>
          <w:p w14:paraId="679A7B67">
            <w:pPr>
              <w:spacing w:line="400" w:lineRule="exact"/>
              <w:jc w:val="left"/>
              <w:rPr>
                <w:rFonts w:ascii="宋体" w:hAnsi="宋体" w:eastAsia="宋体" w:cs="宋体"/>
                <w:szCs w:val="21"/>
              </w:rPr>
            </w:pPr>
            <w:r>
              <w:rPr>
                <w:rFonts w:hint="eastAsia" w:ascii="宋体" w:hAnsi="宋体" w:eastAsia="宋体" w:cs="宋体"/>
                <w:szCs w:val="21"/>
              </w:rPr>
              <w:t>提供</w:t>
            </w:r>
            <w:r>
              <w:rPr>
                <w:rFonts w:hint="eastAsia" w:ascii="宋体" w:hAnsi="宋体" w:eastAsia="宋体" w:cs="宋体"/>
                <w:b/>
                <w:bCs/>
                <w:szCs w:val="21"/>
              </w:rPr>
              <w:t>未经出具机构核实</w:t>
            </w:r>
            <w:r>
              <w:rPr>
                <w:rFonts w:hint="eastAsia" w:ascii="宋体" w:hAnsi="宋体" w:eastAsia="宋体" w:cs="宋体"/>
                <w:szCs w:val="21"/>
              </w:rPr>
              <w:t>的虚假的检验检测报告、业绩材料、社保缴纳证明、学历学位证书、职称认证证书等材料。</w:t>
            </w:r>
          </w:p>
        </w:tc>
      </w:tr>
      <w:tr w14:paraId="60B5D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60177D79">
            <w:pPr>
              <w:spacing w:line="400" w:lineRule="exact"/>
              <w:jc w:val="center"/>
              <w:rPr>
                <w:rFonts w:ascii="宋体" w:hAnsi="宋体" w:eastAsia="宋体" w:cs="宋体"/>
                <w:szCs w:val="21"/>
              </w:rPr>
            </w:pPr>
            <w:r>
              <w:rPr>
                <w:rFonts w:hint="eastAsia" w:ascii="宋体" w:hAnsi="宋体" w:eastAsia="宋体" w:cs="宋体"/>
                <w:szCs w:val="21"/>
              </w:rPr>
              <w:t>6</w:t>
            </w:r>
          </w:p>
        </w:tc>
        <w:tc>
          <w:tcPr>
            <w:tcW w:w="7811" w:type="dxa"/>
            <w:vAlign w:val="center"/>
          </w:tcPr>
          <w:p w14:paraId="79802257">
            <w:pPr>
              <w:spacing w:line="400" w:lineRule="exact"/>
              <w:jc w:val="left"/>
              <w:rPr>
                <w:rFonts w:ascii="宋体" w:hAnsi="宋体" w:eastAsia="宋体" w:cs="宋体"/>
                <w:szCs w:val="21"/>
              </w:rPr>
            </w:pPr>
            <w:r>
              <w:rPr>
                <w:rFonts w:hint="eastAsia" w:ascii="宋体" w:hAnsi="宋体" w:eastAsia="宋体" w:cs="宋体"/>
                <w:szCs w:val="21"/>
              </w:rPr>
              <w:t>擅自将投标密钥或电子营业执照出借他人使用或未妥善保管。</w:t>
            </w:r>
          </w:p>
        </w:tc>
      </w:tr>
    </w:tbl>
    <w:p w14:paraId="4AD84369">
      <w:pPr>
        <w:spacing w:before="156" w:beforeLines="50" w:line="380" w:lineRule="exact"/>
        <w:ind w:firstLine="422" w:firstLineChars="200"/>
        <w:rPr>
          <w:rFonts w:ascii="宋体" w:hAnsi="宋体" w:eastAsia="宋体" w:cs="宋体"/>
          <w:b/>
          <w:szCs w:val="21"/>
        </w:rPr>
      </w:pPr>
      <w:r>
        <w:rPr>
          <w:rFonts w:hint="eastAsia" w:ascii="宋体" w:hAnsi="宋体" w:eastAsia="宋体" w:cs="宋体"/>
          <w:b/>
          <w:szCs w:val="21"/>
        </w:rPr>
        <w:t>一、我单位已充分知悉“隐瞒真实情况，提供虚假资料”的法定情形，包括但不限于：</w:t>
      </w:r>
    </w:p>
    <w:p w14:paraId="5A0C9947">
      <w:pPr>
        <w:spacing w:line="380" w:lineRule="exact"/>
        <w:ind w:firstLine="420" w:firstLineChars="200"/>
        <w:rPr>
          <w:rFonts w:ascii="宋体" w:hAnsi="宋体" w:eastAsia="宋体" w:cs="宋体"/>
          <w:szCs w:val="21"/>
        </w:rPr>
      </w:pPr>
      <w:r>
        <w:rPr>
          <w:rFonts w:hint="eastAsia" w:ascii="宋体" w:hAnsi="宋体" w:eastAsia="宋体" w:cs="宋体"/>
          <w:szCs w:val="21"/>
        </w:rPr>
        <w:t>（一）通过转让或者租借等方式从其他单位获取资格或者资质证书投标的。</w:t>
      </w:r>
    </w:p>
    <w:p w14:paraId="14AA4040">
      <w:pPr>
        <w:spacing w:line="380" w:lineRule="exact"/>
        <w:ind w:firstLine="420" w:firstLineChars="200"/>
        <w:rPr>
          <w:rFonts w:ascii="宋体" w:hAnsi="宋体" w:eastAsia="宋体" w:cs="宋体"/>
          <w:szCs w:val="21"/>
        </w:rPr>
      </w:pPr>
      <w:r>
        <w:rPr>
          <w:rFonts w:hint="eastAsia" w:ascii="宋体" w:hAnsi="宋体" w:eastAsia="宋体" w:cs="宋体"/>
          <w:szCs w:val="21"/>
        </w:rPr>
        <w:t>（二）由其他单位或者其他单位负责人在投标供应商编制的投标文件上加盖印章或者签字的。</w:t>
      </w:r>
    </w:p>
    <w:p w14:paraId="03628A6A">
      <w:pPr>
        <w:spacing w:line="380" w:lineRule="exact"/>
        <w:ind w:firstLine="420" w:firstLineChars="200"/>
        <w:rPr>
          <w:rFonts w:ascii="宋体" w:hAnsi="宋体" w:eastAsia="宋体" w:cs="宋体"/>
          <w:szCs w:val="21"/>
        </w:rPr>
      </w:pPr>
      <w:r>
        <w:rPr>
          <w:rFonts w:hint="eastAsia" w:ascii="宋体" w:hAnsi="宋体" w:eastAsia="宋体" w:cs="宋体"/>
          <w:szCs w:val="21"/>
        </w:rPr>
        <w:t>（三）项目负责人或者主要技术人员不是本单位人员的。</w:t>
      </w:r>
    </w:p>
    <w:p w14:paraId="1384D73D">
      <w:pPr>
        <w:spacing w:line="380" w:lineRule="exact"/>
        <w:ind w:firstLine="420" w:firstLineChars="200"/>
        <w:rPr>
          <w:rFonts w:ascii="宋体" w:hAnsi="宋体" w:eastAsia="宋体" w:cs="宋体"/>
          <w:szCs w:val="21"/>
        </w:rPr>
      </w:pPr>
      <w:r>
        <w:rPr>
          <w:rFonts w:hint="eastAsia" w:ascii="宋体" w:hAnsi="宋体" w:eastAsia="宋体" w:cs="宋体"/>
          <w:szCs w:val="21"/>
        </w:rPr>
        <w:t>（四）投标保证金不是从投标供应商基本账户转出的。</w:t>
      </w:r>
    </w:p>
    <w:p w14:paraId="26C582B3">
      <w:pPr>
        <w:spacing w:line="380" w:lineRule="exact"/>
        <w:ind w:firstLine="420" w:firstLineChars="200"/>
        <w:rPr>
          <w:rFonts w:ascii="宋体" w:hAnsi="宋体" w:eastAsia="宋体" w:cs="宋体"/>
          <w:szCs w:val="21"/>
        </w:rPr>
      </w:pPr>
      <w:r>
        <w:rPr>
          <w:rFonts w:hint="eastAsia" w:ascii="宋体" w:hAnsi="宋体" w:eastAsia="宋体" w:cs="宋体"/>
          <w:szCs w:val="21"/>
        </w:rPr>
        <w:t>（五）其他隐瞒真实情况、提供虚假资料的行为。</w:t>
      </w:r>
    </w:p>
    <w:p w14:paraId="299CD561">
      <w:pPr>
        <w:spacing w:line="380" w:lineRule="exact"/>
        <w:ind w:firstLine="422" w:firstLineChars="200"/>
        <w:rPr>
          <w:rFonts w:ascii="宋体" w:hAnsi="宋体" w:eastAsia="宋体" w:cs="宋体"/>
          <w:b/>
          <w:szCs w:val="21"/>
        </w:rPr>
      </w:pPr>
      <w:r>
        <w:rPr>
          <w:rFonts w:hint="eastAsia" w:ascii="宋体" w:hAnsi="宋体" w:eastAsia="宋体" w:cs="宋体"/>
          <w:b/>
          <w:szCs w:val="21"/>
        </w:rPr>
        <w:t>二、我单位已充分知悉“与其他采购参加人串通投标”的法定情形，包括但不限于：</w:t>
      </w:r>
    </w:p>
    <w:p w14:paraId="22D347EA">
      <w:pPr>
        <w:spacing w:line="380" w:lineRule="exact"/>
        <w:ind w:firstLine="420" w:firstLineChars="200"/>
        <w:rPr>
          <w:rFonts w:ascii="宋体" w:hAnsi="宋体" w:eastAsia="宋体" w:cs="宋体"/>
          <w:szCs w:val="21"/>
        </w:rPr>
      </w:pPr>
      <w:r>
        <w:rPr>
          <w:rFonts w:hint="eastAsia" w:ascii="宋体" w:hAnsi="宋体" w:eastAsia="宋体" w:cs="宋体"/>
          <w:szCs w:val="21"/>
        </w:rPr>
        <w:t>（一）投标供应商之间相互约定给予未中标的供应商利益补偿。</w:t>
      </w:r>
    </w:p>
    <w:p w14:paraId="2B381E4D">
      <w:pPr>
        <w:spacing w:line="380" w:lineRule="exact"/>
        <w:ind w:firstLine="420" w:firstLineChars="200"/>
        <w:rPr>
          <w:rFonts w:ascii="宋体" w:hAnsi="宋体" w:eastAsia="宋体" w:cs="宋体"/>
          <w:szCs w:val="21"/>
        </w:rPr>
      </w:pPr>
      <w:r>
        <w:rPr>
          <w:rFonts w:hint="eastAsia" w:ascii="宋体" w:hAnsi="宋体" w:eastAsia="宋体" w:cs="宋体"/>
          <w:szCs w:val="21"/>
        </w:rPr>
        <w:t>（二）不同投标供应商的法定代表人、主要经营负责人、项目投标授权代表人、项目负责人、主要技术人员为同一人、属同一单位或者在同一单位缴纳社会保险。</w:t>
      </w:r>
    </w:p>
    <w:p w14:paraId="11A96513">
      <w:pPr>
        <w:spacing w:line="340" w:lineRule="exact"/>
        <w:ind w:firstLine="420" w:firstLineChars="200"/>
        <w:rPr>
          <w:rFonts w:ascii="宋体" w:hAnsi="宋体" w:eastAsia="宋体" w:cs="宋体"/>
          <w:szCs w:val="21"/>
        </w:rPr>
      </w:pPr>
      <w:r>
        <w:rPr>
          <w:rFonts w:hint="eastAsia" w:ascii="宋体" w:hAnsi="宋体" w:eastAsia="宋体" w:cs="宋体"/>
          <w:szCs w:val="21"/>
        </w:rPr>
        <w:t>（三）不同投标供应商的投标文件由同一单位或者同一人编制，或者由同一人分阶段参与编制的。</w:t>
      </w:r>
    </w:p>
    <w:p w14:paraId="239E90D8">
      <w:pPr>
        <w:spacing w:line="340" w:lineRule="exact"/>
        <w:ind w:firstLine="420" w:firstLineChars="200"/>
        <w:rPr>
          <w:rFonts w:ascii="宋体" w:hAnsi="宋体" w:eastAsia="宋体" w:cs="宋体"/>
          <w:szCs w:val="21"/>
        </w:rPr>
      </w:pPr>
      <w:r>
        <w:rPr>
          <w:rFonts w:hint="eastAsia" w:ascii="宋体" w:hAnsi="宋体" w:eastAsia="宋体" w:cs="宋体"/>
          <w:szCs w:val="21"/>
        </w:rPr>
        <w:t>（四）不同投标供应商的投标文件或部分投标文件相互混装。</w:t>
      </w:r>
    </w:p>
    <w:p w14:paraId="6464008C">
      <w:pPr>
        <w:spacing w:line="340" w:lineRule="exact"/>
        <w:ind w:firstLine="420" w:firstLineChars="200"/>
        <w:rPr>
          <w:rFonts w:ascii="宋体" w:hAnsi="宋体" w:eastAsia="宋体" w:cs="宋体"/>
          <w:szCs w:val="21"/>
        </w:rPr>
      </w:pPr>
      <w:r>
        <w:rPr>
          <w:rFonts w:hint="eastAsia" w:ascii="宋体" w:hAnsi="宋体" w:eastAsia="宋体" w:cs="宋体"/>
          <w:szCs w:val="21"/>
        </w:rPr>
        <w:t>（五）不同投标供应商的投标文件内容存在非正常一致。</w:t>
      </w:r>
    </w:p>
    <w:p w14:paraId="5389047D">
      <w:pPr>
        <w:spacing w:line="340" w:lineRule="exact"/>
        <w:ind w:firstLine="420" w:firstLineChars="200"/>
        <w:rPr>
          <w:rFonts w:ascii="宋体" w:hAnsi="宋体" w:eastAsia="宋体" w:cs="宋体"/>
          <w:szCs w:val="21"/>
        </w:rPr>
      </w:pPr>
      <w:r>
        <w:rPr>
          <w:rFonts w:hint="eastAsia" w:ascii="宋体" w:hAnsi="宋体" w:eastAsia="宋体" w:cs="宋体"/>
          <w:szCs w:val="21"/>
        </w:rPr>
        <w:t>（六）由同一单位工作人员为两家以上（含两家）供应商进行同一项投标活动的。</w:t>
      </w:r>
    </w:p>
    <w:p w14:paraId="7D3D633B">
      <w:pPr>
        <w:spacing w:line="340" w:lineRule="exact"/>
        <w:ind w:firstLine="420" w:firstLineChars="200"/>
        <w:rPr>
          <w:rFonts w:ascii="宋体" w:hAnsi="宋体" w:eastAsia="宋体" w:cs="宋体"/>
          <w:szCs w:val="21"/>
        </w:rPr>
      </w:pPr>
      <w:r>
        <w:rPr>
          <w:rFonts w:hint="eastAsia" w:ascii="宋体" w:hAnsi="宋体" w:eastAsia="宋体" w:cs="宋体"/>
          <w:szCs w:val="21"/>
        </w:rPr>
        <w:t>（七）不同投标人的投标报价呈规律性差异。</w:t>
      </w:r>
    </w:p>
    <w:p w14:paraId="29B0F2D1">
      <w:pPr>
        <w:spacing w:line="340" w:lineRule="exact"/>
        <w:ind w:firstLine="420" w:firstLineChars="200"/>
        <w:rPr>
          <w:rFonts w:ascii="宋体" w:hAnsi="宋体" w:eastAsia="宋体" w:cs="宋体"/>
          <w:szCs w:val="21"/>
        </w:rPr>
      </w:pPr>
      <w:r>
        <w:rPr>
          <w:rFonts w:hint="eastAsia" w:ascii="宋体" w:hAnsi="宋体" w:eastAsia="宋体" w:cs="宋体"/>
          <w:szCs w:val="21"/>
        </w:rPr>
        <w:t>（八）不同投标人的投标保证金从同一单位或者个人的账户转出。</w:t>
      </w:r>
    </w:p>
    <w:p w14:paraId="0B420D89">
      <w:pPr>
        <w:spacing w:line="340" w:lineRule="exact"/>
        <w:ind w:firstLine="420" w:firstLineChars="200"/>
        <w:rPr>
          <w:rFonts w:ascii="宋体" w:hAnsi="宋体" w:eastAsia="宋体" w:cs="宋体"/>
          <w:szCs w:val="21"/>
        </w:rPr>
      </w:pPr>
      <w:r>
        <w:rPr>
          <w:rFonts w:hint="eastAsia" w:ascii="宋体" w:hAnsi="宋体" w:eastAsia="宋体" w:cs="宋体"/>
          <w:szCs w:val="21"/>
        </w:rPr>
        <w:t>（九）主管部门依照法律、法规认定的其他情形。</w:t>
      </w:r>
    </w:p>
    <w:p w14:paraId="13D8301B">
      <w:pPr>
        <w:spacing w:line="340" w:lineRule="exact"/>
        <w:ind w:firstLine="422" w:firstLineChars="200"/>
        <w:rPr>
          <w:rFonts w:ascii="宋体" w:hAnsi="宋体" w:eastAsia="宋体" w:cs="宋体"/>
          <w:b/>
          <w:szCs w:val="21"/>
        </w:rPr>
      </w:pPr>
      <w:r>
        <w:rPr>
          <w:rFonts w:hint="eastAsia" w:ascii="宋体" w:hAnsi="宋体" w:eastAsia="宋体" w:cs="宋体"/>
          <w:b/>
          <w:szCs w:val="21"/>
        </w:rPr>
        <w:t>三、我单位已充分知悉下列情形存在法律风险，在投标前已对相关风险事项进行排查。</w:t>
      </w:r>
    </w:p>
    <w:p w14:paraId="2549CFBC">
      <w:pPr>
        <w:spacing w:line="340" w:lineRule="exact"/>
        <w:ind w:firstLine="420" w:firstLineChars="200"/>
        <w:rPr>
          <w:rFonts w:ascii="宋体" w:hAnsi="宋体" w:eastAsia="宋体" w:cs="宋体"/>
          <w:b/>
          <w:szCs w:val="21"/>
        </w:rPr>
      </w:pPr>
      <w:r>
        <w:rPr>
          <w:rFonts w:hint="eastAsia" w:ascii="宋体" w:hAnsi="宋体" w:eastAsia="宋体" w:cs="宋体"/>
          <w:szCs w:val="21"/>
        </w:rPr>
        <w:t>（一）对于从其他主体获取的投标资料，我单位应审慎核查，确保其真实性。</w:t>
      </w:r>
      <w:r>
        <w:rPr>
          <w:rFonts w:hint="eastAsia" w:ascii="宋体" w:hAnsi="宋体" w:eastAsia="宋体" w:cs="宋体"/>
          <w:b/>
          <w:szCs w:val="21"/>
        </w:rPr>
        <w:t>如主管部门查实投标文件中存在虚假资料的，无论相关资料是否由第三方或本公司员工提供，均不影响主管部门对供应商存在“隐瞒真实情况，提供虚假资料”违法行为的认定。</w:t>
      </w:r>
    </w:p>
    <w:p w14:paraId="42EAE0DC">
      <w:pPr>
        <w:spacing w:line="340" w:lineRule="exact"/>
        <w:ind w:firstLine="420" w:firstLineChars="200"/>
        <w:rPr>
          <w:rFonts w:ascii="宋体" w:hAnsi="宋体" w:eastAsia="宋体" w:cs="宋体"/>
          <w:szCs w:val="21"/>
        </w:rPr>
      </w:pPr>
      <w:r>
        <w:rPr>
          <w:rFonts w:hint="eastAsia" w:ascii="宋体" w:hAnsi="宋体" w:eastAsia="宋体" w:cs="宋体"/>
          <w:szCs w:val="21"/>
        </w:rPr>
        <w:t>（二）对于涉及国家机关出具的公文、证件、证明材料等文件，一旦涉嫌虚假，经查实，主管部门将依法从严处理，并移送有关部门追究法律责任；涉嫌犯罪的，移送司法机关处理。</w:t>
      </w:r>
    </w:p>
    <w:p w14:paraId="5EBFF55C">
      <w:pPr>
        <w:spacing w:line="340" w:lineRule="exact"/>
        <w:ind w:firstLine="420" w:firstLineChars="200"/>
        <w:rPr>
          <w:rFonts w:ascii="宋体" w:hAnsi="宋体" w:eastAsia="宋体" w:cs="宋体"/>
          <w:szCs w:val="21"/>
        </w:rPr>
      </w:pPr>
      <w:r>
        <w:rPr>
          <w:rFonts w:hint="eastAsia" w:ascii="宋体" w:hAnsi="宋体" w:eastAsia="宋体" w:cs="宋体"/>
          <w:szCs w:val="21"/>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宋体" w:hAnsi="宋体" w:eastAsia="宋体" w:cs="宋体"/>
          <w:b/>
          <w:bCs/>
          <w:szCs w:val="21"/>
        </w:rPr>
        <w:t>擅自将投标密钥或电子营业执照出借他人使用所造成的法律后果，由我单位自行承担</w:t>
      </w:r>
      <w:r>
        <w:rPr>
          <w:rFonts w:hint="eastAsia" w:ascii="宋体" w:hAnsi="宋体" w:eastAsia="宋体" w:cs="宋体"/>
          <w:szCs w:val="21"/>
        </w:rPr>
        <w:t>。</w:t>
      </w:r>
    </w:p>
    <w:p w14:paraId="3576D09D">
      <w:pPr>
        <w:spacing w:line="340" w:lineRule="exact"/>
        <w:ind w:firstLine="422" w:firstLineChars="200"/>
        <w:rPr>
          <w:rFonts w:ascii="宋体" w:hAnsi="宋体" w:eastAsia="宋体" w:cs="宋体"/>
          <w:b/>
          <w:szCs w:val="21"/>
        </w:rPr>
      </w:pPr>
      <w:r>
        <w:rPr>
          <w:rFonts w:hint="eastAsia" w:ascii="宋体" w:hAnsi="宋体" w:eastAsia="宋体" w:cs="宋体"/>
          <w:b/>
          <w:szCs w:val="21"/>
        </w:rPr>
        <w:t>四、我单位已充分知悉政府采购违法、违规行为的法律后果。</w:t>
      </w:r>
    </w:p>
    <w:p w14:paraId="40342229">
      <w:pPr>
        <w:spacing w:line="340" w:lineRule="exact"/>
        <w:ind w:firstLine="420" w:firstLineChars="200"/>
        <w:rPr>
          <w:rFonts w:ascii="宋体" w:hAnsi="宋体" w:eastAsia="宋体" w:cs="宋体"/>
          <w:szCs w:val="21"/>
        </w:rPr>
      </w:pPr>
      <w:r>
        <w:rPr>
          <w:rFonts w:hint="eastAsia" w:ascii="宋体" w:hAnsi="宋体" w:eastAsia="宋体" w:cs="宋体"/>
          <w:szCs w:val="21"/>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34A7F941">
      <w:pPr>
        <w:spacing w:line="340" w:lineRule="exact"/>
        <w:ind w:firstLine="420" w:firstLineChars="200"/>
        <w:rPr>
          <w:rFonts w:ascii="宋体" w:hAnsi="宋体" w:eastAsia="宋体" w:cs="宋体"/>
          <w:szCs w:val="21"/>
          <w:highlight w:val="yellow"/>
        </w:rPr>
      </w:pPr>
      <w:r>
        <w:rPr>
          <w:rFonts w:hint="eastAsia" w:ascii="宋体" w:hAnsi="宋体" w:eastAsia="宋体" w:cs="宋体"/>
          <w:szCs w:val="21"/>
          <w:highlight w:val="yellow"/>
        </w:rPr>
        <w:t>以下文字请投标供应商抄写并确认：“我单位已仔细阅读《政府采购违法行为风险知悉确认书》，充分知悉违法行为的法律后果，并承诺将严谨、诚信、依法依规参与政府采购活动”。</w:t>
      </w:r>
    </w:p>
    <w:tbl>
      <w:tblPr>
        <w:tblStyle w:val="489"/>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09826F4C">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30B5A2A3">
            <w:pPr>
              <w:autoSpaceDE w:val="0"/>
              <w:autoSpaceDN w:val="0"/>
              <w:spacing w:line="340" w:lineRule="exact"/>
              <w:ind w:firstLine="1866"/>
              <w:rPr>
                <w:rFonts w:ascii="宋体" w:hAnsi="宋体" w:eastAsia="宋体" w:cs="宋体"/>
                <w:spacing w:val="-4"/>
                <w:kern w:val="0"/>
                <w:szCs w:val="21"/>
              </w:rPr>
            </w:pPr>
          </w:p>
        </w:tc>
      </w:tr>
      <w:tr w14:paraId="6B508187">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229F4CF5">
            <w:pPr>
              <w:autoSpaceDE w:val="0"/>
              <w:autoSpaceDN w:val="0"/>
              <w:spacing w:line="340" w:lineRule="exact"/>
              <w:ind w:firstLine="1866"/>
              <w:rPr>
                <w:rFonts w:ascii="宋体" w:hAnsi="宋体" w:eastAsia="宋体" w:cs="宋体"/>
                <w:spacing w:val="-4"/>
                <w:kern w:val="0"/>
                <w:szCs w:val="21"/>
              </w:rPr>
            </w:pPr>
          </w:p>
        </w:tc>
      </w:tr>
      <w:tr w14:paraId="41D0CE9D">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7A50DCC2">
            <w:pPr>
              <w:autoSpaceDE w:val="0"/>
              <w:autoSpaceDN w:val="0"/>
              <w:spacing w:line="340" w:lineRule="exact"/>
              <w:ind w:firstLine="1866"/>
              <w:rPr>
                <w:rFonts w:ascii="宋体" w:hAnsi="宋体" w:eastAsia="宋体" w:cs="宋体"/>
                <w:spacing w:val="-4"/>
                <w:kern w:val="0"/>
                <w:szCs w:val="21"/>
              </w:rPr>
            </w:pPr>
          </w:p>
        </w:tc>
      </w:tr>
      <w:tr w14:paraId="39C19185">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32ECF431">
            <w:pPr>
              <w:autoSpaceDE w:val="0"/>
              <w:autoSpaceDN w:val="0"/>
              <w:spacing w:line="340" w:lineRule="exact"/>
              <w:ind w:firstLine="1866"/>
              <w:rPr>
                <w:rFonts w:ascii="宋体" w:hAnsi="宋体" w:eastAsia="宋体" w:cs="宋体"/>
                <w:spacing w:val="-4"/>
                <w:kern w:val="0"/>
                <w:szCs w:val="21"/>
              </w:rPr>
            </w:pPr>
          </w:p>
        </w:tc>
      </w:tr>
    </w:tbl>
    <w:p w14:paraId="1ABC14DA">
      <w:pPr>
        <w:widowControl/>
        <w:wordWrap w:val="0"/>
        <w:autoSpaceDE w:val="0"/>
        <w:autoSpaceDN w:val="0"/>
        <w:spacing w:line="340" w:lineRule="exact"/>
        <w:ind w:right="808" w:firstLine="404" w:firstLineChars="200"/>
        <w:jc w:val="right"/>
        <w:rPr>
          <w:rFonts w:ascii="宋体" w:hAnsi="宋体" w:eastAsia="宋体" w:cs="宋体"/>
          <w:spacing w:val="-4"/>
          <w:kern w:val="0"/>
          <w:szCs w:val="21"/>
        </w:rPr>
      </w:pPr>
    </w:p>
    <w:p w14:paraId="7F43DA8E">
      <w:pPr>
        <w:widowControl/>
        <w:wordWrap w:val="0"/>
        <w:autoSpaceDE w:val="0"/>
        <w:autoSpaceDN w:val="0"/>
        <w:spacing w:line="340" w:lineRule="exact"/>
        <w:ind w:right="808" w:firstLine="404" w:firstLineChars="200"/>
        <w:jc w:val="right"/>
        <w:rPr>
          <w:rFonts w:ascii="宋体" w:hAnsi="宋体" w:eastAsia="宋体" w:cs="宋体"/>
          <w:spacing w:val="-4"/>
          <w:kern w:val="0"/>
          <w:szCs w:val="21"/>
          <w:u w:val="single"/>
        </w:rPr>
      </w:pPr>
      <w:r>
        <w:rPr>
          <w:rFonts w:hint="eastAsia" w:ascii="宋体" w:hAnsi="宋体" w:eastAsia="宋体" w:cs="宋体"/>
          <w:spacing w:val="-4"/>
          <w:kern w:val="0"/>
          <w:szCs w:val="21"/>
        </w:rPr>
        <w:t>单位负责人签名：</w:t>
      </w:r>
      <w:r>
        <w:rPr>
          <w:rFonts w:hint="eastAsia" w:ascii="宋体" w:hAnsi="宋体" w:eastAsia="宋体" w:cs="宋体"/>
          <w:spacing w:val="-4"/>
          <w:kern w:val="0"/>
          <w:szCs w:val="21"/>
          <w:u w:val="single"/>
        </w:rPr>
        <w:t xml:space="preserve">              </w:t>
      </w:r>
    </w:p>
    <w:p w14:paraId="6F265E5B">
      <w:pPr>
        <w:widowControl/>
        <w:wordWrap w:val="0"/>
        <w:autoSpaceDE w:val="0"/>
        <w:autoSpaceDN w:val="0"/>
        <w:spacing w:line="340" w:lineRule="exact"/>
        <w:ind w:right="808" w:firstLine="404" w:firstLineChars="200"/>
        <w:jc w:val="center"/>
        <w:rPr>
          <w:rFonts w:ascii="宋体" w:hAnsi="宋体" w:eastAsia="宋体" w:cs="宋体"/>
          <w:spacing w:val="-4"/>
          <w:kern w:val="0"/>
          <w:szCs w:val="21"/>
          <w:u w:val="single"/>
        </w:rPr>
      </w:pPr>
      <w:r>
        <w:rPr>
          <w:rFonts w:hint="eastAsia" w:ascii="宋体" w:hAnsi="宋体" w:eastAsia="宋体" w:cs="宋体"/>
          <w:spacing w:val="-4"/>
          <w:kern w:val="0"/>
          <w:szCs w:val="21"/>
        </w:rPr>
        <w:t xml:space="preserve">                                 （加盖公章）</w:t>
      </w:r>
    </w:p>
    <w:p w14:paraId="4348606C">
      <w:pPr>
        <w:widowControl/>
        <w:wordWrap w:val="0"/>
        <w:autoSpaceDE w:val="0"/>
        <w:autoSpaceDN w:val="0"/>
        <w:spacing w:line="340" w:lineRule="exact"/>
        <w:ind w:right="808" w:firstLine="404" w:firstLineChars="200"/>
        <w:jc w:val="right"/>
        <w:rPr>
          <w:rFonts w:ascii="宋体" w:hAnsi="宋体" w:eastAsia="宋体" w:cs="宋体"/>
          <w:spacing w:val="-4"/>
          <w:kern w:val="0"/>
          <w:szCs w:val="21"/>
          <w:u w:val="single"/>
        </w:rPr>
      </w:pPr>
      <w:r>
        <w:rPr>
          <w:rFonts w:hint="eastAsia" w:ascii="宋体" w:hAnsi="宋体" w:eastAsia="宋体" w:cs="宋体"/>
          <w:spacing w:val="-4"/>
          <w:kern w:val="0"/>
          <w:szCs w:val="21"/>
        </w:rPr>
        <w:t xml:space="preserve">     日期：</w:t>
      </w:r>
      <w:r>
        <w:rPr>
          <w:rFonts w:hint="eastAsia" w:ascii="宋体" w:hAnsi="宋体" w:eastAsia="宋体" w:cs="宋体"/>
          <w:spacing w:val="-4"/>
          <w:kern w:val="0"/>
          <w:szCs w:val="21"/>
          <w:u w:val="single"/>
        </w:rPr>
        <w:t xml:space="preserve">              </w:t>
      </w:r>
    </w:p>
    <w:p w14:paraId="4A6842F5">
      <w:pPr>
        <w:widowControl/>
        <w:autoSpaceDE w:val="0"/>
        <w:autoSpaceDN w:val="0"/>
        <w:spacing w:line="340" w:lineRule="exact"/>
        <w:ind w:firstLine="406" w:firstLineChars="200"/>
        <w:jc w:val="left"/>
        <w:rPr>
          <w:rFonts w:ascii="宋体" w:hAnsi="宋体" w:eastAsia="宋体" w:cs="宋体"/>
          <w:b/>
          <w:bCs/>
          <w:spacing w:val="-4"/>
          <w:kern w:val="0"/>
          <w:szCs w:val="21"/>
        </w:rPr>
      </w:pPr>
    </w:p>
    <w:p w14:paraId="6D416CA4">
      <w:pPr>
        <w:widowControl/>
        <w:autoSpaceDE w:val="0"/>
        <w:autoSpaceDN w:val="0"/>
        <w:spacing w:line="340" w:lineRule="exact"/>
        <w:ind w:firstLine="406" w:firstLineChars="200"/>
        <w:jc w:val="left"/>
        <w:rPr>
          <w:rFonts w:ascii="宋体" w:hAnsi="宋体" w:eastAsia="宋体" w:cs="宋体"/>
          <w:b/>
          <w:bCs/>
          <w:spacing w:val="-4"/>
          <w:kern w:val="0"/>
          <w:szCs w:val="21"/>
        </w:rPr>
      </w:pPr>
      <w:r>
        <w:rPr>
          <w:rFonts w:hint="eastAsia" w:ascii="宋体" w:hAnsi="宋体" w:eastAsia="宋体" w:cs="宋体"/>
          <w:b/>
          <w:bCs/>
          <w:spacing w:val="-4"/>
          <w:kern w:val="0"/>
          <w:szCs w:val="21"/>
        </w:rPr>
        <w:t>注：1.《政府采购违法行为风险知悉确认书》需由投标供应商负责人签字并加盖单位公章后，扫描上传至投标文件一并提交。</w:t>
      </w:r>
    </w:p>
    <w:p w14:paraId="7F0DAD44">
      <w:pPr>
        <w:rPr>
          <w:rFonts w:ascii="宋体" w:hAnsi="宋体" w:eastAsia="宋体" w:cs="宋体"/>
          <w:b/>
          <w:bCs/>
          <w:spacing w:val="-4"/>
          <w:kern w:val="0"/>
          <w:szCs w:val="21"/>
        </w:rPr>
      </w:pPr>
      <w:r>
        <w:rPr>
          <w:rFonts w:hint="eastAsia" w:ascii="宋体" w:hAnsi="宋体" w:eastAsia="宋体" w:cs="宋体"/>
          <w:b/>
          <w:bCs/>
          <w:spacing w:val="-4"/>
          <w:kern w:val="0"/>
          <w:szCs w:val="21"/>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4298D1DB">
      <w:pPr>
        <w:pStyle w:val="7"/>
      </w:pPr>
    </w:p>
    <w:p w14:paraId="50533D0B"/>
    <w:p w14:paraId="423BC918">
      <w:pPr>
        <w:pStyle w:val="19"/>
      </w:pPr>
    </w:p>
    <w:p w14:paraId="750E26D7">
      <w:pPr>
        <w:widowControl/>
        <w:autoSpaceDE w:val="0"/>
        <w:autoSpaceDN w:val="0"/>
        <w:spacing w:line="400" w:lineRule="exact"/>
        <w:jc w:val="left"/>
        <w:rPr>
          <w:rFonts w:ascii="宋体" w:hAnsi="宋体" w:eastAsia="宋体" w:cs="Times New Roman"/>
          <w:color w:val="FF0000"/>
          <w:spacing w:val="-4"/>
          <w:kern w:val="0"/>
          <w:szCs w:val="21"/>
        </w:rPr>
      </w:pPr>
    </w:p>
    <w:p w14:paraId="02A04088">
      <w:pPr>
        <w:rPr>
          <w:rFonts w:ascii="宋体" w:hAnsi="宋体" w:eastAsia="宋体" w:cs="Times New Roman"/>
          <w:color w:val="FF0000"/>
          <w:spacing w:val="-4"/>
          <w:kern w:val="0"/>
          <w:szCs w:val="21"/>
        </w:rPr>
      </w:pPr>
    </w:p>
    <w:p w14:paraId="1B6D24D5">
      <w:pPr>
        <w:rPr>
          <w:rFonts w:ascii="宋体" w:hAnsi="宋体" w:eastAsia="宋体" w:cs="Times New Roman"/>
          <w:color w:val="FF0000"/>
          <w:spacing w:val="-4"/>
          <w:kern w:val="0"/>
          <w:szCs w:val="21"/>
        </w:rPr>
      </w:pPr>
    </w:p>
    <w:p w14:paraId="2BD7FD2A">
      <w:pPr>
        <w:widowControl/>
        <w:autoSpaceDE w:val="0"/>
        <w:autoSpaceDN w:val="0"/>
        <w:spacing w:line="400" w:lineRule="exact"/>
        <w:ind w:right="1414" w:firstLine="480" w:firstLineChars="200"/>
        <w:jc w:val="right"/>
        <w:rPr>
          <w:rFonts w:ascii="Times New Roman" w:hAnsi="Times New Roman" w:eastAsia="宋体" w:cs="Times New Roman"/>
          <w:kern w:val="0"/>
          <w:sz w:val="24"/>
          <w:szCs w:val="24"/>
        </w:rPr>
      </w:pPr>
    </w:p>
    <w:p w14:paraId="3454F935">
      <w:pPr>
        <w:jc w:val="center"/>
        <w:rPr>
          <w:rFonts w:ascii="黑体" w:hAnsi="Times New Roman" w:eastAsia="黑体" w:cs="Times New Roman"/>
          <w:sz w:val="24"/>
          <w:szCs w:val="20"/>
        </w:rPr>
      </w:pPr>
      <w:r>
        <w:rPr>
          <w:rFonts w:hint="eastAsia" w:ascii="黑体" w:hAnsi="Times New Roman" w:eastAsia="黑体" w:cs="Times New Roman"/>
          <w:sz w:val="24"/>
          <w:szCs w:val="20"/>
        </w:rPr>
        <w:t>（二）订单融资情况</w:t>
      </w:r>
    </w:p>
    <w:p w14:paraId="2F94A739">
      <w:pPr>
        <w:ind w:firstLine="422" w:firstLineChars="200"/>
        <w:rPr>
          <w:rFonts w:ascii="宋体" w:hAnsi="宋体" w:eastAsia="宋体" w:cs="宋体"/>
          <w:b/>
          <w:bCs/>
          <w:szCs w:val="24"/>
        </w:rPr>
      </w:pPr>
      <w:r>
        <w:rPr>
          <w:rFonts w:hint="eastAsia" w:ascii="宋体" w:hAnsi="宋体" w:eastAsia="宋体" w:cs="宋体"/>
          <w:b/>
          <w:bCs/>
          <w:szCs w:val="24"/>
        </w:rPr>
        <w:t>1、关于政府采购订单融资政策</w:t>
      </w:r>
    </w:p>
    <w:p w14:paraId="490C935F">
      <w:pPr>
        <w:ind w:firstLine="420" w:firstLineChars="200"/>
        <w:rPr>
          <w:rFonts w:ascii="Times New Roman" w:hAnsi="Times New Roman" w:eastAsia="宋体" w:cs="Times New Roman"/>
          <w:bCs/>
          <w:szCs w:val="21"/>
        </w:rPr>
      </w:pPr>
      <w:r>
        <w:rPr>
          <w:rFonts w:hint="eastAsia" w:ascii="Times New Roman" w:hAnsi="Times New Roman" w:eastAsia="宋体" w:cs="Times New Roman"/>
          <w:bCs/>
          <w:szCs w:val="21"/>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16A1E7BE">
      <w:pPr>
        <w:ind w:firstLine="422" w:firstLineChars="200"/>
        <w:rPr>
          <w:rFonts w:ascii="宋体" w:hAnsi="宋体" w:eastAsia="宋体" w:cs="宋体"/>
          <w:b/>
          <w:bCs/>
          <w:szCs w:val="24"/>
        </w:rPr>
      </w:pPr>
      <w:r>
        <w:rPr>
          <w:rFonts w:hint="eastAsia" w:ascii="宋体" w:hAnsi="宋体" w:eastAsia="宋体" w:cs="宋体"/>
          <w:b/>
          <w:bCs/>
          <w:szCs w:val="24"/>
        </w:rPr>
        <w:t>2、供应商账户信息</w:t>
      </w:r>
    </w:p>
    <w:p w14:paraId="5ED80DD7">
      <w:pPr>
        <w:ind w:left="420" w:leftChars="200" w:firstLine="210" w:firstLineChars="100"/>
        <w:rPr>
          <w:rFonts w:ascii="Times New Roman" w:hAnsi="Times New Roman" w:eastAsia="宋体" w:cs="Times New Roman"/>
          <w:szCs w:val="21"/>
        </w:rPr>
      </w:pPr>
      <w:r>
        <w:rPr>
          <w:rFonts w:hint="eastAsia" w:ascii="Times New Roman" w:hAnsi="Times New Roman" w:eastAsia="宋体" w:cs="Times New Roman"/>
          <w:szCs w:val="21"/>
        </w:rPr>
        <w:t>投标人（单位全称）：</w:t>
      </w:r>
      <w:r>
        <w:rPr>
          <w:rFonts w:hint="eastAsia" w:ascii="Times New Roman" w:hAnsi="Times New Roman" w:eastAsia="宋体" w:cs="Times New Roman"/>
          <w:szCs w:val="21"/>
          <w:u w:val="thick"/>
        </w:rPr>
        <w:t xml:space="preserve">                                                          </w:t>
      </w:r>
      <w:r>
        <w:rPr>
          <w:rFonts w:hint="eastAsia" w:ascii="Times New Roman" w:hAnsi="Times New Roman" w:eastAsia="宋体" w:cs="Times New Roman"/>
          <w:szCs w:val="21"/>
        </w:rPr>
        <w:t xml:space="preserve">；  </w:t>
      </w:r>
    </w:p>
    <w:p w14:paraId="27155E48">
      <w:pPr>
        <w:ind w:left="420" w:leftChars="200" w:firstLine="210" w:firstLineChars="100"/>
        <w:rPr>
          <w:rFonts w:ascii="Times New Roman" w:hAnsi="Times New Roman" w:eastAsia="宋体" w:cs="Times New Roman"/>
          <w:szCs w:val="21"/>
        </w:rPr>
      </w:pPr>
      <w:r>
        <w:rPr>
          <w:rFonts w:hint="eastAsia" w:ascii="Times New Roman" w:hAnsi="Times New Roman" w:eastAsia="宋体" w:cs="Times New Roman"/>
          <w:szCs w:val="21"/>
        </w:rPr>
        <w:t>投标人单位地址：</w:t>
      </w:r>
      <w:r>
        <w:rPr>
          <w:rFonts w:hint="eastAsia" w:ascii="Times New Roman" w:hAnsi="Times New Roman" w:eastAsia="宋体" w:cs="Times New Roman"/>
          <w:szCs w:val="21"/>
          <w:u w:val="thick"/>
        </w:rPr>
        <w:t xml:space="preserve">                                          </w:t>
      </w:r>
      <w:r>
        <w:rPr>
          <w:rFonts w:hint="eastAsia" w:ascii="Times New Roman" w:hAnsi="Times New Roman" w:eastAsia="宋体" w:cs="Times New Roman"/>
          <w:szCs w:val="21"/>
        </w:rPr>
        <w:t>；</w:t>
      </w:r>
    </w:p>
    <w:p w14:paraId="2C48F04B">
      <w:pPr>
        <w:ind w:left="420" w:leftChars="200" w:firstLine="210" w:firstLineChars="100"/>
        <w:rPr>
          <w:rFonts w:ascii="Times New Roman" w:hAnsi="Times New Roman" w:eastAsia="宋体" w:cs="Times New Roman"/>
          <w:szCs w:val="21"/>
        </w:rPr>
      </w:pPr>
      <w:r>
        <w:rPr>
          <w:rFonts w:hint="eastAsia" w:ascii="Times New Roman" w:hAnsi="Times New Roman" w:eastAsia="宋体" w:cs="Times New Roman"/>
          <w:szCs w:val="21"/>
        </w:rPr>
        <w:t>法定代表人（负责人）或其授权委托代理人：</w:t>
      </w:r>
      <w:r>
        <w:rPr>
          <w:rFonts w:hint="eastAsia" w:ascii="Times New Roman" w:hAnsi="Times New Roman" w:eastAsia="宋体" w:cs="Times New Roman"/>
          <w:szCs w:val="21"/>
          <w:u w:val="thick"/>
        </w:rPr>
        <w:t xml:space="preserve">                                           </w:t>
      </w:r>
      <w:r>
        <w:rPr>
          <w:rFonts w:hint="eastAsia" w:ascii="Times New Roman" w:hAnsi="Times New Roman" w:eastAsia="宋体" w:cs="Times New Roman"/>
          <w:szCs w:val="21"/>
        </w:rPr>
        <w:t>；</w:t>
      </w:r>
    </w:p>
    <w:p w14:paraId="557F74B8">
      <w:pPr>
        <w:ind w:left="420" w:leftChars="200" w:firstLine="210" w:firstLineChars="100"/>
        <w:rPr>
          <w:rFonts w:ascii="Times New Roman" w:hAnsi="Times New Roman" w:eastAsia="宋体" w:cs="Times New Roman"/>
          <w:szCs w:val="21"/>
          <w:u w:val="thick"/>
        </w:rPr>
      </w:pPr>
      <w:r>
        <w:rPr>
          <w:rFonts w:hint="eastAsia" w:ascii="Times New Roman" w:hAnsi="Times New Roman" w:eastAsia="宋体" w:cs="Times New Roman"/>
          <w:szCs w:val="21"/>
        </w:rPr>
        <w:t>联系电话：</w:t>
      </w:r>
      <w:r>
        <w:rPr>
          <w:rFonts w:hint="eastAsia" w:ascii="Times New Roman" w:hAnsi="Times New Roman" w:eastAsia="宋体" w:cs="Times New Roman"/>
          <w:szCs w:val="21"/>
          <w:u w:val="thick"/>
        </w:rPr>
        <w:t xml:space="preserve">                                 </w:t>
      </w:r>
      <w:r>
        <w:rPr>
          <w:rFonts w:hint="eastAsia" w:ascii="Times New Roman" w:hAnsi="Times New Roman" w:eastAsia="宋体" w:cs="Times New Roman"/>
          <w:szCs w:val="21"/>
        </w:rPr>
        <w:t>；</w:t>
      </w:r>
      <w:r>
        <w:rPr>
          <w:rFonts w:hint="eastAsia" w:ascii="Times New Roman" w:hAnsi="Times New Roman" w:eastAsia="宋体" w:cs="Times New Roman"/>
          <w:szCs w:val="21"/>
          <w:u w:val="thick"/>
        </w:rPr>
        <w:t xml:space="preserve">               </w:t>
      </w:r>
    </w:p>
    <w:p w14:paraId="123FDF0A">
      <w:pPr>
        <w:ind w:left="420" w:leftChars="200" w:firstLine="210" w:firstLineChars="100"/>
        <w:rPr>
          <w:rFonts w:ascii="Times New Roman" w:hAnsi="Times New Roman" w:eastAsia="宋体" w:cs="Times New Roman"/>
          <w:szCs w:val="21"/>
        </w:rPr>
      </w:pPr>
      <w:r>
        <w:rPr>
          <w:rFonts w:hint="eastAsia" w:ascii="Times New Roman" w:hAnsi="Times New Roman" w:eastAsia="宋体" w:cs="Times New Roman"/>
          <w:szCs w:val="21"/>
        </w:rPr>
        <w:t>开户银行名称：</w:t>
      </w:r>
      <w:r>
        <w:rPr>
          <w:rFonts w:hint="eastAsia" w:ascii="Times New Roman" w:hAnsi="Times New Roman" w:eastAsia="宋体" w:cs="Times New Roman"/>
          <w:szCs w:val="21"/>
          <w:u w:val="thick"/>
        </w:rPr>
        <w:t xml:space="preserve">                                                           </w:t>
      </w:r>
      <w:r>
        <w:rPr>
          <w:rFonts w:hint="eastAsia" w:ascii="Times New Roman" w:hAnsi="Times New Roman" w:eastAsia="宋体" w:cs="Times New Roman"/>
          <w:szCs w:val="21"/>
        </w:rPr>
        <w:t>；</w:t>
      </w:r>
    </w:p>
    <w:p w14:paraId="0447901E">
      <w:pPr>
        <w:ind w:left="420" w:leftChars="200" w:firstLine="210" w:firstLineChars="100"/>
        <w:rPr>
          <w:rFonts w:ascii="Times New Roman" w:hAnsi="Times New Roman" w:eastAsia="宋体" w:cs="Times New Roman"/>
          <w:szCs w:val="21"/>
          <w:u w:val="thick"/>
        </w:rPr>
      </w:pPr>
      <w:r>
        <w:rPr>
          <w:rFonts w:hint="eastAsia" w:ascii="Times New Roman" w:hAnsi="Times New Roman" w:eastAsia="宋体" w:cs="Times New Roman"/>
          <w:szCs w:val="21"/>
        </w:rPr>
        <w:t>开户银行账号：</w:t>
      </w:r>
      <w:r>
        <w:rPr>
          <w:rFonts w:hint="eastAsia" w:ascii="Times New Roman" w:hAnsi="Times New Roman" w:eastAsia="宋体" w:cs="Times New Roman"/>
          <w:szCs w:val="21"/>
          <w:u w:val="thick"/>
        </w:rPr>
        <w:t xml:space="preserve">                                                           </w:t>
      </w:r>
      <w:r>
        <w:rPr>
          <w:rFonts w:hint="eastAsia" w:ascii="Times New Roman" w:hAnsi="Times New Roman" w:eastAsia="宋体" w:cs="Times New Roman"/>
          <w:szCs w:val="21"/>
        </w:rPr>
        <w:t>；</w:t>
      </w:r>
    </w:p>
    <w:p w14:paraId="3A496224">
      <w:pPr>
        <w:ind w:left="420" w:leftChars="200" w:firstLine="210" w:firstLineChars="100"/>
        <w:rPr>
          <w:rFonts w:ascii="Times New Roman" w:hAnsi="Times New Roman" w:eastAsia="宋体" w:cs="Times New Roman"/>
          <w:szCs w:val="21"/>
        </w:rPr>
      </w:pPr>
      <w:r>
        <w:rPr>
          <w:rFonts w:hint="eastAsia" w:ascii="Times New Roman" w:hAnsi="Times New Roman" w:eastAsia="宋体" w:cs="Times New Roman"/>
          <w:szCs w:val="21"/>
        </w:rPr>
        <w:t>开户银行地址：</w:t>
      </w:r>
      <w:r>
        <w:rPr>
          <w:rFonts w:hint="eastAsia" w:ascii="Times New Roman" w:hAnsi="Times New Roman" w:eastAsia="宋体" w:cs="Times New Roman"/>
          <w:szCs w:val="21"/>
          <w:u w:val="thick"/>
        </w:rPr>
        <w:t xml:space="preserve">                                                            </w:t>
      </w:r>
      <w:r>
        <w:rPr>
          <w:rFonts w:hint="eastAsia" w:ascii="Times New Roman" w:hAnsi="Times New Roman" w:eastAsia="宋体" w:cs="Times New Roman"/>
          <w:szCs w:val="21"/>
        </w:rPr>
        <w:t>。</w:t>
      </w:r>
    </w:p>
    <w:p w14:paraId="3E57B988">
      <w:pPr>
        <w:ind w:left="420" w:leftChars="200" w:firstLine="210" w:firstLineChars="100"/>
        <w:rPr>
          <w:rFonts w:ascii="Times New Roman" w:hAnsi="Times New Roman" w:eastAsia="宋体" w:cs="Times New Roman"/>
          <w:szCs w:val="21"/>
        </w:rPr>
      </w:pPr>
      <w:r>
        <w:rPr>
          <w:rFonts w:hint="eastAsia" w:ascii="Times New Roman" w:hAnsi="Times New Roman" w:eastAsia="宋体" w:cs="Times New Roman"/>
          <w:szCs w:val="21"/>
        </w:rPr>
        <w:t xml:space="preserve"> </w:t>
      </w:r>
      <w:r>
        <w:rPr>
          <w:rFonts w:hint="eastAsia" w:ascii="宋体" w:hAnsi="宋体" w:eastAsia="宋体" w:cs="Times New Roman"/>
          <w:b/>
          <w:bCs/>
          <w:color w:val="FF0000"/>
          <w:spacing w:val="-4"/>
          <w:kern w:val="0"/>
          <w:szCs w:val="21"/>
        </w:rPr>
        <w:t>注：本项填写内容作为订单融资开展的参考信息，不作为供应商资格性审查及符合性审查条件。</w:t>
      </w:r>
    </w:p>
    <w:p w14:paraId="49552AA4">
      <w:pPr>
        <w:widowControl/>
        <w:tabs>
          <w:tab w:val="left" w:pos="8200"/>
        </w:tabs>
        <w:autoSpaceDE w:val="0"/>
        <w:autoSpaceDN w:val="0"/>
        <w:spacing w:line="400" w:lineRule="exact"/>
        <w:ind w:right="1414" w:firstLine="406" w:firstLineChars="200"/>
        <w:rPr>
          <w:rFonts w:ascii="宋体" w:hAnsi="宋体" w:eastAsia="宋体" w:cs="Times New Roman"/>
          <w:b/>
          <w:bCs/>
          <w:color w:val="FF0000"/>
          <w:spacing w:val="-4"/>
          <w:kern w:val="0"/>
          <w:szCs w:val="21"/>
        </w:rPr>
      </w:pPr>
    </w:p>
    <w:p w14:paraId="75B94881">
      <w:pPr>
        <w:widowControl/>
        <w:tabs>
          <w:tab w:val="left" w:pos="6930"/>
          <w:tab w:val="left" w:pos="8200"/>
        </w:tabs>
        <w:autoSpaceDE w:val="0"/>
        <w:autoSpaceDN w:val="0"/>
        <w:spacing w:line="400" w:lineRule="exact"/>
        <w:ind w:right="1414" w:firstLine="480" w:firstLineChars="200"/>
        <w:rPr>
          <w:rFonts w:ascii="Times New Roman" w:hAnsi="Times New Roman" w:eastAsia="宋体" w:cs="Times New Roman"/>
          <w:kern w:val="0"/>
          <w:sz w:val="24"/>
          <w:szCs w:val="24"/>
        </w:rPr>
      </w:pPr>
    </w:p>
    <w:p w14:paraId="5C0FCB15">
      <w:pPr>
        <w:rPr>
          <w:rFonts w:ascii="Times New Roman" w:hAnsi="Times New Roman" w:eastAsia="宋体" w:cs="Times New Roman"/>
          <w:sz w:val="24"/>
          <w:szCs w:val="24"/>
        </w:rPr>
      </w:pPr>
    </w:p>
    <w:p w14:paraId="1C1162DD">
      <w:pPr>
        <w:widowControl/>
        <w:spacing w:line="360" w:lineRule="auto"/>
        <w:jc w:val="left"/>
        <w:rPr>
          <w:rFonts w:ascii="Times New Roman" w:hAnsi="Times New Roman" w:eastAsia="宋体" w:cs="Times New Roman"/>
          <w:b/>
          <w:bCs/>
          <w:kern w:val="0"/>
          <w:sz w:val="24"/>
          <w:szCs w:val="24"/>
        </w:rPr>
      </w:pPr>
    </w:p>
    <w:p w14:paraId="1A871FBF">
      <w:pPr>
        <w:widowControl/>
        <w:jc w:val="center"/>
        <w:rPr>
          <w:rFonts w:ascii="黑体" w:hAnsi="宋体" w:eastAsia="黑体" w:cs="Times New Roman"/>
          <w:kern w:val="0"/>
          <w:sz w:val="24"/>
          <w:szCs w:val="20"/>
        </w:rPr>
      </w:pPr>
      <w:r>
        <w:rPr>
          <w:rFonts w:hint="eastAsia" w:ascii="黑体" w:hAnsi="宋体" w:eastAsia="黑体" w:cs="Times New Roman"/>
          <w:kern w:val="0"/>
          <w:sz w:val="24"/>
          <w:szCs w:val="20"/>
        </w:rPr>
        <w:t>（三）投标人认为需要加以说明的其他内容（格式自定）</w:t>
      </w:r>
    </w:p>
    <w:p w14:paraId="23111532">
      <w:pPr>
        <w:rPr>
          <w:rFonts w:ascii="Times New Roman" w:hAnsi="Times New Roman" w:eastAsia="宋体" w:cs="Times New Roman"/>
          <w:b/>
          <w:sz w:val="22"/>
          <w:szCs w:val="24"/>
        </w:rPr>
      </w:pPr>
    </w:p>
    <w:p w14:paraId="2B8DB30F">
      <w:pPr>
        <w:rPr>
          <w:rFonts w:ascii="Times New Roman" w:hAnsi="Times New Roman" w:eastAsia="宋体" w:cs="Times New Roman"/>
          <w:b/>
          <w:sz w:val="22"/>
          <w:szCs w:val="24"/>
        </w:rPr>
      </w:pPr>
      <w:r>
        <w:rPr>
          <w:rFonts w:ascii="Times New Roman" w:hAnsi="Times New Roman" w:eastAsia="宋体" w:cs="Times New Roman"/>
          <w:b/>
          <w:sz w:val="22"/>
          <w:szCs w:val="24"/>
        </w:rPr>
        <w:br w:type="page"/>
      </w:r>
    </w:p>
    <w:p w14:paraId="1A63CAA9">
      <w:pPr>
        <w:keepNext/>
        <w:keepLines/>
        <w:adjustRightInd w:val="0"/>
        <w:spacing w:before="260" w:after="260"/>
        <w:jc w:val="center"/>
        <w:textAlignment w:val="baseline"/>
        <w:outlineLvl w:val="1"/>
        <w:rPr>
          <w:rFonts w:ascii="Times New Roman" w:hAnsi="Times New Roman" w:eastAsia="宋体" w:cs="Times New Roman"/>
          <w:b/>
          <w:bCs/>
          <w:kern w:val="0"/>
          <w:sz w:val="28"/>
          <w:szCs w:val="28"/>
        </w:rPr>
      </w:pPr>
      <w:r>
        <w:rPr>
          <w:rFonts w:ascii="Times New Roman" w:hAnsi="Times New Roman" w:eastAsia="宋体" w:cs="Times New Roman"/>
          <w:b/>
          <w:bCs/>
          <w:kern w:val="0"/>
          <w:sz w:val="28"/>
          <w:szCs w:val="28"/>
        </w:rPr>
        <w:t>第五章  合同条款及格式</w:t>
      </w:r>
    </w:p>
    <w:p w14:paraId="2480F7C3">
      <w:pPr>
        <w:ind w:firstLine="411" w:firstLineChars="196"/>
        <w:rPr>
          <w:rFonts w:ascii="Times New Roman" w:hAnsi="Times New Roman" w:eastAsia="宋体" w:cs="Times New Roman"/>
          <w:szCs w:val="24"/>
        </w:rPr>
      </w:pPr>
    </w:p>
    <w:p w14:paraId="7E6D87BC">
      <w:pPr>
        <w:rPr>
          <w:rFonts w:ascii="Times New Roman" w:hAnsi="Times New Roman" w:eastAsia="宋体" w:cs="Times New Roman"/>
          <w:szCs w:val="24"/>
        </w:rPr>
      </w:pPr>
    </w:p>
    <w:p w14:paraId="325D3B3F">
      <w:pPr>
        <w:rPr>
          <w:rFonts w:ascii="Times New Roman" w:hAnsi="Times New Roman" w:eastAsia="宋体" w:cs="Times New Roman"/>
          <w:szCs w:val="24"/>
        </w:rPr>
      </w:pPr>
    </w:p>
    <w:p w14:paraId="2B267E74">
      <w:pPr>
        <w:jc w:val="center"/>
        <w:rPr>
          <w:rFonts w:ascii="宋体" w:hAnsi="宋体" w:eastAsia="宋体" w:cs="宋体"/>
          <w:b/>
          <w:bCs/>
          <w:spacing w:val="-20"/>
          <w:kern w:val="44"/>
          <w:sz w:val="48"/>
          <w:szCs w:val="48"/>
        </w:rPr>
      </w:pPr>
    </w:p>
    <w:p w14:paraId="782B1114">
      <w:pPr>
        <w:jc w:val="center"/>
        <w:rPr>
          <w:rFonts w:ascii="宋体" w:hAnsi="宋体" w:eastAsia="宋体" w:cs="宋体"/>
          <w:b/>
          <w:bCs/>
          <w:spacing w:val="-20"/>
          <w:kern w:val="44"/>
          <w:sz w:val="48"/>
          <w:szCs w:val="48"/>
        </w:rPr>
      </w:pPr>
    </w:p>
    <w:p w14:paraId="06047AA2">
      <w:pPr>
        <w:spacing w:after="120"/>
        <w:jc w:val="center"/>
        <w:rPr>
          <w:rFonts w:ascii="Times New Roman" w:hAnsi="Times New Roman" w:eastAsia="宋体" w:cs="Times New Roman"/>
          <w:b/>
          <w:bCs/>
          <w:sz w:val="36"/>
          <w:szCs w:val="44"/>
        </w:rPr>
      </w:pPr>
      <w:r>
        <w:rPr>
          <w:rFonts w:hint="eastAsia" w:ascii="Times New Roman" w:hAnsi="Times New Roman" w:eastAsia="宋体" w:cs="Times New Roman"/>
          <w:b/>
          <w:bCs/>
          <w:sz w:val="36"/>
          <w:szCs w:val="44"/>
        </w:rPr>
        <w:t>（仅供参考）</w:t>
      </w:r>
    </w:p>
    <w:p w14:paraId="307BB19B">
      <w:pPr>
        <w:jc w:val="center"/>
        <w:rPr>
          <w:rFonts w:ascii="宋体" w:hAnsi="宋体" w:eastAsia="宋体" w:cs="宋体"/>
          <w:b/>
          <w:bCs/>
          <w:spacing w:val="-20"/>
          <w:kern w:val="44"/>
          <w:sz w:val="48"/>
          <w:szCs w:val="48"/>
        </w:rPr>
      </w:pPr>
      <w:r>
        <w:rPr>
          <w:rFonts w:hint="eastAsia" w:ascii="宋体" w:hAnsi="宋体" w:eastAsia="宋体" w:cs="宋体"/>
          <w:b/>
          <w:bCs/>
          <w:spacing w:val="-20"/>
          <w:kern w:val="44"/>
          <w:sz w:val="48"/>
          <w:szCs w:val="48"/>
        </w:rPr>
        <w:t>政府采购货物买卖合同</w:t>
      </w:r>
    </w:p>
    <w:p w14:paraId="0015532E">
      <w:pPr>
        <w:jc w:val="center"/>
        <w:rPr>
          <w:rFonts w:ascii="宋体" w:hAnsi="宋体" w:eastAsia="宋体" w:cs="宋体"/>
          <w:b/>
          <w:bCs/>
          <w:spacing w:val="-20"/>
          <w:kern w:val="44"/>
          <w:sz w:val="48"/>
          <w:szCs w:val="48"/>
        </w:rPr>
      </w:pPr>
      <w:r>
        <w:rPr>
          <w:rFonts w:hint="eastAsia" w:ascii="宋体" w:hAnsi="宋体" w:eastAsia="宋体" w:cs="宋体"/>
          <w:b/>
          <w:bCs/>
          <w:spacing w:val="-20"/>
          <w:kern w:val="44"/>
          <w:sz w:val="48"/>
          <w:szCs w:val="48"/>
        </w:rPr>
        <w:t>（试行）</w:t>
      </w:r>
    </w:p>
    <w:p w14:paraId="1CC99772">
      <w:pPr>
        <w:rPr>
          <w:rFonts w:ascii="宋体" w:hAnsi="宋体" w:eastAsia="宋体" w:cs="宋体"/>
          <w:b/>
          <w:bCs/>
          <w:spacing w:val="-20"/>
          <w:kern w:val="44"/>
          <w:sz w:val="40"/>
          <w:szCs w:val="40"/>
        </w:rPr>
      </w:pPr>
    </w:p>
    <w:p w14:paraId="712482C7">
      <w:pPr>
        <w:rPr>
          <w:rFonts w:ascii="宋体" w:hAnsi="宋体" w:eastAsia="宋体" w:cs="宋体"/>
          <w:b/>
          <w:bCs/>
          <w:spacing w:val="-20"/>
          <w:kern w:val="44"/>
          <w:sz w:val="40"/>
          <w:szCs w:val="40"/>
        </w:rPr>
      </w:pPr>
    </w:p>
    <w:p w14:paraId="3DC69FA7">
      <w:pPr>
        <w:rPr>
          <w:rFonts w:ascii="宋体" w:hAnsi="宋体" w:eastAsia="宋体" w:cs="宋体"/>
          <w:b/>
          <w:bCs/>
          <w:spacing w:val="-20"/>
          <w:kern w:val="44"/>
          <w:sz w:val="40"/>
          <w:szCs w:val="40"/>
        </w:rPr>
      </w:pPr>
    </w:p>
    <w:p w14:paraId="32876B65">
      <w:pPr>
        <w:spacing w:line="360" w:lineRule="auto"/>
        <w:ind w:left="420" w:leftChars="200"/>
        <w:rPr>
          <w:rFonts w:eastAsia="宋体"/>
          <w:sz w:val="32"/>
          <w:szCs w:val="32"/>
        </w:rPr>
      </w:pPr>
      <w:r>
        <w:rPr>
          <w:rFonts w:hint="eastAsia" w:ascii="宋体" w:hAnsi="宋体" w:eastAsia="宋体" w:cs="宋体"/>
          <w:kern w:val="0"/>
          <w:sz w:val="32"/>
          <w:szCs w:val="32"/>
        </w:rPr>
        <w:t>项目名称：</w:t>
      </w:r>
      <w:r>
        <w:rPr>
          <w:rFonts w:hint="eastAsia" w:eastAsia="宋体"/>
          <w:sz w:val="32"/>
          <w:szCs w:val="32"/>
          <w:u w:val="single"/>
        </w:rPr>
        <w:t xml:space="preserve">                             </w:t>
      </w:r>
    </w:p>
    <w:p w14:paraId="72CBCA2A">
      <w:pPr>
        <w:spacing w:line="360" w:lineRule="auto"/>
        <w:ind w:left="420" w:leftChars="200"/>
        <w:rPr>
          <w:rFonts w:eastAsia="宋体"/>
          <w:sz w:val="32"/>
          <w:szCs w:val="32"/>
          <w:u w:val="single"/>
        </w:rPr>
      </w:pPr>
      <w:r>
        <w:rPr>
          <w:rFonts w:hint="eastAsia" w:eastAsia="宋体"/>
          <w:sz w:val="32"/>
          <w:szCs w:val="32"/>
        </w:rPr>
        <w:t>合同编号：</w:t>
      </w:r>
      <w:r>
        <w:rPr>
          <w:rFonts w:hint="eastAsia" w:eastAsia="宋体"/>
          <w:sz w:val="32"/>
          <w:szCs w:val="32"/>
          <w:u w:val="single"/>
        </w:rPr>
        <w:t xml:space="preserve">                             </w:t>
      </w:r>
    </w:p>
    <w:p w14:paraId="31EA1E71">
      <w:pPr>
        <w:spacing w:line="360" w:lineRule="auto"/>
        <w:ind w:left="420" w:leftChars="200"/>
        <w:rPr>
          <w:rFonts w:eastAsia="宋体"/>
          <w:sz w:val="32"/>
          <w:szCs w:val="32"/>
        </w:rPr>
      </w:pPr>
      <w:r>
        <w:rPr>
          <w:rFonts w:hint="eastAsia" w:eastAsia="宋体"/>
          <w:sz w:val="32"/>
          <w:szCs w:val="32"/>
        </w:rPr>
        <w:t>甲    方：</w:t>
      </w:r>
      <w:r>
        <w:rPr>
          <w:rFonts w:hint="eastAsia" w:eastAsia="宋体"/>
          <w:sz w:val="32"/>
          <w:szCs w:val="32"/>
          <w:u w:val="single"/>
        </w:rPr>
        <w:t xml:space="preserve">                             </w:t>
      </w:r>
    </w:p>
    <w:p w14:paraId="652D51B4">
      <w:pPr>
        <w:spacing w:line="360" w:lineRule="auto"/>
        <w:ind w:left="420" w:leftChars="200"/>
        <w:rPr>
          <w:rFonts w:eastAsia="宋体"/>
          <w:sz w:val="32"/>
          <w:szCs w:val="32"/>
          <w:u w:val="single"/>
        </w:rPr>
      </w:pPr>
      <w:r>
        <w:rPr>
          <w:rFonts w:hint="eastAsia" w:eastAsia="宋体"/>
          <w:sz w:val="32"/>
          <w:szCs w:val="32"/>
        </w:rPr>
        <w:t>乙    方：</w:t>
      </w:r>
      <w:r>
        <w:rPr>
          <w:rFonts w:hint="eastAsia" w:eastAsia="宋体"/>
          <w:sz w:val="32"/>
          <w:szCs w:val="32"/>
          <w:u w:val="single"/>
        </w:rPr>
        <w:t xml:space="preserve">                             </w:t>
      </w:r>
    </w:p>
    <w:p w14:paraId="2660D268">
      <w:pPr>
        <w:spacing w:line="360" w:lineRule="auto"/>
        <w:ind w:left="420" w:leftChars="200"/>
        <w:rPr>
          <w:rFonts w:eastAsia="宋体"/>
          <w:sz w:val="32"/>
          <w:szCs w:val="32"/>
        </w:rPr>
      </w:pPr>
      <w:r>
        <w:rPr>
          <w:rFonts w:hint="eastAsia" w:eastAsia="宋体"/>
          <w:sz w:val="32"/>
          <w:szCs w:val="32"/>
        </w:rPr>
        <w:t>签订时间：</w:t>
      </w:r>
      <w:r>
        <w:rPr>
          <w:rFonts w:hint="eastAsia" w:eastAsia="宋体"/>
          <w:sz w:val="32"/>
          <w:szCs w:val="32"/>
          <w:u w:val="single"/>
        </w:rPr>
        <w:t xml:space="preserve">      </w:t>
      </w:r>
      <w:r>
        <w:rPr>
          <w:rFonts w:eastAsia="宋体"/>
          <w:sz w:val="32"/>
          <w:szCs w:val="32"/>
          <w:u w:val="single"/>
        </w:rPr>
        <w:t xml:space="preserve">           </w:t>
      </w:r>
      <w:r>
        <w:rPr>
          <w:rFonts w:hint="eastAsia" w:eastAsia="宋体"/>
          <w:sz w:val="32"/>
          <w:szCs w:val="32"/>
          <w:u w:val="single"/>
        </w:rPr>
        <w:t xml:space="preserve">            </w:t>
      </w:r>
    </w:p>
    <w:p w14:paraId="501902B6">
      <w:pPr>
        <w:rPr>
          <w:rFonts w:eastAsia="宋体"/>
        </w:rPr>
      </w:pPr>
    </w:p>
    <w:p w14:paraId="02E64F9A">
      <w:pPr>
        <w:rPr>
          <w:rFonts w:eastAsia="黑体"/>
          <w:sz w:val="44"/>
          <w:szCs w:val="44"/>
        </w:rPr>
      </w:pPr>
      <w:r>
        <w:rPr>
          <w:rFonts w:eastAsia="黑体"/>
          <w:sz w:val="44"/>
          <w:szCs w:val="44"/>
        </w:rPr>
        <w:br w:type="page"/>
      </w:r>
    </w:p>
    <w:p w14:paraId="7EE18E5D">
      <w:pPr>
        <w:rPr>
          <w:rFonts w:eastAsia="黑体"/>
          <w:sz w:val="44"/>
          <w:szCs w:val="44"/>
        </w:rPr>
      </w:pPr>
    </w:p>
    <w:p w14:paraId="489C9119">
      <w:pPr>
        <w:rPr>
          <w:rFonts w:eastAsia="黑体"/>
          <w:sz w:val="44"/>
          <w:szCs w:val="44"/>
        </w:rPr>
      </w:pPr>
    </w:p>
    <w:p w14:paraId="76151D54">
      <w:pPr>
        <w:jc w:val="center"/>
        <w:rPr>
          <w:rFonts w:eastAsia="黑体"/>
          <w:sz w:val="44"/>
          <w:szCs w:val="44"/>
        </w:rPr>
      </w:pPr>
      <w:r>
        <w:rPr>
          <w:rFonts w:hint="eastAsia" w:eastAsia="黑体"/>
          <w:sz w:val="44"/>
          <w:szCs w:val="44"/>
        </w:rPr>
        <w:t>使 用 说 明</w:t>
      </w:r>
    </w:p>
    <w:p w14:paraId="2EE17846">
      <w:pPr>
        <w:ind w:firstLine="640" w:firstLineChars="200"/>
        <w:rPr>
          <w:rFonts w:ascii="仿宋_GB2312" w:hAnsi="仿宋_GB2312" w:eastAsia="仿宋_GB2312" w:cs="仿宋_GB2312"/>
          <w:sz w:val="32"/>
          <w:szCs w:val="32"/>
        </w:rPr>
      </w:pPr>
    </w:p>
    <w:p w14:paraId="70773404">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1.本合同标准文本适用于购买现成货物的采购项目，不包括需要供应商定制开发、创新研发的货物采购项目。</w:t>
      </w:r>
    </w:p>
    <w:p w14:paraId="1B9F446B">
      <w:pPr>
        <w:ind w:firstLine="640" w:firstLineChars="200"/>
        <w:rPr>
          <w:rFonts w:eastAsia="黑体"/>
          <w:sz w:val="44"/>
          <w:szCs w:val="44"/>
        </w:rPr>
      </w:pPr>
      <w:r>
        <w:rPr>
          <w:rFonts w:hint="eastAsia" w:ascii="仿宋_GB2312" w:hAnsi="仿宋_GB2312" w:eastAsia="仿宋_GB2312" w:cs="仿宋_GB2312"/>
          <w:sz w:val="32"/>
          <w:szCs w:val="32"/>
        </w:rPr>
        <w:t>2.本合同标准文本为政府采购货物买卖合同编制提供参考，可以结合采购项目具体情况，对文本作必要的调整修订后使用。</w:t>
      </w:r>
    </w:p>
    <w:p w14:paraId="02AABD23">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3.本合同标准文本各条款中，如涉及填写多家供应商、制造商，多种采购标的、分包主要内容等信息的，可根据采购项目具体情况添加信息项。</w:t>
      </w:r>
    </w:p>
    <w:p w14:paraId="4EDC8E03">
      <w:pPr>
        <w:rPr>
          <w:rFonts w:eastAsia="黑体"/>
          <w:sz w:val="44"/>
          <w:szCs w:val="44"/>
        </w:rPr>
        <w:sectPr>
          <w:headerReference r:id="rId5" w:type="default"/>
          <w:footerReference r:id="rId6" w:type="default"/>
          <w:pgSz w:w="11906" w:h="16838"/>
          <w:pgMar w:top="1440" w:right="1800" w:bottom="1440" w:left="1800" w:header="851" w:footer="992" w:gutter="0"/>
          <w:cols w:space="425" w:num="1"/>
          <w:docGrid w:type="lines" w:linePitch="312" w:charSpace="0"/>
        </w:sectPr>
      </w:pPr>
    </w:p>
    <w:p w14:paraId="540BD487">
      <w:bookmarkStart w:id="69" w:name="_Toc22209"/>
    </w:p>
    <w:p w14:paraId="796C6B6B">
      <w:pPr>
        <w:keepNext/>
        <w:keepLines/>
        <w:adjustRightInd w:val="0"/>
        <w:snapToGrid w:val="0"/>
        <w:spacing w:line="400" w:lineRule="exact"/>
        <w:jc w:val="center"/>
        <w:outlineLvl w:val="1"/>
        <w:rPr>
          <w:rFonts w:ascii="黑体" w:hAnsi="华文中宋" w:eastAsia="黑体" w:cs="Times New Roman"/>
          <w:sz w:val="28"/>
          <w:szCs w:val="28"/>
        </w:rPr>
      </w:pPr>
      <w:r>
        <w:rPr>
          <w:rFonts w:hint="eastAsia" w:ascii="黑体" w:hAnsi="黑体" w:eastAsia="黑体" w:cs="Times New Roman"/>
          <w:sz w:val="28"/>
          <w:szCs w:val="28"/>
        </w:rPr>
        <w:t xml:space="preserve">第一节 </w:t>
      </w:r>
      <w:r>
        <w:rPr>
          <w:rFonts w:hint="eastAsia" w:ascii="黑体" w:hAnsi="华文中宋" w:eastAsia="黑体" w:cs="Times New Roman"/>
          <w:sz w:val="28"/>
          <w:szCs w:val="28"/>
        </w:rPr>
        <w:t>政府采购合同协议书</w:t>
      </w:r>
      <w:bookmarkEnd w:id="69"/>
    </w:p>
    <w:p w14:paraId="5E805D94"/>
    <w:p w14:paraId="42F75260">
      <w:pPr>
        <w:adjustRightInd w:val="0"/>
        <w:snapToGrid w:val="0"/>
        <w:spacing w:line="400" w:lineRule="exact"/>
        <w:rPr>
          <w:rFonts w:ascii="宋体" w:hAnsi="宋体" w:eastAsia="宋体"/>
          <w:szCs w:val="21"/>
        </w:rPr>
      </w:pPr>
      <w:r>
        <w:rPr>
          <w:rFonts w:hint="eastAsia" w:ascii="宋体" w:hAnsi="宋体" w:eastAsia="宋体"/>
          <w:szCs w:val="21"/>
        </w:rPr>
        <w:t>甲方（全称）：</w:t>
      </w:r>
      <w:r>
        <w:rPr>
          <w:rFonts w:hint="eastAsia" w:ascii="宋体" w:hAnsi="宋体" w:eastAsia="宋体"/>
          <w:szCs w:val="21"/>
          <w:u w:val="single"/>
        </w:rPr>
        <w:t xml:space="preserve">                       </w:t>
      </w:r>
      <w:r>
        <w:rPr>
          <w:rFonts w:hint="eastAsia" w:ascii="宋体" w:hAnsi="宋体" w:eastAsia="宋体"/>
          <w:szCs w:val="21"/>
        </w:rPr>
        <w:t>（采购人、受采购人委托签订合同的单位或采购</w:t>
      </w:r>
      <w:r>
        <w:rPr>
          <w:rFonts w:hint="eastAsia" w:ascii="宋体" w:hAnsi="宋体" w:eastAsia="宋体"/>
          <w:szCs w:val="21"/>
        </w:rPr>
        <w:tab/>
      </w:r>
      <w:r>
        <w:rPr>
          <w:rFonts w:hint="eastAsia" w:ascii="宋体" w:hAnsi="宋体" w:eastAsia="宋体"/>
          <w:szCs w:val="21"/>
        </w:rPr>
        <w:t xml:space="preserve">                                   文件约定的合同甲方）</w:t>
      </w:r>
    </w:p>
    <w:p w14:paraId="32C3DAC9">
      <w:pPr>
        <w:adjustRightInd w:val="0"/>
        <w:snapToGrid w:val="0"/>
        <w:spacing w:line="400" w:lineRule="exact"/>
        <w:rPr>
          <w:rFonts w:ascii="宋体" w:hAnsi="宋体" w:eastAsia="宋体"/>
          <w:szCs w:val="21"/>
        </w:rPr>
      </w:pPr>
      <w:r>
        <w:rPr>
          <w:rFonts w:hint="eastAsia" w:ascii="宋体" w:hAnsi="宋体" w:eastAsia="宋体"/>
          <w:szCs w:val="21"/>
        </w:rPr>
        <w:t>乙方1（全称）：</w:t>
      </w:r>
      <w:r>
        <w:rPr>
          <w:rFonts w:hint="eastAsia" w:ascii="宋体" w:hAnsi="宋体" w:eastAsia="宋体"/>
          <w:szCs w:val="21"/>
          <w:u w:val="single"/>
        </w:rPr>
        <w:t xml:space="preserve">                       </w:t>
      </w:r>
      <w:r>
        <w:rPr>
          <w:rFonts w:hint="eastAsia" w:ascii="宋体" w:hAnsi="宋体" w:eastAsia="宋体"/>
          <w:szCs w:val="21"/>
        </w:rPr>
        <w:t>（供应商）</w:t>
      </w:r>
    </w:p>
    <w:p w14:paraId="79E21652">
      <w:pPr>
        <w:adjustRightInd w:val="0"/>
        <w:snapToGrid w:val="0"/>
        <w:spacing w:line="400" w:lineRule="exact"/>
        <w:rPr>
          <w:rFonts w:ascii="宋体" w:hAnsi="宋体" w:eastAsia="宋体"/>
          <w:szCs w:val="21"/>
        </w:rPr>
      </w:pPr>
      <w:r>
        <w:rPr>
          <w:rFonts w:hint="eastAsia" w:ascii="宋体" w:hAnsi="宋体" w:eastAsia="宋体"/>
          <w:szCs w:val="21"/>
        </w:rPr>
        <w:t>乙方2（全称）：</w:t>
      </w:r>
      <w:r>
        <w:rPr>
          <w:rFonts w:hint="eastAsia" w:ascii="宋体" w:hAnsi="宋体" w:eastAsia="宋体"/>
          <w:szCs w:val="21"/>
          <w:u w:val="single"/>
        </w:rPr>
        <w:t xml:space="preserve">                        </w:t>
      </w:r>
      <w:r>
        <w:rPr>
          <w:rFonts w:hint="eastAsia" w:ascii="宋体" w:hAnsi="宋体" w:eastAsia="宋体"/>
          <w:szCs w:val="21"/>
        </w:rPr>
        <w:t>（联合体成员供应商或其他合同主体）（如有）</w:t>
      </w:r>
    </w:p>
    <w:p w14:paraId="6D36755B">
      <w:pPr>
        <w:adjustRightInd w:val="0"/>
        <w:snapToGrid w:val="0"/>
        <w:spacing w:line="400" w:lineRule="exact"/>
        <w:rPr>
          <w:rFonts w:ascii="宋体" w:hAnsi="宋体" w:eastAsia="宋体"/>
          <w:szCs w:val="21"/>
        </w:rPr>
      </w:pPr>
      <w:r>
        <w:rPr>
          <w:rFonts w:hint="eastAsia" w:eastAsia="宋体"/>
        </w:rPr>
        <w:t>乙方</w:t>
      </w:r>
      <w:r>
        <w:rPr>
          <w:rFonts w:hint="eastAsia" w:ascii="宋体" w:hAnsi="宋体" w:eastAsia="宋体"/>
          <w:szCs w:val="21"/>
        </w:rPr>
        <w:t>3</w:t>
      </w:r>
      <w:r>
        <w:rPr>
          <w:rFonts w:hint="eastAsia" w:eastAsia="宋体"/>
        </w:rPr>
        <w:t>（全称）</w:t>
      </w:r>
      <w:r>
        <w:rPr>
          <w:rFonts w:hint="eastAsia" w:ascii="宋体" w:hAnsi="宋体" w:eastAsia="宋体"/>
          <w:szCs w:val="21"/>
          <w:u w:val="single"/>
        </w:rPr>
        <w:t xml:space="preserve">                          </w:t>
      </w:r>
      <w:r>
        <w:rPr>
          <w:rFonts w:hint="eastAsia" w:ascii="宋体" w:hAnsi="宋体" w:eastAsia="宋体"/>
          <w:szCs w:val="21"/>
        </w:rPr>
        <w:t>（联合体成员供应商或其他合同主体）（如有）</w:t>
      </w:r>
    </w:p>
    <w:p w14:paraId="6869035B">
      <w:pPr>
        <w:spacing w:line="400" w:lineRule="exact"/>
        <w:rPr>
          <w:rFonts w:eastAsia="宋体"/>
        </w:rPr>
      </w:pPr>
    </w:p>
    <w:p w14:paraId="5782A728">
      <w:pPr>
        <w:adjustRightInd w:val="0"/>
        <w:snapToGrid w:val="0"/>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 xml:space="preserve">依据《中华人民共和国民法典》《中华人民共和国政府采购法》《深圳经济特区政府采购条例》等有关的法律法规，以及本采购项目的招标文件等采购文件、乙方的《投标（响应）文件》及《中标（成交）通知书》，甲乙双方同意签订本合同。具体情况及要求如下：     </w:t>
      </w:r>
    </w:p>
    <w:p w14:paraId="0EE27D39">
      <w:pPr>
        <w:numPr>
          <w:ilvl w:val="0"/>
          <w:numId w:val="11"/>
        </w:numPr>
        <w:adjustRightInd w:val="0"/>
        <w:snapToGrid w:val="0"/>
        <w:spacing w:line="400" w:lineRule="exact"/>
        <w:ind w:firstLine="422" w:firstLineChars="200"/>
        <w:rPr>
          <w:rFonts w:ascii="宋体" w:hAnsi="宋体" w:eastAsia="宋体"/>
          <w:b/>
          <w:szCs w:val="21"/>
        </w:rPr>
      </w:pPr>
      <w:r>
        <w:rPr>
          <w:rFonts w:hint="eastAsia" w:ascii="宋体" w:hAnsi="宋体" w:eastAsia="宋体"/>
          <w:b/>
          <w:szCs w:val="21"/>
        </w:rPr>
        <w:t>项目信息</w:t>
      </w:r>
    </w:p>
    <w:p w14:paraId="0CB8941F">
      <w:pPr>
        <w:numPr>
          <w:ilvl w:val="0"/>
          <w:numId w:val="12"/>
        </w:numPr>
        <w:adjustRightInd w:val="0"/>
        <w:snapToGrid w:val="0"/>
        <w:spacing w:line="400" w:lineRule="exact"/>
        <w:ind w:firstLine="420" w:firstLineChars="200"/>
        <w:rPr>
          <w:rFonts w:ascii="宋体" w:hAnsi="宋体" w:eastAsia="宋体" w:cs="Times New Roman"/>
          <w:szCs w:val="21"/>
          <w:u w:val="single"/>
        </w:rPr>
      </w:pPr>
      <w:r>
        <w:rPr>
          <w:rFonts w:hint="eastAsia" w:ascii="宋体" w:hAnsi="宋体" w:eastAsia="宋体" w:cs="Times New Roman"/>
          <w:szCs w:val="21"/>
        </w:rPr>
        <w:t>采购项目名称：</w:t>
      </w:r>
      <w:r>
        <w:rPr>
          <w:rFonts w:hint="eastAsia" w:ascii="宋体" w:hAnsi="宋体" w:eastAsia="宋体"/>
          <w:szCs w:val="21"/>
          <w:u w:val="single"/>
        </w:rPr>
        <w:t xml:space="preserve">                                            </w:t>
      </w:r>
    </w:p>
    <w:p w14:paraId="29FDB8A8">
      <w:pPr>
        <w:numPr>
          <w:ilvl w:val="255"/>
          <w:numId w:val="0"/>
        </w:numPr>
        <w:tabs>
          <w:tab w:val="left" w:pos="999"/>
        </w:tabs>
        <w:adjustRightInd w:val="0"/>
        <w:snapToGrid w:val="0"/>
        <w:spacing w:line="400" w:lineRule="exact"/>
        <w:rPr>
          <w:rFonts w:ascii="宋体" w:hAnsi="宋体" w:eastAsia="宋体" w:cs="Times New Roman"/>
          <w:szCs w:val="21"/>
        </w:rPr>
      </w:pPr>
      <w:r>
        <w:rPr>
          <w:rFonts w:hint="eastAsia" w:ascii="宋体" w:hAnsi="宋体" w:eastAsia="宋体" w:cs="Times New Roman"/>
          <w:szCs w:val="21"/>
        </w:rPr>
        <w:t xml:space="preserve">         采购项目编号：</w:t>
      </w:r>
      <w:r>
        <w:rPr>
          <w:rFonts w:ascii="宋体" w:hAnsi="宋体" w:eastAsia="宋体" w:cs="Times New Roman"/>
          <w:szCs w:val="21"/>
          <w:u w:val="single"/>
        </w:rPr>
        <w:t xml:space="preserve">                                          </w:t>
      </w:r>
    </w:p>
    <w:p w14:paraId="5B92D1F3">
      <w:pPr>
        <w:adjustRightInd w:val="0"/>
        <w:snapToGrid w:val="0"/>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（2）采购计划编号：</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 xml:space="preserve"> </w:t>
      </w:r>
    </w:p>
    <w:p w14:paraId="6EA9555B">
      <w:pPr>
        <w:adjustRightInd w:val="0"/>
        <w:snapToGrid w:val="0"/>
        <w:spacing w:line="400" w:lineRule="exact"/>
        <w:ind w:firstLine="420" w:firstLineChars="200"/>
        <w:rPr>
          <w:rFonts w:ascii="宋体" w:hAnsi="宋体" w:eastAsia="宋体"/>
          <w:szCs w:val="21"/>
        </w:rPr>
      </w:pPr>
      <w:r>
        <w:rPr>
          <w:rFonts w:hint="eastAsia" w:ascii="宋体" w:hAnsi="宋体" w:eastAsia="宋体"/>
          <w:szCs w:val="21"/>
        </w:rPr>
        <w:t>（3）项目内容：</w:t>
      </w:r>
    </w:p>
    <w:p w14:paraId="2F4F6DA4">
      <w:pPr>
        <w:adjustRightInd w:val="0"/>
        <w:snapToGrid w:val="0"/>
        <w:spacing w:line="400" w:lineRule="exact"/>
        <w:ind w:firstLine="420" w:firstLineChars="200"/>
        <w:rPr>
          <w:rFonts w:ascii="宋体" w:hAnsi="宋体" w:eastAsia="宋体"/>
          <w:szCs w:val="21"/>
        </w:rPr>
      </w:pPr>
      <w:r>
        <w:rPr>
          <w:rFonts w:hint="eastAsia" w:ascii="宋体" w:hAnsi="宋体" w:eastAsia="宋体"/>
          <w:szCs w:val="21"/>
        </w:rPr>
        <w:t xml:space="preserve">     采购标的及数量（台/套</w:t>
      </w:r>
      <w:r>
        <w:rPr>
          <w:rFonts w:ascii="宋体" w:hAnsi="宋体" w:eastAsia="宋体"/>
          <w:szCs w:val="21"/>
        </w:rPr>
        <w:t>/</w:t>
      </w:r>
      <w:r>
        <w:rPr>
          <w:rFonts w:hint="eastAsia" w:ascii="宋体" w:hAnsi="宋体" w:eastAsia="宋体"/>
          <w:szCs w:val="21"/>
        </w:rPr>
        <w:t>个</w:t>
      </w:r>
      <w:r>
        <w:rPr>
          <w:rFonts w:ascii="宋体" w:hAnsi="宋体" w:eastAsia="宋体"/>
          <w:szCs w:val="21"/>
        </w:rPr>
        <w:t>/</w:t>
      </w:r>
      <w:r>
        <w:rPr>
          <w:rFonts w:hint="eastAsia" w:ascii="宋体" w:hAnsi="宋体" w:eastAsia="宋体"/>
          <w:szCs w:val="21"/>
        </w:rPr>
        <w:t>架</w:t>
      </w:r>
      <w:r>
        <w:rPr>
          <w:rFonts w:ascii="宋体" w:hAnsi="宋体" w:eastAsia="宋体"/>
          <w:szCs w:val="21"/>
        </w:rPr>
        <w:t>/</w:t>
      </w:r>
      <w:r>
        <w:rPr>
          <w:rFonts w:hint="eastAsia" w:ascii="宋体" w:hAnsi="宋体" w:eastAsia="宋体"/>
          <w:szCs w:val="21"/>
        </w:rPr>
        <w:t>组等）：</w:t>
      </w:r>
      <w:r>
        <w:rPr>
          <w:rFonts w:hint="eastAsia" w:ascii="宋体" w:hAnsi="宋体" w:eastAsia="宋体"/>
          <w:szCs w:val="21"/>
          <w:u w:val="single"/>
        </w:rPr>
        <w:t xml:space="preserve">                       </w:t>
      </w:r>
      <w:r>
        <w:rPr>
          <w:rFonts w:hint="eastAsia" w:ascii="宋体" w:hAnsi="宋体" w:eastAsia="宋体"/>
          <w:szCs w:val="21"/>
        </w:rPr>
        <w:t xml:space="preserve">            </w:t>
      </w:r>
      <w:r>
        <w:rPr>
          <w:rFonts w:hint="eastAsia" w:ascii="宋体" w:hAnsi="宋体" w:eastAsia="宋体"/>
          <w:szCs w:val="21"/>
          <w:u w:val="single"/>
        </w:rPr>
        <w:t xml:space="preserve">                  </w:t>
      </w:r>
      <w:r>
        <w:rPr>
          <w:rFonts w:hint="eastAsia" w:ascii="宋体" w:hAnsi="宋体" w:eastAsia="宋体"/>
          <w:szCs w:val="21"/>
        </w:rPr>
        <w:t xml:space="preserve"> </w:t>
      </w:r>
    </w:p>
    <w:p w14:paraId="620FF0A4">
      <w:pPr>
        <w:numPr>
          <w:ilvl w:val="255"/>
          <w:numId w:val="0"/>
        </w:numPr>
        <w:adjustRightInd w:val="0"/>
        <w:snapToGrid w:val="0"/>
        <w:spacing w:line="400" w:lineRule="exact"/>
        <w:ind w:firstLine="420" w:firstLineChars="200"/>
        <w:rPr>
          <w:rFonts w:ascii="宋体" w:hAnsi="宋体" w:eastAsia="宋体" w:cs="宋体"/>
          <w:szCs w:val="21"/>
        </w:rPr>
      </w:pPr>
      <w:r>
        <w:rPr>
          <w:rFonts w:hint="eastAsia" w:ascii="宋体" w:hAnsi="宋体" w:eastAsia="宋体"/>
          <w:szCs w:val="21"/>
        </w:rPr>
        <w:t xml:space="preserve">     </w:t>
      </w:r>
      <w:r>
        <w:rPr>
          <w:rFonts w:hint="eastAsia" w:ascii="宋体" w:hAnsi="宋体" w:eastAsia="宋体" w:cs="宋体"/>
          <w:szCs w:val="21"/>
        </w:rPr>
        <w:t>品牌：</w:t>
      </w:r>
      <w:r>
        <w:rPr>
          <w:rFonts w:hint="eastAsia" w:ascii="宋体" w:hAnsi="宋体" w:eastAsia="宋体" w:cs="宋体"/>
          <w:szCs w:val="21"/>
          <w:u w:val="single"/>
        </w:rPr>
        <w:t xml:space="preserve">      </w:t>
      </w:r>
      <w:r>
        <w:rPr>
          <w:rFonts w:ascii="宋体" w:hAnsi="宋体" w:eastAsia="宋体" w:cs="宋体"/>
          <w:szCs w:val="21"/>
          <w:u w:val="single"/>
        </w:rPr>
        <w:t xml:space="preserve">   </w:t>
      </w:r>
      <w:r>
        <w:rPr>
          <w:rFonts w:hint="eastAsia" w:ascii="宋体" w:hAnsi="宋体" w:eastAsia="宋体" w:cs="宋体"/>
          <w:szCs w:val="21"/>
          <w:u w:val="single"/>
        </w:rPr>
        <w:t xml:space="preserve">    </w:t>
      </w:r>
      <w:r>
        <w:rPr>
          <w:rFonts w:ascii="宋体" w:hAnsi="宋体" w:eastAsia="宋体" w:cs="宋体"/>
          <w:szCs w:val="21"/>
          <w:u w:val="single"/>
        </w:rPr>
        <w:t xml:space="preserve"> </w:t>
      </w:r>
      <w:r>
        <w:rPr>
          <w:rFonts w:hint="eastAsia" w:ascii="宋体" w:hAnsi="宋体" w:eastAsia="宋体" w:cs="宋体"/>
          <w:szCs w:val="21"/>
          <w:u w:val="single"/>
        </w:rPr>
        <w:t xml:space="preserve"> </w:t>
      </w:r>
      <w:r>
        <w:rPr>
          <w:rFonts w:ascii="宋体" w:hAnsi="宋体" w:eastAsia="宋体" w:cs="宋体"/>
          <w:szCs w:val="21"/>
        </w:rPr>
        <w:t xml:space="preserve">     </w:t>
      </w:r>
      <w:r>
        <w:rPr>
          <w:rFonts w:hint="eastAsia" w:ascii="宋体" w:hAnsi="宋体" w:eastAsia="宋体" w:cs="宋体"/>
          <w:szCs w:val="21"/>
        </w:rPr>
        <w:t>规格型号：</w:t>
      </w:r>
      <w:r>
        <w:rPr>
          <w:rFonts w:hint="eastAsia" w:ascii="宋体" w:hAnsi="宋体" w:eastAsia="宋体" w:cs="宋体"/>
          <w:szCs w:val="21"/>
          <w:u w:val="single"/>
        </w:rPr>
        <w:t xml:space="preserve">   </w:t>
      </w:r>
      <w:r>
        <w:rPr>
          <w:rFonts w:ascii="宋体" w:hAnsi="宋体" w:eastAsia="宋体" w:cs="宋体"/>
          <w:szCs w:val="21"/>
          <w:u w:val="single"/>
        </w:rPr>
        <w:t xml:space="preserve">  </w:t>
      </w:r>
      <w:r>
        <w:rPr>
          <w:rFonts w:hint="eastAsia" w:ascii="宋体" w:hAnsi="宋体" w:eastAsia="宋体" w:cs="宋体"/>
          <w:szCs w:val="21"/>
          <w:u w:val="single"/>
        </w:rPr>
        <w:t xml:space="preserve">       </w:t>
      </w:r>
      <w:r>
        <w:rPr>
          <w:rFonts w:ascii="宋体" w:hAnsi="宋体" w:eastAsia="宋体" w:cs="宋体"/>
          <w:szCs w:val="21"/>
          <w:u w:val="single"/>
        </w:rPr>
        <w:t xml:space="preserve">   </w:t>
      </w:r>
    </w:p>
    <w:p w14:paraId="762514A4">
      <w:pPr>
        <w:adjustRightInd w:val="0"/>
        <w:snapToGrid w:val="0"/>
        <w:spacing w:line="400" w:lineRule="exact"/>
        <w:ind w:firstLine="945" w:firstLineChars="450"/>
        <w:rPr>
          <w:rFonts w:ascii="宋体" w:hAnsi="宋体" w:eastAsia="宋体"/>
          <w:szCs w:val="21"/>
          <w:u w:val="single"/>
        </w:rPr>
      </w:pPr>
      <w:r>
        <w:rPr>
          <w:rFonts w:hint="eastAsia" w:ascii="宋体" w:hAnsi="宋体" w:eastAsia="宋体"/>
          <w:szCs w:val="21"/>
        </w:rPr>
        <w:t>采购标的的技术要求、商务要求具体见附件。</w:t>
      </w:r>
    </w:p>
    <w:p w14:paraId="0480FFD5">
      <w:pPr>
        <w:numPr>
          <w:ilvl w:val="255"/>
          <w:numId w:val="0"/>
        </w:numPr>
        <w:adjustRightInd w:val="0"/>
        <w:snapToGrid w:val="0"/>
        <w:spacing w:line="400" w:lineRule="exact"/>
        <w:ind w:firstLine="945" w:firstLineChars="450"/>
        <w:rPr>
          <w:rFonts w:ascii="宋体" w:hAnsi="宋体" w:eastAsia="宋体" w:cs="宋体"/>
          <w:szCs w:val="21"/>
        </w:rPr>
      </w:pPr>
      <w:r>
        <w:rPr>
          <w:rFonts w:hint="eastAsia" w:ascii="汉仪书宋二S" w:hAnsi="汉仪书宋二S" w:eastAsia="汉仪书宋二S" w:cs="汉仪书宋二S"/>
          <w:szCs w:val="21"/>
        </w:rPr>
        <w:t>①</w:t>
      </w:r>
      <w:r>
        <w:rPr>
          <w:rFonts w:hint="eastAsia" w:ascii="宋体" w:hAnsi="宋体" w:eastAsia="宋体" w:cs="宋体"/>
          <w:szCs w:val="21"/>
        </w:rPr>
        <w:t>涉及信息类产品，请填写该产品关键部件的品牌、型号：</w:t>
      </w:r>
    </w:p>
    <w:p w14:paraId="0EC21FED">
      <w:pPr>
        <w:numPr>
          <w:ilvl w:val="255"/>
          <w:numId w:val="0"/>
        </w:numPr>
        <w:adjustRightInd w:val="0"/>
        <w:snapToGrid w:val="0"/>
        <w:spacing w:line="400" w:lineRule="exact"/>
        <w:ind w:firstLine="420" w:firstLineChars="200"/>
        <w:rPr>
          <w:rFonts w:ascii="宋体" w:hAnsi="宋体" w:eastAsia="宋体" w:cs="宋体"/>
          <w:kern w:val="0"/>
          <w:szCs w:val="21"/>
          <w:u w:val="single"/>
        </w:rPr>
      </w:pPr>
      <w:r>
        <w:rPr>
          <w:rFonts w:hint="eastAsia" w:ascii="宋体" w:hAnsi="宋体" w:eastAsia="宋体" w:cs="宋体"/>
          <w:szCs w:val="21"/>
        </w:rPr>
        <w:t xml:space="preserve">     标的名称：</w:t>
      </w:r>
      <w:r>
        <w:rPr>
          <w:rFonts w:hint="eastAsia" w:ascii="宋体" w:hAnsi="宋体" w:eastAsia="宋体" w:cs="宋体"/>
          <w:kern w:val="0"/>
          <w:szCs w:val="21"/>
          <w:u w:val="single"/>
        </w:rPr>
        <w:t xml:space="preserve">      </w:t>
      </w:r>
      <w:r>
        <w:rPr>
          <w:rFonts w:ascii="宋体" w:hAnsi="宋体" w:eastAsia="宋体" w:cs="宋体"/>
          <w:kern w:val="0"/>
          <w:szCs w:val="21"/>
          <w:u w:val="single"/>
        </w:rPr>
        <w:t xml:space="preserve">               </w:t>
      </w:r>
      <w:r>
        <w:rPr>
          <w:rFonts w:hint="eastAsia" w:ascii="宋体" w:hAnsi="宋体" w:eastAsia="宋体" w:cs="宋体"/>
          <w:kern w:val="0"/>
          <w:szCs w:val="21"/>
          <w:u w:val="single"/>
        </w:rPr>
        <w:t xml:space="preserve">    </w:t>
      </w:r>
    </w:p>
    <w:p w14:paraId="2C478FD4">
      <w:pPr>
        <w:numPr>
          <w:ilvl w:val="255"/>
          <w:numId w:val="0"/>
        </w:num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w:t>
      </w:r>
      <w:r>
        <w:rPr>
          <w:rFonts w:hint="eastAsia" w:ascii="宋体" w:hAnsi="宋体" w:eastAsia="宋体" w:cs="宋体"/>
          <w:szCs w:val="21"/>
        </w:rPr>
        <w:t>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61CF5A13">
      <w:pPr>
        <w:autoSpaceDE w:val="0"/>
        <w:autoSpaceDN w:val="0"/>
        <w:adjustRightInd w:val="0"/>
        <w:spacing w:line="400" w:lineRule="exact"/>
        <w:ind w:firstLine="420" w:firstLineChars="200"/>
        <w:rPr>
          <w:rFonts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082F332A">
      <w:pPr>
        <w:autoSpaceDE w:val="0"/>
        <w:autoSpaceDN w:val="0"/>
        <w:adjustRightInd w:val="0"/>
        <w:spacing w:line="400" w:lineRule="exact"/>
        <w:ind w:firstLine="420" w:firstLineChars="200"/>
        <w:rPr>
          <w:rFonts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p>
    <w:p w14:paraId="4EC86016">
      <w:pPr>
        <w:numPr>
          <w:ilvl w:val="255"/>
          <w:numId w:val="0"/>
        </w:numPr>
        <w:autoSpaceDE w:val="0"/>
        <w:autoSpaceDN w:val="0"/>
        <w:adjustRightInd w:val="0"/>
        <w:snapToGrid w:val="0"/>
        <w:spacing w:line="400" w:lineRule="exact"/>
        <w:rPr>
          <w:rFonts w:ascii="宋体" w:hAnsi="宋体" w:eastAsia="宋体" w:cs="宋体"/>
          <w:szCs w:val="21"/>
        </w:rPr>
      </w:pPr>
      <w:r>
        <w:rPr>
          <w:rFonts w:hint="eastAsia" w:ascii="宋体" w:hAnsi="宋体" w:eastAsia="宋体" w:cs="宋体"/>
          <w:szCs w:val="21"/>
        </w:rPr>
        <w:t xml:space="preserve">   （注：关键部件是指财政部会同有关部门发布的政府采购需求标准规定的需要通过国家有关部门指定的测评机构开展的安全可靠测评的软硬件，如CPU芯片、操作系统、数据库等。）</w:t>
      </w:r>
    </w:p>
    <w:p w14:paraId="65E081D7">
      <w:pPr>
        <w:numPr>
          <w:ilvl w:val="255"/>
          <w:numId w:val="0"/>
        </w:numPr>
        <w:autoSpaceDE w:val="0"/>
        <w:autoSpaceDN w:val="0"/>
        <w:adjustRightInd w:val="0"/>
        <w:snapToGrid w:val="0"/>
        <w:spacing w:line="400" w:lineRule="exact"/>
        <w:rPr>
          <w:rFonts w:ascii="宋体" w:hAnsi="宋体" w:eastAsia="宋体" w:cs="宋体"/>
          <w:szCs w:val="21"/>
        </w:rPr>
      </w:pPr>
      <w:r>
        <w:rPr>
          <w:rFonts w:hint="eastAsia" w:ascii="宋体" w:hAnsi="宋体" w:eastAsia="宋体" w:cs="宋体"/>
          <w:szCs w:val="21"/>
        </w:rPr>
        <w:t xml:space="preserve">         </w:t>
      </w:r>
      <w:r>
        <w:rPr>
          <w:rFonts w:hint="eastAsia" w:ascii="汉仪书宋二S" w:hAnsi="汉仪书宋二S" w:eastAsia="汉仪书宋二S" w:cs="汉仪书宋二S"/>
          <w:szCs w:val="21"/>
        </w:rPr>
        <w:t>②</w:t>
      </w:r>
      <w:r>
        <w:rPr>
          <w:rFonts w:hint="eastAsia" w:ascii="宋体" w:hAnsi="宋体" w:eastAsia="宋体" w:cs="宋体"/>
          <w:szCs w:val="21"/>
        </w:rPr>
        <w:t>涉及车辆采购，请填写是否属于新能源汽车：</w:t>
      </w:r>
    </w:p>
    <w:p w14:paraId="61652B6C">
      <w:pPr>
        <w:numPr>
          <w:ilvl w:val="255"/>
          <w:numId w:val="0"/>
        </w:numPr>
        <w:autoSpaceDE w:val="0"/>
        <w:autoSpaceDN w:val="0"/>
        <w:adjustRightInd w:val="0"/>
        <w:snapToGrid w:val="0"/>
        <w:spacing w:line="400" w:lineRule="exact"/>
        <w:rPr>
          <w:rFonts w:ascii="宋体" w:hAnsi="宋体" w:eastAsia="宋体" w:cs="宋体"/>
          <w:szCs w:val="21"/>
        </w:rPr>
      </w:pPr>
      <w:r>
        <w:rPr>
          <w:rFonts w:hint="eastAsia" w:ascii="宋体" w:hAnsi="宋体" w:eastAsia="宋体" w:cs="宋体"/>
          <w:szCs w:val="21"/>
        </w:rPr>
        <w:t xml:space="preserve">         </w:t>
      </w:r>
      <w:r>
        <w:rPr>
          <w:rFonts w:ascii="Wingdings" w:hAnsi="Wingdings" w:eastAsia="宋体" w:cs="宋体"/>
          <w:szCs w:val="21"/>
        </w:rPr>
        <w:sym w:font="Wingdings" w:char="F0A8"/>
      </w:r>
      <w:r>
        <w:rPr>
          <w:rFonts w:hint="eastAsia" w:ascii="宋体" w:hAnsi="宋体" w:eastAsia="宋体" w:cs="宋体"/>
          <w:szCs w:val="21"/>
        </w:rPr>
        <w:t>是，《政府采购品目分类目录》底级品目名称：</w:t>
      </w:r>
      <w:r>
        <w:rPr>
          <w:rFonts w:hint="eastAsia" w:ascii="宋体" w:hAnsi="宋体" w:eastAsia="宋体" w:cs="宋体"/>
          <w:szCs w:val="21"/>
          <w:u w:val="single"/>
        </w:rPr>
        <w:t xml:space="preserve">     </w:t>
      </w:r>
      <w:r>
        <w:rPr>
          <w:rFonts w:hint="eastAsia" w:ascii="宋体" w:hAnsi="宋体" w:eastAsia="宋体" w:cs="宋体"/>
          <w:szCs w:val="21"/>
        </w:rPr>
        <w:t xml:space="preserve"> 数量：</w:t>
      </w:r>
      <w:r>
        <w:rPr>
          <w:rFonts w:hint="eastAsia" w:ascii="宋体" w:hAnsi="宋体" w:eastAsia="宋体" w:cs="宋体"/>
          <w:szCs w:val="21"/>
          <w:u w:val="single"/>
        </w:rPr>
        <w:t xml:space="preserve">    </w:t>
      </w:r>
      <w:r>
        <w:rPr>
          <w:rFonts w:hint="eastAsia" w:ascii="宋体" w:hAnsi="宋体" w:eastAsia="宋体" w:cs="宋体"/>
          <w:szCs w:val="21"/>
        </w:rPr>
        <w:t xml:space="preserve"> 金额：</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1A32162E">
      <w:pPr>
        <w:numPr>
          <w:ilvl w:val="255"/>
          <w:numId w:val="0"/>
        </w:numPr>
        <w:autoSpaceDE w:val="0"/>
        <w:autoSpaceDN w:val="0"/>
        <w:adjustRightInd w:val="0"/>
        <w:snapToGrid w:val="0"/>
        <w:spacing w:line="400" w:lineRule="exact"/>
        <w:rPr>
          <w:rFonts w:ascii="宋体" w:hAnsi="宋体" w:eastAsia="宋体" w:cs="宋体"/>
          <w:szCs w:val="21"/>
        </w:rPr>
      </w:pPr>
      <w:r>
        <w:rPr>
          <w:rFonts w:hint="eastAsia" w:ascii="宋体" w:hAnsi="宋体" w:eastAsia="宋体" w:cs="宋体"/>
          <w:szCs w:val="21"/>
        </w:rPr>
        <w:t xml:space="preserve">         </w:t>
      </w:r>
      <w:r>
        <w:rPr>
          <w:rFonts w:ascii="Wingdings" w:hAnsi="Wingdings" w:eastAsia="宋体" w:cs="宋体"/>
          <w:szCs w:val="21"/>
        </w:rPr>
        <w:sym w:font="Wingdings" w:char="F0A8"/>
      </w:r>
      <w:r>
        <w:rPr>
          <w:rFonts w:hint="eastAsia" w:ascii="宋体" w:hAnsi="宋体" w:eastAsia="宋体" w:cs="宋体"/>
          <w:szCs w:val="21"/>
        </w:rPr>
        <w:t>否</w:t>
      </w:r>
    </w:p>
    <w:p w14:paraId="7B04089E">
      <w:pPr>
        <w:numPr>
          <w:ilvl w:val="255"/>
          <w:numId w:val="0"/>
        </w:numPr>
        <w:autoSpaceDE w:val="0"/>
        <w:autoSpaceDN w:val="0"/>
        <w:adjustRightInd w:val="0"/>
        <w:snapToGrid w:val="0"/>
        <w:spacing w:line="400" w:lineRule="exact"/>
        <w:rPr>
          <w:rFonts w:ascii="宋体" w:hAnsi="宋体" w:eastAsia="宋体" w:cs="宋体"/>
          <w:szCs w:val="21"/>
        </w:rPr>
      </w:pPr>
      <w:r>
        <w:rPr>
          <w:rFonts w:hint="eastAsia" w:ascii="宋体" w:hAnsi="宋体" w:eastAsia="宋体" w:cs="宋体"/>
          <w:szCs w:val="21"/>
        </w:rPr>
        <w:t xml:space="preserve">    （</w:t>
      </w:r>
      <w:r>
        <w:rPr>
          <w:rFonts w:ascii="宋体" w:hAnsi="宋体" w:eastAsia="宋体" w:cs="宋体"/>
          <w:szCs w:val="21"/>
        </w:rPr>
        <w:t>4</w:t>
      </w:r>
      <w:r>
        <w:rPr>
          <w:rFonts w:hint="eastAsia" w:ascii="宋体" w:hAnsi="宋体" w:eastAsia="宋体" w:cs="宋体"/>
          <w:szCs w:val="21"/>
        </w:rPr>
        <w:t>）政府采购组织形式：</w:t>
      </w:r>
      <w:r>
        <w:rPr>
          <w:rFonts w:ascii="Wingdings" w:hAnsi="Wingdings" w:eastAsia="宋体" w:cs="宋体"/>
          <w:szCs w:val="21"/>
        </w:rPr>
        <w:sym w:font="Wingdings" w:char="F0A8"/>
      </w:r>
      <w:r>
        <w:rPr>
          <w:rFonts w:hint="eastAsia" w:ascii="宋体" w:hAnsi="宋体" w:eastAsia="宋体" w:cs="宋体"/>
          <w:szCs w:val="21"/>
        </w:rPr>
        <w:t xml:space="preserve">集中采购    </w:t>
      </w:r>
      <w:r>
        <w:rPr>
          <w:rFonts w:ascii="Wingdings" w:hAnsi="Wingdings" w:eastAsia="宋体" w:cs="宋体"/>
          <w:szCs w:val="21"/>
        </w:rPr>
        <w:sym w:font="Wingdings" w:char="F0A8"/>
      </w:r>
      <w:r>
        <w:rPr>
          <w:rFonts w:hint="eastAsia" w:ascii="宋体" w:hAnsi="宋体" w:eastAsia="宋体" w:cs="宋体"/>
          <w:szCs w:val="21"/>
        </w:rPr>
        <w:t>自行采购</w:t>
      </w:r>
    </w:p>
    <w:p w14:paraId="1FD9BF1F">
      <w:pPr>
        <w:numPr>
          <w:ilvl w:val="255"/>
          <w:numId w:val="0"/>
        </w:numPr>
        <w:autoSpaceDE w:val="0"/>
        <w:autoSpaceDN w:val="0"/>
        <w:adjustRightInd w:val="0"/>
        <w:snapToGrid w:val="0"/>
        <w:spacing w:line="400" w:lineRule="exact"/>
        <w:ind w:left="210" w:leftChars="100" w:firstLine="210" w:firstLineChars="100"/>
        <w:rPr>
          <w:rFonts w:ascii="宋体" w:hAnsi="宋体" w:eastAsia="宋体" w:cs="宋体"/>
          <w:szCs w:val="21"/>
          <w:u w:val="single"/>
        </w:rPr>
      </w:pPr>
      <w:r>
        <w:rPr>
          <w:rFonts w:hint="eastAsia" w:ascii="宋体" w:hAnsi="宋体" w:eastAsia="宋体" w:cs="宋体"/>
          <w:szCs w:val="21"/>
        </w:rPr>
        <w:t>（</w:t>
      </w:r>
      <w:r>
        <w:rPr>
          <w:rFonts w:ascii="宋体" w:hAnsi="宋体" w:eastAsia="宋体" w:cs="宋体"/>
          <w:szCs w:val="21"/>
        </w:rPr>
        <w:t>5</w:t>
      </w:r>
      <w:r>
        <w:rPr>
          <w:rFonts w:hint="eastAsia" w:ascii="宋体" w:hAnsi="宋体" w:eastAsia="宋体" w:cs="宋体"/>
          <w:szCs w:val="21"/>
        </w:rPr>
        <w:t>）政府采购方式：</w:t>
      </w:r>
      <w:r>
        <w:rPr>
          <w:rFonts w:ascii="Wingdings" w:hAnsi="Wingdings" w:eastAsia="宋体" w:cs="宋体"/>
          <w:szCs w:val="21"/>
        </w:rPr>
        <w:sym w:font="Wingdings" w:char="F0A8"/>
      </w:r>
      <w:r>
        <w:rPr>
          <w:rFonts w:hint="eastAsia" w:ascii="宋体" w:hAnsi="宋体" w:eastAsia="宋体" w:cs="宋体"/>
          <w:szCs w:val="21"/>
        </w:rPr>
        <w:t xml:space="preserve">公开招标  </w:t>
      </w:r>
      <w:r>
        <w:rPr>
          <w:rFonts w:ascii="Wingdings" w:hAnsi="Wingdings" w:eastAsia="宋体" w:cs="宋体"/>
          <w:szCs w:val="21"/>
        </w:rPr>
        <w:sym w:font="Wingdings" w:char="F0A8"/>
      </w:r>
      <w:r>
        <w:rPr>
          <w:rFonts w:hint="eastAsia" w:ascii="宋体" w:hAnsi="宋体" w:eastAsia="宋体" w:cs="宋体"/>
          <w:szCs w:val="21"/>
        </w:rPr>
        <w:t>竞争性谈判</w:t>
      </w:r>
      <w:r>
        <w:rPr>
          <w:rFonts w:hint="eastAsia" w:ascii="宋体" w:hAnsi="宋体" w:eastAsia="华文楷体" w:cs="宋体"/>
          <w:sz w:val="22"/>
          <w:szCs w:val="21"/>
        </w:rPr>
        <w:t xml:space="preserve">  </w:t>
      </w:r>
      <w:r>
        <w:rPr>
          <w:rFonts w:ascii="Wingdings" w:hAnsi="Wingdings" w:eastAsia="宋体" w:cs="宋体"/>
          <w:szCs w:val="21"/>
        </w:rPr>
        <w:sym w:font="Wingdings" w:char="F0A8"/>
      </w:r>
      <w:r>
        <w:rPr>
          <w:rFonts w:hint="eastAsia" w:ascii="宋体" w:hAnsi="宋体" w:eastAsia="宋体" w:cs="宋体"/>
          <w:szCs w:val="21"/>
        </w:rPr>
        <w:t xml:space="preserve">单一来源  </w:t>
      </w:r>
      <w:r>
        <w:rPr>
          <w:rFonts w:ascii="Wingdings" w:hAnsi="Wingdings" w:eastAsia="宋体" w:cs="宋体"/>
          <w:szCs w:val="21"/>
        </w:rPr>
        <w:sym w:font="Wingdings" w:char="F0A8"/>
      </w:r>
      <w:r>
        <w:rPr>
          <w:rFonts w:hint="eastAsia" w:ascii="宋体" w:hAnsi="宋体" w:eastAsia="宋体" w:cs="宋体"/>
          <w:szCs w:val="21"/>
        </w:rPr>
        <w:t xml:space="preserve">竞价  </w:t>
      </w:r>
      <w:r>
        <w:rPr>
          <w:rFonts w:ascii="Wingdings" w:hAnsi="Wingdings" w:eastAsia="宋体" w:cs="宋体"/>
          <w:szCs w:val="21"/>
        </w:rPr>
        <w:sym w:font="Wingdings" w:char="F0A8"/>
      </w:r>
      <w:r>
        <w:rPr>
          <w:rFonts w:hint="eastAsia" w:ascii="宋体" w:hAnsi="宋体" w:eastAsia="宋体" w:cs="宋体"/>
          <w:szCs w:val="21"/>
        </w:rPr>
        <w:t xml:space="preserve">框架协议 </w:t>
      </w:r>
      <w:r>
        <w:rPr>
          <w:rFonts w:ascii="Wingdings" w:hAnsi="Wingdings" w:eastAsia="宋体" w:cs="宋体"/>
          <w:szCs w:val="21"/>
        </w:rPr>
        <w:sym w:font="Wingdings" w:char="F0A8"/>
      </w:r>
      <w:r>
        <w:rPr>
          <w:rFonts w:hint="eastAsia" w:ascii="宋体" w:hAnsi="宋体" w:eastAsia="宋体" w:cs="宋体"/>
          <w:szCs w:val="21"/>
        </w:rPr>
        <w:t>其他：</w:t>
      </w:r>
      <w:r>
        <w:rPr>
          <w:rFonts w:hint="eastAsia" w:ascii="宋体" w:hAnsi="宋体" w:eastAsia="宋体" w:cs="宋体"/>
          <w:szCs w:val="21"/>
          <w:u w:val="single"/>
        </w:rPr>
        <w:t xml:space="preserve">          </w:t>
      </w:r>
    </w:p>
    <w:p w14:paraId="7CBCC437">
      <w:pPr>
        <w:numPr>
          <w:ilvl w:val="255"/>
          <w:numId w:val="0"/>
        </w:numPr>
        <w:autoSpaceDE w:val="0"/>
        <w:autoSpaceDN w:val="0"/>
        <w:adjustRightInd w:val="0"/>
        <w:snapToGrid w:val="0"/>
        <w:spacing w:line="400" w:lineRule="exact"/>
        <w:ind w:firstLine="420"/>
        <w:rPr>
          <w:rFonts w:ascii="宋体" w:hAnsi="宋体" w:eastAsia="宋体" w:cs="宋体"/>
          <w:szCs w:val="21"/>
        </w:rPr>
      </w:pPr>
      <w:r>
        <w:rPr>
          <w:rFonts w:hint="eastAsia" w:ascii="宋体" w:hAnsi="宋体" w:eastAsia="宋体" w:cs="宋体"/>
          <w:szCs w:val="21"/>
        </w:rPr>
        <w:t>（注：在框架协议采购的第二阶段，可选择使用该合同文本）</w:t>
      </w:r>
    </w:p>
    <w:p w14:paraId="78C7842C">
      <w:pPr>
        <w:numPr>
          <w:ilvl w:val="255"/>
          <w:numId w:val="0"/>
        </w:numPr>
        <w:autoSpaceDE w:val="0"/>
        <w:autoSpaceDN w:val="0"/>
        <w:adjustRightInd w:val="0"/>
        <w:snapToGrid w:val="0"/>
        <w:spacing w:line="400" w:lineRule="exact"/>
        <w:ind w:firstLine="220" w:firstLineChars="100"/>
        <w:rPr>
          <w:rFonts w:ascii="宋体" w:hAnsi="宋体" w:eastAsia="宋体" w:cs="Times New Roman"/>
          <w:szCs w:val="21"/>
        </w:rPr>
      </w:pPr>
      <w:r>
        <w:rPr>
          <w:rFonts w:hint="eastAsia" w:ascii="宋体" w:hAnsi="宋体" w:eastAsia="华文楷体" w:cs="华文楷体"/>
          <w:sz w:val="22"/>
          <w:szCs w:val="21"/>
        </w:rPr>
        <w:t xml:space="preserve"> （</w:t>
      </w:r>
      <w:r>
        <w:rPr>
          <w:rFonts w:ascii="宋体" w:hAnsi="宋体" w:eastAsia="华文楷体" w:cs="华文楷体"/>
          <w:sz w:val="22"/>
          <w:szCs w:val="21"/>
        </w:rPr>
        <w:t>6</w:t>
      </w:r>
      <w:r>
        <w:rPr>
          <w:rFonts w:hint="eastAsia" w:ascii="宋体" w:hAnsi="宋体" w:eastAsia="华文楷体" w:cs="华文楷体"/>
          <w:sz w:val="22"/>
          <w:szCs w:val="21"/>
        </w:rPr>
        <w:t>）</w:t>
      </w:r>
      <w:r>
        <w:rPr>
          <w:rFonts w:hint="eastAsia" w:ascii="宋体" w:hAnsi="宋体" w:eastAsia="宋体" w:cs="Times New Roman"/>
          <w:szCs w:val="21"/>
        </w:rPr>
        <w:t>中标（成交）采购标的制造商是否为中小企业：</w:t>
      </w:r>
      <w:r>
        <w:rPr>
          <w:rFonts w:ascii="Wingdings" w:hAnsi="Wingdings" w:eastAsia="宋体" w:cs="Times New Roman"/>
          <w:szCs w:val="21"/>
        </w:rPr>
        <w:sym w:font="Wingdings" w:char="F0A8"/>
      </w:r>
      <w:r>
        <w:rPr>
          <w:rFonts w:hint="eastAsia" w:ascii="宋体" w:hAnsi="宋体" w:eastAsia="宋体" w:cs="Times New Roman"/>
          <w:szCs w:val="21"/>
        </w:rPr>
        <w:t xml:space="preserve">是      </w:t>
      </w:r>
      <w:r>
        <w:rPr>
          <w:rFonts w:ascii="Wingdings" w:hAnsi="Wingdings" w:eastAsia="宋体" w:cs="Times New Roman"/>
          <w:szCs w:val="21"/>
        </w:rPr>
        <w:sym w:font="Wingdings" w:char="F0A8"/>
      </w:r>
      <w:r>
        <w:rPr>
          <w:rFonts w:hint="eastAsia" w:ascii="宋体" w:hAnsi="宋体" w:eastAsia="宋体" w:cs="Times New Roman"/>
          <w:szCs w:val="21"/>
        </w:rPr>
        <w:t>否</w:t>
      </w:r>
    </w:p>
    <w:p w14:paraId="725984D9">
      <w:pPr>
        <w:numPr>
          <w:ilvl w:val="255"/>
          <w:numId w:val="0"/>
        </w:numPr>
        <w:adjustRightInd w:val="0"/>
        <w:snapToGrid w:val="0"/>
        <w:spacing w:line="400" w:lineRule="exact"/>
        <w:rPr>
          <w:rFonts w:ascii="宋体" w:hAnsi="宋体" w:eastAsia="宋体"/>
          <w:iCs/>
          <w:szCs w:val="21"/>
        </w:rPr>
      </w:pPr>
      <w:r>
        <w:rPr>
          <w:rFonts w:hint="eastAsia" w:ascii="宋体" w:hAnsi="宋体" w:eastAsia="宋体"/>
          <w:szCs w:val="21"/>
        </w:rPr>
        <w:t xml:space="preserve">         本合同是否为专门面向中小企业的采购合同（中小企业预留合同）：</w:t>
      </w:r>
      <w:r>
        <w:rPr>
          <w:rFonts w:ascii="Wingdings" w:hAnsi="Wingdings" w:eastAsia="宋体"/>
          <w:iCs/>
          <w:szCs w:val="21"/>
        </w:rPr>
        <w:sym w:font="Wingdings" w:char="F0A8"/>
      </w:r>
      <w:r>
        <w:rPr>
          <w:rFonts w:hint="eastAsia" w:ascii="宋体" w:hAnsi="宋体" w:eastAsia="宋体"/>
          <w:iCs/>
          <w:szCs w:val="21"/>
        </w:rPr>
        <w:t xml:space="preserve">是    </w:t>
      </w:r>
      <w:r>
        <w:rPr>
          <w:rFonts w:ascii="Wingdings" w:hAnsi="Wingdings" w:eastAsia="宋体"/>
          <w:iCs/>
          <w:szCs w:val="21"/>
        </w:rPr>
        <w:sym w:font="Wingdings" w:char="F0A8"/>
      </w:r>
      <w:r>
        <w:rPr>
          <w:rFonts w:hint="eastAsia" w:ascii="宋体" w:hAnsi="宋体" w:eastAsia="宋体"/>
          <w:iCs/>
          <w:szCs w:val="21"/>
        </w:rPr>
        <w:t>否</w:t>
      </w:r>
    </w:p>
    <w:p w14:paraId="03E0AC6F">
      <w:pPr>
        <w:numPr>
          <w:ilvl w:val="255"/>
          <w:numId w:val="0"/>
        </w:numPr>
        <w:adjustRightInd w:val="0"/>
        <w:snapToGrid w:val="0"/>
        <w:spacing w:line="400" w:lineRule="exact"/>
        <w:rPr>
          <w:rFonts w:ascii="宋体" w:hAnsi="宋体" w:eastAsia="宋体"/>
          <w:iCs/>
          <w:szCs w:val="21"/>
        </w:rPr>
      </w:pPr>
      <w:r>
        <w:rPr>
          <w:rFonts w:hint="eastAsia" w:eastAsia="宋体"/>
        </w:rPr>
        <w:t xml:space="preserve">         若本项目不专门面向中小企业采购，是否给予小微企业评审优惠：</w:t>
      </w:r>
      <w:r>
        <w:rPr>
          <w:rFonts w:ascii="Wingdings" w:hAnsi="Wingdings" w:eastAsia="宋体"/>
          <w:iCs/>
          <w:szCs w:val="21"/>
        </w:rPr>
        <w:sym w:font="Wingdings" w:char="F0A8"/>
      </w:r>
      <w:r>
        <w:rPr>
          <w:rFonts w:hint="eastAsia" w:ascii="宋体" w:hAnsi="宋体" w:eastAsia="宋体"/>
          <w:iCs/>
          <w:szCs w:val="21"/>
        </w:rPr>
        <w:t xml:space="preserve">是   </w:t>
      </w:r>
      <w:r>
        <w:rPr>
          <w:rFonts w:ascii="Wingdings" w:hAnsi="Wingdings" w:eastAsia="宋体"/>
          <w:iCs/>
          <w:szCs w:val="21"/>
        </w:rPr>
        <w:sym w:font="Wingdings" w:char="F0A8"/>
      </w:r>
      <w:r>
        <w:rPr>
          <w:rFonts w:hint="eastAsia" w:ascii="宋体" w:hAnsi="宋体" w:eastAsia="宋体"/>
          <w:iCs/>
          <w:szCs w:val="21"/>
        </w:rPr>
        <w:t>否</w:t>
      </w:r>
    </w:p>
    <w:p w14:paraId="5E6291BF">
      <w:pPr>
        <w:numPr>
          <w:ilvl w:val="255"/>
          <w:numId w:val="0"/>
        </w:numPr>
        <w:adjustRightInd w:val="0"/>
        <w:snapToGrid w:val="0"/>
        <w:spacing w:line="400" w:lineRule="exact"/>
        <w:rPr>
          <w:rFonts w:ascii="宋体" w:hAnsi="宋体" w:eastAsia="宋体"/>
          <w:iCs/>
          <w:szCs w:val="21"/>
        </w:rPr>
      </w:pPr>
      <w:r>
        <w:rPr>
          <w:rFonts w:hint="eastAsia" w:eastAsia="宋体"/>
        </w:rPr>
        <w:t xml:space="preserve">         中标（成交）采购标的制造商是否为残疾人福利性单位：</w:t>
      </w:r>
      <w:r>
        <w:rPr>
          <w:rFonts w:ascii="Wingdings" w:hAnsi="Wingdings" w:eastAsia="宋体"/>
          <w:iCs/>
          <w:szCs w:val="21"/>
        </w:rPr>
        <w:sym w:font="Wingdings" w:char="F0A8"/>
      </w:r>
      <w:r>
        <w:rPr>
          <w:rFonts w:hint="eastAsia" w:ascii="宋体" w:hAnsi="宋体" w:eastAsia="宋体"/>
          <w:iCs/>
          <w:szCs w:val="21"/>
        </w:rPr>
        <w:t xml:space="preserve">是   </w:t>
      </w:r>
      <w:r>
        <w:rPr>
          <w:rFonts w:ascii="Wingdings" w:hAnsi="Wingdings" w:eastAsia="宋体"/>
          <w:iCs/>
          <w:szCs w:val="21"/>
        </w:rPr>
        <w:sym w:font="Wingdings" w:char="F0A8"/>
      </w:r>
      <w:r>
        <w:rPr>
          <w:rFonts w:hint="eastAsia" w:ascii="宋体" w:hAnsi="宋体" w:eastAsia="宋体"/>
          <w:iCs/>
          <w:szCs w:val="21"/>
        </w:rPr>
        <w:t>否</w:t>
      </w:r>
    </w:p>
    <w:p w14:paraId="7312EDD1">
      <w:pPr>
        <w:snapToGrid w:val="0"/>
        <w:spacing w:line="400" w:lineRule="exact"/>
        <w:rPr>
          <w:rFonts w:eastAsia="宋体"/>
        </w:rPr>
      </w:pPr>
      <w:r>
        <w:rPr>
          <w:rFonts w:hint="eastAsia" w:eastAsia="宋体"/>
        </w:rPr>
        <w:t xml:space="preserve">         中标（成交）采购标的制造商是否为监狱企业：</w:t>
      </w:r>
      <w:r>
        <w:rPr>
          <w:rFonts w:ascii="Wingdings" w:hAnsi="Wingdings" w:eastAsia="宋体"/>
          <w:iCs/>
          <w:szCs w:val="21"/>
        </w:rPr>
        <w:sym w:font="Wingdings" w:char="F0A8"/>
      </w:r>
      <w:r>
        <w:rPr>
          <w:rFonts w:hint="eastAsia" w:ascii="宋体" w:hAnsi="宋体" w:eastAsia="宋体"/>
          <w:iCs/>
          <w:szCs w:val="21"/>
        </w:rPr>
        <w:t xml:space="preserve">是       </w:t>
      </w:r>
      <w:r>
        <w:rPr>
          <w:rFonts w:ascii="Wingdings" w:hAnsi="Wingdings" w:eastAsia="宋体"/>
          <w:iCs/>
          <w:szCs w:val="21"/>
        </w:rPr>
        <w:sym w:font="Wingdings" w:char="F0A8"/>
      </w:r>
      <w:r>
        <w:rPr>
          <w:rFonts w:hint="eastAsia" w:ascii="宋体" w:hAnsi="宋体" w:eastAsia="宋体"/>
          <w:iCs/>
          <w:szCs w:val="21"/>
        </w:rPr>
        <w:t>否</w:t>
      </w:r>
    </w:p>
    <w:p w14:paraId="17AFF740">
      <w:pPr>
        <w:adjustRightInd w:val="0"/>
        <w:snapToGrid w:val="0"/>
        <w:spacing w:line="400" w:lineRule="exact"/>
        <w:ind w:firstLine="420" w:firstLineChars="200"/>
        <w:rPr>
          <w:rFonts w:ascii="宋体" w:hAnsi="宋体" w:eastAsia="宋体"/>
          <w:szCs w:val="21"/>
        </w:rPr>
      </w:pPr>
      <w:r>
        <w:rPr>
          <w:rFonts w:hint="eastAsia" w:ascii="宋体" w:hAnsi="宋体" w:eastAsia="宋体"/>
          <w:szCs w:val="21"/>
        </w:rPr>
        <w:t>（</w:t>
      </w:r>
      <w:r>
        <w:rPr>
          <w:rFonts w:ascii="宋体" w:hAnsi="宋体" w:eastAsia="宋体"/>
          <w:szCs w:val="21"/>
        </w:rPr>
        <w:t>7</w:t>
      </w:r>
      <w:r>
        <w:rPr>
          <w:rFonts w:hint="eastAsia" w:ascii="宋体" w:hAnsi="宋体" w:eastAsia="宋体"/>
          <w:szCs w:val="21"/>
        </w:rPr>
        <w:t>）合同是否分包：</w:t>
      </w:r>
      <w:r>
        <w:rPr>
          <w:rFonts w:ascii="Wingdings" w:hAnsi="Wingdings" w:eastAsia="宋体"/>
          <w:iCs/>
          <w:szCs w:val="21"/>
        </w:rPr>
        <w:sym w:font="Wingdings" w:char="F0A8"/>
      </w:r>
      <w:r>
        <w:rPr>
          <w:rFonts w:hint="eastAsia" w:ascii="宋体" w:hAnsi="宋体" w:eastAsia="宋体"/>
          <w:iCs/>
          <w:szCs w:val="21"/>
        </w:rPr>
        <w:t xml:space="preserve">是       </w:t>
      </w:r>
      <w:r>
        <w:rPr>
          <w:rFonts w:ascii="Wingdings" w:hAnsi="Wingdings" w:eastAsia="宋体"/>
          <w:iCs/>
          <w:szCs w:val="21"/>
        </w:rPr>
        <w:sym w:font="Wingdings" w:char="F0A8"/>
      </w:r>
      <w:r>
        <w:rPr>
          <w:rFonts w:hint="eastAsia" w:ascii="宋体" w:hAnsi="宋体" w:eastAsia="宋体"/>
          <w:iCs/>
          <w:szCs w:val="21"/>
        </w:rPr>
        <w:t>否</w:t>
      </w:r>
    </w:p>
    <w:p w14:paraId="1CD596C7">
      <w:pPr>
        <w:adjustRightInd w:val="0"/>
        <w:snapToGrid w:val="0"/>
        <w:spacing w:line="400" w:lineRule="exact"/>
        <w:ind w:firstLine="840" w:firstLineChars="400"/>
        <w:rPr>
          <w:rFonts w:ascii="宋体" w:hAnsi="宋体" w:eastAsia="宋体"/>
          <w:szCs w:val="21"/>
          <w:u w:val="single"/>
        </w:rPr>
      </w:pPr>
      <w:r>
        <w:rPr>
          <w:rFonts w:hint="eastAsia" w:ascii="宋体" w:hAnsi="宋体" w:eastAsia="宋体"/>
          <w:szCs w:val="21"/>
        </w:rPr>
        <w:t xml:space="preserve"> 分包主要内容：</w:t>
      </w:r>
      <w:r>
        <w:rPr>
          <w:rFonts w:hint="eastAsia" w:ascii="宋体" w:hAnsi="宋体" w:eastAsia="宋体"/>
          <w:szCs w:val="21"/>
          <w:u w:val="single"/>
        </w:rPr>
        <w:t xml:space="preserve">                                            </w:t>
      </w:r>
    </w:p>
    <w:p w14:paraId="33662C4F">
      <w:pPr>
        <w:adjustRightInd w:val="0"/>
        <w:snapToGrid w:val="0"/>
        <w:spacing w:line="400" w:lineRule="exact"/>
        <w:ind w:firstLine="840" w:firstLineChars="400"/>
        <w:rPr>
          <w:rFonts w:ascii="宋体" w:hAnsi="宋体" w:eastAsia="宋体"/>
          <w:szCs w:val="21"/>
        </w:rPr>
      </w:pPr>
      <w:r>
        <w:rPr>
          <w:rFonts w:hint="eastAsia" w:ascii="宋体" w:hAnsi="宋体" w:eastAsia="宋体"/>
          <w:szCs w:val="21"/>
        </w:rPr>
        <w:t xml:space="preserve"> 分包供应商/制造商名称（如供应商和制造商不同，请分别填写）：</w:t>
      </w:r>
    </w:p>
    <w:p w14:paraId="2DF19750">
      <w:pPr>
        <w:adjustRightInd w:val="0"/>
        <w:snapToGrid w:val="0"/>
        <w:spacing w:line="400" w:lineRule="exact"/>
        <w:ind w:firstLine="840" w:firstLineChars="400"/>
        <w:rPr>
          <w:rFonts w:ascii="宋体" w:hAnsi="宋体" w:eastAsia="宋体"/>
          <w:szCs w:val="21"/>
          <w:u w:val="single"/>
        </w:rPr>
      </w:pPr>
      <w:r>
        <w:rPr>
          <w:rFonts w:hint="eastAsia" w:ascii="宋体" w:hAnsi="宋体" w:eastAsia="宋体"/>
          <w:szCs w:val="21"/>
        </w:rPr>
        <w:t xml:space="preserve"> </w:t>
      </w:r>
      <w:r>
        <w:rPr>
          <w:rFonts w:hint="eastAsia" w:ascii="宋体" w:hAnsi="宋体" w:eastAsia="宋体"/>
          <w:szCs w:val="21"/>
          <w:u w:val="single"/>
        </w:rPr>
        <w:t xml:space="preserve">                                                          </w:t>
      </w:r>
    </w:p>
    <w:p w14:paraId="063F355F">
      <w:pPr>
        <w:adjustRightInd w:val="0"/>
        <w:snapToGrid w:val="0"/>
        <w:spacing w:line="400" w:lineRule="exact"/>
        <w:ind w:firstLine="840" w:firstLineChars="400"/>
        <w:rPr>
          <w:rFonts w:ascii="宋体" w:hAnsi="宋体" w:eastAsia="宋体"/>
          <w:szCs w:val="21"/>
        </w:rPr>
      </w:pPr>
      <w:r>
        <w:rPr>
          <w:rFonts w:hint="eastAsia" w:ascii="宋体" w:hAnsi="宋体" w:eastAsia="宋体"/>
          <w:szCs w:val="21"/>
        </w:rPr>
        <w:t xml:space="preserve"> 分包供应商/制造商类型（如果供应商和制造商不同，只填写制造商类型）：</w:t>
      </w:r>
    </w:p>
    <w:p w14:paraId="60218458">
      <w:pPr>
        <w:adjustRightInd w:val="0"/>
        <w:snapToGrid w:val="0"/>
        <w:spacing w:line="400" w:lineRule="exact"/>
        <w:ind w:firstLine="840" w:firstLineChars="400"/>
        <w:rPr>
          <w:rFonts w:ascii="宋体" w:hAnsi="宋体" w:eastAsia="宋体"/>
          <w:iCs/>
          <w:szCs w:val="21"/>
        </w:rPr>
      </w:pPr>
      <w:r>
        <w:rPr>
          <w:rFonts w:hint="eastAsia" w:ascii="宋体" w:hAnsi="宋体" w:eastAsia="宋体"/>
          <w:iCs/>
          <w:szCs w:val="21"/>
        </w:rPr>
        <w:t xml:space="preserve"> </w:t>
      </w:r>
      <w:r>
        <w:rPr>
          <w:rFonts w:ascii="Wingdings" w:hAnsi="Wingdings" w:eastAsia="宋体"/>
          <w:iCs/>
          <w:szCs w:val="21"/>
        </w:rPr>
        <w:sym w:font="Wingdings" w:char="F0A8"/>
      </w:r>
      <w:r>
        <w:rPr>
          <w:rFonts w:hint="eastAsia" w:ascii="宋体" w:hAnsi="宋体" w:eastAsia="宋体"/>
          <w:iCs/>
          <w:szCs w:val="21"/>
        </w:rPr>
        <w:t xml:space="preserve">大型企业  </w:t>
      </w:r>
      <w:r>
        <w:rPr>
          <w:rFonts w:ascii="Wingdings" w:hAnsi="Wingdings" w:eastAsia="宋体"/>
          <w:iCs/>
          <w:szCs w:val="21"/>
        </w:rPr>
        <w:sym w:font="Wingdings" w:char="F0A8"/>
      </w:r>
      <w:r>
        <w:rPr>
          <w:rFonts w:hint="eastAsia" w:ascii="宋体" w:hAnsi="宋体" w:eastAsia="宋体"/>
          <w:iCs/>
          <w:szCs w:val="21"/>
        </w:rPr>
        <w:t xml:space="preserve">中型企业  </w:t>
      </w:r>
      <w:r>
        <w:rPr>
          <w:rFonts w:ascii="Wingdings" w:hAnsi="Wingdings" w:eastAsia="宋体"/>
          <w:iCs/>
          <w:szCs w:val="21"/>
        </w:rPr>
        <w:sym w:font="Wingdings" w:char="F0A8"/>
      </w:r>
      <w:r>
        <w:rPr>
          <w:rFonts w:hint="eastAsia" w:ascii="宋体" w:hAnsi="宋体" w:eastAsia="宋体"/>
          <w:iCs/>
          <w:szCs w:val="21"/>
        </w:rPr>
        <w:t xml:space="preserve">小微型企业  </w:t>
      </w:r>
    </w:p>
    <w:p w14:paraId="4194C67A">
      <w:pPr>
        <w:adjustRightInd w:val="0"/>
        <w:snapToGrid w:val="0"/>
        <w:spacing w:line="400" w:lineRule="exact"/>
        <w:ind w:firstLine="840" w:firstLineChars="400"/>
        <w:rPr>
          <w:rFonts w:eastAsia="华文楷体"/>
        </w:rPr>
      </w:pPr>
      <w:r>
        <w:rPr>
          <w:rFonts w:hint="eastAsia" w:ascii="宋体" w:hAnsi="宋体" w:eastAsia="宋体"/>
          <w:iCs/>
          <w:szCs w:val="21"/>
        </w:rPr>
        <w:t xml:space="preserve"> </w:t>
      </w:r>
      <w:r>
        <w:rPr>
          <w:rFonts w:ascii="Wingdings" w:hAnsi="Wingdings" w:eastAsia="宋体"/>
          <w:iCs/>
          <w:szCs w:val="21"/>
        </w:rPr>
        <w:sym w:font="Wingdings" w:char="F0A8"/>
      </w:r>
      <w:r>
        <w:rPr>
          <w:rFonts w:hint="eastAsia" w:ascii="宋体" w:hAnsi="宋体" w:eastAsia="宋体"/>
          <w:iCs/>
          <w:szCs w:val="21"/>
        </w:rPr>
        <w:t xml:space="preserve">残疾人福利性单位 </w:t>
      </w:r>
      <w:r>
        <w:rPr>
          <w:rFonts w:ascii="Wingdings" w:hAnsi="Wingdings" w:eastAsia="宋体"/>
          <w:iCs/>
          <w:szCs w:val="21"/>
        </w:rPr>
        <w:sym w:font="Wingdings" w:char="F0A8"/>
      </w:r>
      <w:r>
        <w:rPr>
          <w:rFonts w:hint="eastAsia" w:ascii="宋体" w:hAnsi="宋体" w:eastAsia="宋体"/>
          <w:iCs/>
          <w:szCs w:val="21"/>
        </w:rPr>
        <w:t xml:space="preserve">监狱企业 </w:t>
      </w:r>
      <w:r>
        <w:rPr>
          <w:rFonts w:ascii="Wingdings" w:hAnsi="Wingdings" w:eastAsia="宋体"/>
          <w:iCs/>
          <w:szCs w:val="21"/>
        </w:rPr>
        <w:sym w:font="Wingdings" w:char="F0A8"/>
      </w:r>
      <w:r>
        <w:rPr>
          <w:rFonts w:hint="eastAsia" w:ascii="宋体" w:hAnsi="宋体" w:eastAsia="宋体"/>
          <w:iCs/>
          <w:szCs w:val="21"/>
        </w:rPr>
        <w:t>其他</w:t>
      </w:r>
    </w:p>
    <w:p w14:paraId="41548AAE">
      <w:pPr>
        <w:numPr>
          <w:ilvl w:val="255"/>
          <w:numId w:val="0"/>
        </w:numPr>
        <w:adjustRightInd w:val="0"/>
        <w:snapToGrid w:val="0"/>
        <w:spacing w:line="400" w:lineRule="exact"/>
        <w:rPr>
          <w:rFonts w:ascii="宋体" w:hAnsi="宋体" w:eastAsia="宋体" w:cs="宋体"/>
          <w:iCs/>
          <w:szCs w:val="21"/>
        </w:rPr>
      </w:pPr>
      <w:r>
        <w:rPr>
          <w:rFonts w:hint="eastAsia" w:ascii="宋体" w:hAnsi="宋体" w:eastAsia="宋体"/>
          <w:szCs w:val="21"/>
        </w:rPr>
        <w:t xml:space="preserve">    </w:t>
      </w:r>
      <w:r>
        <w:rPr>
          <w:rFonts w:hint="eastAsia" w:ascii="宋体" w:hAnsi="宋体" w:eastAsia="宋体" w:cs="宋体"/>
          <w:szCs w:val="21"/>
        </w:rPr>
        <w:t>（</w:t>
      </w:r>
      <w:r>
        <w:rPr>
          <w:rFonts w:ascii="宋体" w:hAnsi="宋体" w:eastAsia="宋体" w:cs="宋体"/>
          <w:szCs w:val="21"/>
        </w:rPr>
        <w:t>8</w:t>
      </w:r>
      <w:r>
        <w:rPr>
          <w:rFonts w:hint="eastAsia" w:ascii="宋体" w:hAnsi="宋体" w:eastAsia="宋体" w:cs="宋体"/>
          <w:szCs w:val="21"/>
        </w:rPr>
        <w:t>）中标（成交）供应商是否为外商投资企业：</w:t>
      </w:r>
      <w:r>
        <w:rPr>
          <w:rFonts w:ascii="Wingdings" w:hAnsi="Wingdings" w:eastAsia="宋体" w:cs="宋体"/>
          <w:iCs/>
          <w:szCs w:val="21"/>
        </w:rPr>
        <w:sym w:font="Wingdings" w:char="F0A8"/>
      </w:r>
      <w:r>
        <w:rPr>
          <w:rFonts w:hint="eastAsia" w:ascii="宋体" w:hAnsi="宋体" w:eastAsia="宋体" w:cs="宋体"/>
          <w:iCs/>
          <w:szCs w:val="21"/>
        </w:rPr>
        <w:t xml:space="preserve">是       </w:t>
      </w:r>
      <w:r>
        <w:rPr>
          <w:rFonts w:ascii="Wingdings" w:hAnsi="Wingdings" w:eastAsia="宋体" w:cs="宋体"/>
          <w:iCs/>
          <w:szCs w:val="21"/>
        </w:rPr>
        <w:sym w:font="Wingdings" w:char="F0A8"/>
      </w:r>
      <w:r>
        <w:rPr>
          <w:rFonts w:hint="eastAsia" w:ascii="宋体" w:hAnsi="宋体" w:eastAsia="宋体" w:cs="宋体"/>
          <w:iCs/>
          <w:szCs w:val="21"/>
        </w:rPr>
        <w:t>否</w:t>
      </w:r>
    </w:p>
    <w:p w14:paraId="719EBCB2">
      <w:pPr>
        <w:tabs>
          <w:tab w:val="left" w:pos="1340"/>
        </w:tabs>
        <w:autoSpaceDE w:val="0"/>
        <w:autoSpaceDN w:val="0"/>
        <w:adjustRightInd w:val="0"/>
        <w:spacing w:line="400" w:lineRule="exact"/>
        <w:ind w:firstLine="420" w:firstLineChars="200"/>
        <w:rPr>
          <w:rFonts w:ascii="宋体" w:hAnsi="宋体" w:eastAsia="宋体" w:cs="宋体"/>
          <w:szCs w:val="21"/>
          <w:u w:val="single"/>
        </w:rPr>
      </w:pPr>
      <w:r>
        <w:rPr>
          <w:rFonts w:hint="eastAsia" w:ascii="宋体" w:hAnsi="宋体" w:eastAsia="宋体" w:cs="宋体"/>
          <w:szCs w:val="21"/>
        </w:rPr>
        <w:t xml:space="preserve">     外商投资企业类型：</w:t>
      </w:r>
      <w:r>
        <w:rPr>
          <w:rFonts w:ascii="Wingdings" w:hAnsi="Wingdings" w:eastAsia="宋体" w:cs="宋体"/>
          <w:iCs/>
          <w:szCs w:val="21"/>
        </w:rPr>
        <w:sym w:font="Wingdings" w:char="F0A8"/>
      </w:r>
      <w:r>
        <w:rPr>
          <w:rFonts w:hint="eastAsia" w:ascii="宋体" w:hAnsi="宋体" w:eastAsia="宋体" w:cs="宋体"/>
          <w:szCs w:val="21"/>
        </w:rPr>
        <w:t xml:space="preserve">全部由外国投资者投资  </w:t>
      </w:r>
      <w:r>
        <w:rPr>
          <w:rFonts w:ascii="Wingdings" w:hAnsi="Wingdings" w:eastAsia="宋体" w:cs="宋体"/>
          <w:iCs/>
          <w:szCs w:val="21"/>
        </w:rPr>
        <w:sym w:font="Wingdings" w:char="F0A8"/>
      </w:r>
      <w:r>
        <w:rPr>
          <w:rFonts w:hint="eastAsia" w:ascii="宋体" w:hAnsi="宋体" w:eastAsia="宋体" w:cs="宋体"/>
          <w:iCs/>
          <w:szCs w:val="21"/>
        </w:rPr>
        <w:t>部分由外国投资者投资</w:t>
      </w:r>
    </w:p>
    <w:p w14:paraId="607C89A7">
      <w:pPr>
        <w:numPr>
          <w:ilvl w:val="255"/>
          <w:numId w:val="0"/>
        </w:num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w:t>
      </w:r>
      <w:r>
        <w:rPr>
          <w:rFonts w:ascii="宋体" w:hAnsi="宋体" w:eastAsia="宋体" w:cs="宋体"/>
          <w:szCs w:val="21"/>
        </w:rPr>
        <w:t>9</w:t>
      </w:r>
      <w:r>
        <w:rPr>
          <w:rFonts w:hint="eastAsia" w:ascii="宋体" w:hAnsi="宋体" w:eastAsia="宋体" w:cs="宋体"/>
          <w:szCs w:val="21"/>
        </w:rPr>
        <w:t>）是否涉及进口产品：</w:t>
      </w:r>
    </w:p>
    <w:p w14:paraId="396C687A">
      <w:pPr>
        <w:numPr>
          <w:ilvl w:val="255"/>
          <w:numId w:val="0"/>
        </w:numPr>
        <w:adjustRightInd w:val="0"/>
        <w:snapToGrid w:val="0"/>
        <w:spacing w:line="400" w:lineRule="exact"/>
        <w:ind w:firstLine="840" w:firstLineChars="400"/>
        <w:rPr>
          <w:rFonts w:ascii="宋体" w:hAnsi="宋体" w:eastAsia="宋体" w:cs="宋体"/>
          <w:szCs w:val="21"/>
          <w:u w:val="single"/>
        </w:rPr>
      </w:pPr>
      <w:r>
        <w:rPr>
          <w:rFonts w:hint="eastAsia" w:ascii="宋体" w:hAnsi="宋体" w:eastAsia="宋体" w:cs="宋体"/>
          <w:szCs w:val="21"/>
        </w:rPr>
        <w:t xml:space="preserve"> </w:t>
      </w:r>
      <w:r>
        <w:rPr>
          <w:rFonts w:ascii="Wingdings" w:hAnsi="Wingdings" w:eastAsia="宋体" w:cs="宋体"/>
          <w:szCs w:val="21"/>
        </w:rPr>
        <w:sym w:font="Wingdings" w:char="F0A8"/>
      </w:r>
      <w:r>
        <w:rPr>
          <w:rFonts w:hint="eastAsia" w:ascii="宋体" w:hAnsi="宋体" w:eastAsia="宋体" w:cs="宋体"/>
          <w:szCs w:val="21"/>
        </w:rPr>
        <w:t>是，《政府采购品目分类目录》底级品目名称：</w:t>
      </w:r>
      <w:r>
        <w:rPr>
          <w:rFonts w:hint="eastAsia" w:ascii="宋体" w:hAnsi="宋体" w:eastAsia="宋体" w:cs="宋体"/>
          <w:szCs w:val="21"/>
          <w:u w:val="single"/>
        </w:rPr>
        <w:t xml:space="preserve">         </w:t>
      </w:r>
      <w:r>
        <w:rPr>
          <w:rFonts w:hint="eastAsia" w:ascii="宋体" w:hAnsi="宋体" w:eastAsia="宋体" w:cs="宋体"/>
          <w:szCs w:val="21"/>
        </w:rPr>
        <w:t xml:space="preserve"> 金额：</w:t>
      </w:r>
      <w:r>
        <w:rPr>
          <w:rFonts w:hint="eastAsia" w:ascii="宋体" w:hAnsi="宋体" w:eastAsia="宋体" w:cs="宋体"/>
          <w:szCs w:val="21"/>
          <w:u w:val="single"/>
        </w:rPr>
        <w:t xml:space="preserve">        </w:t>
      </w:r>
    </w:p>
    <w:p w14:paraId="464C0D6E">
      <w:pPr>
        <w:numPr>
          <w:ilvl w:val="255"/>
          <w:numId w:val="0"/>
        </w:numPr>
        <w:adjustRightInd w:val="0"/>
        <w:snapToGrid w:val="0"/>
        <w:spacing w:line="400" w:lineRule="exact"/>
        <w:ind w:firstLine="840" w:firstLineChars="400"/>
        <w:rPr>
          <w:rFonts w:ascii="宋体" w:hAnsi="宋体" w:eastAsia="宋体"/>
          <w:szCs w:val="21"/>
        </w:rPr>
      </w:pPr>
      <w:r>
        <w:rPr>
          <w:rFonts w:hint="eastAsia" w:ascii="宋体" w:hAnsi="宋体" w:eastAsia="宋体" w:cs="宋体"/>
          <w:szCs w:val="21"/>
        </w:rPr>
        <w:t xml:space="preserve">        国别：</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szCs w:val="21"/>
        </w:rPr>
        <w:t xml:space="preserve">      </w:t>
      </w:r>
    </w:p>
    <w:p w14:paraId="35B19C82">
      <w:pPr>
        <w:adjustRightInd w:val="0"/>
        <w:snapToGrid w:val="0"/>
        <w:spacing w:line="400" w:lineRule="exact"/>
        <w:ind w:firstLine="840" w:firstLineChars="400"/>
        <w:rPr>
          <w:rFonts w:ascii="宋体" w:hAnsi="宋体" w:eastAsia="宋体"/>
          <w:szCs w:val="21"/>
        </w:rPr>
      </w:pPr>
      <w:r>
        <w:rPr>
          <w:rFonts w:hint="eastAsia" w:ascii="宋体" w:hAnsi="宋体" w:eastAsia="宋体"/>
          <w:szCs w:val="21"/>
        </w:rPr>
        <w:t xml:space="preserve"> </w:t>
      </w:r>
      <w:r>
        <w:rPr>
          <w:rFonts w:ascii="Wingdings" w:hAnsi="Wingdings" w:eastAsia="宋体"/>
          <w:szCs w:val="21"/>
        </w:rPr>
        <w:sym w:font="Wingdings" w:char="F0A8"/>
      </w:r>
      <w:r>
        <w:rPr>
          <w:rFonts w:hint="eastAsia" w:ascii="宋体" w:hAnsi="宋体" w:eastAsia="宋体"/>
          <w:szCs w:val="21"/>
        </w:rPr>
        <w:t>否</w:t>
      </w:r>
    </w:p>
    <w:p w14:paraId="079070E1">
      <w:pPr>
        <w:numPr>
          <w:ilvl w:val="255"/>
          <w:numId w:val="0"/>
        </w:numPr>
        <w:tabs>
          <w:tab w:val="left" w:pos="740"/>
        </w:tabs>
        <w:adjustRightInd w:val="0"/>
        <w:snapToGrid w:val="0"/>
        <w:spacing w:line="400" w:lineRule="exact"/>
        <w:rPr>
          <w:rFonts w:ascii="宋体" w:hAnsi="宋体" w:eastAsia="宋体"/>
          <w:szCs w:val="21"/>
        </w:rPr>
      </w:pPr>
      <w:r>
        <w:rPr>
          <w:rFonts w:hint="eastAsia" w:ascii="宋体" w:hAnsi="宋体" w:eastAsia="宋体"/>
          <w:szCs w:val="21"/>
        </w:rPr>
        <w:t xml:space="preserve">    （1</w:t>
      </w:r>
      <w:r>
        <w:rPr>
          <w:rFonts w:ascii="宋体" w:hAnsi="宋体" w:eastAsia="宋体"/>
          <w:szCs w:val="21"/>
        </w:rPr>
        <w:t>0</w:t>
      </w:r>
      <w:r>
        <w:rPr>
          <w:rFonts w:hint="eastAsia" w:ascii="宋体" w:hAnsi="宋体" w:eastAsia="宋体"/>
          <w:szCs w:val="21"/>
        </w:rPr>
        <w:t>）是否涉及节能产品：</w:t>
      </w:r>
    </w:p>
    <w:p w14:paraId="3CB79030">
      <w:pPr>
        <w:numPr>
          <w:ilvl w:val="255"/>
          <w:numId w:val="0"/>
        </w:numPr>
        <w:tabs>
          <w:tab w:val="left" w:pos="740"/>
        </w:tabs>
        <w:adjustRightInd w:val="0"/>
        <w:snapToGrid w:val="0"/>
        <w:spacing w:line="400" w:lineRule="exact"/>
        <w:rPr>
          <w:rFonts w:ascii="宋体" w:hAnsi="宋体" w:eastAsia="宋体"/>
          <w:iCs/>
          <w:szCs w:val="21"/>
        </w:rPr>
      </w:pPr>
      <w:r>
        <w:rPr>
          <w:rFonts w:hint="eastAsia" w:ascii="宋体" w:hAnsi="宋体" w:eastAsia="宋体"/>
          <w:szCs w:val="21"/>
        </w:rPr>
        <w:t xml:space="preserve">         </w:t>
      </w:r>
      <w:r>
        <w:rPr>
          <w:rFonts w:ascii="Wingdings" w:hAnsi="Wingdings" w:eastAsia="宋体"/>
          <w:szCs w:val="21"/>
        </w:rPr>
        <w:sym w:font="Wingdings" w:char="F0A8"/>
      </w:r>
      <w:r>
        <w:rPr>
          <w:rFonts w:hint="eastAsia" w:ascii="宋体" w:hAnsi="宋体" w:eastAsia="宋体"/>
          <w:szCs w:val="21"/>
        </w:rPr>
        <w:t>是，《节能产品政府采购品目清单》的底级品目名称：</w:t>
      </w:r>
      <w:r>
        <w:rPr>
          <w:rFonts w:hint="eastAsia" w:ascii="宋体" w:hAnsi="宋体" w:eastAsia="宋体"/>
          <w:szCs w:val="21"/>
          <w:u w:val="single"/>
        </w:rPr>
        <w:t xml:space="preserve">         </w:t>
      </w:r>
      <w:r>
        <w:rPr>
          <w:rFonts w:hint="eastAsia" w:ascii="宋体" w:hAnsi="宋体" w:eastAsia="宋体"/>
          <w:iCs/>
          <w:szCs w:val="21"/>
        </w:rPr>
        <w:t xml:space="preserve">     </w:t>
      </w:r>
    </w:p>
    <w:p w14:paraId="5F92D9B2">
      <w:pPr>
        <w:numPr>
          <w:ilvl w:val="255"/>
          <w:numId w:val="0"/>
        </w:numPr>
        <w:tabs>
          <w:tab w:val="left" w:pos="740"/>
        </w:tabs>
        <w:adjustRightInd w:val="0"/>
        <w:snapToGrid w:val="0"/>
        <w:spacing w:line="400" w:lineRule="exact"/>
        <w:rPr>
          <w:rFonts w:ascii="宋体" w:hAnsi="宋体" w:eastAsia="宋体"/>
          <w:iCs/>
          <w:szCs w:val="21"/>
        </w:rPr>
      </w:pPr>
      <w:r>
        <w:rPr>
          <w:rFonts w:hint="eastAsia" w:ascii="宋体" w:hAnsi="宋体" w:eastAsia="宋体"/>
          <w:iCs/>
          <w:szCs w:val="21"/>
        </w:rPr>
        <w:t xml:space="preserve">                </w:t>
      </w:r>
      <w:r>
        <w:rPr>
          <w:rFonts w:ascii="Wingdings" w:hAnsi="Wingdings" w:eastAsia="宋体"/>
          <w:iCs/>
          <w:szCs w:val="21"/>
        </w:rPr>
        <w:sym w:font="Wingdings" w:char="F0A8"/>
      </w:r>
      <w:r>
        <w:rPr>
          <w:rFonts w:hint="eastAsia" w:ascii="宋体" w:hAnsi="宋体" w:eastAsia="宋体"/>
          <w:iCs/>
          <w:szCs w:val="21"/>
        </w:rPr>
        <w:t xml:space="preserve">强制采购       </w:t>
      </w:r>
      <w:r>
        <w:rPr>
          <w:rFonts w:ascii="Wingdings" w:hAnsi="Wingdings" w:eastAsia="宋体"/>
          <w:iCs/>
          <w:szCs w:val="21"/>
        </w:rPr>
        <w:sym w:font="Wingdings" w:char="F0A8"/>
      </w:r>
      <w:r>
        <w:rPr>
          <w:rFonts w:hint="eastAsia" w:ascii="宋体" w:hAnsi="宋体" w:eastAsia="宋体"/>
          <w:iCs/>
          <w:szCs w:val="21"/>
        </w:rPr>
        <w:t xml:space="preserve">优先采购    </w:t>
      </w:r>
    </w:p>
    <w:p w14:paraId="5736B699">
      <w:pPr>
        <w:numPr>
          <w:ilvl w:val="255"/>
          <w:numId w:val="0"/>
        </w:numPr>
        <w:tabs>
          <w:tab w:val="left" w:pos="740"/>
        </w:tabs>
        <w:adjustRightInd w:val="0"/>
        <w:snapToGrid w:val="0"/>
        <w:spacing w:line="400" w:lineRule="exact"/>
        <w:rPr>
          <w:rFonts w:ascii="宋体" w:hAnsi="宋体" w:eastAsia="宋体"/>
          <w:szCs w:val="21"/>
        </w:rPr>
      </w:pPr>
      <w:r>
        <w:rPr>
          <w:rFonts w:hint="eastAsia" w:ascii="宋体" w:hAnsi="宋体" w:eastAsia="宋体"/>
          <w:iCs/>
          <w:szCs w:val="21"/>
        </w:rPr>
        <w:t xml:space="preserve">         </w:t>
      </w:r>
      <w:r>
        <w:rPr>
          <w:rFonts w:ascii="Wingdings" w:hAnsi="Wingdings" w:eastAsia="宋体"/>
          <w:szCs w:val="21"/>
        </w:rPr>
        <w:sym w:font="Wingdings" w:char="F0A8"/>
      </w:r>
      <w:r>
        <w:rPr>
          <w:rFonts w:hint="eastAsia" w:ascii="宋体" w:hAnsi="宋体" w:eastAsia="宋体"/>
          <w:szCs w:val="21"/>
        </w:rPr>
        <w:t>否</w:t>
      </w:r>
    </w:p>
    <w:p w14:paraId="6E7B2B1F">
      <w:pPr>
        <w:numPr>
          <w:ilvl w:val="255"/>
          <w:numId w:val="0"/>
        </w:numPr>
        <w:tabs>
          <w:tab w:val="left" w:pos="740"/>
        </w:tabs>
        <w:adjustRightInd w:val="0"/>
        <w:snapToGrid w:val="0"/>
        <w:spacing w:line="400" w:lineRule="exact"/>
        <w:rPr>
          <w:rFonts w:ascii="宋体" w:hAnsi="宋体" w:eastAsia="宋体"/>
          <w:szCs w:val="21"/>
        </w:rPr>
      </w:pPr>
      <w:r>
        <w:rPr>
          <w:rFonts w:hint="eastAsia" w:ascii="宋体" w:hAnsi="宋体" w:eastAsia="宋体"/>
          <w:szCs w:val="21"/>
        </w:rPr>
        <w:t xml:space="preserve">          是否涉及环境标志产品：</w:t>
      </w:r>
    </w:p>
    <w:p w14:paraId="5CC36AC8">
      <w:pPr>
        <w:numPr>
          <w:ilvl w:val="255"/>
          <w:numId w:val="0"/>
        </w:numPr>
        <w:tabs>
          <w:tab w:val="left" w:pos="740"/>
        </w:tabs>
        <w:adjustRightInd w:val="0"/>
        <w:snapToGrid w:val="0"/>
        <w:spacing w:line="400" w:lineRule="exact"/>
        <w:rPr>
          <w:rFonts w:ascii="宋体" w:hAnsi="宋体" w:eastAsia="宋体"/>
          <w:szCs w:val="21"/>
        </w:rPr>
      </w:pPr>
      <w:r>
        <w:rPr>
          <w:rFonts w:hint="eastAsia" w:ascii="宋体" w:hAnsi="宋体" w:eastAsia="宋体"/>
          <w:szCs w:val="21"/>
        </w:rPr>
        <w:t xml:space="preserve">         </w:t>
      </w:r>
      <w:r>
        <w:rPr>
          <w:rFonts w:ascii="Wingdings" w:hAnsi="Wingdings" w:eastAsia="宋体"/>
          <w:szCs w:val="21"/>
        </w:rPr>
        <w:sym w:font="Wingdings" w:char="F0A8"/>
      </w:r>
      <w:r>
        <w:rPr>
          <w:rFonts w:hint="eastAsia" w:ascii="宋体" w:hAnsi="宋体" w:eastAsia="宋体"/>
          <w:szCs w:val="21"/>
        </w:rPr>
        <w:t>是，《环境标志产品政府采购品目清单》的底级品目名称：</w:t>
      </w:r>
      <w:r>
        <w:rPr>
          <w:rFonts w:hint="eastAsia" w:ascii="宋体" w:hAnsi="宋体" w:eastAsia="宋体"/>
          <w:szCs w:val="21"/>
          <w:u w:val="single"/>
        </w:rPr>
        <w:t xml:space="preserve">         </w:t>
      </w:r>
      <w:r>
        <w:rPr>
          <w:rFonts w:hint="eastAsia" w:ascii="宋体" w:hAnsi="宋体" w:eastAsia="宋体"/>
          <w:iCs/>
          <w:szCs w:val="21"/>
        </w:rPr>
        <w:t xml:space="preserve"> </w:t>
      </w:r>
    </w:p>
    <w:p w14:paraId="4CDD6407">
      <w:pPr>
        <w:numPr>
          <w:ilvl w:val="255"/>
          <w:numId w:val="0"/>
        </w:numPr>
        <w:tabs>
          <w:tab w:val="left" w:pos="740"/>
        </w:tabs>
        <w:adjustRightInd w:val="0"/>
        <w:snapToGrid w:val="0"/>
        <w:spacing w:line="400" w:lineRule="exact"/>
        <w:rPr>
          <w:rFonts w:ascii="宋体" w:hAnsi="宋体" w:eastAsia="宋体"/>
          <w:iCs/>
          <w:szCs w:val="21"/>
        </w:rPr>
      </w:pPr>
      <w:r>
        <w:rPr>
          <w:rFonts w:hint="eastAsia" w:ascii="宋体" w:hAnsi="宋体" w:eastAsia="宋体"/>
          <w:iCs/>
          <w:szCs w:val="21"/>
        </w:rPr>
        <w:t xml:space="preserve">                </w:t>
      </w:r>
      <w:r>
        <w:rPr>
          <w:rFonts w:ascii="Wingdings" w:hAnsi="Wingdings" w:eastAsia="宋体"/>
          <w:iCs/>
          <w:szCs w:val="21"/>
        </w:rPr>
        <w:sym w:font="Wingdings" w:char="F0A8"/>
      </w:r>
      <w:r>
        <w:rPr>
          <w:rFonts w:hint="eastAsia" w:ascii="宋体" w:hAnsi="宋体" w:eastAsia="宋体"/>
          <w:iCs/>
          <w:szCs w:val="21"/>
        </w:rPr>
        <w:t xml:space="preserve">强制采购       </w:t>
      </w:r>
      <w:r>
        <w:rPr>
          <w:rFonts w:ascii="Wingdings" w:hAnsi="Wingdings" w:eastAsia="宋体"/>
          <w:iCs/>
          <w:szCs w:val="21"/>
        </w:rPr>
        <w:sym w:font="Wingdings" w:char="F0A8"/>
      </w:r>
      <w:r>
        <w:rPr>
          <w:rFonts w:hint="eastAsia" w:ascii="宋体" w:hAnsi="宋体" w:eastAsia="宋体"/>
          <w:iCs/>
          <w:szCs w:val="21"/>
        </w:rPr>
        <w:t xml:space="preserve">优先采购    </w:t>
      </w:r>
    </w:p>
    <w:p w14:paraId="5DD1C84A">
      <w:pPr>
        <w:numPr>
          <w:ilvl w:val="255"/>
          <w:numId w:val="0"/>
        </w:numPr>
        <w:tabs>
          <w:tab w:val="left" w:pos="740"/>
        </w:tabs>
        <w:adjustRightInd w:val="0"/>
        <w:snapToGrid w:val="0"/>
        <w:spacing w:line="400" w:lineRule="exact"/>
        <w:rPr>
          <w:rFonts w:ascii="宋体" w:hAnsi="宋体" w:eastAsia="宋体"/>
          <w:szCs w:val="21"/>
        </w:rPr>
      </w:pPr>
      <w:r>
        <w:rPr>
          <w:rFonts w:hint="eastAsia" w:ascii="宋体" w:hAnsi="宋体" w:eastAsia="宋体"/>
          <w:iCs/>
          <w:szCs w:val="21"/>
        </w:rPr>
        <w:t xml:space="preserve">         </w:t>
      </w:r>
      <w:r>
        <w:rPr>
          <w:rFonts w:ascii="Wingdings" w:hAnsi="Wingdings" w:eastAsia="宋体"/>
          <w:szCs w:val="21"/>
        </w:rPr>
        <w:sym w:font="Wingdings" w:char="F0A8"/>
      </w:r>
      <w:r>
        <w:rPr>
          <w:rFonts w:hint="eastAsia" w:ascii="宋体" w:hAnsi="宋体" w:eastAsia="宋体"/>
          <w:szCs w:val="21"/>
        </w:rPr>
        <w:t>否</w:t>
      </w:r>
    </w:p>
    <w:p w14:paraId="7DDC3908">
      <w:pPr>
        <w:numPr>
          <w:ilvl w:val="255"/>
          <w:numId w:val="0"/>
        </w:numPr>
        <w:autoSpaceDE w:val="0"/>
        <w:autoSpaceDN w:val="0"/>
        <w:adjustRightInd w:val="0"/>
        <w:snapToGrid w:val="0"/>
        <w:spacing w:line="400" w:lineRule="exact"/>
        <w:rPr>
          <w:rFonts w:ascii="宋体" w:hAnsi="宋体" w:eastAsia="宋体" w:cs="Times New Roman"/>
          <w:szCs w:val="21"/>
        </w:rPr>
      </w:pPr>
      <w:r>
        <w:rPr>
          <w:rFonts w:hint="eastAsia" w:ascii="宋体" w:hAnsi="宋体" w:eastAsia="华文楷体" w:cs="华文楷体"/>
          <w:szCs w:val="21"/>
        </w:rPr>
        <w:t xml:space="preserve">          </w:t>
      </w:r>
      <w:r>
        <w:rPr>
          <w:rFonts w:hint="eastAsia" w:ascii="宋体" w:hAnsi="宋体" w:eastAsia="宋体" w:cs="Times New Roman"/>
          <w:szCs w:val="21"/>
        </w:rPr>
        <w:t xml:space="preserve">是否涉及绿色产品： </w:t>
      </w:r>
    </w:p>
    <w:p w14:paraId="1B5E66D0">
      <w:pPr>
        <w:autoSpaceDE w:val="0"/>
        <w:autoSpaceDN w:val="0"/>
        <w:adjustRightInd w:val="0"/>
        <w:spacing w:line="400" w:lineRule="exact"/>
        <w:ind w:firstLine="420"/>
        <w:rPr>
          <w:rFonts w:ascii="宋体" w:hAnsi="宋体" w:eastAsia="宋体" w:cs="华文楷体"/>
          <w:sz w:val="22"/>
          <w:szCs w:val="21"/>
          <w:u w:val="single"/>
        </w:rPr>
      </w:pPr>
      <w:r>
        <w:rPr>
          <w:rFonts w:hint="eastAsia" w:ascii="宋体" w:hAnsi="宋体" w:eastAsia="宋体" w:cs="Times New Roman"/>
          <w:szCs w:val="21"/>
        </w:rPr>
        <w:t xml:space="preserve">     </w:t>
      </w:r>
      <w:r>
        <w:rPr>
          <w:rFonts w:ascii="Wingdings" w:hAnsi="Wingdings" w:eastAsia="宋体" w:cs="Times New Roman"/>
          <w:szCs w:val="21"/>
        </w:rPr>
        <w:sym w:font="Wingdings" w:char="F0A8"/>
      </w:r>
      <w:r>
        <w:rPr>
          <w:rFonts w:hint="eastAsia" w:ascii="宋体" w:hAnsi="宋体" w:eastAsia="宋体" w:cs="Times New Roman"/>
          <w:szCs w:val="21"/>
        </w:rPr>
        <w:t>是，绿色产品政府采购相关政策确定的底级品目名称：</w:t>
      </w:r>
      <w:r>
        <w:rPr>
          <w:rFonts w:hint="eastAsia" w:ascii="宋体" w:hAnsi="宋体" w:eastAsia="宋体" w:cs="华文楷体"/>
          <w:sz w:val="22"/>
          <w:szCs w:val="21"/>
          <w:u w:val="single"/>
        </w:rPr>
        <w:t xml:space="preserve">         </w:t>
      </w:r>
    </w:p>
    <w:p w14:paraId="3A062CBB">
      <w:pPr>
        <w:numPr>
          <w:ilvl w:val="255"/>
          <w:numId w:val="0"/>
        </w:numPr>
        <w:tabs>
          <w:tab w:val="left" w:pos="740"/>
        </w:tabs>
        <w:adjustRightInd w:val="0"/>
        <w:snapToGrid w:val="0"/>
        <w:spacing w:line="400" w:lineRule="exact"/>
        <w:rPr>
          <w:rFonts w:ascii="宋体" w:hAnsi="宋体" w:eastAsia="宋体"/>
          <w:iCs/>
          <w:szCs w:val="21"/>
        </w:rPr>
      </w:pPr>
      <w:r>
        <w:rPr>
          <w:rFonts w:hint="eastAsia" w:ascii="宋体" w:hAnsi="宋体" w:eastAsia="宋体"/>
          <w:iCs/>
          <w:szCs w:val="21"/>
        </w:rPr>
        <w:t xml:space="preserve">                </w:t>
      </w:r>
      <w:r>
        <w:rPr>
          <w:rFonts w:ascii="Wingdings" w:hAnsi="Wingdings" w:eastAsia="宋体"/>
          <w:iCs/>
          <w:szCs w:val="21"/>
        </w:rPr>
        <w:sym w:font="Wingdings" w:char="F0A8"/>
      </w:r>
      <w:r>
        <w:rPr>
          <w:rFonts w:hint="eastAsia" w:ascii="宋体" w:hAnsi="宋体" w:eastAsia="宋体"/>
          <w:iCs/>
          <w:szCs w:val="21"/>
        </w:rPr>
        <w:t xml:space="preserve">强制采购       </w:t>
      </w:r>
      <w:r>
        <w:rPr>
          <w:rFonts w:ascii="Wingdings" w:hAnsi="Wingdings" w:eastAsia="宋体"/>
          <w:iCs/>
          <w:szCs w:val="21"/>
        </w:rPr>
        <w:sym w:font="Wingdings" w:char="F0A8"/>
      </w:r>
      <w:r>
        <w:rPr>
          <w:rFonts w:hint="eastAsia" w:ascii="宋体" w:hAnsi="宋体" w:eastAsia="宋体"/>
          <w:iCs/>
          <w:szCs w:val="21"/>
        </w:rPr>
        <w:t xml:space="preserve">优先采购    </w:t>
      </w:r>
    </w:p>
    <w:p w14:paraId="4BF777D3">
      <w:pPr>
        <w:autoSpaceDE w:val="0"/>
        <w:autoSpaceDN w:val="0"/>
        <w:adjustRightInd w:val="0"/>
        <w:spacing w:line="400" w:lineRule="exact"/>
        <w:ind w:firstLine="420"/>
        <w:rPr>
          <w:rFonts w:ascii="宋体" w:hAnsi="宋体" w:eastAsia="华文楷体" w:cs="华文楷体"/>
          <w:szCs w:val="21"/>
        </w:rPr>
      </w:pPr>
      <w:r>
        <w:rPr>
          <w:rFonts w:hint="eastAsia" w:ascii="宋体" w:hAnsi="宋体" w:eastAsia="宋体" w:cs="Times New Roman"/>
          <w:szCs w:val="21"/>
        </w:rPr>
        <w:t xml:space="preserve">     </w:t>
      </w:r>
      <w:r>
        <w:rPr>
          <w:rFonts w:ascii="Wingdings" w:hAnsi="Wingdings" w:eastAsia="宋体" w:cs="Times New Roman"/>
          <w:szCs w:val="21"/>
        </w:rPr>
        <w:sym w:font="Wingdings" w:char="F0A8"/>
      </w:r>
      <w:r>
        <w:rPr>
          <w:rFonts w:hint="eastAsia" w:ascii="宋体" w:hAnsi="宋体" w:eastAsia="宋体" w:cs="Times New Roman"/>
          <w:szCs w:val="21"/>
        </w:rPr>
        <w:t>否</w:t>
      </w:r>
    </w:p>
    <w:p w14:paraId="207A89D8">
      <w:pPr>
        <w:numPr>
          <w:ilvl w:val="255"/>
          <w:numId w:val="0"/>
        </w:numPr>
        <w:adjustRightInd w:val="0"/>
        <w:snapToGrid w:val="0"/>
        <w:spacing w:line="400" w:lineRule="exact"/>
        <w:rPr>
          <w:rFonts w:ascii="宋体" w:hAnsi="宋体" w:eastAsia="宋体"/>
          <w:szCs w:val="21"/>
        </w:rPr>
      </w:pPr>
      <w:r>
        <w:rPr>
          <w:rFonts w:hint="eastAsia" w:ascii="宋体" w:hAnsi="宋体" w:eastAsia="宋体"/>
          <w:szCs w:val="21"/>
        </w:rPr>
        <w:t xml:space="preserve">    （1</w:t>
      </w:r>
      <w:r>
        <w:rPr>
          <w:rFonts w:ascii="宋体" w:hAnsi="宋体" w:eastAsia="宋体"/>
          <w:szCs w:val="21"/>
        </w:rPr>
        <w:t>1</w:t>
      </w:r>
      <w:r>
        <w:rPr>
          <w:rFonts w:hint="eastAsia" w:ascii="宋体" w:hAnsi="宋体" w:eastAsia="宋体"/>
          <w:szCs w:val="21"/>
        </w:rPr>
        <w:t>）涉及商品包装和快递包装的，是否参考《商品包装政府采购需求标准（试行）》、《快递包装政府采购需求标准（试行）》明确产品及相关快递服务的具体包装要求：</w:t>
      </w:r>
    </w:p>
    <w:p w14:paraId="6D19ADA4">
      <w:pPr>
        <w:numPr>
          <w:ilvl w:val="255"/>
          <w:numId w:val="0"/>
        </w:numPr>
        <w:adjustRightInd w:val="0"/>
        <w:snapToGrid w:val="0"/>
        <w:spacing w:line="400" w:lineRule="exact"/>
        <w:ind w:firstLine="840" w:firstLineChars="400"/>
        <w:rPr>
          <w:rFonts w:hint="eastAsia" w:ascii="宋体" w:hAnsi="宋体" w:eastAsia="宋体"/>
          <w:szCs w:val="21"/>
        </w:rPr>
      </w:pPr>
      <w:r>
        <w:rPr>
          <w:rFonts w:ascii="Wingdings" w:hAnsi="Wingdings" w:eastAsia="宋体"/>
          <w:szCs w:val="21"/>
        </w:rPr>
        <w:sym w:font="Wingdings" w:char="F0A8"/>
      </w:r>
      <w:r>
        <w:rPr>
          <w:rFonts w:hint="eastAsia" w:ascii="宋体" w:hAnsi="宋体" w:eastAsia="宋体"/>
          <w:szCs w:val="21"/>
        </w:rPr>
        <w:t xml:space="preserve">是       </w:t>
      </w:r>
      <w:r>
        <w:rPr>
          <w:rFonts w:ascii="Wingdings" w:hAnsi="Wingdings" w:eastAsia="宋体"/>
          <w:szCs w:val="21"/>
        </w:rPr>
        <w:sym w:font="Wingdings" w:char="F0A8"/>
      </w:r>
      <w:r>
        <w:rPr>
          <w:rFonts w:hint="eastAsia" w:ascii="宋体" w:hAnsi="宋体" w:eastAsia="宋体"/>
          <w:szCs w:val="21"/>
        </w:rPr>
        <w:t xml:space="preserve">否      </w:t>
      </w:r>
      <w:r>
        <w:rPr>
          <w:rFonts w:ascii="Wingdings" w:hAnsi="Wingdings" w:eastAsia="宋体"/>
          <w:szCs w:val="21"/>
        </w:rPr>
        <w:sym w:font="Wingdings" w:char="F0A8"/>
      </w:r>
      <w:r>
        <w:rPr>
          <w:rFonts w:hint="eastAsia" w:ascii="宋体" w:hAnsi="宋体" w:eastAsia="宋体"/>
          <w:szCs w:val="21"/>
        </w:rPr>
        <w:t>不涉及</w:t>
      </w:r>
    </w:p>
    <w:p w14:paraId="1DE70E45">
      <w:pPr>
        <w:numPr>
          <w:ilvl w:val="0"/>
          <w:numId w:val="0"/>
        </w:numPr>
        <w:adjustRightInd w:val="0"/>
        <w:snapToGrid w:val="0"/>
        <w:spacing w:before="0" w:beforeLines="0" w:line="400" w:lineRule="exact"/>
        <w:rPr>
          <w:rFonts w:hint="eastAsia" w:ascii="宋体" w:hAnsi="宋体"/>
          <w:szCs w:val="21"/>
          <w:lang w:val="en-US" w:eastAsia="zh-CN"/>
        </w:rPr>
      </w:pPr>
      <w:r>
        <w:rPr>
          <w:rFonts w:hint="eastAsia" w:ascii="宋体" w:hAnsi="宋体" w:eastAsia="宋体"/>
          <w:szCs w:val="21"/>
          <w:lang w:val="en-US" w:eastAsia="zh-CN"/>
        </w:rPr>
        <w:t xml:space="preserve">    </w:t>
      </w:r>
      <w:r>
        <w:rPr>
          <w:rFonts w:hint="eastAsia" w:ascii="宋体" w:hAnsi="宋体" w:eastAsia="宋体" w:cs="Times New Roman"/>
          <w:kern w:val="2"/>
          <w:sz w:val="21"/>
          <w:szCs w:val="21"/>
          <w:lang w:val="en-US" w:eastAsia="zh-CN" w:bidi="ar-SA"/>
        </w:rPr>
        <w:t>（12）</w:t>
      </w:r>
      <w:r>
        <w:rPr>
          <w:rFonts w:hint="eastAsia" w:ascii="宋体" w:hAnsi="宋体"/>
          <w:szCs w:val="21"/>
          <w:lang w:val="en-US" w:eastAsia="zh-CN"/>
        </w:rPr>
        <w:t>是否</w:t>
      </w:r>
      <w:r>
        <w:rPr>
          <w:rFonts w:hint="eastAsia" w:ascii="宋体" w:hAnsi="宋体" w:eastAsia="宋体"/>
          <w:szCs w:val="21"/>
          <w:lang w:val="en-US" w:eastAsia="zh-CN"/>
        </w:rPr>
        <w:t>涉及</w:t>
      </w:r>
      <w:r>
        <w:rPr>
          <w:rFonts w:hint="eastAsia" w:ascii="宋体" w:hAnsi="宋体"/>
          <w:szCs w:val="21"/>
          <w:lang w:val="en-US" w:eastAsia="zh-CN"/>
        </w:rPr>
        <w:t>本国产品：</w:t>
      </w:r>
    </w:p>
    <w:p w14:paraId="340716AF">
      <w:pPr>
        <w:numPr>
          <w:ilvl w:val="-1"/>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eastAsia="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金额：</w:t>
      </w:r>
      <w:r>
        <w:rPr>
          <w:rFonts w:hint="eastAsia" w:ascii="宋体" w:hAnsi="宋体" w:eastAsia="宋体" w:cs="宋体"/>
          <w:szCs w:val="21"/>
          <w:u w:val="single"/>
          <w:lang w:val="en-US" w:eastAsia="zh-CN"/>
        </w:rPr>
        <w:t xml:space="preserve">        </w:t>
      </w:r>
    </w:p>
    <w:p w14:paraId="7179879E">
      <w:pPr>
        <w:numPr>
          <w:ilvl w:val="-1"/>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eastAsia="宋体" w:cs="宋体"/>
          <w:szCs w:val="21"/>
          <w:lang w:val="en-US" w:eastAsia="zh-CN"/>
        </w:rPr>
        <w:t xml:space="preserve">        </w:t>
      </w:r>
      <w:r>
        <w:rPr>
          <w:rFonts w:hint="eastAsia" w:ascii="宋体" w:hAnsi="宋体" w:cs="宋体"/>
          <w:szCs w:val="21"/>
          <w:lang w:val="en-US" w:eastAsia="zh-CN"/>
        </w:rPr>
        <w:t>产品名称1</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生产厂</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eastAsia="宋体" w:cs="宋体"/>
          <w:szCs w:val="21"/>
          <w:u w:val="none"/>
          <w:lang w:val="en-US" w:eastAsia="zh-CN"/>
        </w:rPr>
        <w:t>厂址：</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none"/>
          <w:lang w:val="en-US" w:eastAsia="zh-CN"/>
        </w:rPr>
        <w:t xml:space="preserve"> </w:t>
      </w:r>
    </w:p>
    <w:p w14:paraId="4C486D21">
      <w:pPr>
        <w:pStyle w:val="62"/>
        <w:ind w:firstLine="1680" w:firstLineChars="800"/>
        <w:rPr>
          <w:rFonts w:hint="eastAsia"/>
        </w:rPr>
      </w:pPr>
      <w:r>
        <w:rPr>
          <w:rFonts w:hint="eastAsia" w:ascii="宋体" w:hAnsi="宋体" w:cs="宋体"/>
          <w:szCs w:val="21"/>
          <w:lang w:val="en-US" w:eastAsia="zh-CN"/>
        </w:rPr>
        <w:t>产品名称2</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生产厂</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eastAsia="宋体" w:cs="宋体"/>
          <w:szCs w:val="21"/>
          <w:u w:val="none"/>
          <w:lang w:val="en-US" w:eastAsia="zh-CN"/>
        </w:rPr>
        <w:t>厂址：</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none"/>
          <w:lang w:val="en-US" w:eastAsia="zh-CN"/>
        </w:rPr>
        <w:t xml:space="preserve"> </w:t>
      </w:r>
    </w:p>
    <w:p w14:paraId="7F4F5E65">
      <w:pPr>
        <w:adjustRightInd w:val="0"/>
        <w:snapToGrid w:val="0"/>
        <w:spacing w:before="0" w:beforeLines="0" w:line="400" w:lineRule="exact"/>
        <w:ind w:firstLine="840" w:firstLineChars="400"/>
        <w:rPr>
          <w:rFonts w:hint="eastAsia" w:ascii="宋体" w:hAnsi="宋体" w:eastAsia="宋体"/>
          <w:szCs w:val="21"/>
          <w:u w:val="none"/>
          <w:lang w:val="en-US" w:eastAsia="zh-CN"/>
        </w:rPr>
      </w:pP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否</w:t>
      </w:r>
    </w:p>
    <w:p w14:paraId="1733EEF9">
      <w:pPr>
        <w:pStyle w:val="62"/>
      </w:pPr>
    </w:p>
    <w:p w14:paraId="60BF0BE8">
      <w:pPr>
        <w:numPr>
          <w:ilvl w:val="0"/>
          <w:numId w:val="11"/>
        </w:numPr>
        <w:adjustRightInd w:val="0"/>
        <w:snapToGrid w:val="0"/>
        <w:spacing w:line="400" w:lineRule="exact"/>
        <w:ind w:firstLine="422" w:firstLineChars="200"/>
        <w:rPr>
          <w:rFonts w:ascii="宋体" w:hAnsi="宋体" w:eastAsia="宋体"/>
          <w:b/>
          <w:szCs w:val="21"/>
        </w:rPr>
      </w:pPr>
      <w:r>
        <w:rPr>
          <w:rFonts w:hint="eastAsia" w:ascii="宋体" w:hAnsi="宋体" w:eastAsia="宋体"/>
          <w:b/>
          <w:szCs w:val="21"/>
        </w:rPr>
        <w:t>合同金额</w:t>
      </w:r>
    </w:p>
    <w:p w14:paraId="6ADA73DB">
      <w:pPr>
        <w:adjustRightInd w:val="0"/>
        <w:snapToGrid w:val="0"/>
        <w:spacing w:line="400" w:lineRule="exact"/>
        <w:ind w:firstLine="420" w:firstLineChars="200"/>
        <w:rPr>
          <w:rFonts w:ascii="宋体" w:hAnsi="宋体" w:eastAsia="宋体"/>
          <w:szCs w:val="21"/>
        </w:rPr>
      </w:pPr>
      <w:r>
        <w:rPr>
          <w:rFonts w:hint="eastAsia" w:ascii="宋体" w:hAnsi="宋体" w:eastAsia="宋体"/>
          <w:szCs w:val="21"/>
        </w:rPr>
        <w:t>（1）合同金额小写：</w:t>
      </w:r>
      <w:r>
        <w:rPr>
          <w:rFonts w:hint="eastAsia" w:ascii="宋体" w:hAnsi="宋体" w:eastAsia="宋体"/>
          <w:szCs w:val="21"/>
          <w:u w:val="single"/>
        </w:rPr>
        <w:t xml:space="preserve">                           </w:t>
      </w:r>
    </w:p>
    <w:p w14:paraId="43AAEAEB">
      <w:pPr>
        <w:adjustRightInd w:val="0"/>
        <w:snapToGrid w:val="0"/>
        <w:spacing w:line="400" w:lineRule="exact"/>
        <w:rPr>
          <w:rFonts w:ascii="宋体" w:hAnsi="宋体" w:eastAsia="宋体"/>
          <w:szCs w:val="21"/>
          <w:u w:val="single"/>
        </w:rPr>
      </w:pPr>
      <w:r>
        <w:rPr>
          <w:rFonts w:hint="eastAsia" w:ascii="宋体" w:hAnsi="宋体" w:eastAsia="宋体"/>
          <w:szCs w:val="21"/>
        </w:rPr>
        <w:t xml:space="preserve">                 大写：</w:t>
      </w:r>
      <w:r>
        <w:rPr>
          <w:rFonts w:hint="eastAsia" w:ascii="宋体" w:hAnsi="宋体" w:eastAsia="宋体"/>
          <w:szCs w:val="21"/>
          <w:u w:val="single"/>
        </w:rPr>
        <w:t xml:space="preserve">                           </w:t>
      </w:r>
    </w:p>
    <w:p w14:paraId="7F749773">
      <w:pPr>
        <w:adjustRightInd w:val="0"/>
        <w:snapToGrid w:val="0"/>
        <w:spacing w:line="400" w:lineRule="exact"/>
        <w:rPr>
          <w:rFonts w:ascii="宋体" w:hAnsi="宋体" w:eastAsia="宋体"/>
          <w:szCs w:val="21"/>
        </w:rPr>
      </w:pPr>
      <w:r>
        <w:rPr>
          <w:rFonts w:hint="eastAsia" w:ascii="宋体" w:hAnsi="宋体" w:eastAsia="宋体"/>
          <w:szCs w:val="21"/>
        </w:rPr>
        <w:t xml:space="preserve">         分包金额（如有）小写：</w:t>
      </w:r>
      <w:r>
        <w:rPr>
          <w:rFonts w:hint="eastAsia" w:ascii="宋体" w:hAnsi="宋体" w:eastAsia="宋体"/>
          <w:szCs w:val="21"/>
          <w:u w:val="single"/>
        </w:rPr>
        <w:t xml:space="preserve">                   </w:t>
      </w:r>
    </w:p>
    <w:p w14:paraId="0B7F7EA5">
      <w:pPr>
        <w:adjustRightInd w:val="0"/>
        <w:snapToGrid w:val="0"/>
        <w:spacing w:line="400" w:lineRule="exact"/>
        <w:rPr>
          <w:rFonts w:ascii="宋体" w:hAnsi="宋体" w:eastAsia="宋体"/>
          <w:szCs w:val="21"/>
          <w:u w:val="single"/>
        </w:rPr>
      </w:pPr>
      <w:r>
        <w:rPr>
          <w:rFonts w:hint="eastAsia" w:ascii="宋体" w:hAnsi="宋体" w:eastAsia="宋体"/>
          <w:szCs w:val="21"/>
        </w:rPr>
        <w:t xml:space="preserve">                     大写：</w:t>
      </w:r>
      <w:r>
        <w:rPr>
          <w:rFonts w:hint="eastAsia" w:ascii="宋体" w:hAnsi="宋体" w:eastAsia="宋体"/>
          <w:szCs w:val="21"/>
          <w:u w:val="single"/>
        </w:rPr>
        <w:t xml:space="preserve">                       </w:t>
      </w:r>
    </w:p>
    <w:p w14:paraId="712E0E04">
      <w:pPr>
        <w:adjustRightInd w:val="0"/>
        <w:snapToGrid w:val="0"/>
        <w:spacing w:line="400" w:lineRule="exact"/>
        <w:rPr>
          <w:rFonts w:ascii="宋体" w:hAnsi="宋体" w:eastAsia="宋体"/>
          <w:szCs w:val="21"/>
        </w:rPr>
      </w:pPr>
      <w:r>
        <w:rPr>
          <w:rFonts w:hint="eastAsia" w:ascii="宋体" w:hAnsi="宋体" w:eastAsia="宋体"/>
          <w:szCs w:val="21"/>
        </w:rPr>
        <w:t xml:space="preserve">    （注：固定单价合同应填写单价和最高限价）</w:t>
      </w:r>
    </w:p>
    <w:p w14:paraId="260561CA">
      <w:pPr>
        <w:numPr>
          <w:ilvl w:val="255"/>
          <w:numId w:val="0"/>
        </w:numPr>
        <w:adjustRightInd w:val="0"/>
        <w:snapToGrid w:val="0"/>
        <w:spacing w:line="400" w:lineRule="exact"/>
        <w:rPr>
          <w:rFonts w:ascii="宋体" w:hAnsi="宋体" w:eastAsia="宋体"/>
          <w:szCs w:val="21"/>
        </w:rPr>
      </w:pPr>
      <w:r>
        <w:rPr>
          <w:rFonts w:hint="eastAsia" w:ascii="宋体" w:hAnsi="宋体" w:eastAsia="宋体"/>
          <w:szCs w:val="21"/>
        </w:rPr>
        <w:t xml:space="preserve">    （2）合同定价方式（采用组合定价方式的，可以勾选多项）：</w:t>
      </w:r>
    </w:p>
    <w:p w14:paraId="53B80E47">
      <w:pPr>
        <w:adjustRightInd w:val="0"/>
        <w:snapToGrid w:val="0"/>
        <w:spacing w:line="400" w:lineRule="exact"/>
        <w:ind w:firstLine="420" w:firstLineChars="200"/>
        <w:rPr>
          <w:rFonts w:ascii="宋体" w:hAnsi="宋体" w:eastAsia="宋体"/>
          <w:szCs w:val="21"/>
        </w:rPr>
      </w:pPr>
      <w:r>
        <w:rPr>
          <w:rFonts w:hint="eastAsia" w:ascii="宋体" w:hAnsi="宋体" w:eastAsia="宋体"/>
          <w:iCs/>
          <w:szCs w:val="21"/>
        </w:rPr>
        <w:t xml:space="preserve">  </w:t>
      </w:r>
      <w:r>
        <w:rPr>
          <w:rFonts w:ascii="Wingdings" w:hAnsi="Wingdings" w:eastAsia="宋体"/>
          <w:iCs/>
          <w:szCs w:val="21"/>
        </w:rPr>
        <w:sym w:font="Wingdings" w:char="F0A8"/>
      </w:r>
      <w:r>
        <w:rPr>
          <w:rFonts w:hint="eastAsia" w:ascii="宋体" w:hAnsi="宋体" w:eastAsia="宋体"/>
          <w:iCs/>
          <w:szCs w:val="21"/>
        </w:rPr>
        <w:t xml:space="preserve">固定总价 </w:t>
      </w:r>
      <w:r>
        <w:rPr>
          <w:rFonts w:ascii="Wingdings" w:hAnsi="Wingdings" w:eastAsia="宋体"/>
          <w:iCs/>
          <w:szCs w:val="21"/>
        </w:rPr>
        <w:sym w:font="Wingdings" w:char="F0A8"/>
      </w:r>
      <w:r>
        <w:rPr>
          <w:rFonts w:hint="eastAsia" w:ascii="宋体" w:hAnsi="宋体" w:eastAsia="宋体"/>
          <w:iCs/>
          <w:szCs w:val="21"/>
        </w:rPr>
        <w:t xml:space="preserve">固定单价 </w:t>
      </w:r>
      <w:r>
        <w:rPr>
          <w:rFonts w:ascii="Wingdings" w:hAnsi="Wingdings" w:eastAsia="宋体"/>
          <w:iCs/>
          <w:szCs w:val="21"/>
        </w:rPr>
        <w:sym w:font="Wingdings" w:char="F0A8"/>
      </w:r>
      <w:r>
        <w:rPr>
          <w:rFonts w:hint="eastAsia" w:ascii="宋体" w:hAnsi="宋体" w:eastAsia="宋体"/>
          <w:iCs/>
          <w:szCs w:val="21"/>
        </w:rPr>
        <w:t xml:space="preserve">固定费率 </w:t>
      </w:r>
      <w:r>
        <w:rPr>
          <w:rFonts w:ascii="Wingdings" w:hAnsi="Wingdings" w:eastAsia="宋体"/>
          <w:iCs/>
          <w:szCs w:val="21"/>
        </w:rPr>
        <w:sym w:font="Wingdings" w:char="F0A8"/>
      </w:r>
      <w:r>
        <w:rPr>
          <w:rFonts w:hint="eastAsia" w:ascii="宋体" w:hAnsi="宋体" w:eastAsia="宋体"/>
          <w:iCs/>
          <w:szCs w:val="21"/>
        </w:rPr>
        <w:t xml:space="preserve">成本补偿 </w:t>
      </w:r>
      <w:r>
        <w:rPr>
          <w:rFonts w:ascii="Wingdings" w:hAnsi="Wingdings" w:eastAsia="宋体"/>
          <w:iCs/>
          <w:szCs w:val="21"/>
        </w:rPr>
        <w:sym w:font="Wingdings" w:char="F0A8"/>
      </w:r>
      <w:r>
        <w:rPr>
          <w:rFonts w:hint="eastAsia" w:ascii="宋体" w:hAnsi="宋体" w:eastAsia="宋体"/>
          <w:iCs/>
          <w:szCs w:val="21"/>
        </w:rPr>
        <w:t xml:space="preserve">绩效激励 </w:t>
      </w:r>
      <w:r>
        <w:rPr>
          <w:rFonts w:ascii="Wingdings" w:hAnsi="Wingdings" w:eastAsia="宋体"/>
          <w:iCs/>
          <w:szCs w:val="21"/>
        </w:rPr>
        <w:sym w:font="Wingdings" w:char="F0A8"/>
      </w:r>
      <w:r>
        <w:rPr>
          <w:rFonts w:hint="eastAsia" w:ascii="宋体" w:hAnsi="宋体" w:eastAsia="宋体"/>
          <w:iCs/>
          <w:szCs w:val="21"/>
        </w:rPr>
        <w:t>其他</w:t>
      </w:r>
      <w:r>
        <w:rPr>
          <w:rFonts w:hint="eastAsia" w:ascii="宋体" w:hAnsi="宋体" w:eastAsia="宋体"/>
          <w:szCs w:val="21"/>
          <w:u w:val="single"/>
        </w:rPr>
        <w:t xml:space="preserve">       </w:t>
      </w:r>
    </w:p>
    <w:p w14:paraId="15A9BAE6">
      <w:pPr>
        <w:spacing w:line="400" w:lineRule="exact"/>
        <w:ind w:firstLine="420" w:firstLineChars="200"/>
        <w:rPr>
          <w:rFonts w:ascii="Times New Roman" w:hAnsi="Times New Roman" w:eastAsia="宋体" w:cs="Times New Roman"/>
          <w:szCs w:val="21"/>
        </w:rPr>
      </w:pPr>
      <w:r>
        <w:rPr>
          <w:rFonts w:hint="eastAsia" w:ascii="宋体" w:hAnsi="宋体" w:eastAsia="宋体" w:cs="Times New Roman"/>
          <w:szCs w:val="21"/>
        </w:rPr>
        <w:t>（3）付款方式（按项目实际勾选填写）：</w:t>
      </w:r>
    </w:p>
    <w:p w14:paraId="3DBA2A30">
      <w:pPr>
        <w:adjustRightInd w:val="0"/>
        <w:snapToGrid w:val="0"/>
        <w:spacing w:line="400" w:lineRule="exact"/>
        <w:ind w:firstLine="630" w:firstLineChars="300"/>
        <w:rPr>
          <w:rFonts w:ascii="宋体" w:hAnsi="宋体" w:eastAsia="宋体"/>
          <w:szCs w:val="21"/>
          <w:u w:val="single"/>
        </w:rPr>
      </w:pPr>
      <w:r>
        <w:rPr>
          <w:rFonts w:ascii="Wingdings" w:hAnsi="Wingdings" w:eastAsia="宋体"/>
          <w:szCs w:val="21"/>
        </w:rPr>
        <w:sym w:font="Wingdings" w:char="F0A8"/>
      </w:r>
      <w:r>
        <w:rPr>
          <w:rFonts w:hint="eastAsia" w:ascii="宋体" w:hAnsi="宋体" w:eastAsia="宋体"/>
          <w:szCs w:val="21"/>
        </w:rPr>
        <w:t>全额付款：</w:t>
      </w:r>
      <w:r>
        <w:rPr>
          <w:rFonts w:hint="eastAsia" w:ascii="宋体" w:hAnsi="宋体" w:eastAsia="宋体"/>
          <w:szCs w:val="21"/>
          <w:u w:val="single"/>
        </w:rPr>
        <w:t xml:space="preserve">     （应明确一次性支付合同款项的条件）                    </w:t>
      </w:r>
    </w:p>
    <w:p w14:paraId="34BD365B">
      <w:pPr>
        <w:snapToGrid w:val="0"/>
        <w:spacing w:line="400" w:lineRule="exact"/>
        <w:ind w:firstLine="630" w:firstLineChars="300"/>
        <w:rPr>
          <w:rFonts w:eastAsia="宋体"/>
        </w:rPr>
      </w:pPr>
      <w:r>
        <w:rPr>
          <w:rFonts w:ascii="Wingdings" w:hAnsi="Wingdings" w:eastAsia="宋体"/>
          <w:szCs w:val="21"/>
        </w:rPr>
        <w:sym w:font="Wingdings" w:char="F0A8"/>
      </w:r>
      <w:r>
        <w:rPr>
          <w:rFonts w:hint="eastAsia" w:ascii="宋体" w:hAnsi="宋体" w:eastAsia="宋体"/>
          <w:szCs w:val="21"/>
        </w:rPr>
        <w:t>分期付款：</w:t>
      </w:r>
      <w:r>
        <w:rPr>
          <w:rFonts w:hint="eastAsia" w:ascii="宋体" w:hAnsi="宋体" w:eastAsia="宋体"/>
          <w:szCs w:val="21"/>
          <w:u w:val="single"/>
        </w:rPr>
        <w:t xml:space="preserve">  （应明确分期支付合同款项的各期比例和支付条件，各期支付条件应与分期履约验收情况挂钩） </w:t>
      </w:r>
      <w:r>
        <w:rPr>
          <w:rFonts w:hint="eastAsia" w:ascii="宋体" w:hAnsi="宋体" w:eastAsia="宋体"/>
          <w:szCs w:val="21"/>
        </w:rPr>
        <w:t>，其中涉及预付款的：</w:t>
      </w:r>
      <w:r>
        <w:rPr>
          <w:rFonts w:hint="eastAsia" w:ascii="宋体" w:hAnsi="宋体" w:eastAsia="宋体"/>
          <w:szCs w:val="21"/>
          <w:u w:val="single"/>
        </w:rPr>
        <w:t xml:space="preserve"> （应明确预付款的支付比例和支付条件） </w:t>
      </w:r>
    </w:p>
    <w:p w14:paraId="3F65CE26">
      <w:pPr>
        <w:adjustRightInd w:val="0"/>
        <w:snapToGrid w:val="0"/>
        <w:spacing w:line="400" w:lineRule="exact"/>
        <w:ind w:firstLine="630" w:firstLineChars="300"/>
        <w:rPr>
          <w:rFonts w:ascii="宋体" w:hAnsi="宋体" w:eastAsia="宋体"/>
          <w:szCs w:val="21"/>
          <w:u w:val="single"/>
        </w:rPr>
      </w:pPr>
      <w:r>
        <w:rPr>
          <w:rFonts w:ascii="Wingdings" w:hAnsi="Wingdings" w:eastAsia="宋体"/>
          <w:szCs w:val="21"/>
        </w:rPr>
        <w:sym w:font="Wingdings" w:char="F0A8"/>
      </w:r>
      <w:r>
        <w:rPr>
          <w:rFonts w:hint="eastAsia" w:ascii="宋体" w:hAnsi="宋体" w:eastAsia="宋体"/>
          <w:szCs w:val="21"/>
        </w:rPr>
        <w:t>成本补偿：</w:t>
      </w:r>
      <w:r>
        <w:rPr>
          <w:rFonts w:hint="eastAsia" w:ascii="宋体" w:hAnsi="宋体" w:eastAsia="宋体"/>
          <w:szCs w:val="21"/>
          <w:u w:val="single"/>
        </w:rPr>
        <w:t xml:space="preserve">      （应明确按照成本补偿方式的支付方式和支付条件）   </w:t>
      </w:r>
    </w:p>
    <w:p w14:paraId="14365BF9">
      <w:pPr>
        <w:adjustRightInd w:val="0"/>
        <w:snapToGrid w:val="0"/>
        <w:spacing w:line="400" w:lineRule="exact"/>
        <w:ind w:firstLine="630" w:firstLineChars="300"/>
        <w:rPr>
          <w:rFonts w:ascii="宋体" w:hAnsi="宋体" w:eastAsia="宋体"/>
          <w:szCs w:val="21"/>
        </w:rPr>
      </w:pPr>
      <w:r>
        <w:rPr>
          <w:rFonts w:ascii="Wingdings" w:hAnsi="Wingdings" w:eastAsia="宋体"/>
          <w:szCs w:val="21"/>
        </w:rPr>
        <w:sym w:font="Wingdings" w:char="F0A8"/>
      </w:r>
      <w:r>
        <w:rPr>
          <w:rFonts w:hint="eastAsia" w:ascii="宋体" w:hAnsi="宋体" w:eastAsia="宋体"/>
          <w:szCs w:val="21"/>
        </w:rPr>
        <w:t>绩效激励：</w:t>
      </w:r>
      <w:r>
        <w:rPr>
          <w:rFonts w:hint="eastAsia" w:ascii="宋体" w:hAnsi="宋体" w:eastAsia="宋体"/>
          <w:szCs w:val="21"/>
          <w:u w:val="single"/>
        </w:rPr>
        <w:t xml:space="preserve">      （应明确按照绩效激励方式的支付方式和支付条件）   </w:t>
      </w:r>
    </w:p>
    <w:p w14:paraId="52A9E476">
      <w:pPr>
        <w:numPr>
          <w:ilvl w:val="0"/>
          <w:numId w:val="11"/>
        </w:numPr>
        <w:adjustRightInd w:val="0"/>
        <w:snapToGrid w:val="0"/>
        <w:spacing w:line="400" w:lineRule="exact"/>
        <w:ind w:firstLine="422" w:firstLineChars="200"/>
        <w:rPr>
          <w:rFonts w:ascii="宋体" w:hAnsi="宋体" w:eastAsia="宋体"/>
          <w:b/>
          <w:szCs w:val="21"/>
          <w:u w:val="single"/>
        </w:rPr>
      </w:pPr>
      <w:r>
        <w:rPr>
          <w:rFonts w:hint="eastAsia" w:ascii="宋体" w:hAnsi="宋体" w:eastAsia="宋体"/>
          <w:b/>
          <w:szCs w:val="21"/>
        </w:rPr>
        <w:t>合同履行</w:t>
      </w:r>
    </w:p>
    <w:p w14:paraId="52BB835E">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（1）起始日期：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日，完成日期：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704C7CC2">
      <w:pPr>
        <w:adjustRightInd w:val="0"/>
        <w:snapToGrid w:val="0"/>
        <w:spacing w:line="400" w:lineRule="exact"/>
        <w:ind w:firstLine="420" w:firstLineChars="200"/>
        <w:rPr>
          <w:rFonts w:ascii="宋体" w:hAnsi="宋体" w:eastAsia="宋体" w:cs="宋体"/>
          <w:szCs w:val="21"/>
          <w:u w:val="single"/>
        </w:rPr>
      </w:pPr>
      <w:r>
        <w:rPr>
          <w:rFonts w:hint="eastAsia" w:ascii="宋体" w:hAnsi="宋体" w:eastAsia="宋体" w:cs="宋体"/>
          <w:szCs w:val="21"/>
        </w:rPr>
        <w:t>（2）履约地点</w:t>
      </w:r>
      <w:r>
        <w:rPr>
          <w:rFonts w:hint="eastAsia" w:ascii="宋体" w:hAnsi="宋体" w:eastAsia="宋体" w:cs="宋体"/>
          <w:bCs/>
          <w:szCs w:val="21"/>
        </w:rPr>
        <w:t>：</w:t>
      </w:r>
      <w:r>
        <w:rPr>
          <w:rFonts w:hint="eastAsia" w:ascii="宋体" w:hAnsi="宋体" w:eastAsia="宋体" w:cs="宋体"/>
          <w:szCs w:val="21"/>
          <w:u w:val="single"/>
        </w:rPr>
        <w:t xml:space="preserve">                             </w:t>
      </w:r>
    </w:p>
    <w:p w14:paraId="177ABB39">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bCs/>
          <w:szCs w:val="21"/>
        </w:rPr>
        <w:t>（3）履约担保：</w:t>
      </w:r>
      <w:r>
        <w:rPr>
          <w:rFonts w:hint="eastAsia" w:ascii="宋体" w:hAnsi="宋体" w:eastAsia="宋体" w:cs="宋体"/>
        </w:rPr>
        <w:t>是否收取履约保证金：</w:t>
      </w:r>
      <w:r>
        <w:rPr>
          <w:rFonts w:ascii="Wingdings" w:hAnsi="Wingdings" w:eastAsia="宋体" w:cs="宋体"/>
          <w:szCs w:val="21"/>
        </w:rPr>
        <w:sym w:font="Wingdings" w:char="F0A8"/>
      </w:r>
      <w:r>
        <w:rPr>
          <w:rFonts w:hint="eastAsia" w:ascii="宋体" w:hAnsi="宋体" w:eastAsia="宋体" w:cs="宋体"/>
          <w:szCs w:val="21"/>
        </w:rPr>
        <w:t xml:space="preserve">是    </w:t>
      </w:r>
      <w:r>
        <w:rPr>
          <w:rFonts w:ascii="Wingdings" w:hAnsi="Wingdings" w:eastAsia="宋体" w:cs="宋体"/>
          <w:szCs w:val="21"/>
        </w:rPr>
        <w:sym w:font="Wingdings" w:char="F0A8"/>
      </w:r>
      <w:r>
        <w:rPr>
          <w:rFonts w:hint="eastAsia" w:ascii="宋体" w:hAnsi="宋体" w:eastAsia="宋体" w:cs="宋体"/>
          <w:szCs w:val="21"/>
        </w:rPr>
        <w:t>否</w:t>
      </w:r>
    </w:p>
    <w:p w14:paraId="386C95ED">
      <w:pPr>
        <w:autoSpaceDE w:val="0"/>
        <w:autoSpaceDN w:val="0"/>
        <w:adjustRightInd w:val="0"/>
        <w:spacing w:line="400" w:lineRule="exact"/>
        <w:ind w:firstLine="440" w:firstLineChars="200"/>
        <w:rPr>
          <w:rFonts w:ascii="宋体" w:hAnsi="宋体" w:eastAsia="宋体" w:cs="宋体"/>
          <w:szCs w:val="21"/>
        </w:rPr>
      </w:pPr>
      <w:r>
        <w:rPr>
          <w:rFonts w:hint="eastAsia" w:ascii="宋体" w:hAnsi="宋体" w:eastAsia="华文楷体" w:cs="宋体"/>
          <w:bCs/>
          <w:sz w:val="22"/>
          <w:szCs w:val="21"/>
        </w:rPr>
        <w:t xml:space="preserve">  </w:t>
      </w:r>
      <w:r>
        <w:rPr>
          <w:rFonts w:hint="eastAsia" w:ascii="宋体" w:hAnsi="宋体" w:eastAsia="宋体" w:cs="宋体"/>
          <w:szCs w:val="21"/>
        </w:rPr>
        <w:t xml:space="preserve">  收取履约保证金形式：</w:t>
      </w:r>
      <w:r>
        <w:rPr>
          <w:rFonts w:hint="eastAsia" w:ascii="宋体" w:hAnsi="宋体" w:eastAsia="宋体" w:cs="宋体"/>
          <w:bCs/>
          <w:szCs w:val="21"/>
          <w:u w:val="single"/>
        </w:rPr>
        <w:t xml:space="preserve">                            </w:t>
      </w:r>
    </w:p>
    <w:p w14:paraId="1471A4D8">
      <w:pPr>
        <w:autoSpaceDE w:val="0"/>
        <w:autoSpaceDN w:val="0"/>
        <w:adjustRightInd w:val="0"/>
        <w:spacing w:line="400" w:lineRule="exact"/>
        <w:ind w:firstLine="420" w:firstLineChars="200"/>
        <w:rPr>
          <w:rFonts w:ascii="宋体" w:hAnsi="宋体" w:eastAsia="宋体" w:cs="宋体"/>
          <w:szCs w:val="21"/>
        </w:rPr>
      </w:pPr>
      <w:r>
        <w:rPr>
          <w:rFonts w:hint="eastAsia" w:ascii="宋体" w:hAnsi="宋体" w:eastAsia="宋体" w:cs="宋体"/>
          <w:szCs w:val="21"/>
        </w:rPr>
        <w:t xml:space="preserve">    收取履约保证金金额：</w:t>
      </w:r>
      <w:r>
        <w:rPr>
          <w:rFonts w:hint="eastAsia" w:ascii="宋体" w:hAnsi="宋体" w:eastAsia="宋体" w:cs="宋体"/>
          <w:bCs/>
          <w:szCs w:val="21"/>
          <w:u w:val="single"/>
        </w:rPr>
        <w:t xml:space="preserve">                            </w:t>
      </w:r>
    </w:p>
    <w:p w14:paraId="0D87D7D8">
      <w:pPr>
        <w:snapToGrid w:val="0"/>
        <w:spacing w:line="400" w:lineRule="exact"/>
        <w:ind w:firstLine="420" w:firstLineChars="200"/>
        <w:rPr>
          <w:rFonts w:ascii="宋体" w:hAnsi="宋体" w:eastAsia="宋体" w:cs="宋体"/>
        </w:rPr>
      </w:pPr>
      <w:r>
        <w:rPr>
          <w:rFonts w:hint="eastAsia" w:ascii="宋体" w:hAnsi="宋体" w:eastAsia="宋体" w:cs="宋体"/>
          <w:bCs/>
          <w:szCs w:val="21"/>
        </w:rPr>
        <w:t xml:space="preserve">    履约担保期限：</w:t>
      </w:r>
      <w:r>
        <w:rPr>
          <w:rFonts w:hint="eastAsia" w:ascii="宋体" w:hAnsi="宋体" w:eastAsia="宋体" w:cs="宋体"/>
          <w:bCs/>
          <w:szCs w:val="21"/>
          <w:u w:val="single"/>
        </w:rPr>
        <w:t xml:space="preserve">                                  </w:t>
      </w:r>
    </w:p>
    <w:p w14:paraId="653606FC">
      <w:pPr>
        <w:adjustRightInd w:val="0"/>
        <w:snapToGrid w:val="0"/>
        <w:spacing w:line="400" w:lineRule="exact"/>
        <w:ind w:firstLine="420" w:firstLineChars="200"/>
        <w:rPr>
          <w:rFonts w:ascii="宋体" w:hAnsi="宋体" w:eastAsia="宋体" w:cs="宋体"/>
          <w:bCs/>
          <w:szCs w:val="21"/>
        </w:rPr>
      </w:pPr>
      <w:r>
        <w:rPr>
          <w:rFonts w:hint="eastAsia" w:ascii="宋体" w:hAnsi="宋体" w:eastAsia="宋体" w:cs="宋体"/>
          <w:bCs/>
          <w:szCs w:val="21"/>
        </w:rPr>
        <w:t>（4）分期履行要求：</w:t>
      </w:r>
      <w:r>
        <w:rPr>
          <w:rFonts w:hint="eastAsia" w:ascii="宋体" w:hAnsi="宋体" w:eastAsia="宋体" w:cs="宋体"/>
          <w:bCs/>
          <w:szCs w:val="21"/>
          <w:u w:val="single"/>
        </w:rPr>
        <w:t xml:space="preserve">                                                        </w:t>
      </w:r>
    </w:p>
    <w:p w14:paraId="03417B6B">
      <w:pPr>
        <w:adjustRightInd w:val="0"/>
        <w:snapToGrid w:val="0"/>
        <w:spacing w:line="400" w:lineRule="exact"/>
        <w:ind w:firstLine="420" w:firstLineChars="200"/>
        <w:rPr>
          <w:rFonts w:ascii="宋体" w:hAnsi="宋体" w:eastAsia="宋体" w:cs="宋体"/>
          <w:szCs w:val="21"/>
          <w:u w:val="single"/>
        </w:rPr>
      </w:pPr>
      <w:r>
        <w:rPr>
          <w:rFonts w:hint="eastAsia" w:ascii="宋体" w:hAnsi="宋体" w:eastAsia="宋体" w:cs="宋体"/>
          <w:bCs/>
          <w:szCs w:val="21"/>
        </w:rPr>
        <w:t>（5）风险处置措施和替代方案：</w:t>
      </w:r>
      <w:r>
        <w:rPr>
          <w:rFonts w:hint="eastAsia" w:ascii="宋体" w:hAnsi="宋体" w:eastAsia="宋体" w:cs="宋体"/>
          <w:color w:val="0000FF"/>
          <w:szCs w:val="21"/>
          <w:u w:val="single"/>
        </w:rPr>
        <w:t xml:space="preserve"> </w:t>
      </w:r>
      <w:r>
        <w:rPr>
          <w:rFonts w:hint="eastAsia" w:ascii="宋体" w:hAnsi="宋体" w:eastAsia="宋体" w:cs="宋体"/>
          <w:color w:val="000000"/>
          <w:szCs w:val="21"/>
          <w:u w:val="single"/>
        </w:rPr>
        <w:t xml:space="preserve">              </w:t>
      </w:r>
      <w:r>
        <w:rPr>
          <w:rFonts w:hint="eastAsia" w:ascii="宋体" w:hAnsi="宋体" w:eastAsia="宋体" w:cs="宋体"/>
          <w:szCs w:val="21"/>
          <w:u w:val="single"/>
        </w:rPr>
        <w:t xml:space="preserve">                                                </w:t>
      </w:r>
    </w:p>
    <w:p w14:paraId="00CF4427">
      <w:pPr>
        <w:numPr>
          <w:ilvl w:val="0"/>
          <w:numId w:val="11"/>
        </w:numPr>
        <w:adjustRightInd w:val="0"/>
        <w:snapToGrid w:val="0"/>
        <w:spacing w:line="400" w:lineRule="exact"/>
        <w:ind w:firstLine="422" w:firstLineChars="200"/>
        <w:rPr>
          <w:rFonts w:ascii="宋体" w:hAnsi="宋体" w:eastAsia="宋体"/>
          <w:b/>
          <w:szCs w:val="21"/>
        </w:rPr>
      </w:pPr>
      <w:r>
        <w:rPr>
          <w:rFonts w:hint="eastAsia" w:ascii="宋体" w:hAnsi="宋体" w:eastAsia="宋体"/>
          <w:b/>
          <w:szCs w:val="21"/>
        </w:rPr>
        <w:t>合同验收</w:t>
      </w:r>
    </w:p>
    <w:p w14:paraId="2C24BF8C">
      <w:pPr>
        <w:numPr>
          <w:ilvl w:val="0"/>
          <w:numId w:val="13"/>
        </w:numPr>
        <w:adjustRightInd w:val="0"/>
        <w:snapToGrid w:val="0"/>
        <w:spacing w:line="400" w:lineRule="exact"/>
        <w:ind w:firstLine="420" w:firstLineChars="200"/>
        <w:rPr>
          <w:rFonts w:ascii="宋体" w:hAnsi="宋体" w:eastAsia="宋体"/>
          <w:bCs/>
          <w:szCs w:val="21"/>
        </w:rPr>
      </w:pPr>
      <w:r>
        <w:rPr>
          <w:rFonts w:hint="eastAsia" w:ascii="宋体" w:hAnsi="宋体" w:eastAsia="宋体"/>
          <w:bCs/>
          <w:szCs w:val="21"/>
        </w:rPr>
        <w:t>验收组织方式：</w:t>
      </w:r>
      <w:r>
        <w:rPr>
          <w:rFonts w:ascii="Wingdings" w:hAnsi="Wingdings" w:eastAsia="宋体" w:cs="宋体"/>
          <w:szCs w:val="21"/>
        </w:rPr>
        <w:sym w:font="Wingdings" w:char="F0A8"/>
      </w:r>
      <w:r>
        <w:rPr>
          <w:rFonts w:hint="eastAsia" w:ascii="宋体" w:hAnsi="宋体" w:eastAsia="宋体"/>
          <w:bCs/>
          <w:szCs w:val="21"/>
        </w:rPr>
        <w:t xml:space="preserve">自行组织 </w:t>
      </w:r>
      <w:r>
        <w:rPr>
          <w:rFonts w:ascii="Wingdings" w:hAnsi="Wingdings" w:eastAsia="宋体" w:cs="宋体"/>
          <w:szCs w:val="21"/>
        </w:rPr>
        <w:sym w:font="Wingdings" w:char="F0A8"/>
      </w:r>
      <w:r>
        <w:rPr>
          <w:rFonts w:hint="eastAsia" w:ascii="宋体" w:hAnsi="宋体" w:eastAsia="宋体"/>
          <w:bCs/>
          <w:szCs w:val="21"/>
        </w:rPr>
        <w:t>委托第三方组织</w:t>
      </w:r>
    </w:p>
    <w:p w14:paraId="05A25F0D">
      <w:pPr>
        <w:adjustRightInd w:val="0"/>
        <w:snapToGrid w:val="0"/>
        <w:spacing w:line="400" w:lineRule="exact"/>
        <w:rPr>
          <w:rFonts w:ascii="宋体" w:hAnsi="宋体" w:eastAsia="宋体"/>
          <w:bCs/>
          <w:szCs w:val="21"/>
        </w:rPr>
      </w:pPr>
      <w:r>
        <w:rPr>
          <w:rFonts w:hint="eastAsia" w:ascii="宋体" w:hAnsi="宋体" w:eastAsia="宋体"/>
          <w:bCs/>
          <w:szCs w:val="21"/>
        </w:rPr>
        <w:t xml:space="preserve">         验收主体：</w:t>
      </w:r>
      <w:r>
        <w:rPr>
          <w:rFonts w:hint="eastAsia" w:ascii="宋体" w:hAnsi="宋体" w:eastAsia="宋体"/>
          <w:bCs/>
          <w:szCs w:val="21"/>
          <w:u w:val="single"/>
        </w:rPr>
        <w:t xml:space="preserve">                  </w:t>
      </w:r>
    </w:p>
    <w:p w14:paraId="314D941A">
      <w:pPr>
        <w:adjustRightInd w:val="0"/>
        <w:snapToGrid w:val="0"/>
        <w:spacing w:line="400" w:lineRule="exact"/>
        <w:rPr>
          <w:rFonts w:ascii="宋体" w:hAnsi="宋体" w:eastAsia="宋体"/>
          <w:bCs/>
          <w:szCs w:val="21"/>
        </w:rPr>
      </w:pPr>
      <w:r>
        <w:rPr>
          <w:rFonts w:hint="eastAsia" w:ascii="宋体" w:hAnsi="宋体" w:eastAsia="宋体"/>
          <w:bCs/>
          <w:szCs w:val="21"/>
        </w:rPr>
        <w:t xml:space="preserve">        是否邀请本项目的其他供应商参加验收：</w:t>
      </w:r>
      <w:r>
        <w:rPr>
          <w:rFonts w:ascii="Wingdings" w:hAnsi="Wingdings" w:eastAsia="宋体" w:cs="宋体"/>
          <w:szCs w:val="21"/>
        </w:rPr>
        <w:sym w:font="Wingdings" w:char="F0A8"/>
      </w:r>
      <w:r>
        <w:rPr>
          <w:rFonts w:hint="eastAsia" w:ascii="宋体" w:hAnsi="宋体" w:eastAsia="宋体"/>
          <w:bCs/>
          <w:szCs w:val="21"/>
        </w:rPr>
        <w:t xml:space="preserve">是  </w:t>
      </w:r>
      <w:r>
        <w:rPr>
          <w:rFonts w:ascii="Wingdings" w:hAnsi="Wingdings" w:eastAsia="宋体" w:cs="宋体"/>
          <w:szCs w:val="21"/>
        </w:rPr>
        <w:sym w:font="Wingdings" w:char="F0A8"/>
      </w:r>
      <w:r>
        <w:rPr>
          <w:rFonts w:hint="eastAsia" w:ascii="宋体" w:hAnsi="宋体" w:eastAsia="宋体"/>
          <w:bCs/>
          <w:szCs w:val="21"/>
        </w:rPr>
        <w:t>否</w:t>
      </w:r>
    </w:p>
    <w:p w14:paraId="2E8B479D">
      <w:pPr>
        <w:adjustRightInd w:val="0"/>
        <w:snapToGrid w:val="0"/>
        <w:spacing w:line="400" w:lineRule="exact"/>
        <w:ind w:firstLine="840" w:firstLineChars="400"/>
        <w:rPr>
          <w:rFonts w:ascii="宋体" w:hAnsi="宋体" w:eastAsia="宋体"/>
          <w:bCs/>
          <w:szCs w:val="21"/>
        </w:rPr>
      </w:pPr>
      <w:r>
        <w:rPr>
          <w:rFonts w:hint="eastAsia" w:ascii="宋体" w:hAnsi="宋体" w:eastAsia="宋体"/>
          <w:bCs/>
          <w:szCs w:val="21"/>
        </w:rPr>
        <w:t>是否邀请专家参加验收：</w:t>
      </w:r>
      <w:r>
        <w:rPr>
          <w:rFonts w:ascii="Wingdings" w:hAnsi="Wingdings" w:eastAsia="宋体" w:cs="宋体"/>
          <w:szCs w:val="21"/>
        </w:rPr>
        <w:sym w:font="Wingdings" w:char="F0A8"/>
      </w:r>
      <w:r>
        <w:rPr>
          <w:rFonts w:hint="eastAsia" w:ascii="宋体" w:hAnsi="宋体" w:eastAsia="宋体"/>
          <w:bCs/>
          <w:szCs w:val="21"/>
        </w:rPr>
        <w:t xml:space="preserve">是  </w:t>
      </w:r>
      <w:r>
        <w:rPr>
          <w:rFonts w:ascii="Wingdings" w:hAnsi="Wingdings" w:eastAsia="宋体" w:cs="宋体"/>
          <w:szCs w:val="21"/>
        </w:rPr>
        <w:sym w:font="Wingdings" w:char="F0A8"/>
      </w:r>
      <w:r>
        <w:rPr>
          <w:rFonts w:hint="eastAsia" w:ascii="宋体" w:hAnsi="宋体" w:eastAsia="宋体"/>
          <w:bCs/>
          <w:szCs w:val="21"/>
        </w:rPr>
        <w:t>否</w:t>
      </w:r>
    </w:p>
    <w:p w14:paraId="75F086D8">
      <w:pPr>
        <w:adjustRightInd w:val="0"/>
        <w:snapToGrid w:val="0"/>
        <w:spacing w:line="400" w:lineRule="exact"/>
        <w:ind w:firstLine="840" w:firstLineChars="400"/>
        <w:rPr>
          <w:rFonts w:ascii="宋体" w:hAnsi="宋体" w:eastAsia="宋体"/>
          <w:bCs/>
          <w:szCs w:val="21"/>
        </w:rPr>
      </w:pPr>
      <w:r>
        <w:rPr>
          <w:rFonts w:hint="eastAsia" w:ascii="宋体" w:hAnsi="宋体" w:eastAsia="宋体"/>
          <w:bCs/>
          <w:szCs w:val="21"/>
        </w:rPr>
        <w:t>是否邀请服务对象参加验收：</w:t>
      </w:r>
      <w:r>
        <w:rPr>
          <w:rFonts w:ascii="Wingdings" w:hAnsi="Wingdings" w:eastAsia="宋体" w:cs="宋体"/>
          <w:szCs w:val="21"/>
        </w:rPr>
        <w:sym w:font="Wingdings" w:char="F0A8"/>
      </w:r>
      <w:r>
        <w:rPr>
          <w:rFonts w:hint="eastAsia" w:ascii="宋体" w:hAnsi="宋体" w:eastAsia="宋体"/>
          <w:bCs/>
          <w:szCs w:val="21"/>
        </w:rPr>
        <w:t xml:space="preserve">是  </w:t>
      </w:r>
      <w:r>
        <w:rPr>
          <w:rFonts w:ascii="Wingdings" w:hAnsi="Wingdings" w:eastAsia="宋体" w:cs="宋体"/>
          <w:szCs w:val="21"/>
        </w:rPr>
        <w:sym w:font="Wingdings" w:char="F0A8"/>
      </w:r>
      <w:r>
        <w:rPr>
          <w:rFonts w:hint="eastAsia" w:ascii="宋体" w:hAnsi="宋体" w:eastAsia="宋体"/>
          <w:bCs/>
          <w:szCs w:val="21"/>
        </w:rPr>
        <w:t>否</w:t>
      </w:r>
    </w:p>
    <w:p w14:paraId="0C0F71E6">
      <w:pPr>
        <w:adjustRightInd w:val="0"/>
        <w:snapToGrid w:val="0"/>
        <w:spacing w:line="400" w:lineRule="exact"/>
        <w:ind w:firstLine="840" w:firstLineChars="400"/>
        <w:rPr>
          <w:rFonts w:ascii="宋体" w:hAnsi="宋体" w:eastAsia="宋体"/>
          <w:bCs/>
          <w:szCs w:val="21"/>
        </w:rPr>
      </w:pPr>
      <w:r>
        <w:rPr>
          <w:rFonts w:hint="eastAsia" w:ascii="宋体" w:hAnsi="宋体" w:eastAsia="宋体"/>
          <w:bCs/>
          <w:szCs w:val="21"/>
        </w:rPr>
        <w:t>是否邀请第三方检测机构参加验收：</w:t>
      </w:r>
      <w:r>
        <w:rPr>
          <w:rFonts w:ascii="Wingdings" w:hAnsi="Wingdings" w:eastAsia="宋体" w:cs="宋体"/>
          <w:szCs w:val="21"/>
        </w:rPr>
        <w:sym w:font="Wingdings" w:char="F0A8"/>
      </w:r>
      <w:r>
        <w:rPr>
          <w:rFonts w:hint="eastAsia" w:ascii="宋体" w:hAnsi="宋体" w:eastAsia="宋体"/>
          <w:bCs/>
          <w:szCs w:val="21"/>
        </w:rPr>
        <w:t xml:space="preserve">是  </w:t>
      </w:r>
      <w:r>
        <w:rPr>
          <w:rFonts w:ascii="Wingdings" w:hAnsi="Wingdings" w:eastAsia="宋体" w:cs="宋体"/>
          <w:szCs w:val="21"/>
        </w:rPr>
        <w:sym w:font="Wingdings" w:char="F0A8"/>
      </w:r>
      <w:r>
        <w:rPr>
          <w:rFonts w:hint="eastAsia" w:ascii="宋体" w:hAnsi="宋体" w:eastAsia="宋体"/>
          <w:bCs/>
          <w:szCs w:val="21"/>
        </w:rPr>
        <w:t>否</w:t>
      </w:r>
    </w:p>
    <w:p w14:paraId="51A4FEC3">
      <w:pPr>
        <w:adjustRightInd w:val="0"/>
        <w:snapToGrid w:val="0"/>
        <w:spacing w:line="400" w:lineRule="exact"/>
        <w:ind w:firstLine="840" w:firstLineChars="400"/>
        <w:rPr>
          <w:rFonts w:ascii="宋体" w:hAnsi="宋体" w:eastAsia="宋体"/>
          <w:bCs/>
          <w:szCs w:val="21"/>
        </w:rPr>
      </w:pPr>
      <w:r>
        <w:rPr>
          <w:rFonts w:hint="eastAsia" w:ascii="宋体" w:hAnsi="宋体" w:eastAsia="宋体"/>
          <w:bCs/>
          <w:szCs w:val="21"/>
        </w:rPr>
        <w:t>是否进行抽查检测：</w:t>
      </w:r>
      <w:r>
        <w:rPr>
          <w:rFonts w:ascii="Wingdings" w:hAnsi="Wingdings" w:eastAsia="宋体" w:cs="宋体"/>
          <w:szCs w:val="21"/>
        </w:rPr>
        <w:sym w:font="Wingdings" w:char="F0A8"/>
      </w:r>
      <w:r>
        <w:rPr>
          <w:rFonts w:hint="eastAsia" w:ascii="宋体" w:hAnsi="宋体" w:eastAsia="宋体"/>
          <w:bCs/>
          <w:szCs w:val="21"/>
        </w:rPr>
        <w:t>是，抽查比例：</w:t>
      </w:r>
      <w:r>
        <w:rPr>
          <w:rFonts w:hint="eastAsia" w:ascii="宋体" w:hAnsi="宋体" w:eastAsia="宋体"/>
          <w:bCs/>
          <w:szCs w:val="21"/>
          <w:u w:val="single"/>
        </w:rPr>
        <w:t xml:space="preserve">        </w:t>
      </w:r>
      <w:r>
        <w:rPr>
          <w:rFonts w:hint="eastAsia" w:ascii="宋体" w:hAnsi="宋体" w:eastAsia="宋体"/>
          <w:bCs/>
          <w:szCs w:val="21"/>
        </w:rPr>
        <w:t xml:space="preserve"> </w:t>
      </w:r>
      <w:r>
        <w:rPr>
          <w:rFonts w:ascii="Wingdings" w:hAnsi="Wingdings" w:eastAsia="宋体" w:cs="宋体"/>
          <w:szCs w:val="21"/>
        </w:rPr>
        <w:sym w:font="Wingdings" w:char="F0A8"/>
      </w:r>
      <w:r>
        <w:rPr>
          <w:rFonts w:hint="eastAsia" w:ascii="宋体" w:hAnsi="宋体" w:eastAsia="宋体"/>
          <w:bCs/>
          <w:szCs w:val="21"/>
        </w:rPr>
        <w:t>否</w:t>
      </w:r>
    </w:p>
    <w:p w14:paraId="5E272E1A">
      <w:pPr>
        <w:adjustRightInd w:val="0"/>
        <w:snapToGrid w:val="0"/>
        <w:spacing w:line="400" w:lineRule="exact"/>
        <w:ind w:firstLine="840" w:firstLineChars="400"/>
        <w:rPr>
          <w:rFonts w:ascii="宋体" w:hAnsi="宋体" w:eastAsia="宋体"/>
          <w:bCs/>
          <w:szCs w:val="21"/>
          <w:u w:val="single"/>
        </w:rPr>
      </w:pPr>
      <w:r>
        <w:rPr>
          <w:rFonts w:hint="eastAsia" w:ascii="宋体" w:hAnsi="宋体" w:eastAsia="宋体"/>
          <w:bCs/>
          <w:szCs w:val="21"/>
        </w:rPr>
        <w:t>是否存在破坏性检测：</w:t>
      </w:r>
      <w:r>
        <w:rPr>
          <w:rFonts w:ascii="Wingdings" w:hAnsi="Wingdings" w:eastAsia="宋体" w:cs="宋体"/>
          <w:szCs w:val="21"/>
        </w:rPr>
        <w:sym w:font="Wingdings" w:char="F0A8"/>
      </w:r>
      <w:r>
        <w:rPr>
          <w:rFonts w:hint="eastAsia" w:ascii="宋体" w:hAnsi="宋体" w:eastAsia="宋体"/>
          <w:bCs/>
          <w:szCs w:val="21"/>
        </w:rPr>
        <w:t>是，</w:t>
      </w:r>
      <w:r>
        <w:rPr>
          <w:rFonts w:hint="eastAsia" w:ascii="宋体" w:hAnsi="宋体" w:eastAsia="宋体"/>
          <w:bCs/>
          <w:szCs w:val="21"/>
          <w:u w:val="single"/>
        </w:rPr>
        <w:t>（应明确对被破坏的检测产品的处理方式）</w:t>
      </w:r>
    </w:p>
    <w:p w14:paraId="10DA3EBF">
      <w:pPr>
        <w:adjustRightInd w:val="0"/>
        <w:snapToGrid w:val="0"/>
        <w:spacing w:line="400" w:lineRule="exact"/>
        <w:ind w:firstLine="840" w:firstLineChars="400"/>
        <w:rPr>
          <w:rFonts w:ascii="宋体" w:hAnsi="宋体" w:eastAsia="宋体"/>
          <w:bCs/>
          <w:szCs w:val="21"/>
        </w:rPr>
      </w:pPr>
      <w:r>
        <w:rPr>
          <w:rFonts w:hint="eastAsia" w:ascii="宋体" w:hAnsi="宋体" w:eastAsia="宋体"/>
          <w:bCs/>
          <w:szCs w:val="21"/>
        </w:rPr>
        <w:t xml:space="preserve">                    </w:t>
      </w:r>
      <w:r>
        <w:rPr>
          <w:rFonts w:ascii="Wingdings" w:hAnsi="Wingdings" w:eastAsia="宋体" w:cs="宋体"/>
          <w:szCs w:val="21"/>
        </w:rPr>
        <w:sym w:font="Wingdings" w:char="F0A8"/>
      </w:r>
      <w:r>
        <w:rPr>
          <w:rFonts w:hint="eastAsia" w:ascii="宋体" w:hAnsi="宋体" w:eastAsia="宋体"/>
          <w:bCs/>
          <w:szCs w:val="21"/>
        </w:rPr>
        <w:t>否</w:t>
      </w:r>
    </w:p>
    <w:p w14:paraId="31DCE8A9">
      <w:pPr>
        <w:adjustRightInd w:val="0"/>
        <w:snapToGrid w:val="0"/>
        <w:spacing w:line="400" w:lineRule="exact"/>
        <w:ind w:firstLine="840" w:firstLineChars="400"/>
        <w:rPr>
          <w:rFonts w:ascii="宋体" w:hAnsi="宋体" w:eastAsia="宋体"/>
          <w:bCs/>
          <w:szCs w:val="21"/>
          <w:u w:val="single"/>
        </w:rPr>
      </w:pPr>
      <w:r>
        <w:rPr>
          <w:rFonts w:hint="eastAsia" w:ascii="宋体" w:hAnsi="宋体" w:eastAsia="宋体"/>
          <w:bCs/>
          <w:szCs w:val="21"/>
        </w:rPr>
        <w:t>验收组织的其他事项：</w:t>
      </w:r>
      <w:r>
        <w:rPr>
          <w:rFonts w:hint="eastAsia" w:ascii="宋体" w:hAnsi="宋体" w:eastAsia="宋体"/>
          <w:bCs/>
          <w:szCs w:val="21"/>
          <w:u w:val="single"/>
        </w:rPr>
        <w:t xml:space="preserve">                </w:t>
      </w:r>
    </w:p>
    <w:p w14:paraId="65634437">
      <w:pPr>
        <w:adjustRightInd w:val="0"/>
        <w:snapToGrid w:val="0"/>
        <w:spacing w:line="400" w:lineRule="exact"/>
        <w:ind w:firstLine="420" w:firstLineChars="200"/>
        <w:rPr>
          <w:rFonts w:ascii="宋体" w:hAnsi="宋体" w:eastAsia="宋体"/>
          <w:bCs/>
          <w:szCs w:val="21"/>
          <w:u w:val="single"/>
        </w:rPr>
      </w:pPr>
      <w:r>
        <w:rPr>
          <w:rFonts w:hint="eastAsia" w:ascii="宋体" w:hAnsi="宋体" w:eastAsia="宋体"/>
          <w:bCs/>
          <w:szCs w:val="21"/>
        </w:rPr>
        <w:t>（2）履约验收时间：</w:t>
      </w:r>
      <w:r>
        <w:rPr>
          <w:rFonts w:hint="eastAsia" w:ascii="宋体" w:hAnsi="宋体" w:eastAsia="宋体"/>
          <w:bCs/>
          <w:szCs w:val="21"/>
          <w:u w:val="single"/>
        </w:rPr>
        <w:t xml:space="preserve">（计划于何时验收/供应商提出验收申请之日起   日内组织验收） </w:t>
      </w:r>
    </w:p>
    <w:p w14:paraId="141EB8DF">
      <w:pPr>
        <w:adjustRightInd w:val="0"/>
        <w:snapToGrid w:val="0"/>
        <w:spacing w:line="400" w:lineRule="exact"/>
        <w:ind w:firstLine="420" w:firstLineChars="200"/>
        <w:rPr>
          <w:rFonts w:ascii="宋体" w:hAnsi="宋体" w:eastAsia="宋体"/>
          <w:bCs/>
          <w:szCs w:val="21"/>
        </w:rPr>
      </w:pPr>
      <w:r>
        <w:rPr>
          <w:rFonts w:hint="eastAsia" w:ascii="宋体" w:hAnsi="宋体" w:eastAsia="宋体"/>
          <w:bCs/>
          <w:szCs w:val="21"/>
        </w:rPr>
        <w:t>（3）履约验收方式：</w:t>
      </w:r>
      <w:r>
        <w:rPr>
          <w:rFonts w:ascii="Wingdings" w:hAnsi="Wingdings" w:eastAsia="宋体" w:cs="宋体"/>
          <w:szCs w:val="21"/>
        </w:rPr>
        <w:sym w:font="Wingdings" w:char="F0A8"/>
      </w:r>
      <w:r>
        <w:rPr>
          <w:rFonts w:hint="eastAsia" w:ascii="宋体" w:hAnsi="宋体" w:eastAsia="宋体"/>
          <w:bCs/>
          <w:szCs w:val="21"/>
        </w:rPr>
        <w:t xml:space="preserve">一次性验收         </w:t>
      </w:r>
    </w:p>
    <w:p w14:paraId="1134ACE6">
      <w:pPr>
        <w:adjustRightInd w:val="0"/>
        <w:snapToGrid w:val="0"/>
        <w:spacing w:line="400" w:lineRule="exact"/>
        <w:rPr>
          <w:rFonts w:ascii="宋体" w:hAnsi="宋体" w:eastAsia="宋体"/>
          <w:bCs/>
          <w:szCs w:val="21"/>
        </w:rPr>
      </w:pPr>
      <w:r>
        <w:rPr>
          <w:rFonts w:hint="eastAsia" w:ascii="宋体" w:hAnsi="宋体" w:eastAsia="宋体"/>
          <w:bCs/>
          <w:szCs w:val="21"/>
        </w:rPr>
        <w:t xml:space="preserve">                       </w:t>
      </w:r>
      <w:r>
        <w:rPr>
          <w:rFonts w:ascii="Wingdings" w:hAnsi="Wingdings" w:eastAsia="宋体" w:cs="宋体"/>
          <w:szCs w:val="21"/>
        </w:rPr>
        <w:sym w:font="Wingdings" w:char="F0A8"/>
      </w:r>
      <w:r>
        <w:rPr>
          <w:rFonts w:hint="eastAsia" w:ascii="宋体" w:hAnsi="宋体" w:eastAsia="宋体"/>
          <w:bCs/>
          <w:szCs w:val="21"/>
        </w:rPr>
        <w:t>分期/分项验收：</w:t>
      </w:r>
      <w:r>
        <w:rPr>
          <w:rFonts w:hint="eastAsia" w:ascii="宋体" w:hAnsi="宋体" w:eastAsia="宋体"/>
          <w:bCs/>
          <w:szCs w:val="21"/>
          <w:u w:val="single"/>
        </w:rPr>
        <w:t xml:space="preserve"> （应明确分期</w:t>
      </w:r>
      <w:r>
        <w:rPr>
          <w:rFonts w:ascii="宋体" w:hAnsi="宋体" w:eastAsia="宋体"/>
          <w:bCs/>
          <w:szCs w:val="21"/>
          <w:u w:val="single"/>
        </w:rPr>
        <w:t>/</w:t>
      </w:r>
      <w:r>
        <w:rPr>
          <w:rFonts w:hint="eastAsia" w:ascii="宋体" w:hAnsi="宋体" w:eastAsia="宋体"/>
          <w:bCs/>
          <w:szCs w:val="21"/>
          <w:u w:val="single"/>
        </w:rPr>
        <w:t xml:space="preserve">分项验收的工作安排）  </w:t>
      </w:r>
    </w:p>
    <w:p w14:paraId="579A8F0B">
      <w:pPr>
        <w:adjustRightInd w:val="0"/>
        <w:snapToGrid w:val="0"/>
        <w:spacing w:line="400" w:lineRule="exact"/>
        <w:ind w:firstLine="420" w:firstLineChars="200"/>
        <w:rPr>
          <w:rFonts w:ascii="宋体" w:hAnsi="宋体" w:eastAsia="宋体"/>
          <w:bCs/>
          <w:szCs w:val="21"/>
        </w:rPr>
      </w:pPr>
      <w:r>
        <w:rPr>
          <w:rFonts w:hint="eastAsia" w:ascii="宋体" w:hAnsi="宋体" w:eastAsia="宋体"/>
          <w:bCs/>
          <w:szCs w:val="21"/>
        </w:rPr>
        <w:t>（4）履约验收程序：</w:t>
      </w:r>
      <w:r>
        <w:rPr>
          <w:rFonts w:hint="eastAsia" w:ascii="宋体" w:hAnsi="宋体" w:eastAsia="宋体"/>
          <w:bCs/>
          <w:szCs w:val="21"/>
          <w:u w:val="single"/>
        </w:rPr>
        <w:t xml:space="preserve">                                         </w:t>
      </w:r>
    </w:p>
    <w:p w14:paraId="3EB38DA0">
      <w:pPr>
        <w:adjustRightInd w:val="0"/>
        <w:snapToGrid w:val="0"/>
        <w:spacing w:line="400" w:lineRule="exact"/>
        <w:ind w:firstLine="420" w:firstLineChars="200"/>
        <w:rPr>
          <w:rFonts w:ascii="宋体" w:hAnsi="宋体" w:eastAsia="宋体"/>
          <w:bCs/>
          <w:szCs w:val="21"/>
          <w:u w:val="single"/>
        </w:rPr>
      </w:pPr>
      <w:r>
        <w:rPr>
          <w:rFonts w:hint="eastAsia" w:ascii="宋体" w:hAnsi="宋体" w:eastAsia="宋体"/>
          <w:bCs/>
          <w:szCs w:val="21"/>
        </w:rPr>
        <w:t>（5）履约验收的内容：</w:t>
      </w:r>
      <w:r>
        <w:rPr>
          <w:rFonts w:hint="eastAsia" w:ascii="宋体" w:hAnsi="宋体" w:eastAsia="宋体"/>
          <w:bCs/>
          <w:szCs w:val="21"/>
          <w:u w:val="single"/>
        </w:rPr>
        <w:t xml:space="preserve"> （应当包括每一项技术和商务要求的履约情况，特别是落实政府采购扶持中小企业，支持绿色发展和乡村振兴等政策情况）                                      </w:t>
      </w:r>
    </w:p>
    <w:p w14:paraId="3E557EBE">
      <w:pPr>
        <w:adjustRightInd w:val="0"/>
        <w:snapToGrid w:val="0"/>
        <w:spacing w:line="400" w:lineRule="exact"/>
        <w:ind w:firstLine="420" w:firstLineChars="200"/>
        <w:rPr>
          <w:rFonts w:ascii="宋体" w:hAnsi="宋体" w:eastAsia="宋体"/>
          <w:bCs/>
          <w:szCs w:val="21"/>
          <w:u w:val="single"/>
        </w:rPr>
      </w:pPr>
      <w:r>
        <w:rPr>
          <w:rFonts w:hint="eastAsia" w:ascii="宋体" w:hAnsi="宋体" w:eastAsia="宋体"/>
          <w:bCs/>
          <w:szCs w:val="21"/>
        </w:rPr>
        <w:t>（6）履约验收标准：</w:t>
      </w:r>
      <w:r>
        <w:rPr>
          <w:rFonts w:hint="eastAsia" w:ascii="宋体" w:hAnsi="宋体" w:eastAsia="宋体"/>
          <w:bCs/>
          <w:szCs w:val="21"/>
          <w:u w:val="single"/>
        </w:rPr>
        <w:t xml:space="preserve">                                         </w:t>
      </w:r>
    </w:p>
    <w:p w14:paraId="11EC24DF">
      <w:pPr>
        <w:autoSpaceDE w:val="0"/>
        <w:autoSpaceDN w:val="0"/>
        <w:adjustRightInd w:val="0"/>
        <w:spacing w:line="400" w:lineRule="exact"/>
        <w:ind w:firstLine="420" w:firstLineChars="200"/>
        <w:rPr>
          <w:rFonts w:ascii="宋体" w:hAnsi="宋体" w:eastAsia="宋体" w:cs="宋体"/>
          <w:szCs w:val="21"/>
        </w:rPr>
      </w:pPr>
      <w:r>
        <w:rPr>
          <w:rFonts w:hint="eastAsia" w:ascii="宋体" w:hAnsi="宋体" w:eastAsia="宋体" w:cs="宋体"/>
          <w:bCs/>
          <w:szCs w:val="21"/>
        </w:rPr>
        <w:t>（7）是否以采购活动中供应商提供的样品作为参考：</w:t>
      </w:r>
      <w:r>
        <w:rPr>
          <w:rFonts w:ascii="Wingdings" w:hAnsi="Wingdings" w:eastAsia="宋体" w:cs="宋体"/>
          <w:szCs w:val="21"/>
        </w:rPr>
        <w:sym w:font="Wingdings" w:char="F0A8"/>
      </w:r>
      <w:r>
        <w:rPr>
          <w:rFonts w:hint="eastAsia" w:ascii="宋体" w:hAnsi="宋体" w:eastAsia="宋体" w:cs="宋体"/>
          <w:bCs/>
          <w:szCs w:val="21"/>
        </w:rPr>
        <w:t xml:space="preserve">是  </w:t>
      </w:r>
      <w:r>
        <w:rPr>
          <w:rFonts w:ascii="Wingdings" w:hAnsi="Wingdings" w:eastAsia="宋体" w:cs="宋体"/>
          <w:szCs w:val="21"/>
        </w:rPr>
        <w:sym w:font="Wingdings" w:char="F0A8"/>
      </w:r>
      <w:r>
        <w:rPr>
          <w:rFonts w:hint="eastAsia" w:ascii="宋体" w:hAnsi="宋体" w:eastAsia="宋体" w:cs="宋体"/>
          <w:bCs/>
          <w:szCs w:val="21"/>
        </w:rPr>
        <w:t>否</w:t>
      </w:r>
    </w:p>
    <w:p w14:paraId="444EAC04">
      <w:pPr>
        <w:adjustRightInd w:val="0"/>
        <w:snapToGrid w:val="0"/>
        <w:spacing w:line="400" w:lineRule="exact"/>
        <w:ind w:firstLine="420" w:firstLineChars="200"/>
        <w:rPr>
          <w:rFonts w:ascii="宋体" w:hAnsi="宋体" w:eastAsia="宋体" w:cs="宋体"/>
          <w:bCs/>
          <w:szCs w:val="21"/>
          <w:u w:val="single"/>
        </w:rPr>
      </w:pPr>
      <w:r>
        <w:rPr>
          <w:rFonts w:hint="eastAsia" w:ascii="宋体" w:hAnsi="宋体" w:eastAsia="宋体" w:cs="宋体"/>
          <w:bCs/>
          <w:szCs w:val="21"/>
        </w:rPr>
        <w:t>（8）履约验收其他事项：</w:t>
      </w:r>
      <w:r>
        <w:rPr>
          <w:rFonts w:hint="eastAsia" w:ascii="宋体" w:hAnsi="宋体" w:eastAsia="宋体" w:cs="宋体"/>
          <w:bCs/>
          <w:szCs w:val="21"/>
          <w:u w:val="single"/>
        </w:rPr>
        <w:t xml:space="preserve">      （产权过户登记等）          </w:t>
      </w:r>
    </w:p>
    <w:p w14:paraId="54732630">
      <w:pPr>
        <w:numPr>
          <w:ilvl w:val="0"/>
          <w:numId w:val="11"/>
        </w:numPr>
        <w:adjustRightInd w:val="0"/>
        <w:snapToGrid w:val="0"/>
        <w:spacing w:line="400" w:lineRule="exact"/>
        <w:ind w:firstLine="422" w:firstLineChars="200"/>
        <w:rPr>
          <w:rFonts w:ascii="宋体" w:hAnsi="宋体" w:eastAsia="宋体"/>
          <w:b/>
          <w:szCs w:val="21"/>
        </w:rPr>
      </w:pPr>
      <w:r>
        <w:rPr>
          <w:rFonts w:hint="eastAsia" w:ascii="宋体" w:hAnsi="宋体" w:eastAsia="宋体"/>
          <w:b/>
          <w:szCs w:val="21"/>
        </w:rPr>
        <w:t>组成合同的文件</w:t>
      </w:r>
    </w:p>
    <w:p w14:paraId="1C3437DB">
      <w:pPr>
        <w:adjustRightInd w:val="0"/>
        <w:snapToGrid w:val="0"/>
        <w:spacing w:line="400" w:lineRule="exact"/>
        <w:ind w:firstLine="420" w:firstLineChars="200"/>
        <w:rPr>
          <w:rFonts w:ascii="宋体" w:hAnsi="宋体" w:eastAsia="宋体"/>
          <w:szCs w:val="21"/>
        </w:rPr>
      </w:pPr>
      <w:r>
        <w:rPr>
          <w:rFonts w:hint="eastAsia" w:ascii="宋体" w:hAnsi="宋体" w:eastAsia="宋体"/>
          <w:szCs w:val="21"/>
        </w:rPr>
        <w:t>本协议书与下列文件一起构成合同文件，如下述文件之间有任何抵触、矛盾或歧义，应按以下顺序解释：</w:t>
      </w:r>
    </w:p>
    <w:p w14:paraId="672A5877">
      <w:pPr>
        <w:adjustRightInd w:val="0"/>
        <w:snapToGrid w:val="0"/>
        <w:spacing w:line="400" w:lineRule="exact"/>
        <w:ind w:firstLine="420" w:firstLineChars="200"/>
        <w:rPr>
          <w:rFonts w:ascii="宋体" w:hAnsi="宋体" w:eastAsia="宋体"/>
          <w:szCs w:val="21"/>
        </w:rPr>
      </w:pPr>
      <w:r>
        <w:rPr>
          <w:rFonts w:hint="eastAsia" w:ascii="宋体" w:hAnsi="宋体" w:eastAsia="宋体"/>
          <w:szCs w:val="21"/>
        </w:rPr>
        <w:t>（1）政府采购合同协议书及其变更、补充协议</w:t>
      </w:r>
    </w:p>
    <w:p w14:paraId="7353F2D9">
      <w:pPr>
        <w:adjustRightInd w:val="0"/>
        <w:snapToGrid w:val="0"/>
        <w:spacing w:line="400" w:lineRule="exact"/>
        <w:ind w:firstLine="420" w:firstLineChars="200"/>
        <w:rPr>
          <w:rFonts w:ascii="宋体" w:hAnsi="宋体" w:eastAsia="宋体"/>
          <w:szCs w:val="21"/>
        </w:rPr>
      </w:pPr>
      <w:r>
        <w:rPr>
          <w:rFonts w:hint="eastAsia" w:ascii="宋体" w:hAnsi="宋体" w:eastAsia="宋体"/>
          <w:szCs w:val="21"/>
        </w:rPr>
        <w:t>（2）政府采购合同专用条款</w:t>
      </w:r>
    </w:p>
    <w:p w14:paraId="6C3B361C">
      <w:pPr>
        <w:adjustRightInd w:val="0"/>
        <w:snapToGrid w:val="0"/>
        <w:spacing w:line="400" w:lineRule="exact"/>
        <w:ind w:firstLine="420" w:firstLineChars="200"/>
        <w:rPr>
          <w:rFonts w:ascii="宋体" w:hAnsi="宋体" w:eastAsia="宋体"/>
          <w:szCs w:val="21"/>
        </w:rPr>
      </w:pPr>
      <w:r>
        <w:rPr>
          <w:rFonts w:hint="eastAsia" w:ascii="宋体" w:hAnsi="宋体" w:eastAsia="宋体"/>
          <w:szCs w:val="21"/>
        </w:rPr>
        <w:t>（3）政府采购合同通用条款</w:t>
      </w:r>
    </w:p>
    <w:p w14:paraId="06056E51">
      <w:pPr>
        <w:adjustRightInd w:val="0"/>
        <w:snapToGrid w:val="0"/>
        <w:spacing w:line="400" w:lineRule="exact"/>
        <w:ind w:firstLine="420" w:firstLineChars="200"/>
        <w:rPr>
          <w:rFonts w:ascii="宋体" w:hAnsi="宋体" w:eastAsia="宋体"/>
          <w:szCs w:val="21"/>
        </w:rPr>
      </w:pPr>
      <w:r>
        <w:rPr>
          <w:rFonts w:hint="eastAsia" w:ascii="宋体" w:hAnsi="宋体" w:eastAsia="宋体"/>
          <w:szCs w:val="21"/>
        </w:rPr>
        <w:t>（4）中标（成交）通知书</w:t>
      </w:r>
    </w:p>
    <w:p w14:paraId="443CC9B8">
      <w:pPr>
        <w:adjustRightInd w:val="0"/>
        <w:snapToGrid w:val="0"/>
        <w:spacing w:line="400" w:lineRule="exact"/>
        <w:ind w:firstLine="420" w:firstLineChars="200"/>
        <w:rPr>
          <w:rFonts w:ascii="宋体" w:hAnsi="宋体" w:eastAsia="宋体"/>
          <w:szCs w:val="21"/>
        </w:rPr>
      </w:pPr>
      <w:r>
        <w:rPr>
          <w:rFonts w:hint="eastAsia" w:ascii="宋体" w:hAnsi="宋体" w:eastAsia="宋体"/>
          <w:szCs w:val="21"/>
        </w:rPr>
        <w:t>（5）投标（响应）文件</w:t>
      </w:r>
    </w:p>
    <w:p w14:paraId="1B391217">
      <w:pPr>
        <w:adjustRightInd w:val="0"/>
        <w:snapToGrid w:val="0"/>
        <w:spacing w:line="400" w:lineRule="exact"/>
        <w:ind w:firstLine="420" w:firstLineChars="200"/>
        <w:rPr>
          <w:rFonts w:ascii="宋体" w:hAnsi="宋体" w:eastAsia="宋体"/>
          <w:szCs w:val="21"/>
        </w:rPr>
      </w:pPr>
      <w:r>
        <w:rPr>
          <w:rFonts w:hint="eastAsia" w:ascii="宋体" w:hAnsi="宋体" w:eastAsia="宋体"/>
          <w:szCs w:val="21"/>
        </w:rPr>
        <w:t>（6）采购文件</w:t>
      </w:r>
    </w:p>
    <w:p w14:paraId="6DEFD5B3">
      <w:pPr>
        <w:adjustRightInd w:val="0"/>
        <w:snapToGrid w:val="0"/>
        <w:spacing w:line="400" w:lineRule="exact"/>
        <w:ind w:firstLine="420" w:firstLineChars="200"/>
        <w:rPr>
          <w:rFonts w:ascii="宋体" w:hAnsi="宋体" w:eastAsia="宋体"/>
          <w:szCs w:val="21"/>
        </w:rPr>
      </w:pPr>
      <w:r>
        <w:rPr>
          <w:rFonts w:hint="eastAsia" w:ascii="宋体" w:hAnsi="宋体" w:eastAsia="宋体"/>
          <w:szCs w:val="21"/>
        </w:rPr>
        <w:t>（7）有关技术文件，图纸</w:t>
      </w:r>
    </w:p>
    <w:p w14:paraId="2A6CB379">
      <w:pPr>
        <w:autoSpaceDE w:val="0"/>
        <w:autoSpaceDN w:val="0"/>
        <w:adjustRightInd w:val="0"/>
        <w:spacing w:line="400" w:lineRule="exact"/>
        <w:ind w:firstLine="420" w:firstLineChars="200"/>
        <w:rPr>
          <w:rFonts w:ascii="宋体" w:hAnsi="宋体" w:eastAsia="宋体" w:cs="宋体"/>
          <w:szCs w:val="21"/>
        </w:rPr>
      </w:pPr>
      <w:r>
        <w:rPr>
          <w:rFonts w:hint="eastAsia" w:ascii="宋体" w:hAnsi="宋体" w:eastAsia="宋体" w:cs="宋体"/>
          <w:szCs w:val="21"/>
        </w:rPr>
        <w:t>（8）</w:t>
      </w:r>
      <w:r>
        <w:rPr>
          <w:rFonts w:hint="eastAsia" w:ascii="宋体" w:hAnsi="宋体" w:eastAsia="宋体" w:cs="宋体"/>
          <w:color w:val="000000"/>
          <w:szCs w:val="21"/>
        </w:rPr>
        <w:t>国家法律、行政法规和规章制度规定或合同约定的作为合同组成部分的其他文件</w:t>
      </w:r>
    </w:p>
    <w:p w14:paraId="60B01F9E">
      <w:pPr>
        <w:numPr>
          <w:ilvl w:val="0"/>
          <w:numId w:val="11"/>
        </w:numPr>
        <w:adjustRightInd w:val="0"/>
        <w:snapToGrid w:val="0"/>
        <w:spacing w:line="400" w:lineRule="exact"/>
        <w:ind w:firstLine="422" w:firstLineChars="200"/>
        <w:rPr>
          <w:rFonts w:ascii="宋体" w:hAnsi="宋体" w:eastAsia="宋体"/>
          <w:b/>
          <w:szCs w:val="21"/>
        </w:rPr>
      </w:pPr>
      <w:r>
        <w:rPr>
          <w:rFonts w:hint="eastAsia" w:ascii="宋体" w:hAnsi="宋体" w:eastAsia="宋体"/>
          <w:b/>
          <w:szCs w:val="21"/>
        </w:rPr>
        <w:t>合同生效</w:t>
      </w:r>
    </w:p>
    <w:p w14:paraId="7668CCCB">
      <w:pPr>
        <w:adjustRightInd w:val="0"/>
        <w:snapToGrid w:val="0"/>
        <w:spacing w:line="400" w:lineRule="exact"/>
        <w:ind w:firstLine="420" w:firstLineChars="200"/>
        <w:rPr>
          <w:rFonts w:ascii="宋体" w:hAnsi="宋体" w:eastAsia="宋体"/>
          <w:szCs w:val="21"/>
        </w:rPr>
      </w:pPr>
      <w:r>
        <w:rPr>
          <w:rFonts w:hint="eastAsia" w:ascii="宋体" w:hAnsi="宋体" w:eastAsia="宋体"/>
          <w:szCs w:val="21"/>
        </w:rPr>
        <w:t>本合同自</w:t>
      </w:r>
      <w:r>
        <w:rPr>
          <w:rFonts w:hint="eastAsia" w:ascii="宋体" w:hAnsi="宋体" w:eastAsia="宋体"/>
          <w:szCs w:val="21"/>
          <w:u w:val="single"/>
        </w:rPr>
        <w:t xml:space="preserve">                             </w:t>
      </w:r>
      <w:r>
        <w:rPr>
          <w:rFonts w:hint="eastAsia" w:ascii="宋体" w:hAnsi="宋体" w:eastAsia="宋体"/>
          <w:szCs w:val="21"/>
        </w:rPr>
        <w:t>生效。</w:t>
      </w:r>
    </w:p>
    <w:p w14:paraId="31304A0F">
      <w:pPr>
        <w:numPr>
          <w:ilvl w:val="0"/>
          <w:numId w:val="11"/>
        </w:numPr>
        <w:adjustRightInd w:val="0"/>
        <w:snapToGrid w:val="0"/>
        <w:spacing w:line="400" w:lineRule="exact"/>
        <w:ind w:firstLine="422" w:firstLineChars="200"/>
        <w:rPr>
          <w:rFonts w:ascii="宋体" w:hAnsi="宋体" w:eastAsia="宋体"/>
          <w:b/>
          <w:szCs w:val="21"/>
        </w:rPr>
      </w:pPr>
      <w:r>
        <w:rPr>
          <w:rFonts w:hint="eastAsia" w:ascii="宋体" w:hAnsi="宋体" w:eastAsia="宋体"/>
          <w:b/>
          <w:szCs w:val="21"/>
        </w:rPr>
        <w:t>合同份数</w:t>
      </w:r>
    </w:p>
    <w:p w14:paraId="5AE7AFD4">
      <w:pPr>
        <w:adjustRightInd w:val="0"/>
        <w:snapToGrid w:val="0"/>
        <w:spacing w:line="400" w:lineRule="exact"/>
        <w:ind w:firstLine="420" w:firstLineChars="200"/>
        <w:rPr>
          <w:rFonts w:ascii="宋体" w:hAnsi="宋体" w:eastAsia="宋体"/>
          <w:szCs w:val="21"/>
        </w:rPr>
      </w:pPr>
      <w:r>
        <w:rPr>
          <w:rFonts w:hint="eastAsia" w:ascii="宋体" w:hAnsi="宋体" w:eastAsia="宋体"/>
          <w:szCs w:val="21"/>
        </w:rPr>
        <w:t>本合同一式</w:t>
      </w:r>
      <w:r>
        <w:rPr>
          <w:rFonts w:hint="eastAsia" w:ascii="宋体" w:hAnsi="宋体" w:eastAsia="宋体"/>
          <w:szCs w:val="21"/>
          <w:u w:val="single"/>
        </w:rPr>
        <w:t xml:space="preserve">    </w:t>
      </w:r>
      <w:r>
        <w:rPr>
          <w:rFonts w:hint="eastAsia" w:ascii="宋体" w:hAnsi="宋体" w:eastAsia="宋体"/>
          <w:szCs w:val="21"/>
        </w:rPr>
        <w:t>份，甲方执</w:t>
      </w:r>
      <w:r>
        <w:rPr>
          <w:rFonts w:hint="eastAsia" w:ascii="宋体" w:hAnsi="宋体" w:eastAsia="宋体"/>
          <w:szCs w:val="21"/>
          <w:u w:val="single"/>
        </w:rPr>
        <w:t xml:space="preserve">    </w:t>
      </w:r>
      <w:r>
        <w:rPr>
          <w:rFonts w:hint="eastAsia" w:ascii="宋体" w:hAnsi="宋体" w:eastAsia="宋体"/>
          <w:szCs w:val="21"/>
        </w:rPr>
        <w:t>份，乙方执</w:t>
      </w:r>
      <w:r>
        <w:rPr>
          <w:rFonts w:hint="eastAsia" w:ascii="宋体" w:hAnsi="宋体" w:eastAsia="宋体"/>
          <w:szCs w:val="21"/>
          <w:u w:val="single"/>
        </w:rPr>
        <w:t xml:space="preserve">    </w:t>
      </w:r>
      <w:r>
        <w:rPr>
          <w:rFonts w:hint="eastAsia" w:ascii="宋体" w:hAnsi="宋体" w:eastAsia="宋体"/>
          <w:szCs w:val="21"/>
        </w:rPr>
        <w:t>份，均具有同等法律效力。</w:t>
      </w:r>
    </w:p>
    <w:p w14:paraId="42226410">
      <w:pPr>
        <w:adjustRightInd w:val="0"/>
        <w:snapToGrid w:val="0"/>
        <w:spacing w:line="400" w:lineRule="exact"/>
        <w:ind w:firstLine="420" w:firstLineChars="200"/>
        <w:rPr>
          <w:rFonts w:ascii="宋体" w:hAnsi="宋体" w:eastAsia="宋体"/>
          <w:szCs w:val="21"/>
        </w:rPr>
      </w:pPr>
      <w:r>
        <w:rPr>
          <w:rFonts w:hint="eastAsia" w:ascii="宋体" w:hAnsi="宋体" w:eastAsia="宋体"/>
          <w:szCs w:val="21"/>
        </w:rPr>
        <w:t>合同订立时间：</w:t>
      </w:r>
      <w:r>
        <w:rPr>
          <w:rFonts w:hint="eastAsia" w:ascii="宋体" w:hAnsi="宋体" w:eastAsia="宋体"/>
          <w:szCs w:val="21"/>
          <w:u w:val="single"/>
        </w:rPr>
        <w:t xml:space="preserve">         </w:t>
      </w:r>
      <w:r>
        <w:rPr>
          <w:rFonts w:hint="eastAsia" w:ascii="宋体" w:hAnsi="宋体" w:eastAsia="宋体"/>
          <w:szCs w:val="21"/>
        </w:rPr>
        <w:t>年</w:t>
      </w:r>
      <w:r>
        <w:rPr>
          <w:rFonts w:hint="eastAsia" w:ascii="宋体" w:hAnsi="宋体" w:eastAsia="宋体"/>
          <w:szCs w:val="21"/>
          <w:u w:val="single"/>
        </w:rPr>
        <w:t xml:space="preserve">      </w:t>
      </w:r>
      <w:r>
        <w:rPr>
          <w:rFonts w:hint="eastAsia" w:ascii="宋体" w:hAnsi="宋体" w:eastAsia="宋体"/>
          <w:szCs w:val="21"/>
        </w:rPr>
        <w:t>月</w:t>
      </w:r>
      <w:r>
        <w:rPr>
          <w:rFonts w:hint="eastAsia" w:ascii="宋体" w:hAnsi="宋体" w:eastAsia="宋体"/>
          <w:szCs w:val="21"/>
          <w:u w:val="single"/>
        </w:rPr>
        <w:t xml:space="preserve">      </w:t>
      </w:r>
      <w:r>
        <w:rPr>
          <w:rFonts w:hint="eastAsia" w:ascii="宋体" w:hAnsi="宋体" w:eastAsia="宋体"/>
          <w:szCs w:val="21"/>
        </w:rPr>
        <w:t>日</w:t>
      </w:r>
    </w:p>
    <w:p w14:paraId="314EA9DA">
      <w:pPr>
        <w:adjustRightInd w:val="0"/>
        <w:snapToGrid w:val="0"/>
        <w:spacing w:line="400" w:lineRule="exact"/>
        <w:ind w:firstLine="420" w:firstLineChars="200"/>
        <w:rPr>
          <w:rFonts w:ascii="宋体" w:hAnsi="宋体" w:eastAsia="宋体"/>
          <w:szCs w:val="21"/>
        </w:rPr>
      </w:pPr>
      <w:r>
        <w:rPr>
          <w:rFonts w:hint="eastAsia" w:ascii="宋体" w:hAnsi="宋体" w:eastAsia="宋体"/>
          <w:szCs w:val="21"/>
        </w:rPr>
        <w:t>合同订立地点：</w:t>
      </w:r>
      <w:r>
        <w:rPr>
          <w:rFonts w:hint="eastAsia" w:ascii="宋体" w:hAnsi="宋体" w:eastAsia="宋体"/>
          <w:szCs w:val="21"/>
          <w:u w:val="single"/>
        </w:rPr>
        <w:t xml:space="preserve">                           </w:t>
      </w:r>
    </w:p>
    <w:p w14:paraId="232B8487">
      <w:pPr>
        <w:adjustRightInd w:val="0"/>
        <w:snapToGrid w:val="0"/>
        <w:spacing w:line="400" w:lineRule="exact"/>
        <w:ind w:firstLine="420" w:firstLineChars="200"/>
        <w:rPr>
          <w:rFonts w:eastAsia="宋体"/>
        </w:rPr>
      </w:pPr>
      <w:r>
        <w:rPr>
          <w:rFonts w:hint="eastAsia" w:ascii="宋体" w:hAnsi="宋体" w:eastAsia="宋体"/>
          <w:szCs w:val="21"/>
        </w:rPr>
        <w:t>附件：具体标的及其技术要求和商务要求、联合协议、分包意向协议等。</w:t>
      </w:r>
    </w:p>
    <w:p w14:paraId="02842C55">
      <w:pPr>
        <w:rPr>
          <w:rFonts w:eastAsia="宋体"/>
        </w:rPr>
      </w:pPr>
      <w:r>
        <w:rPr>
          <w:rFonts w:hint="eastAsia" w:eastAsia="宋体"/>
        </w:rPr>
        <w:br w:type="page"/>
      </w:r>
    </w:p>
    <w:p w14:paraId="6E1ACA62">
      <w:pPr>
        <w:ind w:firstLine="420" w:firstLineChars="200"/>
        <w:rPr>
          <w:rFonts w:ascii="Times New Roman" w:hAnsi="Times New Roman" w:eastAsia="宋体" w:cs="Times New Roman"/>
          <w:szCs w:val="21"/>
        </w:rPr>
      </w:pPr>
    </w:p>
    <w:tbl>
      <w:tblPr>
        <w:tblStyle w:val="44"/>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14:paraId="4FD9B7E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303" w:type="dxa"/>
            <w:gridSpan w:val="2"/>
            <w:tcBorders>
              <w:bottom w:val="single" w:color="auto" w:sz="2" w:space="0"/>
              <w:right w:val="single" w:color="auto" w:sz="2" w:space="0"/>
            </w:tcBorders>
            <w:vAlign w:val="center"/>
          </w:tcPr>
          <w:p w14:paraId="2EB5E7CB">
            <w:pPr>
              <w:adjustRightInd w:val="0"/>
              <w:snapToGrid w:val="0"/>
              <w:spacing w:line="300" w:lineRule="exact"/>
              <w:jc w:val="center"/>
              <w:rPr>
                <w:rFonts w:eastAsia="宋体"/>
              </w:rPr>
            </w:pPr>
            <w:r>
              <w:rPr>
                <w:rFonts w:eastAsia="宋体"/>
                <w:szCs w:val="21"/>
              </w:rPr>
              <w:t>甲方</w:t>
            </w:r>
            <w:r>
              <w:rPr>
                <w:rFonts w:hint="eastAsia" w:eastAsia="宋体"/>
                <w:szCs w:val="21"/>
              </w:rPr>
              <w:t>（采购人</w:t>
            </w:r>
            <w:r>
              <w:rPr>
                <w:rFonts w:hint="eastAsia" w:ascii="宋体" w:hAnsi="宋体" w:eastAsia="宋体"/>
                <w:szCs w:val="21"/>
              </w:rPr>
              <w:t>、受采购人委托签订合同的单位或</w:t>
            </w:r>
            <w:r>
              <w:rPr>
                <w:rFonts w:hint="eastAsia" w:eastAsia="宋体"/>
                <w:szCs w:val="21"/>
              </w:rPr>
              <w:t>采购文件约定的合同甲方）</w:t>
            </w:r>
          </w:p>
        </w:tc>
        <w:tc>
          <w:tcPr>
            <w:tcW w:w="4095" w:type="dxa"/>
            <w:gridSpan w:val="2"/>
            <w:tcBorders>
              <w:left w:val="single" w:color="auto" w:sz="2" w:space="0"/>
              <w:bottom w:val="single" w:color="auto" w:sz="2" w:space="0"/>
            </w:tcBorders>
            <w:vAlign w:val="center"/>
          </w:tcPr>
          <w:p w14:paraId="424C4DFA">
            <w:pPr>
              <w:adjustRightInd w:val="0"/>
              <w:snapToGrid w:val="0"/>
              <w:spacing w:line="300" w:lineRule="exact"/>
              <w:jc w:val="center"/>
              <w:rPr>
                <w:rFonts w:eastAsia="宋体"/>
              </w:rPr>
            </w:pPr>
            <w:r>
              <w:rPr>
                <w:rFonts w:eastAsia="宋体"/>
                <w:szCs w:val="21"/>
              </w:rPr>
              <w:t>乙方</w:t>
            </w:r>
            <w:r>
              <w:rPr>
                <w:rFonts w:hint="eastAsia" w:eastAsia="宋体"/>
                <w:szCs w:val="21"/>
              </w:rPr>
              <w:t>（供应商）</w:t>
            </w:r>
          </w:p>
        </w:tc>
      </w:tr>
      <w:tr w14:paraId="2B2FAED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891" w:type="dxa"/>
            <w:tcBorders>
              <w:top w:val="single" w:color="auto" w:sz="2" w:space="0"/>
              <w:bottom w:val="single" w:color="auto" w:sz="2" w:space="0"/>
              <w:right w:val="single" w:color="auto" w:sz="2" w:space="0"/>
            </w:tcBorders>
            <w:vAlign w:val="center"/>
          </w:tcPr>
          <w:p w14:paraId="56D1712E">
            <w:pPr>
              <w:adjustRightInd w:val="0"/>
              <w:snapToGrid w:val="0"/>
              <w:spacing w:line="300" w:lineRule="exact"/>
              <w:jc w:val="center"/>
              <w:rPr>
                <w:rFonts w:eastAsia="宋体"/>
                <w:szCs w:val="21"/>
              </w:rPr>
            </w:pPr>
            <w:r>
              <w:rPr>
                <w:rFonts w:eastAsia="宋体"/>
                <w:szCs w:val="21"/>
              </w:rPr>
              <w:t>单位名称</w:t>
            </w:r>
            <w:r>
              <w:rPr>
                <w:rFonts w:hint="eastAsia" w:eastAsia="宋体"/>
                <w:szCs w:val="21"/>
              </w:rPr>
              <w:t>（公章或合同章）</w:t>
            </w:r>
          </w:p>
        </w:tc>
        <w:tc>
          <w:tcPr>
            <w:tcW w:w="2412" w:type="dxa"/>
            <w:tcBorders>
              <w:top w:val="single" w:color="auto" w:sz="2" w:space="0"/>
              <w:left w:val="single" w:color="auto" w:sz="2" w:space="0"/>
              <w:bottom w:val="single" w:color="auto" w:sz="2" w:space="0"/>
              <w:right w:val="single" w:color="auto" w:sz="2" w:space="0"/>
            </w:tcBorders>
            <w:vAlign w:val="center"/>
          </w:tcPr>
          <w:p w14:paraId="7D0C371D">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5AD7E930">
            <w:pPr>
              <w:adjustRightInd w:val="0"/>
              <w:snapToGrid w:val="0"/>
              <w:spacing w:line="300" w:lineRule="exact"/>
              <w:jc w:val="center"/>
              <w:rPr>
                <w:rFonts w:eastAsia="宋体"/>
                <w:szCs w:val="21"/>
              </w:rPr>
            </w:pPr>
            <w:r>
              <w:rPr>
                <w:rFonts w:eastAsia="宋体"/>
                <w:szCs w:val="21"/>
              </w:rPr>
              <w:t>单位名称</w:t>
            </w:r>
            <w:r>
              <w:rPr>
                <w:rFonts w:hint="eastAsia" w:eastAsia="宋体"/>
                <w:szCs w:val="21"/>
              </w:rPr>
              <w:t>（公章或合同章）</w:t>
            </w:r>
          </w:p>
        </w:tc>
        <w:tc>
          <w:tcPr>
            <w:tcW w:w="2116" w:type="dxa"/>
            <w:tcBorders>
              <w:top w:val="single" w:color="auto" w:sz="2" w:space="0"/>
              <w:left w:val="single" w:color="auto" w:sz="2" w:space="0"/>
              <w:bottom w:val="single" w:color="auto" w:sz="2" w:space="0"/>
            </w:tcBorders>
            <w:vAlign w:val="center"/>
          </w:tcPr>
          <w:p w14:paraId="7114BAC1">
            <w:pPr>
              <w:adjustRightInd w:val="0"/>
              <w:snapToGrid w:val="0"/>
              <w:spacing w:line="300" w:lineRule="exact"/>
              <w:jc w:val="center"/>
              <w:rPr>
                <w:rFonts w:eastAsia="宋体"/>
                <w:spacing w:val="20"/>
                <w:szCs w:val="21"/>
              </w:rPr>
            </w:pPr>
          </w:p>
        </w:tc>
      </w:tr>
      <w:tr w14:paraId="4E96A8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891" w:type="dxa"/>
            <w:vMerge w:val="restart"/>
            <w:tcBorders>
              <w:top w:val="single" w:color="auto" w:sz="2" w:space="0"/>
              <w:right w:val="single" w:color="auto" w:sz="2" w:space="0"/>
            </w:tcBorders>
            <w:vAlign w:val="center"/>
          </w:tcPr>
          <w:p w14:paraId="0EC05F1B">
            <w:pPr>
              <w:adjustRightInd w:val="0"/>
              <w:snapToGrid w:val="0"/>
              <w:spacing w:line="300" w:lineRule="exact"/>
              <w:jc w:val="center"/>
              <w:rPr>
                <w:rFonts w:eastAsia="宋体"/>
                <w:szCs w:val="21"/>
              </w:rPr>
            </w:pPr>
            <w:r>
              <w:rPr>
                <w:rFonts w:eastAsia="宋体"/>
                <w:szCs w:val="21"/>
              </w:rPr>
              <w:t>法定代表人</w:t>
            </w:r>
          </w:p>
          <w:p w14:paraId="1B627716">
            <w:pPr>
              <w:adjustRightInd w:val="0"/>
              <w:snapToGrid w:val="0"/>
              <w:spacing w:line="300" w:lineRule="exact"/>
              <w:ind w:firstLine="100" w:firstLineChars="48"/>
              <w:jc w:val="center"/>
              <w:rPr>
                <w:rFonts w:eastAsia="宋体"/>
                <w:szCs w:val="21"/>
              </w:rPr>
            </w:pPr>
            <w:r>
              <w:rPr>
                <w:rFonts w:hint="eastAsia" w:eastAsia="宋体"/>
                <w:szCs w:val="21"/>
              </w:rPr>
              <w:t>或其</w:t>
            </w:r>
            <w:r>
              <w:rPr>
                <w:rFonts w:eastAsia="宋体"/>
                <w:szCs w:val="21"/>
              </w:rPr>
              <w:t>委托代理人</w:t>
            </w:r>
            <w:r>
              <w:rPr>
                <w:rFonts w:hint="eastAsia" w:eastAsia="宋体"/>
                <w:szCs w:val="21"/>
              </w:rPr>
              <w:t>（签章）</w:t>
            </w:r>
          </w:p>
        </w:tc>
        <w:tc>
          <w:tcPr>
            <w:tcW w:w="2412" w:type="dxa"/>
            <w:vMerge w:val="restart"/>
            <w:tcBorders>
              <w:top w:val="single" w:color="auto" w:sz="2" w:space="0"/>
              <w:left w:val="single" w:color="auto" w:sz="2" w:space="0"/>
              <w:right w:val="single" w:color="auto" w:sz="2" w:space="0"/>
            </w:tcBorders>
            <w:vAlign w:val="center"/>
          </w:tcPr>
          <w:p w14:paraId="72E3E24D">
            <w:pPr>
              <w:adjustRightInd w:val="0"/>
              <w:snapToGrid w:val="0"/>
              <w:spacing w:line="300" w:lineRule="exact"/>
              <w:jc w:val="center"/>
              <w:rPr>
                <w:rFonts w:eastAsia="宋体"/>
                <w:szCs w:val="21"/>
              </w:rPr>
            </w:pPr>
          </w:p>
        </w:tc>
        <w:tc>
          <w:tcPr>
            <w:tcW w:w="1979" w:type="dxa"/>
            <w:tcBorders>
              <w:top w:val="single" w:color="auto" w:sz="2" w:space="0"/>
              <w:left w:val="single" w:color="auto" w:sz="2" w:space="0"/>
              <w:right w:val="single" w:color="auto" w:sz="2" w:space="0"/>
            </w:tcBorders>
            <w:vAlign w:val="center"/>
          </w:tcPr>
          <w:p w14:paraId="6E1D97F6">
            <w:pPr>
              <w:adjustRightInd w:val="0"/>
              <w:snapToGrid w:val="0"/>
              <w:spacing w:line="300" w:lineRule="exact"/>
              <w:jc w:val="center"/>
              <w:rPr>
                <w:rFonts w:eastAsia="宋体"/>
                <w:szCs w:val="21"/>
              </w:rPr>
            </w:pPr>
            <w:r>
              <w:rPr>
                <w:rFonts w:eastAsia="宋体"/>
                <w:szCs w:val="21"/>
              </w:rPr>
              <w:t>法定代表人</w:t>
            </w:r>
          </w:p>
          <w:p w14:paraId="350A6FA2">
            <w:pPr>
              <w:adjustRightInd w:val="0"/>
              <w:snapToGrid w:val="0"/>
              <w:spacing w:line="300" w:lineRule="exact"/>
              <w:jc w:val="center"/>
              <w:rPr>
                <w:rFonts w:eastAsia="宋体"/>
                <w:szCs w:val="21"/>
              </w:rPr>
            </w:pPr>
            <w:r>
              <w:rPr>
                <w:rFonts w:hint="eastAsia" w:eastAsia="宋体"/>
                <w:szCs w:val="21"/>
              </w:rPr>
              <w:t>或其</w:t>
            </w:r>
            <w:r>
              <w:rPr>
                <w:rFonts w:eastAsia="宋体"/>
                <w:szCs w:val="21"/>
              </w:rPr>
              <w:t>委托代理人</w:t>
            </w:r>
            <w:r>
              <w:rPr>
                <w:rFonts w:hint="eastAsia" w:eastAsia="宋体"/>
                <w:szCs w:val="21"/>
              </w:rPr>
              <w:t>（签章）</w:t>
            </w:r>
          </w:p>
        </w:tc>
        <w:tc>
          <w:tcPr>
            <w:tcW w:w="2116" w:type="dxa"/>
            <w:tcBorders>
              <w:top w:val="single" w:color="auto" w:sz="2" w:space="0"/>
              <w:left w:val="single" w:color="auto" w:sz="2" w:space="0"/>
              <w:bottom w:val="single" w:color="auto" w:sz="2" w:space="0"/>
            </w:tcBorders>
            <w:vAlign w:val="center"/>
          </w:tcPr>
          <w:p w14:paraId="6F1BB32B">
            <w:pPr>
              <w:adjustRightInd w:val="0"/>
              <w:snapToGrid w:val="0"/>
              <w:spacing w:line="300" w:lineRule="exact"/>
              <w:jc w:val="center"/>
              <w:rPr>
                <w:rFonts w:eastAsia="宋体"/>
                <w:szCs w:val="21"/>
              </w:rPr>
            </w:pPr>
          </w:p>
        </w:tc>
      </w:tr>
      <w:tr w14:paraId="7AB9525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vMerge w:val="continue"/>
            <w:tcBorders>
              <w:bottom w:val="single" w:color="auto" w:sz="2" w:space="0"/>
              <w:right w:val="single" w:color="auto" w:sz="2" w:space="0"/>
            </w:tcBorders>
            <w:vAlign w:val="center"/>
          </w:tcPr>
          <w:p w14:paraId="4C31BF9B">
            <w:pPr>
              <w:adjustRightInd w:val="0"/>
              <w:snapToGrid w:val="0"/>
              <w:spacing w:line="300" w:lineRule="exact"/>
              <w:jc w:val="center"/>
              <w:rPr>
                <w:rFonts w:eastAsia="宋体"/>
                <w:szCs w:val="21"/>
              </w:rPr>
            </w:pPr>
          </w:p>
        </w:tc>
        <w:tc>
          <w:tcPr>
            <w:tcW w:w="2412" w:type="dxa"/>
            <w:vMerge w:val="continue"/>
            <w:tcBorders>
              <w:left w:val="single" w:color="auto" w:sz="2" w:space="0"/>
              <w:bottom w:val="single" w:color="auto" w:sz="2" w:space="0"/>
              <w:right w:val="single" w:color="auto" w:sz="2" w:space="0"/>
            </w:tcBorders>
            <w:vAlign w:val="center"/>
          </w:tcPr>
          <w:p w14:paraId="00781AFC">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DD198C3">
            <w:pPr>
              <w:adjustRightInd w:val="0"/>
              <w:snapToGrid w:val="0"/>
              <w:spacing w:line="300" w:lineRule="exact"/>
              <w:jc w:val="center"/>
              <w:rPr>
                <w:rFonts w:eastAsia="宋体"/>
                <w:szCs w:val="21"/>
              </w:rPr>
            </w:pPr>
            <w:r>
              <w:rPr>
                <w:rFonts w:hint="eastAsia" w:eastAsia="宋体"/>
                <w:szCs w:val="21"/>
              </w:rPr>
              <w:t>拥有者性别</w:t>
            </w:r>
          </w:p>
        </w:tc>
        <w:tc>
          <w:tcPr>
            <w:tcW w:w="2116" w:type="dxa"/>
            <w:tcBorders>
              <w:top w:val="single" w:color="auto" w:sz="2" w:space="0"/>
              <w:left w:val="single" w:color="auto" w:sz="2" w:space="0"/>
              <w:bottom w:val="single" w:color="auto" w:sz="2" w:space="0"/>
            </w:tcBorders>
            <w:vAlign w:val="center"/>
          </w:tcPr>
          <w:p w14:paraId="1086F16B">
            <w:pPr>
              <w:adjustRightInd w:val="0"/>
              <w:snapToGrid w:val="0"/>
              <w:spacing w:line="300" w:lineRule="exact"/>
              <w:jc w:val="center"/>
              <w:rPr>
                <w:rFonts w:eastAsia="宋体"/>
                <w:spacing w:val="20"/>
                <w:szCs w:val="21"/>
              </w:rPr>
            </w:pPr>
          </w:p>
        </w:tc>
      </w:tr>
      <w:tr w14:paraId="46F38C7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0DF3A341">
            <w:pPr>
              <w:adjustRightInd w:val="0"/>
              <w:snapToGrid w:val="0"/>
              <w:spacing w:line="300" w:lineRule="exact"/>
              <w:jc w:val="center"/>
              <w:rPr>
                <w:rFonts w:eastAsia="宋体"/>
                <w:szCs w:val="21"/>
              </w:rPr>
            </w:pPr>
            <w:r>
              <w:rPr>
                <w:rFonts w:hint="eastAsia" w:eastAsia="宋体"/>
                <w:szCs w:val="21"/>
              </w:rPr>
              <w:t>住  所</w:t>
            </w:r>
          </w:p>
        </w:tc>
        <w:tc>
          <w:tcPr>
            <w:tcW w:w="2412" w:type="dxa"/>
            <w:tcBorders>
              <w:top w:val="single" w:color="auto" w:sz="2" w:space="0"/>
              <w:left w:val="single" w:color="auto" w:sz="2" w:space="0"/>
              <w:bottom w:val="single" w:color="auto" w:sz="2" w:space="0"/>
              <w:right w:val="single" w:color="auto" w:sz="2" w:space="0"/>
            </w:tcBorders>
            <w:vAlign w:val="center"/>
          </w:tcPr>
          <w:p w14:paraId="6D5943F0">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71530F46">
            <w:pPr>
              <w:adjustRightInd w:val="0"/>
              <w:snapToGrid w:val="0"/>
              <w:spacing w:line="300" w:lineRule="exact"/>
              <w:jc w:val="center"/>
              <w:rPr>
                <w:rFonts w:eastAsia="宋体"/>
                <w:szCs w:val="21"/>
              </w:rPr>
            </w:pPr>
            <w:r>
              <w:rPr>
                <w:rFonts w:hint="eastAsia" w:eastAsia="宋体"/>
                <w:szCs w:val="21"/>
              </w:rPr>
              <w:t>住  所</w:t>
            </w:r>
          </w:p>
        </w:tc>
        <w:tc>
          <w:tcPr>
            <w:tcW w:w="2116" w:type="dxa"/>
            <w:tcBorders>
              <w:top w:val="single" w:color="auto" w:sz="2" w:space="0"/>
              <w:left w:val="single" w:color="auto" w:sz="2" w:space="0"/>
              <w:bottom w:val="single" w:color="auto" w:sz="2" w:space="0"/>
            </w:tcBorders>
            <w:vAlign w:val="center"/>
          </w:tcPr>
          <w:p w14:paraId="07D8983B">
            <w:pPr>
              <w:adjustRightInd w:val="0"/>
              <w:snapToGrid w:val="0"/>
              <w:spacing w:line="300" w:lineRule="exact"/>
              <w:jc w:val="center"/>
              <w:rPr>
                <w:rFonts w:eastAsia="宋体"/>
                <w:spacing w:val="20"/>
                <w:szCs w:val="21"/>
              </w:rPr>
            </w:pPr>
          </w:p>
        </w:tc>
      </w:tr>
      <w:tr w14:paraId="6D38FBB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6250DACD">
            <w:pPr>
              <w:adjustRightInd w:val="0"/>
              <w:snapToGrid w:val="0"/>
              <w:spacing w:line="300" w:lineRule="exact"/>
              <w:jc w:val="center"/>
              <w:rPr>
                <w:rFonts w:eastAsia="宋体"/>
                <w:szCs w:val="21"/>
              </w:rPr>
            </w:pPr>
            <w:r>
              <w:rPr>
                <w:rFonts w:eastAsia="宋体"/>
                <w:szCs w:val="21"/>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14:paraId="789C29BC">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6F6BA6CE">
            <w:pPr>
              <w:adjustRightInd w:val="0"/>
              <w:snapToGrid w:val="0"/>
              <w:spacing w:line="300" w:lineRule="exact"/>
              <w:jc w:val="center"/>
              <w:rPr>
                <w:rFonts w:eastAsia="宋体"/>
                <w:szCs w:val="21"/>
              </w:rPr>
            </w:pPr>
            <w:r>
              <w:rPr>
                <w:rFonts w:eastAsia="宋体"/>
                <w:szCs w:val="21"/>
              </w:rPr>
              <w:t>联 系 人</w:t>
            </w:r>
          </w:p>
        </w:tc>
        <w:tc>
          <w:tcPr>
            <w:tcW w:w="2116" w:type="dxa"/>
            <w:tcBorders>
              <w:top w:val="single" w:color="auto" w:sz="2" w:space="0"/>
              <w:left w:val="single" w:color="auto" w:sz="2" w:space="0"/>
              <w:bottom w:val="single" w:color="auto" w:sz="2" w:space="0"/>
            </w:tcBorders>
            <w:vAlign w:val="center"/>
          </w:tcPr>
          <w:p w14:paraId="453F28C3">
            <w:pPr>
              <w:adjustRightInd w:val="0"/>
              <w:snapToGrid w:val="0"/>
              <w:spacing w:line="300" w:lineRule="exact"/>
              <w:jc w:val="center"/>
              <w:rPr>
                <w:rFonts w:eastAsia="宋体"/>
                <w:spacing w:val="20"/>
                <w:szCs w:val="21"/>
              </w:rPr>
            </w:pPr>
          </w:p>
        </w:tc>
      </w:tr>
      <w:tr w14:paraId="534444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06036E9D">
            <w:pPr>
              <w:adjustRightInd w:val="0"/>
              <w:snapToGrid w:val="0"/>
              <w:spacing w:line="300" w:lineRule="exact"/>
              <w:jc w:val="center"/>
              <w:rPr>
                <w:rFonts w:eastAsia="宋体"/>
                <w:szCs w:val="21"/>
              </w:rPr>
            </w:pPr>
            <w:r>
              <w:rPr>
                <w:rFonts w:eastAsia="宋体"/>
                <w:szCs w:val="21"/>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14:paraId="47975ABB">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17B55945">
            <w:pPr>
              <w:adjustRightInd w:val="0"/>
              <w:snapToGrid w:val="0"/>
              <w:spacing w:line="300" w:lineRule="exact"/>
              <w:jc w:val="center"/>
              <w:rPr>
                <w:rFonts w:eastAsia="宋体"/>
                <w:szCs w:val="21"/>
              </w:rPr>
            </w:pPr>
            <w:r>
              <w:rPr>
                <w:rFonts w:eastAsia="宋体"/>
                <w:szCs w:val="21"/>
              </w:rPr>
              <w:t>联系电话</w:t>
            </w:r>
          </w:p>
        </w:tc>
        <w:tc>
          <w:tcPr>
            <w:tcW w:w="2116" w:type="dxa"/>
            <w:tcBorders>
              <w:top w:val="single" w:color="auto" w:sz="2" w:space="0"/>
              <w:left w:val="single" w:color="auto" w:sz="2" w:space="0"/>
              <w:bottom w:val="single" w:color="auto" w:sz="2" w:space="0"/>
            </w:tcBorders>
            <w:vAlign w:val="center"/>
          </w:tcPr>
          <w:p w14:paraId="360332DF">
            <w:pPr>
              <w:adjustRightInd w:val="0"/>
              <w:snapToGrid w:val="0"/>
              <w:spacing w:line="300" w:lineRule="exact"/>
              <w:jc w:val="center"/>
              <w:rPr>
                <w:rFonts w:eastAsia="宋体"/>
                <w:spacing w:val="20"/>
                <w:szCs w:val="21"/>
              </w:rPr>
            </w:pPr>
          </w:p>
        </w:tc>
      </w:tr>
      <w:tr w14:paraId="6D2A2F2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25D7D9B6">
            <w:pPr>
              <w:adjustRightInd w:val="0"/>
              <w:snapToGrid w:val="0"/>
              <w:spacing w:line="300" w:lineRule="exact"/>
              <w:jc w:val="center"/>
              <w:rPr>
                <w:rFonts w:eastAsia="宋体"/>
                <w:szCs w:val="21"/>
              </w:rPr>
            </w:pPr>
            <w:r>
              <w:rPr>
                <w:rFonts w:hint="eastAsia" w:eastAsia="宋体"/>
                <w:szCs w:val="21"/>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14:paraId="78A55E54">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50CF79C6">
            <w:pPr>
              <w:adjustRightInd w:val="0"/>
              <w:snapToGrid w:val="0"/>
              <w:spacing w:line="300" w:lineRule="exact"/>
              <w:jc w:val="center"/>
              <w:rPr>
                <w:rFonts w:eastAsia="宋体"/>
                <w:szCs w:val="21"/>
              </w:rPr>
            </w:pPr>
            <w:r>
              <w:rPr>
                <w:rFonts w:hint="eastAsia" w:eastAsia="宋体"/>
                <w:szCs w:val="21"/>
              </w:rPr>
              <w:t>通信地址</w:t>
            </w:r>
          </w:p>
        </w:tc>
        <w:tc>
          <w:tcPr>
            <w:tcW w:w="2116" w:type="dxa"/>
            <w:tcBorders>
              <w:top w:val="single" w:color="auto" w:sz="2" w:space="0"/>
              <w:left w:val="single" w:color="auto" w:sz="2" w:space="0"/>
              <w:bottom w:val="single" w:color="auto" w:sz="2" w:space="0"/>
            </w:tcBorders>
            <w:vAlign w:val="center"/>
          </w:tcPr>
          <w:p w14:paraId="3061C79C">
            <w:pPr>
              <w:adjustRightInd w:val="0"/>
              <w:snapToGrid w:val="0"/>
              <w:spacing w:line="300" w:lineRule="exact"/>
              <w:jc w:val="center"/>
              <w:rPr>
                <w:rFonts w:eastAsia="宋体"/>
                <w:spacing w:val="20"/>
                <w:szCs w:val="21"/>
              </w:rPr>
            </w:pPr>
          </w:p>
        </w:tc>
      </w:tr>
      <w:tr w14:paraId="3144D99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54CEF80">
            <w:pPr>
              <w:adjustRightInd w:val="0"/>
              <w:snapToGrid w:val="0"/>
              <w:spacing w:line="300" w:lineRule="exact"/>
              <w:jc w:val="center"/>
              <w:rPr>
                <w:rFonts w:eastAsia="宋体"/>
                <w:szCs w:val="21"/>
              </w:rPr>
            </w:pPr>
            <w:r>
              <w:rPr>
                <w:rFonts w:eastAsia="宋体"/>
                <w:szCs w:val="21"/>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14:paraId="510B2DAA">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5F60AFF">
            <w:pPr>
              <w:adjustRightInd w:val="0"/>
              <w:snapToGrid w:val="0"/>
              <w:spacing w:line="300" w:lineRule="exact"/>
              <w:jc w:val="center"/>
              <w:rPr>
                <w:rFonts w:eastAsia="宋体"/>
                <w:szCs w:val="21"/>
              </w:rPr>
            </w:pPr>
            <w:r>
              <w:rPr>
                <w:rFonts w:eastAsia="宋体"/>
                <w:szCs w:val="21"/>
              </w:rPr>
              <w:t>邮政编码</w:t>
            </w:r>
          </w:p>
        </w:tc>
        <w:tc>
          <w:tcPr>
            <w:tcW w:w="2116" w:type="dxa"/>
            <w:tcBorders>
              <w:top w:val="single" w:color="auto" w:sz="2" w:space="0"/>
              <w:left w:val="single" w:color="auto" w:sz="2" w:space="0"/>
              <w:bottom w:val="single" w:color="auto" w:sz="2" w:space="0"/>
            </w:tcBorders>
            <w:vAlign w:val="center"/>
          </w:tcPr>
          <w:p w14:paraId="2C807842">
            <w:pPr>
              <w:adjustRightInd w:val="0"/>
              <w:snapToGrid w:val="0"/>
              <w:spacing w:line="300" w:lineRule="exact"/>
              <w:jc w:val="center"/>
              <w:rPr>
                <w:rFonts w:eastAsia="宋体"/>
                <w:spacing w:val="20"/>
                <w:szCs w:val="21"/>
              </w:rPr>
            </w:pPr>
          </w:p>
        </w:tc>
      </w:tr>
      <w:tr w14:paraId="51EC35D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6665CD7">
            <w:pPr>
              <w:adjustRightInd w:val="0"/>
              <w:snapToGrid w:val="0"/>
              <w:spacing w:line="300" w:lineRule="exact"/>
              <w:jc w:val="center"/>
              <w:rPr>
                <w:rFonts w:eastAsia="宋体"/>
                <w:szCs w:val="21"/>
              </w:rPr>
            </w:pPr>
            <w:r>
              <w:rPr>
                <w:rFonts w:hint="eastAsia" w:eastAsia="宋体"/>
                <w:szCs w:val="21"/>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14:paraId="72FBEA97">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65D9BA4B">
            <w:pPr>
              <w:adjustRightInd w:val="0"/>
              <w:snapToGrid w:val="0"/>
              <w:spacing w:line="300" w:lineRule="exact"/>
              <w:jc w:val="center"/>
              <w:rPr>
                <w:rFonts w:eastAsia="宋体"/>
                <w:szCs w:val="21"/>
              </w:rPr>
            </w:pPr>
            <w:r>
              <w:rPr>
                <w:rFonts w:hint="eastAsia" w:eastAsia="宋体"/>
                <w:szCs w:val="21"/>
              </w:rPr>
              <w:t>电子邮箱</w:t>
            </w:r>
          </w:p>
        </w:tc>
        <w:tc>
          <w:tcPr>
            <w:tcW w:w="2116" w:type="dxa"/>
            <w:tcBorders>
              <w:top w:val="single" w:color="auto" w:sz="2" w:space="0"/>
              <w:left w:val="single" w:color="auto" w:sz="2" w:space="0"/>
              <w:bottom w:val="single" w:color="auto" w:sz="2" w:space="0"/>
            </w:tcBorders>
            <w:vAlign w:val="center"/>
          </w:tcPr>
          <w:p w14:paraId="124A6976">
            <w:pPr>
              <w:adjustRightInd w:val="0"/>
              <w:snapToGrid w:val="0"/>
              <w:spacing w:line="300" w:lineRule="exact"/>
              <w:jc w:val="center"/>
              <w:rPr>
                <w:rFonts w:eastAsia="宋体"/>
                <w:spacing w:val="20"/>
                <w:szCs w:val="21"/>
              </w:rPr>
            </w:pPr>
          </w:p>
        </w:tc>
      </w:tr>
      <w:tr w14:paraId="49B0575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12EEAB01">
            <w:pPr>
              <w:adjustRightInd w:val="0"/>
              <w:snapToGrid w:val="0"/>
              <w:spacing w:line="300" w:lineRule="exact"/>
              <w:jc w:val="center"/>
              <w:rPr>
                <w:rFonts w:eastAsia="宋体"/>
                <w:szCs w:val="21"/>
              </w:rPr>
            </w:pPr>
            <w:r>
              <w:rPr>
                <w:rFonts w:hint="eastAsia" w:eastAsia="宋体"/>
                <w:szCs w:val="21"/>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14:paraId="1DBE7909">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3A682266">
            <w:pPr>
              <w:adjustRightInd w:val="0"/>
              <w:snapToGrid w:val="0"/>
              <w:spacing w:line="300" w:lineRule="exact"/>
              <w:jc w:val="center"/>
              <w:rPr>
                <w:rFonts w:eastAsia="宋体"/>
                <w:szCs w:val="21"/>
              </w:rPr>
            </w:pPr>
            <w:r>
              <w:rPr>
                <w:rFonts w:hint="eastAsia" w:eastAsia="宋体"/>
                <w:szCs w:val="21"/>
              </w:rPr>
              <w:t>统一社会信用代码</w:t>
            </w:r>
          </w:p>
        </w:tc>
        <w:tc>
          <w:tcPr>
            <w:tcW w:w="2116" w:type="dxa"/>
            <w:tcBorders>
              <w:top w:val="single" w:color="auto" w:sz="2" w:space="0"/>
              <w:left w:val="single" w:color="auto" w:sz="2" w:space="0"/>
              <w:bottom w:val="single" w:color="auto" w:sz="2" w:space="0"/>
            </w:tcBorders>
            <w:vAlign w:val="center"/>
          </w:tcPr>
          <w:p w14:paraId="60C6B849">
            <w:pPr>
              <w:adjustRightInd w:val="0"/>
              <w:snapToGrid w:val="0"/>
              <w:spacing w:line="300" w:lineRule="exact"/>
              <w:jc w:val="center"/>
              <w:rPr>
                <w:rFonts w:eastAsia="宋体"/>
                <w:spacing w:val="20"/>
                <w:szCs w:val="21"/>
              </w:rPr>
            </w:pPr>
          </w:p>
        </w:tc>
      </w:tr>
      <w:tr w14:paraId="3CF7E2C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688F5608">
            <w:pPr>
              <w:adjustRightInd w:val="0"/>
              <w:snapToGrid w:val="0"/>
              <w:spacing w:line="300" w:lineRule="exact"/>
              <w:jc w:val="center"/>
              <w:rPr>
                <w:rFonts w:eastAsia="宋体"/>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7A0F334B">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6BCAF912">
            <w:pPr>
              <w:adjustRightInd w:val="0"/>
              <w:snapToGrid w:val="0"/>
              <w:spacing w:line="300" w:lineRule="exact"/>
              <w:jc w:val="center"/>
              <w:rPr>
                <w:rFonts w:eastAsia="宋体"/>
                <w:szCs w:val="21"/>
              </w:rPr>
            </w:pPr>
            <w:r>
              <w:rPr>
                <w:rFonts w:eastAsia="宋体"/>
                <w:szCs w:val="21"/>
              </w:rPr>
              <w:t>开户名称</w:t>
            </w:r>
          </w:p>
        </w:tc>
        <w:tc>
          <w:tcPr>
            <w:tcW w:w="2116" w:type="dxa"/>
            <w:tcBorders>
              <w:top w:val="single" w:color="auto" w:sz="2" w:space="0"/>
              <w:left w:val="single" w:color="auto" w:sz="2" w:space="0"/>
              <w:bottom w:val="single" w:color="auto" w:sz="2" w:space="0"/>
            </w:tcBorders>
            <w:vAlign w:val="center"/>
          </w:tcPr>
          <w:p w14:paraId="4ADC8F08">
            <w:pPr>
              <w:adjustRightInd w:val="0"/>
              <w:snapToGrid w:val="0"/>
              <w:spacing w:line="300" w:lineRule="exact"/>
              <w:jc w:val="center"/>
              <w:rPr>
                <w:rFonts w:eastAsia="宋体"/>
                <w:spacing w:val="20"/>
                <w:szCs w:val="21"/>
              </w:rPr>
            </w:pPr>
          </w:p>
        </w:tc>
      </w:tr>
      <w:tr w14:paraId="424DC1B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E5FA720">
            <w:pPr>
              <w:adjustRightInd w:val="0"/>
              <w:snapToGrid w:val="0"/>
              <w:spacing w:line="300" w:lineRule="exact"/>
              <w:jc w:val="center"/>
              <w:rPr>
                <w:rFonts w:eastAsia="宋体"/>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53D5B225">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358B6FED">
            <w:pPr>
              <w:adjustRightInd w:val="0"/>
              <w:snapToGrid w:val="0"/>
              <w:spacing w:line="300" w:lineRule="exact"/>
              <w:jc w:val="center"/>
              <w:rPr>
                <w:rFonts w:eastAsia="宋体"/>
                <w:szCs w:val="21"/>
              </w:rPr>
            </w:pPr>
            <w:r>
              <w:rPr>
                <w:rFonts w:eastAsia="宋体"/>
                <w:szCs w:val="21"/>
              </w:rPr>
              <w:t>开户银行</w:t>
            </w:r>
          </w:p>
        </w:tc>
        <w:tc>
          <w:tcPr>
            <w:tcW w:w="2116" w:type="dxa"/>
            <w:tcBorders>
              <w:top w:val="single" w:color="auto" w:sz="2" w:space="0"/>
              <w:left w:val="single" w:color="auto" w:sz="2" w:space="0"/>
              <w:bottom w:val="single" w:color="auto" w:sz="2" w:space="0"/>
            </w:tcBorders>
            <w:vAlign w:val="center"/>
          </w:tcPr>
          <w:p w14:paraId="32A12E52">
            <w:pPr>
              <w:adjustRightInd w:val="0"/>
              <w:snapToGrid w:val="0"/>
              <w:spacing w:line="300" w:lineRule="exact"/>
              <w:jc w:val="center"/>
              <w:rPr>
                <w:rFonts w:eastAsia="宋体"/>
                <w:spacing w:val="20"/>
                <w:szCs w:val="21"/>
              </w:rPr>
            </w:pPr>
          </w:p>
        </w:tc>
      </w:tr>
      <w:tr w14:paraId="1F13348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2CEA2C57">
            <w:pPr>
              <w:adjustRightInd w:val="0"/>
              <w:snapToGrid w:val="0"/>
              <w:spacing w:line="300" w:lineRule="exact"/>
              <w:jc w:val="center"/>
              <w:rPr>
                <w:rFonts w:eastAsia="宋体"/>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53CFFBBC">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10AC94DC">
            <w:pPr>
              <w:adjustRightInd w:val="0"/>
              <w:snapToGrid w:val="0"/>
              <w:spacing w:line="300" w:lineRule="exact"/>
              <w:jc w:val="center"/>
              <w:rPr>
                <w:rFonts w:eastAsia="宋体"/>
                <w:szCs w:val="21"/>
              </w:rPr>
            </w:pPr>
            <w:r>
              <w:rPr>
                <w:rFonts w:eastAsia="宋体"/>
                <w:szCs w:val="21"/>
              </w:rPr>
              <w:t>银行账号</w:t>
            </w:r>
          </w:p>
        </w:tc>
        <w:tc>
          <w:tcPr>
            <w:tcW w:w="2116" w:type="dxa"/>
            <w:tcBorders>
              <w:top w:val="single" w:color="auto" w:sz="2" w:space="0"/>
              <w:left w:val="single" w:color="auto" w:sz="2" w:space="0"/>
              <w:bottom w:val="single" w:color="auto" w:sz="2" w:space="0"/>
            </w:tcBorders>
            <w:vAlign w:val="center"/>
          </w:tcPr>
          <w:p w14:paraId="394CEEE1">
            <w:pPr>
              <w:adjustRightInd w:val="0"/>
              <w:snapToGrid w:val="0"/>
              <w:spacing w:line="300" w:lineRule="exact"/>
              <w:jc w:val="center"/>
              <w:rPr>
                <w:rFonts w:eastAsia="宋体"/>
                <w:spacing w:val="20"/>
                <w:szCs w:val="21"/>
              </w:rPr>
            </w:pPr>
          </w:p>
        </w:tc>
      </w:tr>
      <w:tr w14:paraId="0536100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398" w:type="dxa"/>
            <w:gridSpan w:val="4"/>
            <w:tcBorders>
              <w:top w:val="single" w:color="auto" w:sz="2" w:space="0"/>
            </w:tcBorders>
            <w:vAlign w:val="center"/>
          </w:tcPr>
          <w:p w14:paraId="3A335F9A">
            <w:pPr>
              <w:adjustRightInd w:val="0"/>
              <w:snapToGrid w:val="0"/>
              <w:spacing w:before="120" w:beforeLines="50" w:line="360" w:lineRule="auto"/>
              <w:jc w:val="left"/>
              <w:rPr>
                <w:rFonts w:ascii="Times New Roman" w:hAnsi="Times New Roman" w:eastAsia="宋体" w:cs="Times New Roman"/>
                <w:spacing w:val="20"/>
                <w:szCs w:val="21"/>
              </w:rPr>
            </w:pPr>
            <w:r>
              <w:rPr>
                <w:rFonts w:hint="eastAsia" w:ascii="宋体" w:hAnsi="宋体" w:eastAsia="宋体" w:cs="Times New Roman"/>
                <w:szCs w:val="21"/>
              </w:rPr>
              <w:t>注：涉及联合体或其他合同主体的信息应按上表格式加列。</w:t>
            </w:r>
          </w:p>
        </w:tc>
      </w:tr>
    </w:tbl>
    <w:p w14:paraId="44D892DE">
      <w:pPr>
        <w:keepNext/>
        <w:keepLines/>
        <w:adjustRightInd w:val="0"/>
        <w:snapToGrid w:val="0"/>
        <w:spacing w:before="120" w:beforeLines="50" w:line="360" w:lineRule="auto"/>
        <w:jc w:val="center"/>
        <w:outlineLvl w:val="1"/>
        <w:rPr>
          <w:rFonts w:ascii="黑体" w:hAnsi="黑体" w:eastAsia="黑体" w:cs="Times New Roman"/>
          <w:b/>
          <w:bCs/>
          <w:sz w:val="28"/>
          <w:szCs w:val="28"/>
        </w:rPr>
      </w:pPr>
      <w:r>
        <w:rPr>
          <w:rFonts w:ascii="宋体" w:hAnsi="宋体" w:eastAsia="宋体" w:cs="Times New Roman"/>
          <w:b/>
          <w:bCs/>
          <w:szCs w:val="21"/>
          <w:u w:val="single"/>
        </w:rPr>
        <w:br w:type="page"/>
      </w:r>
      <w:bookmarkStart w:id="70" w:name="_Toc27624"/>
      <w:r>
        <w:rPr>
          <w:rFonts w:hint="eastAsia" w:ascii="黑体" w:hAnsi="黑体" w:eastAsia="黑体" w:cs="Times New Roman"/>
          <w:sz w:val="28"/>
          <w:szCs w:val="28"/>
        </w:rPr>
        <w:t>第二节 政府采购合同通用条款</w:t>
      </w:r>
      <w:bookmarkEnd w:id="70"/>
    </w:p>
    <w:p w14:paraId="66F50112">
      <w:pPr>
        <w:tabs>
          <w:tab w:val="left" w:pos="8820"/>
          <w:tab w:val="left" w:pos="9345"/>
          <w:tab w:val="left" w:pos="9765"/>
        </w:tabs>
        <w:adjustRightInd w:val="0"/>
        <w:snapToGrid w:val="0"/>
        <w:spacing w:line="400" w:lineRule="exact"/>
        <w:jc w:val="left"/>
        <w:rPr>
          <w:rFonts w:ascii="宋体" w:hAnsi="宋体" w:eastAsia="宋体"/>
          <w:b/>
          <w:bCs/>
          <w:sz w:val="24"/>
        </w:rPr>
      </w:pPr>
      <w:r>
        <w:rPr>
          <w:rFonts w:hint="eastAsia" w:ascii="宋体" w:hAnsi="宋体" w:eastAsia="宋体"/>
          <w:b/>
          <w:sz w:val="24"/>
        </w:rPr>
        <w:t xml:space="preserve">1. </w:t>
      </w:r>
      <w:r>
        <w:rPr>
          <w:rFonts w:hint="eastAsia" w:ascii="宋体" w:hAnsi="宋体" w:eastAsia="宋体"/>
          <w:b/>
          <w:bCs/>
          <w:sz w:val="24"/>
        </w:rPr>
        <w:t>定义</w:t>
      </w:r>
    </w:p>
    <w:p w14:paraId="61DB2ECE">
      <w:pPr>
        <w:autoSpaceDE w:val="0"/>
        <w:autoSpaceDN w:val="0"/>
        <w:adjustRightInd w:val="0"/>
        <w:snapToGrid w:val="0"/>
        <w:spacing w:line="400" w:lineRule="exact"/>
        <w:ind w:firstLine="420" w:firstLineChars="200"/>
        <w:jc w:val="left"/>
        <w:rPr>
          <w:rFonts w:ascii="宋体" w:hAnsi="宋体" w:eastAsia="宋体"/>
          <w:color w:val="000000"/>
          <w:szCs w:val="21"/>
        </w:rPr>
      </w:pPr>
      <w:r>
        <w:rPr>
          <w:rFonts w:hint="eastAsia" w:ascii="宋体" w:hAnsi="宋体" w:eastAsia="宋体"/>
          <w:color w:val="000000"/>
          <w:szCs w:val="21"/>
        </w:rPr>
        <w:t>1.1合同当事人</w:t>
      </w:r>
    </w:p>
    <w:p w14:paraId="70CEC79A">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（1）采购人（以下称甲方）是指使用财政性资金，通过政府采购方式向供应商购买货物及其相关服务的国家机关、事业单位、团体组织。</w:t>
      </w:r>
    </w:p>
    <w:p w14:paraId="01A97D3F">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（2）供应商（以下称乙方）是指参加政府采购活动并且中标（成交），向采购人提供合同约定的货物及其相关服务的法人、非法人组织或者自然人。</w:t>
      </w:r>
    </w:p>
    <w:p w14:paraId="11DACB1F">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（3）其他合同主体是指除采购人和供应商以外，</w:t>
      </w:r>
      <w:r>
        <w:rPr>
          <w:rFonts w:hint="eastAsia" w:ascii="宋体" w:hAnsi="宋体" w:eastAsia="宋体" w:cs="宋体"/>
          <w:bCs/>
          <w:color w:val="000000"/>
          <w:szCs w:val="21"/>
        </w:rPr>
        <w:t>依法参与合同缔结或履行，享有权利、承担义务的合同当事人</w:t>
      </w:r>
      <w:r>
        <w:rPr>
          <w:rFonts w:hint="eastAsia" w:ascii="宋体" w:hAnsi="宋体" w:eastAsia="宋体"/>
          <w:szCs w:val="21"/>
        </w:rPr>
        <w:t>。</w:t>
      </w:r>
    </w:p>
    <w:p w14:paraId="73E55C1C">
      <w:pPr>
        <w:tabs>
          <w:tab w:val="left" w:pos="570"/>
          <w:tab w:val="left" w:pos="9240"/>
          <w:tab w:val="left" w:pos="9555"/>
        </w:tabs>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1.2本合同下列术语应解释为：</w:t>
      </w:r>
    </w:p>
    <w:p w14:paraId="5B888133">
      <w:pPr>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（1）“合同”系指</w:t>
      </w:r>
      <w:r>
        <w:rPr>
          <w:rFonts w:hint="eastAsia" w:ascii="宋体" w:hAnsi="宋体" w:eastAsia="宋体" w:cs="宋体"/>
          <w:bCs/>
          <w:color w:val="000000"/>
          <w:szCs w:val="21"/>
        </w:rPr>
        <w:t>合同当事人意思表示达成一致的任何协议，包括签署的</w:t>
      </w:r>
      <w:r>
        <w:rPr>
          <w:rFonts w:hint="eastAsia" w:ascii="宋体" w:hAnsi="宋体" w:eastAsia="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国家法律、行政法规和规章制度规定或合同约定的作为合同组成部分的其他文件</w:t>
      </w:r>
      <w:r>
        <w:rPr>
          <w:rFonts w:hint="eastAsia" w:ascii="宋体" w:hAnsi="宋体" w:eastAsia="宋体"/>
          <w:szCs w:val="21"/>
        </w:rPr>
        <w:t>。</w:t>
      </w:r>
    </w:p>
    <w:p w14:paraId="25546E23">
      <w:pPr>
        <w:tabs>
          <w:tab w:val="left" w:pos="570"/>
          <w:tab w:val="left" w:pos="9240"/>
          <w:tab w:val="left" w:pos="9555"/>
        </w:tabs>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（2）“合同价款”系指根据本合同规定乙方在全面履行合同义务后甲方应支付给乙方的价款。</w:t>
      </w:r>
    </w:p>
    <w:p w14:paraId="0808E15F">
      <w:pPr>
        <w:tabs>
          <w:tab w:val="left" w:pos="570"/>
          <w:tab w:val="left" w:pos="9240"/>
          <w:tab w:val="left" w:pos="9555"/>
        </w:tabs>
        <w:adjustRightInd w:val="0"/>
        <w:snapToGrid w:val="0"/>
        <w:spacing w:line="400" w:lineRule="exact"/>
        <w:ind w:firstLine="420" w:firstLineChars="200"/>
        <w:jc w:val="left"/>
        <w:rPr>
          <w:rFonts w:ascii="宋体" w:hAnsi="宋体" w:eastAsia="宋体"/>
          <w:color w:val="000000"/>
          <w:szCs w:val="21"/>
        </w:rPr>
      </w:pPr>
      <w:r>
        <w:rPr>
          <w:rFonts w:hint="eastAsia" w:ascii="宋体" w:hAnsi="宋体" w:eastAsia="宋体"/>
          <w:szCs w:val="21"/>
        </w:rPr>
        <w:t>（3）“货物”系指乙方根据本合同规定须向甲方提供的各种形态和种类的物品，包括原材料、设备、产品（</w:t>
      </w:r>
      <w:r>
        <w:rPr>
          <w:rFonts w:hint="eastAsia" w:ascii="宋体" w:hAnsi="宋体" w:eastAsia="宋体"/>
          <w:color w:val="000000"/>
          <w:szCs w:val="21"/>
        </w:rPr>
        <w:t>包括软件）及相关的其备品备件、工具、手册及</w:t>
      </w:r>
      <w:r>
        <w:rPr>
          <w:rFonts w:ascii="宋体" w:hAnsi="宋体" w:eastAsia="宋体"/>
          <w:color w:val="000000"/>
          <w:szCs w:val="21"/>
        </w:rPr>
        <w:t>其他</w:t>
      </w:r>
      <w:r>
        <w:rPr>
          <w:rFonts w:hint="eastAsia" w:ascii="宋体" w:hAnsi="宋体" w:eastAsia="宋体"/>
          <w:color w:val="000000"/>
          <w:szCs w:val="21"/>
        </w:rPr>
        <w:t>技术资料和材料等。</w:t>
      </w:r>
    </w:p>
    <w:p w14:paraId="35FE9A4B">
      <w:pPr>
        <w:adjustRightInd w:val="0"/>
        <w:snapToGrid w:val="0"/>
        <w:spacing w:line="400" w:lineRule="exact"/>
        <w:ind w:firstLine="420" w:firstLineChars="200"/>
        <w:jc w:val="left"/>
        <w:rPr>
          <w:rFonts w:ascii="宋体" w:hAnsi="宋体" w:eastAsia="宋体"/>
          <w:color w:val="000000"/>
          <w:szCs w:val="21"/>
          <w:highlight w:val="yellow"/>
        </w:rPr>
      </w:pPr>
      <w:r>
        <w:rPr>
          <w:rFonts w:hint="eastAsia" w:ascii="宋体" w:hAnsi="宋体" w:eastAsia="宋体"/>
          <w:color w:val="000000"/>
          <w:szCs w:val="21"/>
        </w:rPr>
        <w:t>（4）“</w:t>
      </w:r>
      <w:r>
        <w:rPr>
          <w:rFonts w:hint="eastAsia" w:ascii="宋体" w:hAnsi="宋体" w:eastAsia="宋体"/>
          <w:szCs w:val="21"/>
        </w:rPr>
        <w:t>相关</w:t>
      </w:r>
      <w:r>
        <w:rPr>
          <w:rFonts w:hint="eastAsia" w:ascii="宋体" w:hAnsi="宋体" w:eastAsia="宋体"/>
          <w:color w:val="000000"/>
          <w:szCs w:val="21"/>
        </w:rPr>
        <w:t>服务”系指根据合同规定，乙方应提供的与货物有关的技术、管理和</w:t>
      </w:r>
      <w:r>
        <w:rPr>
          <w:rFonts w:ascii="宋体" w:hAnsi="宋体" w:eastAsia="宋体"/>
          <w:color w:val="000000"/>
          <w:szCs w:val="21"/>
        </w:rPr>
        <w:t>其他</w:t>
      </w:r>
      <w:r>
        <w:rPr>
          <w:rFonts w:hint="eastAsia" w:ascii="宋体" w:hAnsi="宋体" w:eastAsia="宋体"/>
          <w:color w:val="000000"/>
          <w:szCs w:val="21"/>
        </w:rPr>
        <w:t>服务，包括但不限于：管理和质量保证、运输、保险、检验、现场准备、安装、集成、调试、培训、维修、废弃处置、技术支持等以及合同中规定乙方应承担的</w:t>
      </w:r>
      <w:r>
        <w:rPr>
          <w:rFonts w:ascii="宋体" w:hAnsi="宋体" w:eastAsia="宋体"/>
          <w:color w:val="000000"/>
          <w:szCs w:val="21"/>
        </w:rPr>
        <w:t>其他</w:t>
      </w:r>
      <w:r>
        <w:rPr>
          <w:rFonts w:hint="eastAsia" w:ascii="宋体" w:hAnsi="宋体" w:eastAsia="宋体"/>
          <w:color w:val="000000"/>
          <w:szCs w:val="21"/>
        </w:rPr>
        <w:t>义务。</w:t>
      </w:r>
    </w:p>
    <w:p w14:paraId="712CA4E1">
      <w:pPr>
        <w:adjustRightInd w:val="0"/>
        <w:snapToGrid w:val="0"/>
        <w:spacing w:line="400" w:lineRule="exact"/>
        <w:ind w:firstLine="420" w:firstLineChars="200"/>
        <w:jc w:val="left"/>
        <w:rPr>
          <w:rFonts w:ascii="宋体" w:hAnsi="宋体" w:eastAsia="宋体"/>
          <w:color w:val="000000"/>
          <w:szCs w:val="21"/>
          <w:highlight w:val="yellow"/>
        </w:rPr>
      </w:pPr>
      <w:r>
        <w:rPr>
          <w:rFonts w:hint="eastAsia" w:ascii="宋体" w:hAnsi="宋体" w:eastAsia="宋体"/>
          <w:color w:val="000000"/>
          <w:szCs w:val="21"/>
        </w:rPr>
        <w:t>（5）“分包”系指中标（成交）供应商按采购文件、投标（响应）文件的规定，根据分包意向协议，将中标（成交）项目中的部分履约内容，分给具有相应资质条件的供应商履行合同的行为。</w:t>
      </w:r>
    </w:p>
    <w:p w14:paraId="307BA506">
      <w:pPr>
        <w:tabs>
          <w:tab w:val="left" w:pos="570"/>
          <w:tab w:val="left" w:pos="9240"/>
          <w:tab w:val="left" w:pos="9555"/>
        </w:tabs>
        <w:adjustRightInd w:val="0"/>
        <w:snapToGrid w:val="0"/>
        <w:spacing w:line="400" w:lineRule="exact"/>
        <w:ind w:firstLine="420" w:firstLineChars="200"/>
        <w:jc w:val="left"/>
        <w:rPr>
          <w:rFonts w:ascii="宋体" w:hAnsi="宋体" w:eastAsia="宋体"/>
          <w:color w:val="000000"/>
          <w:szCs w:val="21"/>
        </w:rPr>
      </w:pPr>
      <w:r>
        <w:rPr>
          <w:rFonts w:hint="eastAsia" w:ascii="宋体" w:hAnsi="宋体" w:eastAsia="宋体"/>
          <w:color w:val="000000"/>
          <w:szCs w:val="21"/>
        </w:rPr>
        <w:t>（6）</w:t>
      </w:r>
      <w:r>
        <w:rPr>
          <w:rFonts w:hint="eastAsia" w:ascii="宋体" w:hAnsi="宋体" w:eastAsia="宋体"/>
          <w:szCs w:val="21"/>
        </w:rPr>
        <w:t>“联合体”系指由两个以上的自然人、法人或者非法人组织组成，以一个供应商的身份共同参加政府采购的主体</w:t>
      </w:r>
      <w:r>
        <w:rPr>
          <w:rFonts w:hint="eastAsia" w:ascii="宋体" w:hAnsi="宋体" w:eastAsia="宋体"/>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b/>
          <w:bCs/>
          <w:color w:val="000000"/>
          <w:szCs w:val="21"/>
        </w:rPr>
        <w:t>政府采购合同专用条款</w:t>
      </w:r>
      <w:r>
        <w:rPr>
          <w:rFonts w:hint="eastAsia" w:ascii="宋体" w:hAnsi="宋体" w:eastAsia="宋体"/>
          <w:color w:val="000000"/>
          <w:szCs w:val="21"/>
        </w:rPr>
        <w:t>】。</w:t>
      </w:r>
    </w:p>
    <w:p w14:paraId="2CB1FF09">
      <w:pPr>
        <w:tabs>
          <w:tab w:val="left" w:pos="570"/>
          <w:tab w:val="left" w:pos="9240"/>
          <w:tab w:val="left" w:pos="9555"/>
        </w:tabs>
        <w:adjustRightInd w:val="0"/>
        <w:snapToGrid w:val="0"/>
        <w:spacing w:line="400" w:lineRule="exact"/>
        <w:ind w:firstLine="420" w:firstLineChars="200"/>
        <w:jc w:val="left"/>
        <w:rPr>
          <w:rFonts w:ascii="宋体" w:hAnsi="宋体" w:eastAsia="宋体"/>
          <w:color w:val="000000"/>
          <w:szCs w:val="21"/>
        </w:rPr>
      </w:pPr>
      <w:r>
        <w:rPr>
          <w:rFonts w:hint="eastAsia" w:ascii="宋体" w:hAnsi="宋体" w:eastAsia="宋体"/>
          <w:color w:val="000000"/>
          <w:szCs w:val="21"/>
        </w:rPr>
        <w:t>（7）其他术语解释，见【</w:t>
      </w:r>
      <w:r>
        <w:rPr>
          <w:rFonts w:hint="eastAsia" w:ascii="宋体" w:hAnsi="宋体" w:eastAsia="宋体"/>
          <w:b/>
          <w:bCs/>
          <w:color w:val="000000"/>
          <w:szCs w:val="21"/>
        </w:rPr>
        <w:t>政府采购合同专用条款</w:t>
      </w:r>
      <w:r>
        <w:rPr>
          <w:rFonts w:hint="eastAsia" w:ascii="宋体" w:hAnsi="宋体" w:eastAsia="宋体"/>
          <w:color w:val="000000"/>
          <w:szCs w:val="21"/>
        </w:rPr>
        <w:t>】。</w:t>
      </w:r>
    </w:p>
    <w:p w14:paraId="23F227EB">
      <w:pPr>
        <w:numPr>
          <w:ilvl w:val="0"/>
          <w:numId w:val="14"/>
        </w:numPr>
        <w:autoSpaceDE w:val="0"/>
        <w:autoSpaceDN w:val="0"/>
        <w:adjustRightInd w:val="0"/>
        <w:snapToGrid w:val="0"/>
        <w:spacing w:line="400" w:lineRule="exact"/>
        <w:jc w:val="left"/>
        <w:rPr>
          <w:rFonts w:ascii="宋体" w:hAnsi="宋体" w:eastAsia="宋体"/>
          <w:b/>
          <w:bCs/>
          <w:color w:val="000000"/>
          <w:sz w:val="24"/>
        </w:rPr>
      </w:pPr>
      <w:r>
        <w:rPr>
          <w:rFonts w:hint="eastAsia" w:ascii="宋体" w:hAnsi="宋体" w:eastAsia="宋体"/>
          <w:b/>
          <w:color w:val="000000"/>
          <w:sz w:val="24"/>
        </w:rPr>
        <w:t>合同标的及金额</w:t>
      </w:r>
    </w:p>
    <w:p w14:paraId="4D25B9BA">
      <w:pPr>
        <w:autoSpaceDE w:val="0"/>
        <w:autoSpaceDN w:val="0"/>
        <w:adjustRightInd w:val="0"/>
        <w:snapToGrid w:val="0"/>
        <w:spacing w:line="400" w:lineRule="exact"/>
        <w:ind w:firstLine="420" w:firstLineChars="200"/>
        <w:jc w:val="left"/>
        <w:rPr>
          <w:rFonts w:ascii="宋体" w:hAnsi="宋体" w:eastAsia="宋体"/>
          <w:b/>
          <w:bCs/>
          <w:i/>
          <w:iCs/>
          <w:color w:val="000000"/>
          <w:szCs w:val="21"/>
        </w:rPr>
      </w:pPr>
      <w:r>
        <w:rPr>
          <w:rFonts w:hint="eastAsia" w:ascii="宋体" w:hAnsi="宋体" w:eastAsia="宋体"/>
          <w:color w:val="000000"/>
          <w:szCs w:val="21"/>
        </w:rPr>
        <w:t>2.1 合同标的及金额应与中标（成交）结果一致。乙方为履行本合同而发生的所有费用均应包含在合同价款中，甲方不再另行支付</w:t>
      </w:r>
      <w:r>
        <w:rPr>
          <w:rFonts w:ascii="宋体" w:hAnsi="宋体" w:eastAsia="宋体"/>
          <w:color w:val="000000"/>
          <w:szCs w:val="21"/>
        </w:rPr>
        <w:t>其他</w:t>
      </w:r>
      <w:r>
        <w:rPr>
          <w:rFonts w:hint="eastAsia" w:ascii="宋体" w:hAnsi="宋体" w:eastAsia="宋体"/>
          <w:color w:val="000000"/>
          <w:szCs w:val="21"/>
        </w:rPr>
        <w:t>任何费用。</w:t>
      </w:r>
    </w:p>
    <w:p w14:paraId="19FA4EE2">
      <w:pPr>
        <w:adjustRightInd w:val="0"/>
        <w:snapToGrid w:val="0"/>
        <w:spacing w:line="400" w:lineRule="exact"/>
        <w:jc w:val="left"/>
        <w:rPr>
          <w:rFonts w:ascii="宋体" w:hAnsi="宋体" w:eastAsia="宋体"/>
          <w:b/>
          <w:color w:val="000000"/>
          <w:sz w:val="24"/>
        </w:rPr>
      </w:pPr>
      <w:r>
        <w:rPr>
          <w:rFonts w:hint="eastAsia" w:ascii="宋体" w:hAnsi="宋体" w:eastAsia="宋体"/>
          <w:b/>
          <w:color w:val="000000"/>
          <w:sz w:val="24"/>
        </w:rPr>
        <w:t>3. 履行合同的时间、地点和方式</w:t>
      </w:r>
    </w:p>
    <w:p w14:paraId="1044C1C5">
      <w:pPr>
        <w:autoSpaceDE w:val="0"/>
        <w:autoSpaceDN w:val="0"/>
        <w:adjustRightInd w:val="0"/>
        <w:snapToGrid w:val="0"/>
        <w:spacing w:line="400" w:lineRule="exact"/>
        <w:ind w:firstLine="420" w:firstLineChars="200"/>
        <w:jc w:val="left"/>
        <w:rPr>
          <w:rFonts w:ascii="宋体" w:hAnsi="宋体" w:eastAsia="宋体"/>
          <w:color w:val="000000"/>
          <w:szCs w:val="21"/>
        </w:rPr>
      </w:pPr>
      <w:r>
        <w:rPr>
          <w:rFonts w:hint="eastAsia" w:ascii="宋体" w:hAnsi="宋体" w:eastAsia="宋体"/>
          <w:color w:val="000000"/>
          <w:szCs w:val="21"/>
        </w:rPr>
        <w:t xml:space="preserve">3.1 </w:t>
      </w:r>
      <w:r>
        <w:rPr>
          <w:rFonts w:hint="eastAsia" w:ascii="宋体" w:hAnsi="宋体" w:eastAsia="宋体" w:cs="宋体"/>
          <w:szCs w:val="21"/>
        </w:rPr>
        <w:t>乙方应当在约定的时间、地点，按照约定方式履行合同。</w:t>
      </w:r>
    </w:p>
    <w:p w14:paraId="61582901">
      <w:pPr>
        <w:autoSpaceDE w:val="0"/>
        <w:autoSpaceDN w:val="0"/>
        <w:adjustRightInd w:val="0"/>
        <w:snapToGrid w:val="0"/>
        <w:spacing w:line="400" w:lineRule="exact"/>
        <w:jc w:val="left"/>
        <w:rPr>
          <w:rFonts w:ascii="宋体" w:hAnsi="宋体" w:eastAsia="宋体"/>
          <w:b/>
          <w:bCs/>
          <w:color w:val="000000"/>
          <w:sz w:val="24"/>
        </w:rPr>
      </w:pPr>
      <w:r>
        <w:rPr>
          <w:rFonts w:hint="eastAsia" w:ascii="宋体" w:hAnsi="宋体" w:eastAsia="宋体"/>
          <w:b/>
          <w:bCs/>
          <w:color w:val="000000"/>
          <w:sz w:val="24"/>
        </w:rPr>
        <w:t>4. 甲方的权利和义务</w:t>
      </w:r>
    </w:p>
    <w:p w14:paraId="0391950B">
      <w:pPr>
        <w:autoSpaceDE w:val="0"/>
        <w:autoSpaceDN w:val="0"/>
        <w:adjustRightInd w:val="0"/>
        <w:snapToGrid w:val="0"/>
        <w:spacing w:line="400" w:lineRule="exact"/>
        <w:ind w:firstLine="420" w:firstLineChars="200"/>
        <w:jc w:val="left"/>
        <w:rPr>
          <w:rFonts w:ascii="宋体" w:hAnsi="宋体" w:eastAsia="宋体"/>
          <w:color w:val="000000"/>
          <w:szCs w:val="21"/>
        </w:rPr>
      </w:pPr>
      <w:r>
        <w:rPr>
          <w:rFonts w:hint="eastAsia" w:ascii="宋体" w:hAnsi="宋体" w:eastAsia="宋体"/>
          <w:color w:val="000000"/>
          <w:szCs w:val="21"/>
        </w:rPr>
        <w:t>4.1</w:t>
      </w:r>
      <w:r>
        <w:rPr>
          <w:rFonts w:ascii="宋体" w:hAnsi="宋体" w:eastAsia="宋体"/>
          <w:color w:val="000000"/>
          <w:szCs w:val="21"/>
        </w:rPr>
        <w:t xml:space="preserve"> 签署合同后，甲方</w:t>
      </w:r>
      <w:r>
        <w:rPr>
          <w:rFonts w:hint="eastAsia" w:ascii="宋体" w:hAnsi="宋体" w:eastAsia="宋体"/>
          <w:color w:val="000000"/>
          <w:szCs w:val="21"/>
        </w:rPr>
        <w:t>应</w:t>
      </w:r>
      <w:r>
        <w:rPr>
          <w:rFonts w:ascii="宋体" w:hAnsi="宋体" w:eastAsia="宋体"/>
          <w:color w:val="000000"/>
          <w:szCs w:val="21"/>
        </w:rPr>
        <w:t>确定</w:t>
      </w:r>
      <w:r>
        <w:rPr>
          <w:rFonts w:hint="eastAsia" w:ascii="宋体" w:hAnsi="宋体" w:eastAsia="宋体"/>
          <w:color w:val="000000"/>
          <w:szCs w:val="21"/>
        </w:rPr>
        <w:t>项目负责人（或项目联系人）</w:t>
      </w:r>
      <w:r>
        <w:rPr>
          <w:rFonts w:ascii="宋体" w:hAnsi="宋体" w:eastAsia="宋体"/>
          <w:color w:val="000000"/>
          <w:szCs w:val="21"/>
        </w:rPr>
        <w:t>，负责与本合同有关的事务。</w:t>
      </w:r>
      <w:r>
        <w:rPr>
          <w:rFonts w:hint="eastAsia" w:ascii="宋体" w:hAnsi="宋体" w:eastAsia="宋体"/>
          <w:color w:val="000000"/>
          <w:szCs w:val="21"/>
        </w:rPr>
        <w:t>甲方有权对乙方的履约行为进行检查，并</w:t>
      </w:r>
      <w:r>
        <w:rPr>
          <w:rFonts w:ascii="宋体" w:hAnsi="宋体" w:eastAsia="宋体"/>
          <w:color w:val="000000"/>
          <w:szCs w:val="21"/>
        </w:rPr>
        <w:t>及时确认乙方提交的事项</w:t>
      </w:r>
      <w:r>
        <w:rPr>
          <w:rFonts w:hint="eastAsia" w:ascii="宋体" w:hAnsi="宋体" w:eastAsia="宋体"/>
          <w:color w:val="000000"/>
          <w:szCs w:val="21"/>
        </w:rPr>
        <w:t>。甲方应当</w:t>
      </w:r>
      <w:r>
        <w:rPr>
          <w:rFonts w:ascii="宋体" w:hAnsi="宋体" w:eastAsia="宋体"/>
          <w:color w:val="000000"/>
          <w:szCs w:val="21"/>
        </w:rPr>
        <w:t>配合乙方完成</w:t>
      </w:r>
      <w:r>
        <w:rPr>
          <w:rFonts w:hint="eastAsia" w:ascii="宋体" w:hAnsi="宋体" w:eastAsia="宋体"/>
          <w:color w:val="000000"/>
          <w:szCs w:val="21"/>
        </w:rPr>
        <w:t>相关项目</w:t>
      </w:r>
      <w:r>
        <w:rPr>
          <w:rFonts w:ascii="宋体" w:hAnsi="宋体" w:eastAsia="宋体"/>
          <w:color w:val="000000"/>
          <w:szCs w:val="21"/>
        </w:rPr>
        <w:t>实施工作。</w:t>
      </w:r>
    </w:p>
    <w:p w14:paraId="04B73674">
      <w:pPr>
        <w:autoSpaceDE w:val="0"/>
        <w:autoSpaceDN w:val="0"/>
        <w:adjustRightInd w:val="0"/>
        <w:snapToGrid w:val="0"/>
        <w:spacing w:line="400" w:lineRule="exact"/>
        <w:ind w:firstLine="420" w:firstLineChars="200"/>
        <w:jc w:val="left"/>
        <w:rPr>
          <w:rFonts w:ascii="宋体" w:hAnsi="宋体" w:eastAsia="宋体"/>
          <w:color w:val="000000"/>
          <w:szCs w:val="21"/>
        </w:rPr>
      </w:pPr>
      <w:r>
        <w:rPr>
          <w:rFonts w:hint="eastAsia" w:ascii="宋体" w:hAnsi="宋体" w:eastAsia="宋体"/>
          <w:color w:val="000000"/>
          <w:szCs w:val="21"/>
        </w:rPr>
        <w:t xml:space="preserve">4.2 </w:t>
      </w:r>
      <w:r>
        <w:rPr>
          <w:rFonts w:ascii="宋体" w:hAnsi="宋体" w:eastAsia="宋体"/>
          <w:color w:val="000000"/>
          <w:szCs w:val="21"/>
        </w:rPr>
        <w:t>甲方有权要求乙方按时提交各阶段有关</w:t>
      </w:r>
      <w:r>
        <w:rPr>
          <w:rFonts w:hint="eastAsia" w:ascii="宋体" w:hAnsi="宋体" w:eastAsia="宋体"/>
          <w:color w:val="000000"/>
          <w:szCs w:val="21"/>
        </w:rPr>
        <w:t>安排计划</w:t>
      </w:r>
      <w:r>
        <w:rPr>
          <w:rFonts w:ascii="宋体" w:hAnsi="宋体" w:eastAsia="宋体"/>
          <w:color w:val="000000"/>
          <w:szCs w:val="21"/>
        </w:rPr>
        <w:t>，并有权</w:t>
      </w:r>
      <w:r>
        <w:rPr>
          <w:rFonts w:hint="eastAsia" w:ascii="宋体" w:hAnsi="宋体" w:eastAsia="宋体"/>
          <w:color w:val="000000"/>
          <w:szCs w:val="21"/>
        </w:rPr>
        <w:t>定期核对乙方提供货物数量、规格、质量等内容。甲方</w:t>
      </w:r>
      <w:r>
        <w:rPr>
          <w:rFonts w:ascii="宋体" w:hAnsi="宋体" w:eastAsia="宋体"/>
          <w:color w:val="000000"/>
          <w:szCs w:val="21"/>
        </w:rPr>
        <w:t>有权督促乙方工作并要求乙方</w:t>
      </w:r>
      <w:r>
        <w:rPr>
          <w:rFonts w:hint="eastAsia" w:ascii="宋体" w:hAnsi="宋体" w:eastAsia="宋体"/>
          <w:color w:val="000000"/>
          <w:szCs w:val="21"/>
        </w:rPr>
        <w:t>更</w:t>
      </w:r>
      <w:r>
        <w:rPr>
          <w:rFonts w:ascii="宋体" w:hAnsi="宋体" w:eastAsia="宋体"/>
          <w:color w:val="000000"/>
          <w:szCs w:val="21"/>
        </w:rPr>
        <w:t>换不符合要求的</w:t>
      </w:r>
      <w:r>
        <w:rPr>
          <w:rFonts w:hint="eastAsia" w:ascii="宋体" w:hAnsi="宋体" w:eastAsia="宋体"/>
          <w:color w:val="000000"/>
          <w:szCs w:val="21"/>
        </w:rPr>
        <w:t>货物</w:t>
      </w:r>
      <w:r>
        <w:rPr>
          <w:rFonts w:ascii="宋体" w:hAnsi="宋体" w:eastAsia="宋体"/>
          <w:color w:val="000000"/>
          <w:szCs w:val="21"/>
        </w:rPr>
        <w:t>。</w:t>
      </w:r>
    </w:p>
    <w:p w14:paraId="561377D7">
      <w:pPr>
        <w:autoSpaceDE w:val="0"/>
        <w:autoSpaceDN w:val="0"/>
        <w:adjustRightInd w:val="0"/>
        <w:snapToGrid w:val="0"/>
        <w:spacing w:line="400" w:lineRule="exact"/>
        <w:ind w:firstLine="420" w:firstLineChars="200"/>
        <w:jc w:val="left"/>
        <w:rPr>
          <w:rFonts w:ascii="宋体" w:hAnsi="宋体" w:eastAsia="宋体"/>
          <w:color w:val="000000"/>
          <w:szCs w:val="21"/>
        </w:rPr>
      </w:pPr>
      <w:r>
        <w:rPr>
          <w:rFonts w:hint="eastAsia" w:ascii="宋体" w:hAnsi="宋体" w:eastAsia="宋体"/>
          <w:color w:val="000000"/>
          <w:szCs w:val="21"/>
        </w:rPr>
        <w:t>4.</w:t>
      </w:r>
      <w:r>
        <w:rPr>
          <w:rFonts w:ascii="宋体" w:hAnsi="宋体" w:eastAsia="宋体"/>
          <w:color w:val="000000"/>
          <w:szCs w:val="21"/>
        </w:rPr>
        <w:t>3</w:t>
      </w:r>
      <w:r>
        <w:rPr>
          <w:rFonts w:hint="eastAsia" w:ascii="宋体" w:hAnsi="宋体" w:eastAsia="宋体"/>
          <w:color w:val="000000"/>
          <w:szCs w:val="21"/>
        </w:rPr>
        <w:t xml:space="preserve"> </w:t>
      </w:r>
      <w:r>
        <w:rPr>
          <w:rFonts w:ascii="宋体" w:hAnsi="宋体" w:eastAsia="宋体"/>
          <w:color w:val="000000"/>
          <w:szCs w:val="21"/>
        </w:rPr>
        <w:t>甲方</w:t>
      </w:r>
      <w:r>
        <w:rPr>
          <w:rFonts w:hint="eastAsia" w:ascii="宋体" w:hAnsi="宋体" w:eastAsia="宋体"/>
          <w:color w:val="000000"/>
          <w:szCs w:val="21"/>
        </w:rPr>
        <w:t>有权要求乙方对缺陷部分予以修复，并按合同约定享有货物保修及其他合同约定的权利。</w:t>
      </w:r>
    </w:p>
    <w:p w14:paraId="028BBED6">
      <w:pPr>
        <w:snapToGrid w:val="0"/>
        <w:spacing w:line="400" w:lineRule="exact"/>
        <w:ind w:firstLine="420" w:firstLineChars="200"/>
        <w:rPr>
          <w:rFonts w:eastAsia="华文楷体"/>
        </w:rPr>
      </w:pPr>
      <w:r>
        <w:rPr>
          <w:rFonts w:ascii="宋体" w:hAnsi="宋体" w:eastAsia="宋体"/>
          <w:color w:val="000000"/>
          <w:szCs w:val="21"/>
        </w:rPr>
        <w:t>4.4 甲方应当按照合同约定及时对交付的货物进行验收</w:t>
      </w:r>
      <w:r>
        <w:rPr>
          <w:rFonts w:hint="eastAsia" w:ascii="宋体" w:hAnsi="宋体" w:eastAsia="宋体"/>
          <w:color w:val="000000"/>
          <w:szCs w:val="21"/>
        </w:rPr>
        <w:t>，</w:t>
      </w:r>
      <w:r>
        <w:rPr>
          <w:rFonts w:hint="eastAsia" w:ascii="宋体" w:hAnsi="宋体" w:eastAsia="宋体" w:cs="宋体"/>
          <w:szCs w:val="21"/>
        </w:rPr>
        <w:t>未</w:t>
      </w:r>
      <w:r>
        <w:rPr>
          <w:rFonts w:hint="eastAsia" w:ascii="宋体" w:hAnsi="宋体" w:eastAsia="宋体"/>
          <w:color w:val="000000"/>
          <w:szCs w:val="21"/>
        </w:rPr>
        <w:t>在</w:t>
      </w:r>
      <w:r>
        <w:rPr>
          <w:rFonts w:hint="eastAsia" w:ascii="宋体" w:hAnsi="宋体" w:eastAsia="宋体" w:cs="宋体"/>
          <w:b/>
          <w:bCs/>
          <w:szCs w:val="21"/>
        </w:rPr>
        <w:t>【政府采购合同专用条款】</w:t>
      </w:r>
      <w:r>
        <w:rPr>
          <w:rFonts w:hint="eastAsia" w:ascii="宋体" w:hAnsi="宋体" w:eastAsia="宋体" w:cs="宋体"/>
          <w:szCs w:val="21"/>
        </w:rPr>
        <w:t>约定的期限内对乙方履约提出任何异议或者向乙方作出任何说明的，</w:t>
      </w:r>
      <w:r>
        <w:rPr>
          <w:rFonts w:hint="eastAsia" w:ascii="宋体" w:hAnsi="宋体" w:eastAsia="宋体"/>
          <w:color w:val="000000"/>
          <w:szCs w:val="21"/>
        </w:rPr>
        <w:t>视为验收通过。</w:t>
      </w:r>
    </w:p>
    <w:p w14:paraId="31D00E66">
      <w:pPr>
        <w:autoSpaceDE w:val="0"/>
        <w:autoSpaceDN w:val="0"/>
        <w:adjustRightInd w:val="0"/>
        <w:snapToGrid w:val="0"/>
        <w:spacing w:line="400" w:lineRule="exact"/>
        <w:ind w:firstLine="420" w:firstLineChars="200"/>
        <w:jc w:val="left"/>
        <w:rPr>
          <w:rFonts w:ascii="宋体" w:hAnsi="宋体" w:eastAsia="宋体"/>
          <w:color w:val="000000"/>
          <w:szCs w:val="21"/>
        </w:rPr>
      </w:pPr>
      <w:r>
        <w:rPr>
          <w:rFonts w:ascii="宋体" w:hAnsi="宋体" w:eastAsia="宋体"/>
          <w:color w:val="000000"/>
          <w:szCs w:val="21"/>
        </w:rPr>
        <w:t>4</w:t>
      </w:r>
      <w:r>
        <w:rPr>
          <w:rFonts w:hint="eastAsia" w:ascii="宋体" w:hAnsi="宋体" w:eastAsia="宋体"/>
          <w:color w:val="000000"/>
          <w:szCs w:val="21"/>
        </w:rPr>
        <w:t>.</w:t>
      </w:r>
      <w:r>
        <w:rPr>
          <w:rFonts w:ascii="宋体" w:hAnsi="宋体" w:eastAsia="宋体"/>
          <w:color w:val="000000"/>
          <w:szCs w:val="21"/>
        </w:rPr>
        <w:t xml:space="preserve">5 </w:t>
      </w:r>
      <w:r>
        <w:rPr>
          <w:rFonts w:hint="eastAsia" w:ascii="宋体" w:hAnsi="宋体" w:eastAsia="宋体"/>
          <w:color w:val="000000"/>
          <w:szCs w:val="21"/>
        </w:rPr>
        <w:t>甲方应当根据合同约定及时向乙方支付合同价款</w:t>
      </w:r>
      <w:r>
        <w:rPr>
          <w:rFonts w:ascii="宋体" w:hAnsi="宋体" w:eastAsia="宋体"/>
          <w:color w:val="000000"/>
          <w:szCs w:val="21"/>
        </w:rPr>
        <w:t>，不得以内部人员变更、履行内部付款流程等为由，拒绝或迟延支付。</w:t>
      </w:r>
    </w:p>
    <w:p w14:paraId="29C20C13">
      <w:pPr>
        <w:autoSpaceDE w:val="0"/>
        <w:autoSpaceDN w:val="0"/>
        <w:adjustRightInd w:val="0"/>
        <w:snapToGrid w:val="0"/>
        <w:spacing w:line="400" w:lineRule="exact"/>
        <w:ind w:firstLine="420" w:firstLineChars="200"/>
        <w:jc w:val="left"/>
        <w:rPr>
          <w:rFonts w:ascii="宋体" w:hAnsi="宋体" w:eastAsia="宋体"/>
          <w:color w:val="000000"/>
          <w:szCs w:val="21"/>
        </w:rPr>
      </w:pPr>
      <w:r>
        <w:rPr>
          <w:rFonts w:hint="eastAsia" w:ascii="宋体" w:hAnsi="宋体" w:eastAsia="宋体"/>
          <w:color w:val="000000"/>
          <w:szCs w:val="21"/>
        </w:rPr>
        <w:t>4.6</w:t>
      </w:r>
      <w:r>
        <w:rPr>
          <w:rFonts w:ascii="宋体" w:hAnsi="宋体" w:eastAsia="宋体"/>
          <w:color w:val="000000"/>
          <w:szCs w:val="21"/>
        </w:rPr>
        <w:t xml:space="preserve"> </w:t>
      </w:r>
      <w:r>
        <w:rPr>
          <w:rFonts w:hint="eastAsia" w:ascii="宋体" w:hAnsi="宋体" w:eastAsia="宋体"/>
          <w:color w:val="000000"/>
          <w:szCs w:val="21"/>
        </w:rPr>
        <w:t>国家法律法规规定及</w:t>
      </w:r>
      <w:r>
        <w:rPr>
          <w:rFonts w:hint="eastAsia" w:ascii="宋体" w:hAnsi="宋体" w:eastAsia="宋体" w:cs="宋体"/>
          <w:b/>
          <w:bCs/>
          <w:szCs w:val="21"/>
        </w:rPr>
        <w:t>【政府采购合同专用条款】</w:t>
      </w:r>
      <w:r>
        <w:rPr>
          <w:rFonts w:hint="eastAsia" w:ascii="宋体" w:hAnsi="宋体" w:eastAsia="宋体"/>
          <w:color w:val="000000"/>
          <w:szCs w:val="21"/>
        </w:rPr>
        <w:t>约定应由甲方承担的其他义务和责任。</w:t>
      </w:r>
    </w:p>
    <w:p w14:paraId="1449BD17">
      <w:pPr>
        <w:autoSpaceDE w:val="0"/>
        <w:autoSpaceDN w:val="0"/>
        <w:adjustRightInd w:val="0"/>
        <w:snapToGrid w:val="0"/>
        <w:spacing w:line="400" w:lineRule="exact"/>
        <w:jc w:val="left"/>
        <w:rPr>
          <w:rFonts w:ascii="宋体" w:hAnsi="宋体" w:eastAsia="宋体"/>
          <w:b/>
          <w:bCs/>
          <w:color w:val="000000"/>
          <w:sz w:val="24"/>
        </w:rPr>
      </w:pPr>
      <w:r>
        <w:rPr>
          <w:rFonts w:hint="eastAsia" w:ascii="宋体" w:hAnsi="宋体" w:eastAsia="宋体"/>
          <w:b/>
          <w:bCs/>
          <w:color w:val="000000"/>
          <w:sz w:val="24"/>
        </w:rPr>
        <w:t>5. 乙方的权利和义务</w:t>
      </w:r>
    </w:p>
    <w:p w14:paraId="14A785E8">
      <w:pPr>
        <w:autoSpaceDE w:val="0"/>
        <w:autoSpaceDN w:val="0"/>
        <w:adjustRightInd w:val="0"/>
        <w:snapToGrid w:val="0"/>
        <w:spacing w:line="400" w:lineRule="exact"/>
        <w:ind w:firstLine="420" w:firstLineChars="200"/>
        <w:jc w:val="left"/>
        <w:rPr>
          <w:rFonts w:ascii="宋体" w:hAnsi="宋体" w:eastAsia="宋体"/>
          <w:color w:val="000000"/>
          <w:szCs w:val="21"/>
        </w:rPr>
      </w:pPr>
      <w:r>
        <w:rPr>
          <w:rFonts w:hint="eastAsia" w:ascii="宋体" w:hAnsi="宋体" w:eastAsia="宋体"/>
          <w:color w:val="000000"/>
          <w:szCs w:val="21"/>
        </w:rPr>
        <w:t xml:space="preserve">5.1 </w:t>
      </w:r>
      <w:r>
        <w:rPr>
          <w:rFonts w:ascii="宋体" w:hAnsi="宋体" w:eastAsia="宋体"/>
          <w:color w:val="000000"/>
          <w:szCs w:val="21"/>
        </w:rPr>
        <w:t>签署合同后，乙方</w:t>
      </w:r>
      <w:r>
        <w:rPr>
          <w:rFonts w:hint="eastAsia" w:ascii="宋体" w:hAnsi="宋体" w:eastAsia="宋体"/>
          <w:color w:val="000000"/>
          <w:szCs w:val="21"/>
        </w:rPr>
        <w:t>应</w:t>
      </w:r>
      <w:r>
        <w:rPr>
          <w:rFonts w:ascii="宋体" w:hAnsi="宋体" w:eastAsia="宋体"/>
          <w:color w:val="000000"/>
          <w:szCs w:val="21"/>
        </w:rPr>
        <w:t>确定</w:t>
      </w:r>
      <w:r>
        <w:rPr>
          <w:rFonts w:hint="eastAsia" w:ascii="宋体" w:hAnsi="宋体" w:eastAsia="宋体"/>
          <w:color w:val="000000"/>
          <w:szCs w:val="21"/>
        </w:rPr>
        <w:t>项目负责人（或项目联系人）</w:t>
      </w:r>
      <w:r>
        <w:rPr>
          <w:rFonts w:ascii="宋体" w:hAnsi="宋体" w:eastAsia="宋体"/>
          <w:color w:val="000000"/>
          <w:szCs w:val="21"/>
        </w:rPr>
        <w:t>，负责与本合同有关的事务。</w:t>
      </w:r>
    </w:p>
    <w:p w14:paraId="2A98BF47">
      <w:pPr>
        <w:autoSpaceDE w:val="0"/>
        <w:autoSpaceDN w:val="0"/>
        <w:adjustRightInd w:val="0"/>
        <w:snapToGrid w:val="0"/>
        <w:spacing w:line="400" w:lineRule="exact"/>
        <w:ind w:firstLine="420" w:firstLineChars="200"/>
        <w:jc w:val="left"/>
        <w:rPr>
          <w:rFonts w:ascii="宋体" w:hAnsi="宋体" w:eastAsia="宋体"/>
          <w:color w:val="000000"/>
          <w:szCs w:val="21"/>
        </w:rPr>
      </w:pPr>
      <w:r>
        <w:rPr>
          <w:rFonts w:hint="eastAsia" w:ascii="宋体" w:hAnsi="宋体" w:eastAsia="宋体"/>
          <w:color w:val="000000"/>
          <w:szCs w:val="21"/>
        </w:rPr>
        <w:t>5.</w:t>
      </w:r>
      <w:r>
        <w:rPr>
          <w:rFonts w:ascii="宋体" w:hAnsi="宋体" w:eastAsia="宋体"/>
          <w:color w:val="000000"/>
          <w:szCs w:val="21"/>
        </w:rPr>
        <w:t>2 乙方应按照合同要求</w:t>
      </w:r>
      <w:r>
        <w:rPr>
          <w:rFonts w:hint="eastAsia" w:ascii="宋体" w:hAnsi="宋体" w:eastAsia="宋体"/>
          <w:color w:val="000000"/>
          <w:szCs w:val="21"/>
        </w:rPr>
        <w:t>履约</w:t>
      </w:r>
      <w:r>
        <w:rPr>
          <w:rFonts w:ascii="宋体" w:hAnsi="宋体" w:eastAsia="宋体"/>
          <w:color w:val="000000"/>
          <w:szCs w:val="21"/>
        </w:rPr>
        <w:t>，充分合理安排，确保</w:t>
      </w:r>
      <w:r>
        <w:rPr>
          <w:rFonts w:hint="eastAsia" w:ascii="宋体" w:hAnsi="宋体" w:eastAsia="宋体"/>
          <w:color w:val="000000"/>
          <w:szCs w:val="21"/>
        </w:rPr>
        <w:t>提供的货物及相关服务符合合同有关</w:t>
      </w:r>
      <w:r>
        <w:rPr>
          <w:rFonts w:ascii="宋体" w:hAnsi="宋体" w:eastAsia="宋体"/>
          <w:color w:val="000000"/>
          <w:szCs w:val="21"/>
        </w:rPr>
        <w:t>要求</w:t>
      </w:r>
      <w:r>
        <w:rPr>
          <w:rFonts w:hint="eastAsia" w:ascii="宋体" w:hAnsi="宋体" w:eastAsia="宋体"/>
          <w:color w:val="000000"/>
          <w:szCs w:val="21"/>
        </w:rPr>
        <w:t>。接受项目行业管理部门及政府有关部门的指导，配合甲方的履约检查及验收，并</w:t>
      </w:r>
      <w:r>
        <w:rPr>
          <w:rFonts w:ascii="宋体" w:hAnsi="宋体" w:eastAsia="宋体"/>
          <w:color w:val="000000"/>
          <w:szCs w:val="21"/>
        </w:rPr>
        <w:t>负责项目实施过程中的所有协调工作。</w:t>
      </w:r>
    </w:p>
    <w:p w14:paraId="27390F87">
      <w:pPr>
        <w:spacing w:line="400" w:lineRule="exact"/>
        <w:ind w:firstLine="369" w:firstLineChars="176"/>
        <w:rPr>
          <w:rFonts w:ascii="宋体" w:hAnsi="宋体" w:eastAsia="宋体" w:cs="宋体"/>
          <w:color w:val="000000"/>
          <w:szCs w:val="21"/>
        </w:rPr>
      </w:pPr>
      <w:r>
        <w:rPr>
          <w:rFonts w:hint="eastAsia" w:ascii="宋体" w:hAnsi="宋体" w:eastAsia="宋体" w:cs="Times New Roman"/>
          <w:color w:val="000000"/>
          <w:szCs w:val="21"/>
        </w:rPr>
        <w:t>5.</w:t>
      </w:r>
      <w:r>
        <w:rPr>
          <w:rFonts w:ascii="宋体" w:hAnsi="宋体" w:eastAsia="宋体" w:cs="Times New Roman"/>
          <w:color w:val="000000"/>
          <w:szCs w:val="21"/>
        </w:rPr>
        <w:t>3</w:t>
      </w:r>
      <w:r>
        <w:rPr>
          <w:rFonts w:hint="eastAsia" w:ascii="宋体" w:hAnsi="宋体" w:eastAsia="宋体" w:cs="Times New Roman"/>
          <w:color w:val="000000"/>
          <w:szCs w:val="21"/>
        </w:rPr>
        <w:t>乙方有权</w:t>
      </w:r>
      <w:r>
        <w:rPr>
          <w:rFonts w:hint="eastAsia" w:ascii="宋体" w:hAnsi="宋体" w:eastAsia="宋体" w:cs="宋体"/>
          <w:color w:val="000000"/>
          <w:szCs w:val="21"/>
        </w:rPr>
        <w:t>根据合同约定向甲方收取合同价款。</w:t>
      </w:r>
    </w:p>
    <w:p w14:paraId="4867D6CE">
      <w:pPr>
        <w:spacing w:line="400" w:lineRule="exact"/>
        <w:ind w:firstLine="369" w:firstLineChars="176"/>
        <w:rPr>
          <w:rFonts w:ascii="宋体" w:hAnsi="宋体" w:eastAsia="宋体" w:cs="宋体"/>
          <w:color w:val="000000"/>
          <w:szCs w:val="21"/>
        </w:rPr>
      </w:pPr>
      <w:r>
        <w:rPr>
          <w:rFonts w:hint="eastAsia" w:ascii="宋体" w:hAnsi="宋体" w:eastAsia="宋体" w:cs="Times New Roman"/>
          <w:color w:val="000000"/>
          <w:szCs w:val="21"/>
        </w:rPr>
        <w:t>5.</w:t>
      </w:r>
      <w:r>
        <w:rPr>
          <w:rFonts w:ascii="宋体" w:hAnsi="宋体" w:eastAsia="宋体" w:cs="Times New Roman"/>
          <w:color w:val="000000"/>
          <w:szCs w:val="21"/>
        </w:rPr>
        <w:t>4</w:t>
      </w:r>
      <w:r>
        <w:rPr>
          <w:rFonts w:hint="eastAsia" w:ascii="宋体" w:hAnsi="宋体" w:eastAsia="宋体" w:cs="宋体"/>
          <w:color w:val="000000"/>
          <w:szCs w:val="21"/>
        </w:rPr>
        <w:t>国家法律法规规定</w:t>
      </w:r>
      <w:r>
        <w:rPr>
          <w:rFonts w:hint="eastAsia" w:ascii="宋体" w:hAnsi="宋体" w:eastAsia="宋体" w:cs="Times New Roman"/>
          <w:color w:val="000000"/>
          <w:szCs w:val="21"/>
        </w:rPr>
        <w:t>及</w:t>
      </w:r>
      <w:r>
        <w:rPr>
          <w:rFonts w:hint="eastAsia" w:ascii="宋体" w:hAnsi="宋体" w:eastAsia="宋体" w:cs="宋体"/>
          <w:b/>
          <w:bCs/>
          <w:szCs w:val="21"/>
        </w:rPr>
        <w:t>【政府采购合同专用条款】</w:t>
      </w:r>
      <w:r>
        <w:rPr>
          <w:rFonts w:hint="eastAsia" w:ascii="宋体" w:hAnsi="宋体" w:eastAsia="宋体" w:cs="宋体"/>
          <w:szCs w:val="21"/>
        </w:rPr>
        <w:t>约定应</w:t>
      </w:r>
      <w:r>
        <w:rPr>
          <w:rFonts w:hint="eastAsia" w:ascii="宋体" w:hAnsi="宋体" w:eastAsia="宋体" w:cs="宋体"/>
          <w:color w:val="000000"/>
          <w:szCs w:val="21"/>
        </w:rPr>
        <w:t>由乙方承担的其他义务和责任。</w:t>
      </w:r>
    </w:p>
    <w:p w14:paraId="3B961995">
      <w:pPr>
        <w:numPr>
          <w:ilvl w:val="0"/>
          <w:numId w:val="15"/>
        </w:numPr>
        <w:autoSpaceDE w:val="0"/>
        <w:autoSpaceDN w:val="0"/>
        <w:adjustRightInd w:val="0"/>
        <w:snapToGrid w:val="0"/>
        <w:spacing w:line="400" w:lineRule="exact"/>
        <w:jc w:val="left"/>
        <w:rPr>
          <w:rFonts w:ascii="宋体" w:hAnsi="宋体" w:eastAsia="宋体"/>
          <w:b/>
          <w:bCs/>
          <w:color w:val="000000"/>
          <w:sz w:val="24"/>
        </w:rPr>
      </w:pPr>
      <w:r>
        <w:rPr>
          <w:rFonts w:hint="eastAsia" w:ascii="宋体" w:hAnsi="宋体" w:eastAsia="宋体"/>
          <w:b/>
          <w:bCs/>
          <w:color w:val="000000"/>
          <w:sz w:val="24"/>
        </w:rPr>
        <w:t>合同履行</w:t>
      </w:r>
    </w:p>
    <w:p w14:paraId="340CB848">
      <w:pPr>
        <w:autoSpaceDE w:val="0"/>
        <w:autoSpaceDN w:val="0"/>
        <w:adjustRightInd w:val="0"/>
        <w:snapToGrid w:val="0"/>
        <w:spacing w:line="400" w:lineRule="exact"/>
        <w:ind w:firstLine="420" w:firstLineChars="200"/>
        <w:jc w:val="left"/>
        <w:rPr>
          <w:rFonts w:ascii="宋体" w:hAnsi="宋体" w:eastAsia="宋体"/>
          <w:color w:val="000000"/>
          <w:szCs w:val="21"/>
        </w:rPr>
      </w:pPr>
      <w:r>
        <w:rPr>
          <w:rFonts w:hint="eastAsia" w:ascii="宋体" w:hAnsi="宋体" w:eastAsia="宋体"/>
          <w:color w:val="000000"/>
          <w:szCs w:val="21"/>
        </w:rPr>
        <w:t>6.1 甲乙双方应当按照</w:t>
      </w:r>
      <w:r>
        <w:rPr>
          <w:rFonts w:hint="eastAsia" w:ascii="宋体" w:hAnsi="宋体" w:eastAsia="宋体" w:cs="宋体"/>
          <w:b/>
          <w:bCs/>
          <w:szCs w:val="21"/>
        </w:rPr>
        <w:t>【政府采购合同专用条款】</w:t>
      </w:r>
      <w:r>
        <w:rPr>
          <w:rFonts w:hint="eastAsia" w:ascii="宋体" w:hAnsi="宋体" w:eastAsia="宋体"/>
          <w:color w:val="000000"/>
          <w:szCs w:val="21"/>
        </w:rPr>
        <w:t>约定顺序履行合同义务；如果没有先后顺序的，应当同时履行。</w:t>
      </w:r>
    </w:p>
    <w:p w14:paraId="4A3CE992">
      <w:pPr>
        <w:autoSpaceDE w:val="0"/>
        <w:autoSpaceDN w:val="0"/>
        <w:adjustRightInd w:val="0"/>
        <w:snapToGrid w:val="0"/>
        <w:spacing w:line="400" w:lineRule="exact"/>
        <w:ind w:firstLine="420" w:firstLineChars="200"/>
        <w:jc w:val="left"/>
        <w:rPr>
          <w:rFonts w:eastAsia="宋体"/>
        </w:rPr>
      </w:pPr>
      <w:r>
        <w:rPr>
          <w:rFonts w:hint="eastAsia" w:ascii="宋体" w:hAnsi="宋体" w:eastAsia="宋体"/>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15B3B011">
      <w:pPr>
        <w:adjustRightInd w:val="0"/>
        <w:snapToGrid w:val="0"/>
        <w:spacing w:line="400" w:lineRule="exact"/>
        <w:jc w:val="left"/>
        <w:rPr>
          <w:rFonts w:ascii="宋体" w:hAnsi="宋体" w:eastAsia="宋体"/>
          <w:b/>
          <w:bCs/>
          <w:color w:val="000000"/>
          <w:sz w:val="24"/>
        </w:rPr>
      </w:pPr>
      <w:r>
        <w:rPr>
          <w:rFonts w:hint="eastAsia" w:ascii="宋体" w:hAnsi="宋体" w:eastAsia="宋体"/>
          <w:b/>
          <w:bCs/>
          <w:color w:val="000000"/>
          <w:sz w:val="24"/>
        </w:rPr>
        <w:t>7. 货物包装、运输、保险和交付要求</w:t>
      </w:r>
    </w:p>
    <w:p w14:paraId="1F823C14">
      <w:pPr>
        <w:autoSpaceDE w:val="0"/>
        <w:autoSpaceDN w:val="0"/>
        <w:adjustRightInd w:val="0"/>
        <w:snapToGrid w:val="0"/>
        <w:spacing w:line="400" w:lineRule="exact"/>
        <w:ind w:firstLine="420" w:firstLineChars="200"/>
        <w:jc w:val="left"/>
        <w:rPr>
          <w:rFonts w:ascii="宋体" w:hAnsi="宋体" w:eastAsia="宋体"/>
          <w:color w:val="000000"/>
          <w:szCs w:val="21"/>
        </w:rPr>
      </w:pPr>
      <w:r>
        <w:rPr>
          <w:rFonts w:hint="eastAsia" w:ascii="宋体" w:hAnsi="宋体" w:eastAsia="宋体"/>
          <w:color w:val="000000"/>
          <w:szCs w:val="21"/>
        </w:rPr>
        <w:t>7.1 本合同</w:t>
      </w:r>
      <w:r>
        <w:rPr>
          <w:rFonts w:hint="eastAsia" w:ascii="宋体" w:hAnsi="宋体" w:eastAsia="宋体"/>
          <w:bCs/>
          <w:color w:val="000000"/>
          <w:szCs w:val="21"/>
        </w:rPr>
        <w:t>涉及商品包装、快递包装的，</w:t>
      </w:r>
      <w:r>
        <w:rPr>
          <w:rFonts w:hint="eastAsia" w:ascii="宋体" w:hAnsi="宋体" w:eastAsia="宋体"/>
          <w:color w:val="000000"/>
          <w:szCs w:val="21"/>
        </w:rPr>
        <w:t>除</w:t>
      </w:r>
      <w:r>
        <w:rPr>
          <w:rFonts w:hint="eastAsia" w:ascii="宋体" w:hAnsi="宋体" w:eastAsia="宋体"/>
          <w:b/>
          <w:color w:val="000000"/>
          <w:szCs w:val="21"/>
        </w:rPr>
        <w:t>【政府采购合同专用条款】</w:t>
      </w:r>
      <w:r>
        <w:rPr>
          <w:rFonts w:hint="eastAsia" w:ascii="宋体" w:hAnsi="宋体" w:eastAsia="宋体"/>
          <w:bCs/>
          <w:color w:val="000000"/>
          <w:szCs w:val="21"/>
        </w:rPr>
        <w:t>另有约定外，</w:t>
      </w:r>
      <w:r>
        <w:rPr>
          <w:rFonts w:hint="eastAsia" w:ascii="宋体" w:hAnsi="宋体" w:eastAsia="宋体"/>
          <w:color w:val="000000"/>
          <w:szCs w:val="21"/>
        </w:rPr>
        <w:t>包装应适应远距离运输、防潮、防震、防锈和防野蛮装卸等要求，确保货物安全无损地运抵</w:t>
      </w:r>
      <w:r>
        <w:rPr>
          <w:rFonts w:hint="eastAsia" w:ascii="宋体" w:hAnsi="宋体" w:eastAsia="宋体"/>
          <w:b/>
          <w:color w:val="000000"/>
          <w:szCs w:val="21"/>
        </w:rPr>
        <w:t>【政府采购合同专用条款】</w:t>
      </w:r>
      <w:r>
        <w:rPr>
          <w:rFonts w:hint="eastAsia" w:ascii="宋体" w:hAnsi="宋体" w:eastAsia="宋体"/>
          <w:bCs/>
          <w:color w:val="000000"/>
          <w:szCs w:val="21"/>
        </w:rPr>
        <w:t>约定的</w:t>
      </w:r>
      <w:r>
        <w:rPr>
          <w:rFonts w:hint="eastAsia" w:ascii="宋体" w:hAnsi="宋体" w:eastAsia="宋体"/>
          <w:color w:val="000000"/>
          <w:szCs w:val="21"/>
        </w:rPr>
        <w:t>指定现场。</w:t>
      </w:r>
    </w:p>
    <w:p w14:paraId="4F5289D3">
      <w:pPr>
        <w:adjustRightInd w:val="0"/>
        <w:snapToGrid w:val="0"/>
        <w:spacing w:line="400" w:lineRule="exact"/>
        <w:ind w:firstLine="420" w:firstLineChars="200"/>
        <w:jc w:val="left"/>
        <w:rPr>
          <w:rFonts w:ascii="宋体" w:hAnsi="宋体" w:eastAsia="宋体"/>
          <w:color w:val="000000"/>
          <w:szCs w:val="21"/>
        </w:rPr>
      </w:pPr>
      <w:r>
        <w:rPr>
          <w:rFonts w:hint="eastAsia" w:ascii="宋体" w:hAnsi="宋体" w:eastAsia="宋体"/>
          <w:color w:val="000000"/>
          <w:szCs w:val="21"/>
        </w:rPr>
        <w:t>7.2 除</w:t>
      </w:r>
      <w:r>
        <w:rPr>
          <w:rFonts w:hint="eastAsia" w:ascii="宋体" w:hAnsi="宋体" w:eastAsia="宋体"/>
          <w:b/>
          <w:color w:val="000000"/>
          <w:szCs w:val="21"/>
        </w:rPr>
        <w:t>【政府采购合同专用条款】</w:t>
      </w:r>
      <w:r>
        <w:rPr>
          <w:rFonts w:hint="eastAsia" w:ascii="宋体" w:hAnsi="宋体" w:eastAsia="宋体"/>
          <w:bCs/>
          <w:color w:val="000000"/>
          <w:szCs w:val="21"/>
        </w:rPr>
        <w:t>另有约定外，</w:t>
      </w:r>
      <w:r>
        <w:rPr>
          <w:rFonts w:hint="eastAsia" w:ascii="宋体" w:hAnsi="宋体" w:eastAsia="宋体"/>
          <w:color w:val="000000"/>
          <w:szCs w:val="21"/>
        </w:rPr>
        <w:t>乙方负责办理将货物运抵本合同规定的交货地点，并装卸、交付至甲方的一切运输事项，相关费用应包含在合同价款中。</w:t>
      </w:r>
    </w:p>
    <w:p w14:paraId="4E9F7629">
      <w:pPr>
        <w:adjustRightInd w:val="0"/>
        <w:snapToGrid w:val="0"/>
        <w:spacing w:line="400" w:lineRule="exact"/>
        <w:ind w:firstLine="420" w:firstLineChars="200"/>
        <w:jc w:val="left"/>
        <w:rPr>
          <w:rFonts w:ascii="宋体" w:hAnsi="宋体" w:eastAsia="宋体"/>
          <w:color w:val="000000"/>
          <w:szCs w:val="21"/>
        </w:rPr>
      </w:pPr>
      <w:r>
        <w:rPr>
          <w:rFonts w:hint="eastAsia" w:ascii="宋体" w:hAnsi="宋体" w:eastAsia="宋体"/>
          <w:color w:val="000000"/>
          <w:szCs w:val="21"/>
        </w:rPr>
        <w:t>7.3 货物保险要求按</w:t>
      </w:r>
      <w:r>
        <w:rPr>
          <w:rFonts w:hint="eastAsia" w:ascii="宋体" w:hAnsi="宋体" w:eastAsia="宋体"/>
          <w:b/>
          <w:color w:val="000000"/>
          <w:szCs w:val="21"/>
        </w:rPr>
        <w:t>【政府采购合同专用条款】</w:t>
      </w:r>
      <w:r>
        <w:rPr>
          <w:rFonts w:hint="eastAsia" w:ascii="宋体" w:hAnsi="宋体" w:eastAsia="宋体"/>
          <w:bCs/>
          <w:color w:val="000000"/>
          <w:szCs w:val="21"/>
        </w:rPr>
        <w:t>规定执行</w:t>
      </w:r>
      <w:r>
        <w:rPr>
          <w:rFonts w:hint="eastAsia" w:ascii="宋体" w:hAnsi="宋体" w:eastAsia="宋体"/>
          <w:color w:val="000000"/>
          <w:szCs w:val="21"/>
        </w:rPr>
        <w:t>。</w:t>
      </w:r>
    </w:p>
    <w:p w14:paraId="51FA5716">
      <w:pPr>
        <w:autoSpaceDE w:val="0"/>
        <w:autoSpaceDN w:val="0"/>
        <w:adjustRightInd w:val="0"/>
        <w:snapToGrid w:val="0"/>
        <w:spacing w:line="400" w:lineRule="exact"/>
        <w:ind w:firstLine="420" w:firstLineChars="200"/>
        <w:jc w:val="left"/>
        <w:rPr>
          <w:rFonts w:ascii="宋体" w:hAnsi="宋体" w:eastAsia="宋体"/>
          <w:color w:val="000000"/>
          <w:szCs w:val="21"/>
        </w:rPr>
      </w:pPr>
      <w:r>
        <w:rPr>
          <w:rFonts w:hint="eastAsia" w:ascii="宋体" w:hAnsi="宋体" w:eastAsia="宋体"/>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9BECA30">
      <w:pPr>
        <w:autoSpaceDE w:val="0"/>
        <w:autoSpaceDN w:val="0"/>
        <w:adjustRightInd w:val="0"/>
        <w:snapToGrid w:val="0"/>
        <w:spacing w:line="400" w:lineRule="exact"/>
        <w:ind w:firstLine="420" w:firstLineChars="200"/>
        <w:jc w:val="left"/>
        <w:rPr>
          <w:rFonts w:ascii="宋体" w:hAnsi="宋体" w:eastAsia="宋体"/>
          <w:color w:val="000000"/>
          <w:szCs w:val="21"/>
        </w:rPr>
      </w:pPr>
      <w:r>
        <w:rPr>
          <w:rFonts w:hint="eastAsia" w:ascii="宋体" w:hAnsi="宋体" w:eastAsia="宋体"/>
          <w:color w:val="000000"/>
          <w:szCs w:val="21"/>
        </w:rPr>
        <w:t xml:space="preserve">7.5 </w:t>
      </w:r>
      <w:r>
        <w:rPr>
          <w:rFonts w:hint="eastAsia" w:ascii="宋体" w:hAnsi="宋体" w:eastAsia="宋体" w:cs="宋体"/>
          <w:color w:val="000000"/>
          <w:szCs w:val="21"/>
        </w:rPr>
        <w:t>乙方在运输到达之前应提前通知甲方，并提示货物运输装卸的注意事项，甲方配合乙方做好货物的接收工作。</w:t>
      </w:r>
    </w:p>
    <w:p w14:paraId="35D32E00">
      <w:pPr>
        <w:autoSpaceDE w:val="0"/>
        <w:autoSpaceDN w:val="0"/>
        <w:adjustRightInd w:val="0"/>
        <w:spacing w:line="400" w:lineRule="exact"/>
        <w:ind w:firstLine="420" w:firstLineChars="200"/>
        <w:rPr>
          <w:rFonts w:ascii="华文楷体" w:hAnsi="华文楷体" w:eastAsia="华文楷体" w:cs="华文楷体"/>
          <w:szCs w:val="21"/>
        </w:rPr>
      </w:pPr>
      <w:r>
        <w:rPr>
          <w:rFonts w:hint="eastAsia" w:ascii="宋体" w:hAnsi="宋体" w:eastAsia="宋体" w:cs="Times New Roman"/>
          <w:color w:val="000000"/>
          <w:szCs w:val="21"/>
        </w:rPr>
        <w:t>7.6 如因包装、运输问题导致货物损毁、丢失或者品质下降，甲方有权要求降价、换货、拒收部分或整批货物，由此产生的费用和损失，均由乙方承担。</w:t>
      </w:r>
    </w:p>
    <w:p w14:paraId="5A77F0B4">
      <w:pPr>
        <w:adjustRightInd w:val="0"/>
        <w:snapToGrid w:val="0"/>
        <w:spacing w:line="400" w:lineRule="exact"/>
        <w:jc w:val="left"/>
        <w:rPr>
          <w:rFonts w:ascii="宋体" w:hAnsi="宋体" w:eastAsia="宋体"/>
          <w:b/>
          <w:sz w:val="24"/>
        </w:rPr>
      </w:pPr>
      <w:r>
        <w:rPr>
          <w:rFonts w:hint="eastAsia" w:ascii="宋体" w:hAnsi="宋体" w:eastAsia="宋体"/>
          <w:b/>
          <w:color w:val="000000"/>
          <w:sz w:val="24"/>
        </w:rPr>
        <w:t xml:space="preserve">8. </w:t>
      </w:r>
      <w:r>
        <w:rPr>
          <w:rFonts w:hint="eastAsia" w:ascii="宋体" w:hAnsi="宋体" w:eastAsia="宋体"/>
          <w:b/>
          <w:sz w:val="24"/>
        </w:rPr>
        <w:t>质量标准和保证</w:t>
      </w:r>
    </w:p>
    <w:p w14:paraId="59872F12">
      <w:pPr>
        <w:adjustRightInd w:val="0"/>
        <w:snapToGrid w:val="0"/>
        <w:spacing w:line="400" w:lineRule="exact"/>
        <w:ind w:firstLine="420" w:firstLineChars="200"/>
        <w:jc w:val="left"/>
        <w:rPr>
          <w:rFonts w:ascii="宋体" w:hAnsi="宋体" w:eastAsia="宋体" w:cs="Courier New"/>
          <w:b/>
          <w:szCs w:val="21"/>
        </w:rPr>
      </w:pPr>
      <w:r>
        <w:rPr>
          <w:rFonts w:hint="eastAsia" w:ascii="宋体" w:hAnsi="宋体" w:eastAsia="宋体" w:cs="Courier New"/>
          <w:szCs w:val="21"/>
        </w:rPr>
        <w:t>8.1 质量标准</w:t>
      </w:r>
    </w:p>
    <w:p w14:paraId="39E985C2">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（1）本合同下提供的货物应符合合同</w:t>
      </w:r>
      <w:r>
        <w:rPr>
          <w:rFonts w:hint="eastAsia" w:ascii="宋体" w:hAnsi="宋体" w:eastAsia="宋体" w:cs="宋体"/>
          <w:color w:val="000000"/>
          <w:szCs w:val="21"/>
        </w:rPr>
        <w:t>约定的</w:t>
      </w:r>
      <w:r>
        <w:rPr>
          <w:rFonts w:hint="eastAsia" w:ascii="宋体" w:hAnsi="宋体" w:eastAsia="宋体" w:cs="宋体"/>
          <w:szCs w:val="21"/>
        </w:rPr>
        <w:t>品牌、规格型号、技术性能、配置、质量、数量等要求。</w:t>
      </w:r>
      <w:r>
        <w:rPr>
          <w:rFonts w:hint="eastAsia" w:ascii="宋体" w:hAnsi="宋体" w:eastAsia="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CE0A527">
      <w:pPr>
        <w:adjustRightInd w:val="0"/>
        <w:snapToGrid w:val="0"/>
        <w:spacing w:line="400" w:lineRule="exact"/>
        <w:ind w:firstLine="420" w:firstLineChars="200"/>
        <w:jc w:val="left"/>
        <w:rPr>
          <w:rFonts w:ascii="宋体" w:hAnsi="宋体" w:eastAsia="宋体" w:cs="Courier New"/>
          <w:szCs w:val="21"/>
        </w:rPr>
      </w:pPr>
      <w:r>
        <w:rPr>
          <w:rFonts w:hint="eastAsia" w:ascii="宋体" w:hAnsi="宋体" w:eastAsia="宋体" w:cs="Courier New"/>
          <w:szCs w:val="21"/>
        </w:rPr>
        <w:t>（2）采用中华人民共和国法定计量单位。</w:t>
      </w:r>
    </w:p>
    <w:p w14:paraId="77BEED0A">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（3）乙方所提供的货物应符合国家有关安全、环保、卫生的规定。</w:t>
      </w:r>
    </w:p>
    <w:p w14:paraId="0A6388B5">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（4）乙方应向甲方提交所提供货物的技术文件，包括相应的中文技术文件，如：产品目录、图纸、操作手册、使用说明、维护手册或服务指南等。上述文件应包装好随货物一同发运。</w:t>
      </w:r>
    </w:p>
    <w:p w14:paraId="071C2957">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8.2 保证</w:t>
      </w:r>
    </w:p>
    <w:p w14:paraId="7C36C0DC">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（1）乙方应保证提供的货物完全符合合同规定的质量、规格和性能要求。乙方应保证货物在正确安装、正常使用和保养条件下，</w:t>
      </w:r>
      <w:r>
        <w:rPr>
          <w:rFonts w:hint="eastAsia" w:ascii="宋体" w:hAnsi="宋体" w:eastAsia="宋体" w:cs="宋体"/>
          <w:szCs w:val="21"/>
        </w:rPr>
        <w:t>在其使用寿命期内具备合同约定的性能</w:t>
      </w:r>
      <w:r>
        <w:rPr>
          <w:rFonts w:hint="eastAsia" w:ascii="宋体" w:hAnsi="宋体" w:eastAsia="宋体"/>
          <w:szCs w:val="21"/>
        </w:rPr>
        <w:t>。存在质量保证期的，货物最终交付验收合格后在</w:t>
      </w:r>
      <w:r>
        <w:rPr>
          <w:rFonts w:hint="eastAsia" w:ascii="宋体" w:hAnsi="宋体" w:eastAsia="宋体"/>
          <w:b/>
          <w:szCs w:val="21"/>
        </w:rPr>
        <w:t>【政府采购合同专用条款】</w:t>
      </w:r>
      <w:r>
        <w:rPr>
          <w:rFonts w:hint="eastAsia" w:ascii="宋体" w:hAnsi="宋体" w:eastAsia="宋体"/>
          <w:szCs w:val="21"/>
        </w:rPr>
        <w:t>规定或乙方书面承诺（两者以较长的为准）的质量保证期内，本保证保持有效。</w:t>
      </w:r>
    </w:p>
    <w:p w14:paraId="530A7E54">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（2）在质量保证期内所发现的缺陷，甲方应尽快以书面形式通知乙方。</w:t>
      </w:r>
    </w:p>
    <w:p w14:paraId="5ADB097E">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（3）乙方收到通知后，应在</w:t>
      </w:r>
      <w:r>
        <w:rPr>
          <w:rFonts w:hint="eastAsia" w:ascii="宋体" w:hAnsi="宋体" w:eastAsia="宋体"/>
          <w:b/>
          <w:szCs w:val="21"/>
        </w:rPr>
        <w:t>【政府采购合同专用条款】</w:t>
      </w:r>
      <w:r>
        <w:rPr>
          <w:rFonts w:hint="eastAsia" w:ascii="宋体" w:hAnsi="宋体" w:eastAsia="宋体"/>
          <w:szCs w:val="21"/>
        </w:rPr>
        <w:t>规定的响应时间内以合理的速度免费维修或更换有缺陷的货物或部件。</w:t>
      </w:r>
    </w:p>
    <w:p w14:paraId="1268CF00">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（4）在质量保证期内，如果货物的质量或规格与合同不符，或证实货物是有缺陷的，包括潜在的缺陷或使用不符合要求的材料等，甲方可以根据本合同第1</w:t>
      </w:r>
      <w:r>
        <w:rPr>
          <w:rFonts w:hint="eastAsia" w:ascii="宋体" w:hAnsi="宋体" w:eastAsia="宋体"/>
          <w:color w:val="000000"/>
          <w:szCs w:val="21"/>
        </w:rPr>
        <w:t>5</w:t>
      </w:r>
      <w:r>
        <w:rPr>
          <w:rFonts w:hint="eastAsia" w:ascii="宋体" w:hAnsi="宋体" w:eastAsia="宋体"/>
          <w:szCs w:val="21"/>
        </w:rPr>
        <w:t>.1条规定以书面形式</w:t>
      </w:r>
      <w:r>
        <w:rPr>
          <w:rFonts w:hint="eastAsia" w:ascii="宋体" w:hAnsi="宋体" w:eastAsia="宋体"/>
          <w:color w:val="000000"/>
          <w:szCs w:val="21"/>
        </w:rPr>
        <w:t>追究</w:t>
      </w:r>
      <w:r>
        <w:rPr>
          <w:rFonts w:hint="eastAsia" w:ascii="宋体" w:hAnsi="宋体" w:eastAsia="宋体"/>
          <w:szCs w:val="21"/>
        </w:rPr>
        <w:t>乙方</w:t>
      </w:r>
      <w:r>
        <w:rPr>
          <w:rFonts w:hint="eastAsia" w:ascii="宋体" w:hAnsi="宋体" w:eastAsia="宋体"/>
          <w:color w:val="000000"/>
          <w:szCs w:val="21"/>
        </w:rPr>
        <w:t>的违约责任</w:t>
      </w:r>
      <w:r>
        <w:rPr>
          <w:rFonts w:hint="eastAsia" w:ascii="宋体" w:hAnsi="宋体" w:eastAsia="宋体"/>
          <w:szCs w:val="21"/>
        </w:rPr>
        <w:t>。</w:t>
      </w:r>
    </w:p>
    <w:p w14:paraId="5E9DCB02">
      <w:pPr>
        <w:adjustRightInd w:val="0"/>
        <w:snapToGrid w:val="0"/>
        <w:spacing w:line="400" w:lineRule="exact"/>
        <w:ind w:firstLine="420" w:firstLineChars="200"/>
        <w:jc w:val="left"/>
        <w:rPr>
          <w:rFonts w:eastAsia="宋体"/>
        </w:rPr>
      </w:pPr>
      <w:r>
        <w:rPr>
          <w:rFonts w:hint="eastAsia" w:ascii="宋体" w:hAnsi="宋体" w:eastAsia="宋体"/>
          <w:szCs w:val="21"/>
        </w:rPr>
        <w:t>（5）乙方在约定的时间内未能弥补缺陷，甲方可采取必要的补救措施，但其风险和费用将由乙方承担，甲方根据合同约定对乙方行使的其他权利不受影响。</w:t>
      </w:r>
    </w:p>
    <w:p w14:paraId="15449EA5">
      <w:pPr>
        <w:adjustRightInd w:val="0"/>
        <w:snapToGrid w:val="0"/>
        <w:spacing w:line="400" w:lineRule="exact"/>
        <w:jc w:val="left"/>
        <w:rPr>
          <w:rFonts w:ascii="宋体" w:hAnsi="宋体" w:eastAsia="宋体"/>
          <w:b/>
          <w:bCs/>
          <w:sz w:val="24"/>
        </w:rPr>
      </w:pPr>
      <w:r>
        <w:rPr>
          <w:rFonts w:hint="eastAsia" w:ascii="宋体" w:hAnsi="宋体" w:eastAsia="宋体"/>
          <w:b/>
          <w:bCs/>
          <w:color w:val="000000"/>
          <w:sz w:val="24"/>
        </w:rPr>
        <w:t>9</w:t>
      </w:r>
      <w:r>
        <w:rPr>
          <w:rFonts w:hint="eastAsia" w:ascii="宋体" w:hAnsi="宋体" w:eastAsia="宋体"/>
          <w:b/>
          <w:bCs/>
          <w:sz w:val="24"/>
        </w:rPr>
        <w:t>.</w:t>
      </w:r>
      <w:r>
        <w:rPr>
          <w:rFonts w:hint="eastAsia" w:ascii="宋体" w:hAnsi="宋体" w:eastAsia="宋体"/>
          <w:b/>
          <w:bCs/>
          <w:color w:val="000000"/>
          <w:sz w:val="24"/>
        </w:rPr>
        <w:t xml:space="preserve"> </w:t>
      </w:r>
      <w:r>
        <w:rPr>
          <w:rFonts w:hint="eastAsia" w:ascii="宋体" w:hAnsi="宋体" w:eastAsia="宋体"/>
          <w:b/>
          <w:bCs/>
          <w:sz w:val="24"/>
        </w:rPr>
        <w:t>权利瑕疵担保</w:t>
      </w:r>
    </w:p>
    <w:p w14:paraId="4C9FCC41">
      <w:pPr>
        <w:autoSpaceDE w:val="0"/>
        <w:autoSpaceDN w:val="0"/>
        <w:adjustRightInd w:val="0"/>
        <w:snapToGrid w:val="0"/>
        <w:spacing w:line="400" w:lineRule="exact"/>
        <w:ind w:firstLine="420" w:firstLineChars="200"/>
        <w:jc w:val="left"/>
        <w:rPr>
          <w:rFonts w:ascii="宋体" w:hAnsi="宋体" w:eastAsia="宋体"/>
          <w:color w:val="000000"/>
          <w:szCs w:val="21"/>
        </w:rPr>
      </w:pPr>
      <w:r>
        <w:rPr>
          <w:rFonts w:hint="eastAsia" w:ascii="宋体" w:hAnsi="宋体" w:eastAsia="宋体"/>
          <w:color w:val="000000"/>
          <w:szCs w:val="21"/>
        </w:rPr>
        <w:t>9.1 乙方保证对其出售的货物享有合法的权利。</w:t>
      </w:r>
    </w:p>
    <w:p w14:paraId="63A43D9B">
      <w:pPr>
        <w:autoSpaceDE w:val="0"/>
        <w:autoSpaceDN w:val="0"/>
        <w:adjustRightInd w:val="0"/>
        <w:snapToGrid w:val="0"/>
        <w:spacing w:line="400" w:lineRule="exact"/>
        <w:ind w:firstLine="420" w:firstLineChars="200"/>
        <w:jc w:val="left"/>
        <w:rPr>
          <w:rFonts w:ascii="宋体" w:hAnsi="宋体" w:eastAsia="宋体"/>
          <w:color w:val="000000"/>
          <w:szCs w:val="21"/>
        </w:rPr>
      </w:pPr>
      <w:r>
        <w:rPr>
          <w:rFonts w:hint="eastAsia" w:ascii="宋体" w:hAnsi="宋体" w:eastAsia="宋体"/>
          <w:color w:val="000000"/>
          <w:szCs w:val="21"/>
        </w:rPr>
        <w:t xml:space="preserve">9.2 </w:t>
      </w:r>
      <w:r>
        <w:rPr>
          <w:rFonts w:hint="eastAsia" w:ascii="宋体" w:hAnsi="宋体" w:eastAsia="宋体" w:cs="宋体"/>
          <w:szCs w:val="15"/>
        </w:rPr>
        <w:t>乙方保证在交付的货物上不存在抵押权等担保物权。</w:t>
      </w:r>
    </w:p>
    <w:p w14:paraId="56D82525">
      <w:pPr>
        <w:autoSpaceDE w:val="0"/>
        <w:autoSpaceDN w:val="0"/>
        <w:adjustRightInd w:val="0"/>
        <w:snapToGrid w:val="0"/>
        <w:spacing w:line="400" w:lineRule="exact"/>
        <w:ind w:firstLine="420" w:firstLineChars="200"/>
        <w:jc w:val="left"/>
        <w:rPr>
          <w:rFonts w:ascii="宋体" w:hAnsi="宋体" w:eastAsia="宋体"/>
          <w:color w:val="000000"/>
          <w:szCs w:val="21"/>
        </w:rPr>
      </w:pPr>
      <w:r>
        <w:rPr>
          <w:rFonts w:hint="eastAsia" w:ascii="宋体" w:hAnsi="宋体" w:eastAsia="宋体"/>
          <w:color w:val="000000"/>
          <w:szCs w:val="21"/>
        </w:rPr>
        <w:t>9.3 如甲方使用上述货物构成对第三人侵权的，则由乙方承担全部责任。</w:t>
      </w:r>
    </w:p>
    <w:p w14:paraId="7B17C5C2">
      <w:pPr>
        <w:autoSpaceDE w:val="0"/>
        <w:autoSpaceDN w:val="0"/>
        <w:adjustRightInd w:val="0"/>
        <w:snapToGrid w:val="0"/>
        <w:spacing w:line="400" w:lineRule="exact"/>
        <w:jc w:val="left"/>
        <w:rPr>
          <w:rFonts w:ascii="宋体" w:hAnsi="宋体" w:eastAsia="宋体"/>
          <w:b/>
          <w:bCs/>
          <w:color w:val="000000"/>
          <w:sz w:val="24"/>
        </w:rPr>
      </w:pPr>
      <w:r>
        <w:rPr>
          <w:rFonts w:hint="eastAsia" w:ascii="宋体" w:hAnsi="宋体" w:eastAsia="宋体"/>
          <w:b/>
          <w:bCs/>
          <w:color w:val="000000"/>
          <w:sz w:val="24"/>
        </w:rPr>
        <w:t>10. 知识产权保护</w:t>
      </w:r>
    </w:p>
    <w:p w14:paraId="5BF6F649">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color w:val="000000"/>
          <w:szCs w:val="21"/>
        </w:rPr>
        <w:t>10.1 乙方对其所销售的货物应当享有知识产权或经权利人合法授权，保证没有侵犯任</w:t>
      </w:r>
      <w:r>
        <w:rPr>
          <w:rFonts w:hint="eastAsia" w:ascii="宋体" w:hAnsi="宋体" w:eastAsia="宋体"/>
          <w:szCs w:val="21"/>
        </w:rPr>
        <w:t>何第三人的知识产权等权利。</w:t>
      </w:r>
      <w:bookmarkStart w:id="71"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71"/>
      <w:r>
        <w:rPr>
          <w:rFonts w:hint="eastAsia" w:ascii="宋体" w:hAnsi="宋体" w:eastAsia="宋体"/>
          <w:szCs w:val="21"/>
        </w:rPr>
        <w:t>。</w:t>
      </w:r>
    </w:p>
    <w:p w14:paraId="15B5EF34">
      <w:pPr>
        <w:autoSpaceDE w:val="0"/>
        <w:autoSpaceDN w:val="0"/>
        <w:adjustRightInd w:val="0"/>
        <w:snapToGrid w:val="0"/>
        <w:spacing w:line="400" w:lineRule="exact"/>
        <w:jc w:val="left"/>
        <w:rPr>
          <w:rFonts w:ascii="宋体" w:hAnsi="宋体" w:eastAsia="宋体"/>
          <w:b/>
          <w:bCs/>
          <w:sz w:val="24"/>
        </w:rPr>
      </w:pPr>
      <w:r>
        <w:rPr>
          <w:rFonts w:hint="eastAsia" w:ascii="宋体" w:hAnsi="宋体" w:eastAsia="宋体"/>
          <w:b/>
          <w:bCs/>
          <w:sz w:val="24"/>
        </w:rPr>
        <w:t>11. 保密义务</w:t>
      </w:r>
    </w:p>
    <w:p w14:paraId="7A886588">
      <w:pPr>
        <w:autoSpaceDE w:val="0"/>
        <w:autoSpaceDN w:val="0"/>
        <w:adjustRightInd w:val="0"/>
        <w:snapToGrid w:val="0"/>
        <w:spacing w:line="400" w:lineRule="exact"/>
        <w:ind w:firstLine="420" w:firstLineChars="200"/>
        <w:jc w:val="left"/>
        <w:rPr>
          <w:rFonts w:ascii="宋体" w:hAnsi="宋体" w:eastAsia="宋体" w:cs="宋体"/>
          <w:szCs w:val="15"/>
        </w:rPr>
      </w:pPr>
      <w:r>
        <w:rPr>
          <w:rFonts w:hint="eastAsia" w:ascii="宋体" w:hAnsi="宋体" w:eastAsia="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65A74E33">
      <w:pPr>
        <w:autoSpaceDE w:val="0"/>
        <w:autoSpaceDN w:val="0"/>
        <w:adjustRightInd w:val="0"/>
        <w:snapToGrid w:val="0"/>
        <w:spacing w:line="400" w:lineRule="exact"/>
        <w:jc w:val="left"/>
        <w:rPr>
          <w:rFonts w:ascii="宋体" w:hAnsi="宋体" w:eastAsia="宋体"/>
          <w:b/>
          <w:bCs/>
          <w:sz w:val="24"/>
        </w:rPr>
      </w:pPr>
      <w:r>
        <w:rPr>
          <w:rFonts w:hint="eastAsia" w:ascii="宋体" w:hAnsi="宋体" w:eastAsia="宋体"/>
          <w:b/>
          <w:bCs/>
          <w:sz w:val="24"/>
        </w:rPr>
        <w:t>12. 合同价款支付</w:t>
      </w:r>
    </w:p>
    <w:p w14:paraId="2ED5DD1E">
      <w:pPr>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12.1 合同价款支付按照国库集中支付制度及财政管理相关规定执行。</w:t>
      </w:r>
    </w:p>
    <w:p w14:paraId="6C962011">
      <w:pPr>
        <w:ind w:firstLine="420" w:firstLineChars="200"/>
        <w:rPr>
          <w:rFonts w:ascii="Arial" w:hAnsi="Arial"/>
          <w:b/>
          <w:bCs/>
          <w:sz w:val="24"/>
          <w:szCs w:val="32"/>
        </w:rPr>
      </w:pPr>
      <w:r>
        <w:rPr>
          <w:rFonts w:hint="eastAsia"/>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b/>
          <w:bCs/>
        </w:rPr>
        <w:t>政府采购合同专用条款</w:t>
      </w:r>
      <w:r>
        <w:rPr>
          <w:rFonts w:hint="eastAsia"/>
        </w:rPr>
        <w:t>】中约定。</w:t>
      </w:r>
    </w:p>
    <w:p w14:paraId="2461C4B2">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13. 履约保证金</w:t>
      </w:r>
    </w:p>
    <w:p w14:paraId="1721F34F">
      <w:pPr>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 xml:space="preserve">13.1 </w:t>
      </w:r>
      <w:r>
        <w:rPr>
          <w:rFonts w:hint="eastAsia" w:ascii="宋体" w:hAnsi="宋体" w:eastAsia="宋体" w:cs="宋体"/>
          <w:szCs w:val="15"/>
        </w:rPr>
        <w:t>乙方应当以支票、汇票、本票或者金融机构、担保机构出具的保函等非现金形式提交。</w:t>
      </w:r>
    </w:p>
    <w:p w14:paraId="6C26F53B">
      <w:pPr>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13.2 如果乙方出现</w:t>
      </w:r>
      <w:r>
        <w:rPr>
          <w:rFonts w:hint="eastAsia" w:ascii="宋体" w:hAnsi="宋体" w:eastAsia="宋体" w:cs="宋体"/>
          <w:b/>
          <w:bCs/>
          <w:szCs w:val="15"/>
        </w:rPr>
        <w:t>【政府采购合同专用条款】</w:t>
      </w:r>
      <w:r>
        <w:rPr>
          <w:rFonts w:hint="eastAsia" w:ascii="宋体" w:hAnsi="宋体" w:eastAsia="宋体" w:cs="宋体"/>
          <w:szCs w:val="15"/>
        </w:rPr>
        <w:t>约定情形的</w:t>
      </w:r>
      <w:r>
        <w:rPr>
          <w:rFonts w:hint="eastAsia" w:ascii="宋体" w:hAnsi="宋体" w:eastAsia="宋体"/>
          <w:szCs w:val="21"/>
        </w:rPr>
        <w:t>，履约保证金不予退还；如果乙方未能按合同约定全面履行义务，甲方有权从履约保证金中取得补偿或赔偿，且不影响甲方要求乙方承担合同约定的超过履约保证金的违约责任的权利。</w:t>
      </w:r>
    </w:p>
    <w:p w14:paraId="3E407B5E">
      <w:pPr>
        <w:spacing w:line="400" w:lineRule="exact"/>
        <w:ind w:firstLine="420"/>
        <w:rPr>
          <w:rFonts w:eastAsia="宋体"/>
        </w:rPr>
      </w:pPr>
      <w:r>
        <w:rPr>
          <w:rFonts w:hint="eastAsia" w:ascii="宋体" w:hAnsi="宋体" w:eastAsia="宋体"/>
          <w:szCs w:val="21"/>
        </w:rPr>
        <w:t>13.3 甲方在项目通过验收后按照</w:t>
      </w:r>
      <w:r>
        <w:rPr>
          <w:rFonts w:hint="eastAsia" w:ascii="宋体" w:hAnsi="宋体" w:eastAsia="宋体"/>
          <w:b/>
          <w:szCs w:val="21"/>
        </w:rPr>
        <w:t>【政府采购合同专用条款】</w:t>
      </w:r>
      <w:r>
        <w:rPr>
          <w:rFonts w:hint="eastAsia" w:ascii="宋体" w:hAnsi="宋体" w:eastAsia="宋体"/>
          <w:szCs w:val="21"/>
        </w:rPr>
        <w:t>规定的时间内将履约保证金退还乙方；逾期退还的，乙方可要求甲方支付违约金，违约金按照</w:t>
      </w:r>
      <w:r>
        <w:rPr>
          <w:rFonts w:hint="eastAsia" w:ascii="宋体" w:hAnsi="宋体" w:eastAsia="宋体"/>
          <w:b/>
          <w:szCs w:val="21"/>
        </w:rPr>
        <w:t>【政府采购合同专用条款】</w:t>
      </w:r>
      <w:r>
        <w:rPr>
          <w:rFonts w:hint="eastAsia" w:ascii="宋体" w:hAnsi="宋体" w:eastAsia="宋体"/>
          <w:szCs w:val="21"/>
        </w:rPr>
        <w:t>规定支付。</w:t>
      </w:r>
    </w:p>
    <w:p w14:paraId="083CF53D">
      <w:pPr>
        <w:autoSpaceDE w:val="0"/>
        <w:autoSpaceDN w:val="0"/>
        <w:adjustRightInd w:val="0"/>
        <w:snapToGrid w:val="0"/>
        <w:spacing w:line="400" w:lineRule="exact"/>
        <w:jc w:val="left"/>
        <w:rPr>
          <w:rFonts w:ascii="宋体" w:hAnsi="宋体" w:eastAsia="宋体"/>
          <w:b/>
          <w:sz w:val="24"/>
        </w:rPr>
      </w:pPr>
      <w:r>
        <w:rPr>
          <w:rFonts w:hint="eastAsia" w:ascii="宋体" w:hAnsi="宋体" w:eastAsia="宋体"/>
          <w:b/>
          <w:bCs/>
          <w:sz w:val="24"/>
        </w:rPr>
        <w:t xml:space="preserve">14. </w:t>
      </w:r>
      <w:r>
        <w:rPr>
          <w:rFonts w:hint="eastAsia" w:eastAsia="宋体"/>
          <w:b/>
          <w:sz w:val="24"/>
        </w:rPr>
        <w:t>售后</w:t>
      </w:r>
      <w:r>
        <w:rPr>
          <w:rFonts w:hint="eastAsia" w:ascii="宋体" w:hAnsi="宋体" w:eastAsia="宋体"/>
          <w:b/>
          <w:sz w:val="24"/>
        </w:rPr>
        <w:t>服务</w:t>
      </w:r>
    </w:p>
    <w:p w14:paraId="1BDCE3E5">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14.1 除项目不涉及或采购活动中明确约定无须承担外，乙方还应提供下列服务：</w:t>
      </w:r>
    </w:p>
    <w:p w14:paraId="08CED69C">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（1）货物的现场移动、安装、调试、启动监督及技术支持；</w:t>
      </w:r>
    </w:p>
    <w:p w14:paraId="64CBC551">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（2）提供货物组装和维修所需的专用工具和辅助材料；</w:t>
      </w:r>
    </w:p>
    <w:p w14:paraId="400FE0A0">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（3）在</w:t>
      </w:r>
      <w:r>
        <w:rPr>
          <w:rFonts w:hint="eastAsia" w:ascii="宋体" w:hAnsi="宋体" w:eastAsia="宋体" w:cs="宋体"/>
          <w:b/>
          <w:bCs/>
          <w:szCs w:val="15"/>
        </w:rPr>
        <w:t>【政府采购合同专用条款】</w:t>
      </w:r>
      <w:r>
        <w:rPr>
          <w:rFonts w:hint="eastAsia" w:ascii="宋体" w:hAnsi="宋体" w:eastAsia="宋体"/>
          <w:szCs w:val="21"/>
        </w:rPr>
        <w:t>约定的期限内对所有的货物实施运行监督、维修，但前提条件是该服务并不能免除乙方在质量保证期内所承担的义务；</w:t>
      </w:r>
    </w:p>
    <w:p w14:paraId="3E97C57D">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（4）在制造商所在地或指定现场就货物的安装、启动、运营、维护、废弃处置等对甲方操作人员进行培训</w:t>
      </w:r>
      <w:r>
        <w:rPr>
          <w:rFonts w:hint="eastAsia" w:ascii="宋体" w:hAnsi="宋体" w:eastAsia="宋体" w:cs="宋体"/>
          <w:szCs w:val="15"/>
        </w:rPr>
        <w:t>；</w:t>
      </w:r>
    </w:p>
    <w:p w14:paraId="62999AA7">
      <w:pPr>
        <w:autoSpaceDE w:val="0"/>
        <w:autoSpaceDN w:val="0"/>
        <w:adjustRightInd w:val="0"/>
        <w:spacing w:line="400" w:lineRule="exact"/>
        <w:ind w:firstLine="420" w:firstLineChars="200"/>
        <w:rPr>
          <w:rFonts w:ascii="宋体" w:hAnsi="宋体" w:eastAsia="宋体" w:cs="宋体"/>
          <w:szCs w:val="21"/>
        </w:rPr>
      </w:pPr>
      <w:r>
        <w:rPr>
          <w:rFonts w:hint="eastAsia" w:ascii="宋体" w:hAnsi="宋体" w:eastAsia="宋体" w:cs="宋体"/>
          <w:szCs w:val="21"/>
        </w:rPr>
        <w:t>（5）依照法律、行政法规的规定或者按照</w:t>
      </w:r>
      <w:r>
        <w:rPr>
          <w:rFonts w:hint="eastAsia" w:ascii="宋体" w:hAnsi="宋体" w:eastAsia="宋体" w:cs="宋体"/>
          <w:b/>
          <w:bCs/>
          <w:szCs w:val="21"/>
        </w:rPr>
        <w:t>【政府采购合同专用条款】</w:t>
      </w:r>
      <w:r>
        <w:rPr>
          <w:rFonts w:hint="eastAsia" w:ascii="宋体" w:hAnsi="宋体" w:eastAsia="宋体" w:cs="宋体"/>
          <w:szCs w:val="21"/>
        </w:rPr>
        <w:t>约定，货物在有效使用年限届满后应予回收的，乙方负有自行或者委托第三人对货物予以回收的义务；</w:t>
      </w:r>
    </w:p>
    <w:p w14:paraId="6083FE3A">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（6）</w:t>
      </w:r>
      <w:r>
        <w:rPr>
          <w:rFonts w:hint="eastAsia" w:ascii="宋体" w:hAnsi="宋体" w:eastAsia="宋体"/>
          <w:b/>
          <w:szCs w:val="21"/>
        </w:rPr>
        <w:t>【政府采购合同专用条款】</w:t>
      </w:r>
      <w:r>
        <w:rPr>
          <w:rFonts w:hint="eastAsia" w:ascii="宋体" w:hAnsi="宋体" w:eastAsia="宋体"/>
          <w:szCs w:val="21"/>
        </w:rPr>
        <w:t>规定由乙方提供的其他服务。</w:t>
      </w:r>
    </w:p>
    <w:p w14:paraId="60924A95">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14.2 乙方提供的售后服务的费用已包含在合同价款中，甲方不再另行支付。</w:t>
      </w:r>
    </w:p>
    <w:p w14:paraId="65B35184">
      <w:pPr>
        <w:adjustRightInd w:val="0"/>
        <w:snapToGrid w:val="0"/>
        <w:spacing w:line="400" w:lineRule="exact"/>
        <w:jc w:val="left"/>
        <w:rPr>
          <w:rFonts w:ascii="宋体" w:hAnsi="宋体" w:eastAsia="宋体"/>
          <w:b/>
          <w:bCs/>
          <w:sz w:val="24"/>
        </w:rPr>
      </w:pPr>
      <w:r>
        <w:rPr>
          <w:rFonts w:hint="eastAsia" w:ascii="宋体" w:hAnsi="宋体" w:eastAsia="宋体"/>
          <w:b/>
          <w:bCs/>
          <w:sz w:val="24"/>
        </w:rPr>
        <w:t>15. 违约责任</w:t>
      </w:r>
    </w:p>
    <w:p w14:paraId="7059A9BB">
      <w:pPr>
        <w:adjustRightInd w:val="0"/>
        <w:snapToGrid w:val="0"/>
        <w:spacing w:line="400" w:lineRule="exact"/>
        <w:ind w:firstLine="420" w:firstLineChars="200"/>
        <w:jc w:val="left"/>
        <w:rPr>
          <w:rFonts w:ascii="宋体" w:hAnsi="宋体" w:eastAsia="宋体"/>
          <w:bCs/>
          <w:szCs w:val="21"/>
        </w:rPr>
      </w:pPr>
      <w:r>
        <w:rPr>
          <w:rFonts w:hint="eastAsia" w:ascii="宋体" w:hAnsi="宋体" w:eastAsia="宋体"/>
          <w:bCs/>
          <w:szCs w:val="21"/>
        </w:rPr>
        <w:t>15.1质量瑕疵的违约责任</w:t>
      </w:r>
    </w:p>
    <w:p w14:paraId="281E9418">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乙方提供的产品不符合合同约定的质量标准或存在产品质量缺陷，甲方有权要求乙方根据</w:t>
      </w:r>
      <w:r>
        <w:rPr>
          <w:rFonts w:hint="eastAsia" w:ascii="宋体" w:hAnsi="宋体" w:eastAsia="宋体"/>
          <w:b/>
          <w:szCs w:val="21"/>
        </w:rPr>
        <w:t>【政府采购合同专用条款】</w:t>
      </w:r>
      <w:r>
        <w:rPr>
          <w:rFonts w:hint="eastAsia" w:ascii="宋体" w:hAnsi="宋体" w:eastAsia="宋体"/>
          <w:bCs/>
          <w:szCs w:val="21"/>
        </w:rPr>
        <w:t>要求</w:t>
      </w:r>
      <w:r>
        <w:rPr>
          <w:rFonts w:hint="eastAsia" w:ascii="宋体" w:hAnsi="宋体" w:eastAsia="宋体"/>
          <w:szCs w:val="21"/>
        </w:rPr>
        <w:t>及时修理、重作、更换，并承担由此给甲方造成的损失。</w:t>
      </w:r>
    </w:p>
    <w:p w14:paraId="31F4AAC7">
      <w:pPr>
        <w:autoSpaceDE w:val="0"/>
        <w:autoSpaceDN w:val="0"/>
        <w:adjustRightInd w:val="0"/>
        <w:snapToGrid w:val="0"/>
        <w:spacing w:line="400" w:lineRule="exact"/>
        <w:ind w:firstLine="420" w:firstLineChars="200"/>
        <w:jc w:val="left"/>
        <w:rPr>
          <w:rFonts w:ascii="宋体" w:hAnsi="宋体" w:eastAsia="宋体"/>
          <w:bCs/>
          <w:szCs w:val="21"/>
        </w:rPr>
      </w:pPr>
      <w:r>
        <w:rPr>
          <w:rFonts w:hint="eastAsia" w:ascii="宋体" w:hAnsi="宋体" w:eastAsia="宋体"/>
          <w:bCs/>
          <w:szCs w:val="21"/>
        </w:rPr>
        <w:t>15.2 迟延交货的违约责任</w:t>
      </w:r>
    </w:p>
    <w:p w14:paraId="794EA5C2">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FACF3DF">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（2）如果乙方没有按照合同规定的时间交货和提供相关服务，甲方有权从货款中扣除误期赔偿费而不影响合同项下的其他补救方法，赔偿费按</w:t>
      </w:r>
      <w:r>
        <w:rPr>
          <w:rFonts w:hint="eastAsia" w:ascii="宋体" w:hAnsi="宋体" w:eastAsia="宋体"/>
          <w:b/>
          <w:szCs w:val="21"/>
        </w:rPr>
        <w:t>【政府采购合同专用条款】</w:t>
      </w:r>
      <w:r>
        <w:rPr>
          <w:rFonts w:hint="eastAsia" w:ascii="宋体" w:hAnsi="宋体" w:eastAsia="宋体"/>
          <w:szCs w:val="21"/>
        </w:rPr>
        <w:t>规定执行。如果涉及公共利益，且赔偿金额无法弥补公共利益损失，甲方可要求继续履行或者采取其他补救措施。</w:t>
      </w:r>
    </w:p>
    <w:p w14:paraId="3113E4CF">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15.3 迟延支付的违约责任</w:t>
      </w:r>
    </w:p>
    <w:p w14:paraId="03A8D428">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甲方存在迟延支付乙方合同款项的，应当承担</w:t>
      </w:r>
      <w:r>
        <w:rPr>
          <w:rFonts w:hint="eastAsia" w:ascii="宋体" w:hAnsi="宋体" w:eastAsia="宋体"/>
          <w:b/>
          <w:bCs/>
          <w:szCs w:val="21"/>
        </w:rPr>
        <w:t>【政府采购合同专用条款】</w:t>
      </w:r>
      <w:r>
        <w:rPr>
          <w:rFonts w:hint="eastAsia" w:ascii="宋体" w:hAnsi="宋体" w:eastAsia="宋体"/>
          <w:szCs w:val="21"/>
        </w:rPr>
        <w:t>规定的逾期付款利息。</w:t>
      </w:r>
    </w:p>
    <w:p w14:paraId="6717E80A">
      <w:pPr>
        <w:adjustRightInd w:val="0"/>
        <w:snapToGrid w:val="0"/>
        <w:spacing w:line="400" w:lineRule="exact"/>
        <w:ind w:firstLine="420" w:firstLineChars="200"/>
        <w:jc w:val="left"/>
        <w:rPr>
          <w:rFonts w:ascii="宋体" w:hAnsi="宋体" w:eastAsia="宋体"/>
          <w:szCs w:val="21"/>
        </w:rPr>
      </w:pPr>
      <w:r>
        <w:rPr>
          <w:rFonts w:hint="eastAsia" w:ascii="宋体" w:hAnsi="宋体" w:eastAsia="宋体"/>
          <w:bCs/>
          <w:szCs w:val="21"/>
        </w:rPr>
        <w:t>15.4其他违约责任根据项目实际需要按</w:t>
      </w:r>
      <w:r>
        <w:rPr>
          <w:rFonts w:hint="eastAsia" w:ascii="宋体" w:hAnsi="宋体" w:eastAsia="宋体"/>
          <w:b/>
          <w:bCs/>
          <w:szCs w:val="21"/>
        </w:rPr>
        <w:t>【政府采购合同专用条款】</w:t>
      </w:r>
      <w:r>
        <w:rPr>
          <w:rFonts w:hint="eastAsia" w:ascii="宋体" w:hAnsi="宋体" w:eastAsia="宋体"/>
          <w:szCs w:val="21"/>
        </w:rPr>
        <w:t>规定执行。</w:t>
      </w:r>
    </w:p>
    <w:p w14:paraId="57AF41BD">
      <w:pPr>
        <w:numPr>
          <w:ilvl w:val="0"/>
          <w:numId w:val="16"/>
        </w:numPr>
        <w:autoSpaceDE w:val="0"/>
        <w:autoSpaceDN w:val="0"/>
        <w:adjustRightInd w:val="0"/>
        <w:snapToGrid w:val="0"/>
        <w:spacing w:line="400" w:lineRule="exact"/>
        <w:jc w:val="left"/>
        <w:rPr>
          <w:rFonts w:ascii="宋体" w:hAnsi="宋体" w:eastAsia="宋体"/>
          <w:b/>
          <w:sz w:val="24"/>
        </w:rPr>
      </w:pPr>
      <w:r>
        <w:rPr>
          <w:rFonts w:hint="eastAsia" w:ascii="宋体" w:hAnsi="宋体" w:eastAsia="宋体"/>
          <w:b/>
          <w:sz w:val="24"/>
        </w:rPr>
        <w:t>合同变更、中止与终止</w:t>
      </w:r>
    </w:p>
    <w:p w14:paraId="7240D2BB">
      <w:pPr>
        <w:adjustRightInd w:val="0"/>
        <w:snapToGrid w:val="0"/>
        <w:spacing w:line="400" w:lineRule="exact"/>
        <w:jc w:val="left"/>
        <w:rPr>
          <w:rFonts w:ascii="宋体" w:hAnsi="宋体" w:eastAsia="宋体"/>
          <w:szCs w:val="21"/>
        </w:rPr>
      </w:pPr>
      <w:r>
        <w:rPr>
          <w:rFonts w:hint="eastAsia" w:ascii="宋体" w:hAnsi="宋体" w:eastAsia="宋体"/>
          <w:szCs w:val="21"/>
        </w:rPr>
        <w:t xml:space="preserve">    16.1合同的变更</w:t>
      </w:r>
    </w:p>
    <w:p w14:paraId="736D9DD6">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政府采购合同履行中，在不改变合同其他条款的前提下，甲方可以在合同价款10%的范围内追加与合同标的相同的货物，并就此与乙方协商一致后签订补充协议。</w:t>
      </w:r>
    </w:p>
    <w:p w14:paraId="5ABF4B6D">
      <w:pPr>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16.2合同的中止</w:t>
      </w:r>
    </w:p>
    <w:p w14:paraId="0DEC3F7F">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（1）合同履行过程中因供应商就采购文件、采购过程或结果提起投诉的，甲方认为有必要的，可以中止合同的履行。</w:t>
      </w:r>
    </w:p>
    <w:p w14:paraId="1C392345">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5B8BFDE">
      <w:pPr>
        <w:autoSpaceDE w:val="0"/>
        <w:autoSpaceDN w:val="0"/>
        <w:adjustRightInd w:val="0"/>
        <w:spacing w:line="400" w:lineRule="exact"/>
        <w:ind w:firstLine="420" w:firstLineChars="200"/>
        <w:rPr>
          <w:rFonts w:ascii="华文楷体" w:hAnsi="华文楷体" w:eastAsia="华文楷体" w:cs="华文楷体"/>
          <w:szCs w:val="21"/>
        </w:rPr>
      </w:pPr>
      <w:r>
        <w:rPr>
          <w:rFonts w:hint="eastAsia" w:ascii="宋体" w:hAnsi="宋体" w:eastAsia="宋体" w:cs="宋体"/>
          <w:szCs w:val="21"/>
        </w:rPr>
        <w:t>（3）乙方分立、合并或者变更住所的，应当及时以书面形式告知甲方。乙方没有及时告知甲方，致使合同履行发生困难的，甲方可以中止合同履行并要求乙方承担由此给甲方造成的损失。</w:t>
      </w:r>
    </w:p>
    <w:p w14:paraId="7B4A4502">
      <w:pPr>
        <w:snapToGrid w:val="0"/>
        <w:spacing w:line="400" w:lineRule="exact"/>
        <w:ind w:firstLine="420" w:firstLineChars="200"/>
        <w:jc w:val="left"/>
        <w:rPr>
          <w:rFonts w:eastAsia="宋体"/>
        </w:rPr>
      </w:pPr>
      <w:r>
        <w:rPr>
          <w:rFonts w:hint="eastAsia" w:ascii="宋体" w:hAnsi="宋体" w:eastAsia="宋体"/>
          <w:szCs w:val="21"/>
        </w:rPr>
        <w:t>（4）甲方不得以行政区划调整、政府换届、机构或者职能调整以及相关责任人更替为由中止合同。</w:t>
      </w:r>
    </w:p>
    <w:p w14:paraId="6C3671C1">
      <w:pPr>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16.3合同的终止</w:t>
      </w:r>
    </w:p>
    <w:p w14:paraId="2BD64B7E">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（1）合同因有效期限届满而终止；</w:t>
      </w:r>
    </w:p>
    <w:p w14:paraId="7D315042">
      <w:pPr>
        <w:snapToGrid w:val="0"/>
        <w:spacing w:line="400" w:lineRule="exact"/>
        <w:ind w:firstLine="420" w:firstLineChars="200"/>
        <w:rPr>
          <w:rFonts w:ascii="宋体" w:hAnsi="宋体" w:eastAsia="宋体" w:cs="宋体"/>
          <w:szCs w:val="21"/>
        </w:rPr>
      </w:pPr>
      <w:r>
        <w:rPr>
          <w:rFonts w:hint="eastAsia" w:ascii="宋体" w:hAnsi="宋体" w:eastAsia="宋体"/>
          <w:szCs w:val="21"/>
        </w:rPr>
        <w:t>（2）乙方未按合同约定履行，构成根本性违约的，甲方有权终止合同，</w:t>
      </w:r>
      <w:r>
        <w:rPr>
          <w:rFonts w:hint="eastAsia" w:ascii="宋体" w:hAnsi="宋体" w:eastAsia="宋体" w:cs="宋体"/>
          <w:szCs w:val="21"/>
        </w:rPr>
        <w:t>并追究乙方的违约责任</w:t>
      </w:r>
      <w:r>
        <w:rPr>
          <w:rFonts w:hint="eastAsia" w:ascii="宋体" w:hAnsi="宋体" w:eastAsia="宋体"/>
          <w:szCs w:val="21"/>
        </w:rPr>
        <w:t>。</w:t>
      </w:r>
    </w:p>
    <w:p w14:paraId="618BD98D">
      <w:pPr>
        <w:autoSpaceDE w:val="0"/>
        <w:autoSpaceDN w:val="0"/>
        <w:adjustRightInd w:val="0"/>
        <w:spacing w:line="400" w:lineRule="exact"/>
        <w:ind w:firstLine="440" w:firstLineChars="200"/>
        <w:rPr>
          <w:rFonts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eastAsia="宋体" w:cs="Times New Roman"/>
          <w:szCs w:val="21"/>
        </w:rPr>
        <w:t>涉及国家利益、社会公共利益的情形</w:t>
      </w:r>
    </w:p>
    <w:p w14:paraId="308E1644">
      <w:pPr>
        <w:autoSpaceDE w:val="0"/>
        <w:autoSpaceDN w:val="0"/>
        <w:adjustRightInd w:val="0"/>
        <w:spacing w:line="400" w:lineRule="exact"/>
        <w:ind w:firstLine="420" w:firstLineChars="200"/>
        <w:rPr>
          <w:rFonts w:ascii="华文楷体" w:hAnsi="华文楷体" w:eastAsia="华文楷体" w:cs="华文楷体"/>
          <w:szCs w:val="21"/>
        </w:rPr>
      </w:pPr>
      <w:r>
        <w:rPr>
          <w:rFonts w:hint="eastAsia" w:ascii="宋体" w:hAnsi="宋体" w:eastAsia="宋体" w:cs="宋体"/>
          <w:szCs w:val="21"/>
        </w:rPr>
        <w:t>政府采购合同继续履行将损害国家利益和社会公共利益的，双方当事人应当变更、中止或者终止合同。有过错的一方应当承担赔偿责任，双方都有过错的，各自承担相应的责任。</w:t>
      </w:r>
    </w:p>
    <w:p w14:paraId="34AAD4B0">
      <w:pPr>
        <w:autoSpaceDE w:val="0"/>
        <w:autoSpaceDN w:val="0"/>
        <w:adjustRightInd w:val="0"/>
        <w:snapToGrid w:val="0"/>
        <w:spacing w:line="400" w:lineRule="exact"/>
        <w:jc w:val="left"/>
        <w:rPr>
          <w:rFonts w:ascii="宋体" w:hAnsi="宋体" w:eastAsia="宋体"/>
          <w:b/>
          <w:bCs/>
          <w:sz w:val="24"/>
        </w:rPr>
      </w:pPr>
      <w:r>
        <w:rPr>
          <w:rFonts w:hint="eastAsia" w:ascii="宋体" w:hAnsi="宋体" w:eastAsia="宋体"/>
          <w:b/>
          <w:bCs/>
          <w:sz w:val="24"/>
        </w:rPr>
        <w:t>17. 合同分包</w:t>
      </w:r>
    </w:p>
    <w:p w14:paraId="7AA9C656">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17.1 乙方不得将合同转包给其他供应商。涉及合同分包的，乙方应根据采购文件和投标（响应）文件规定进行合同分包。</w:t>
      </w:r>
    </w:p>
    <w:p w14:paraId="20B7ABA2">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17.2 乙方执行政府采购政策向中小企业依法分包的，乙方应当按采购文件和投标（响应）文件签订分包意向协议，分包意向协议属于本合同组成部分。</w:t>
      </w:r>
    </w:p>
    <w:p w14:paraId="55189057">
      <w:pPr>
        <w:autoSpaceDE w:val="0"/>
        <w:autoSpaceDN w:val="0"/>
        <w:adjustRightInd w:val="0"/>
        <w:snapToGrid w:val="0"/>
        <w:spacing w:line="400" w:lineRule="exact"/>
        <w:jc w:val="left"/>
        <w:rPr>
          <w:rFonts w:ascii="宋体" w:hAnsi="宋体" w:eastAsia="宋体"/>
          <w:b/>
          <w:bCs/>
          <w:sz w:val="24"/>
        </w:rPr>
      </w:pPr>
      <w:r>
        <w:rPr>
          <w:rFonts w:hint="eastAsia" w:ascii="宋体" w:hAnsi="宋体" w:eastAsia="宋体"/>
          <w:b/>
          <w:bCs/>
          <w:sz w:val="24"/>
        </w:rPr>
        <w:t>18. 不可抗力</w:t>
      </w:r>
    </w:p>
    <w:p w14:paraId="57080A70">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18.1 不可抗力是指合同双方不能预见、不能避免且不能克服的客观情况。</w:t>
      </w:r>
    </w:p>
    <w:p w14:paraId="75296EA6">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18.2 任何一方对由于不可抗力造成的部分或全部不能履行合同不承担违约责任。但迟延履行后发生不可抗力的，不能免除责任。</w:t>
      </w:r>
    </w:p>
    <w:p w14:paraId="633F552D">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E3A0AB4">
      <w:pPr>
        <w:autoSpaceDE w:val="0"/>
        <w:autoSpaceDN w:val="0"/>
        <w:adjustRightInd w:val="0"/>
        <w:snapToGrid w:val="0"/>
        <w:spacing w:line="400" w:lineRule="exact"/>
        <w:jc w:val="left"/>
        <w:rPr>
          <w:rFonts w:ascii="宋体" w:hAnsi="宋体" w:eastAsia="宋体"/>
          <w:b/>
          <w:bCs/>
          <w:sz w:val="24"/>
        </w:rPr>
      </w:pPr>
      <w:r>
        <w:rPr>
          <w:rFonts w:hint="eastAsia" w:ascii="宋体" w:hAnsi="宋体" w:eastAsia="宋体"/>
          <w:b/>
          <w:bCs/>
          <w:sz w:val="24"/>
        </w:rPr>
        <w:t>19. 解决争议的方法</w:t>
      </w:r>
    </w:p>
    <w:p w14:paraId="00C88534">
      <w:pPr>
        <w:autoSpaceDE w:val="0"/>
        <w:autoSpaceDN w:val="0"/>
        <w:adjustRightInd w:val="0"/>
        <w:spacing w:line="400" w:lineRule="exact"/>
        <w:ind w:firstLine="420" w:firstLineChars="200"/>
        <w:rPr>
          <w:rFonts w:ascii="宋体" w:hAnsi="宋体" w:eastAsia="宋体" w:cs="宋体"/>
          <w:szCs w:val="21"/>
        </w:rPr>
      </w:pPr>
      <w:r>
        <w:rPr>
          <w:rFonts w:hint="eastAsia" w:ascii="宋体" w:hAnsi="宋体" w:eastAsia="宋体" w:cs="宋体"/>
          <w:szCs w:val="21"/>
        </w:rPr>
        <w:t>19.1 因本合同及合同有关事项发生的争议，由甲乙双方友好协商解决。协商不成时，可以向有关组织申请调解。合同一方或双方不愿调解或调解不成的，可以通过仲裁或诉讼的方式解决争议。</w:t>
      </w:r>
    </w:p>
    <w:p w14:paraId="5968737F">
      <w:pPr>
        <w:autoSpaceDE w:val="0"/>
        <w:autoSpaceDN w:val="0"/>
        <w:adjustRightInd w:val="0"/>
        <w:spacing w:line="400" w:lineRule="exact"/>
        <w:ind w:firstLine="420" w:firstLineChars="200"/>
        <w:rPr>
          <w:rFonts w:ascii="宋体" w:hAnsi="宋体" w:eastAsia="宋体" w:cs="宋体"/>
          <w:szCs w:val="21"/>
        </w:rPr>
      </w:pPr>
      <w:r>
        <w:rPr>
          <w:rFonts w:hint="eastAsia" w:ascii="宋体" w:hAnsi="宋体" w:eastAsia="宋体" w:cs="宋体"/>
          <w:szCs w:val="21"/>
        </w:rPr>
        <w:t>19.2 选择仲裁的，应在</w:t>
      </w:r>
      <w:r>
        <w:rPr>
          <w:rFonts w:hint="eastAsia" w:ascii="宋体" w:hAnsi="宋体" w:eastAsia="宋体" w:cs="宋体"/>
          <w:b/>
          <w:bCs/>
          <w:szCs w:val="21"/>
        </w:rPr>
        <w:t>【政府采购合同专用条款】</w:t>
      </w:r>
      <w:r>
        <w:rPr>
          <w:rFonts w:hint="eastAsia" w:ascii="宋体" w:hAnsi="宋体" w:eastAsia="宋体" w:cs="宋体"/>
          <w:szCs w:val="21"/>
        </w:rPr>
        <w:t>中明确仲裁机构及仲裁地；通过诉讼方式解决的，可以在</w:t>
      </w:r>
      <w:r>
        <w:rPr>
          <w:rFonts w:hint="eastAsia" w:ascii="宋体" w:hAnsi="宋体" w:eastAsia="宋体" w:cs="宋体"/>
          <w:b/>
          <w:bCs/>
          <w:szCs w:val="21"/>
        </w:rPr>
        <w:t>【政府采购合同专用条款】</w:t>
      </w:r>
      <w:r>
        <w:rPr>
          <w:rFonts w:hint="eastAsia" w:ascii="宋体" w:hAnsi="宋体" w:eastAsia="宋体" w:cs="宋体"/>
          <w:szCs w:val="21"/>
        </w:rPr>
        <w:t>中进一步约定选择与争议有实际联系的地点的人民法院管辖，但管辖法院的约定不得违反级别管辖和专属管辖的规定。</w:t>
      </w:r>
    </w:p>
    <w:p w14:paraId="4A37B974">
      <w:pPr>
        <w:autoSpaceDE w:val="0"/>
        <w:autoSpaceDN w:val="0"/>
        <w:adjustRightInd w:val="0"/>
        <w:spacing w:line="400" w:lineRule="exact"/>
        <w:ind w:firstLine="420" w:firstLineChars="200"/>
        <w:rPr>
          <w:rFonts w:ascii="宋体" w:hAnsi="宋体" w:eastAsia="宋体" w:cs="宋体"/>
          <w:szCs w:val="21"/>
        </w:rPr>
      </w:pPr>
      <w:r>
        <w:rPr>
          <w:rFonts w:hint="eastAsia" w:ascii="宋体" w:hAnsi="宋体" w:eastAsia="宋体" w:cs="宋体"/>
          <w:szCs w:val="21"/>
        </w:rPr>
        <w:t>19.3 如甲乙双方有争议的事项不影响合同其他部分的履行，在争议解决期间，合同其他部分应当继续履行。</w:t>
      </w:r>
    </w:p>
    <w:p w14:paraId="4C5F25C2">
      <w:pPr>
        <w:autoSpaceDE w:val="0"/>
        <w:autoSpaceDN w:val="0"/>
        <w:adjustRightInd w:val="0"/>
        <w:snapToGrid w:val="0"/>
        <w:spacing w:line="400" w:lineRule="exact"/>
        <w:jc w:val="left"/>
        <w:rPr>
          <w:rFonts w:ascii="宋体" w:hAnsi="宋体" w:eastAsia="宋体"/>
          <w:sz w:val="24"/>
        </w:rPr>
      </w:pPr>
      <w:r>
        <w:rPr>
          <w:rFonts w:hint="eastAsia" w:ascii="宋体" w:hAnsi="宋体" w:eastAsia="宋体"/>
          <w:b/>
          <w:sz w:val="24"/>
        </w:rPr>
        <w:t>20. 政府采购政策</w:t>
      </w:r>
    </w:p>
    <w:p w14:paraId="08737507">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 xml:space="preserve">20.1 </w:t>
      </w:r>
      <w:r>
        <w:rPr>
          <w:rFonts w:hint="eastAsia" w:ascii="宋体" w:hAnsi="宋体" w:eastAsia="宋体" w:cs="宋体"/>
          <w:lang w:val="en-GB"/>
        </w:rPr>
        <w:t>本合同应当按照规定执行政府采购政策。</w:t>
      </w:r>
    </w:p>
    <w:p w14:paraId="516483B2">
      <w:pPr>
        <w:autoSpaceDE w:val="0"/>
        <w:autoSpaceDN w:val="0"/>
        <w:adjustRightInd w:val="0"/>
        <w:snapToGrid w:val="0"/>
        <w:spacing w:line="400" w:lineRule="exact"/>
        <w:ind w:firstLine="420" w:firstLineChars="200"/>
        <w:jc w:val="left"/>
        <w:rPr>
          <w:rFonts w:ascii="宋体" w:hAnsi="宋体" w:eastAsia="宋体"/>
          <w:szCs w:val="21"/>
        </w:rPr>
      </w:pPr>
      <w:r>
        <w:rPr>
          <w:rFonts w:ascii="宋体" w:hAnsi="宋体" w:eastAsia="宋体"/>
          <w:szCs w:val="21"/>
        </w:rPr>
        <w:t>2</w:t>
      </w:r>
      <w:r>
        <w:rPr>
          <w:rFonts w:hint="eastAsia" w:ascii="宋体" w:hAnsi="宋体" w:eastAsia="宋体"/>
          <w:szCs w:val="21"/>
        </w:rPr>
        <w:t>0.2 本合同依法执行政府采购政策的方式和内容，属于合同履约验收的范围。</w:t>
      </w:r>
      <w:r>
        <w:rPr>
          <w:rFonts w:hint="eastAsia" w:ascii="宋体" w:hAnsi="宋体" w:eastAsia="宋体" w:cs="宋体"/>
        </w:rPr>
        <w:t>甲乙双方</w:t>
      </w:r>
      <w:r>
        <w:rPr>
          <w:rFonts w:hint="eastAsia" w:ascii="宋体" w:hAnsi="宋体" w:eastAsia="宋体" w:cs="宋体"/>
          <w:lang w:val="en-GB"/>
        </w:rPr>
        <w:t>未按规定要求执行政府采购政策造成损失的</w:t>
      </w:r>
      <w:r>
        <w:rPr>
          <w:rFonts w:hint="eastAsia" w:ascii="宋体" w:hAnsi="宋体" w:eastAsia="宋体"/>
          <w:szCs w:val="21"/>
        </w:rPr>
        <w:t>，有过错的一方应当承担赔偿责任，双方都有过错的，各自承担相应的责任。</w:t>
      </w:r>
    </w:p>
    <w:p w14:paraId="644440C7">
      <w:pPr>
        <w:spacing w:line="400" w:lineRule="exact"/>
        <w:ind w:firstLine="420" w:firstLineChars="200"/>
        <w:rPr>
          <w:rFonts w:ascii="Calibri" w:hAnsi="Calibri" w:eastAsia="宋体" w:cs="Times New Roman"/>
        </w:rPr>
      </w:pPr>
      <w:r>
        <w:rPr>
          <w:rFonts w:ascii="宋体" w:hAnsi="宋体" w:eastAsia="宋体" w:cs="Times New Roman"/>
          <w:szCs w:val="21"/>
        </w:rPr>
        <w:t>2</w:t>
      </w:r>
      <w:r>
        <w:rPr>
          <w:rFonts w:hint="eastAsia" w:ascii="宋体" w:hAnsi="宋体" w:eastAsia="宋体" w:cs="Times New Roman"/>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E51851B">
      <w:pPr>
        <w:autoSpaceDE w:val="0"/>
        <w:autoSpaceDN w:val="0"/>
        <w:adjustRightInd w:val="0"/>
        <w:snapToGrid w:val="0"/>
        <w:spacing w:line="400" w:lineRule="exact"/>
        <w:jc w:val="left"/>
        <w:rPr>
          <w:rFonts w:ascii="宋体" w:hAnsi="宋体" w:eastAsia="宋体"/>
          <w:b/>
          <w:sz w:val="24"/>
        </w:rPr>
      </w:pPr>
      <w:r>
        <w:rPr>
          <w:rFonts w:hint="eastAsia" w:ascii="宋体" w:hAnsi="宋体" w:eastAsia="宋体"/>
          <w:b/>
          <w:sz w:val="24"/>
        </w:rPr>
        <w:t>21. 法律适用</w:t>
      </w:r>
    </w:p>
    <w:p w14:paraId="52BBD59D">
      <w:pPr>
        <w:autoSpaceDE w:val="0"/>
        <w:autoSpaceDN w:val="0"/>
        <w:adjustRightInd w:val="0"/>
        <w:spacing w:line="400" w:lineRule="exact"/>
        <w:ind w:firstLine="420" w:firstLineChars="200"/>
        <w:rPr>
          <w:rFonts w:ascii="宋体" w:hAnsi="宋体" w:eastAsia="宋体" w:cs="宋体"/>
          <w:szCs w:val="21"/>
        </w:rPr>
      </w:pPr>
      <w:r>
        <w:rPr>
          <w:rFonts w:hint="eastAsia" w:ascii="宋体" w:hAnsi="宋体" w:eastAsia="宋体" w:cs="宋体"/>
          <w:szCs w:val="21"/>
        </w:rPr>
        <w:t>21.1 本合同的订立、生效、解释、履行及与本合同有关的争议解决，均适用法律、行政法规。</w:t>
      </w:r>
    </w:p>
    <w:p w14:paraId="0ECA65CE">
      <w:pPr>
        <w:autoSpaceDE w:val="0"/>
        <w:autoSpaceDN w:val="0"/>
        <w:adjustRightInd w:val="0"/>
        <w:spacing w:line="400" w:lineRule="exact"/>
        <w:ind w:firstLine="420" w:firstLineChars="200"/>
        <w:rPr>
          <w:rFonts w:ascii="宋体" w:hAnsi="宋体" w:eastAsia="宋体" w:cs="宋体"/>
          <w:szCs w:val="21"/>
        </w:rPr>
      </w:pPr>
      <w:r>
        <w:rPr>
          <w:rFonts w:hint="eastAsia" w:ascii="宋体" w:hAnsi="宋体" w:eastAsia="宋体" w:cs="宋体"/>
          <w:szCs w:val="21"/>
        </w:rPr>
        <w:t>21.2 本合同条款与法律、行政法规的强制性规定不一致的，双方当事人应按照法律、行政法规的强制性规定修改本合同的相关条款。</w:t>
      </w:r>
    </w:p>
    <w:p w14:paraId="7B29090D">
      <w:pPr>
        <w:numPr>
          <w:ilvl w:val="255"/>
          <w:numId w:val="0"/>
        </w:numPr>
        <w:autoSpaceDE w:val="0"/>
        <w:autoSpaceDN w:val="0"/>
        <w:adjustRightInd w:val="0"/>
        <w:snapToGrid w:val="0"/>
        <w:spacing w:line="400" w:lineRule="exact"/>
        <w:jc w:val="left"/>
        <w:rPr>
          <w:rFonts w:ascii="宋体" w:hAnsi="宋体" w:eastAsia="宋体"/>
          <w:b/>
          <w:sz w:val="24"/>
        </w:rPr>
      </w:pPr>
      <w:r>
        <w:rPr>
          <w:rFonts w:hint="eastAsia" w:ascii="宋体" w:hAnsi="宋体" w:eastAsia="宋体"/>
          <w:b/>
          <w:sz w:val="24"/>
        </w:rPr>
        <w:t>22. 通知</w:t>
      </w:r>
    </w:p>
    <w:p w14:paraId="39E8A2D7">
      <w:pPr>
        <w:autoSpaceDE w:val="0"/>
        <w:autoSpaceDN w:val="0"/>
        <w:adjustRightInd w:val="0"/>
        <w:spacing w:line="400" w:lineRule="exact"/>
        <w:ind w:firstLine="420" w:firstLineChars="200"/>
        <w:rPr>
          <w:rFonts w:ascii="宋体" w:hAnsi="宋体" w:eastAsia="宋体" w:cs="宋体"/>
          <w:szCs w:val="21"/>
        </w:rPr>
      </w:pPr>
      <w:r>
        <w:rPr>
          <w:rFonts w:hint="eastAsia" w:ascii="宋体" w:hAnsi="宋体" w:eastAsia="宋体" w:cs="宋体"/>
          <w:szCs w:val="21"/>
        </w:rPr>
        <w:t>22.1 本合同任何一方向对方发出的通知、信件、数据电文等，应当发送至本合同第一部分《政府采购合同协议书》所约定的通讯地址、联系人、联系电话或电子邮箱。</w:t>
      </w:r>
    </w:p>
    <w:p w14:paraId="2A2F6F58">
      <w:pPr>
        <w:autoSpaceDE w:val="0"/>
        <w:autoSpaceDN w:val="0"/>
        <w:adjustRightInd w:val="0"/>
        <w:spacing w:line="400" w:lineRule="exact"/>
        <w:rPr>
          <w:rFonts w:ascii="华文楷体" w:hAnsi="华文楷体" w:eastAsia="华文楷体" w:cs="华文楷体"/>
          <w:szCs w:val="21"/>
        </w:rPr>
      </w:pPr>
      <w:r>
        <w:rPr>
          <w:rFonts w:hint="eastAsia" w:ascii="宋体" w:hAnsi="宋体" w:eastAsia="宋体" w:cs="宋体"/>
          <w:szCs w:val="21"/>
        </w:rPr>
        <w:t xml:space="preserve">    22.2 一方当事人变更名称、住所、联系人、联系电话或电子邮箱等信息的，应当在变更后3日内及时书面通知对方，对方实际收到变更通知前的送达仍为有效送达。</w:t>
      </w:r>
    </w:p>
    <w:p w14:paraId="04119D83">
      <w:pPr>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22.3本合同一方给另一方的通知均应采用书面形式，传真或快递送到本合同中规定的对方的地址和办理签收手续。</w:t>
      </w:r>
    </w:p>
    <w:p w14:paraId="6750C1C1">
      <w:pPr>
        <w:adjustRightInd w:val="0"/>
        <w:snapToGrid w:val="0"/>
        <w:spacing w:line="400" w:lineRule="exact"/>
        <w:ind w:firstLine="420" w:firstLineChars="200"/>
        <w:jc w:val="left"/>
        <w:rPr>
          <w:rFonts w:ascii="宋体" w:hAnsi="宋体" w:eastAsia="宋体"/>
          <w:szCs w:val="21"/>
        </w:rPr>
      </w:pPr>
      <w:r>
        <w:rPr>
          <w:rFonts w:hint="eastAsia" w:ascii="宋体" w:hAnsi="宋体" w:eastAsia="宋体"/>
          <w:szCs w:val="21"/>
        </w:rPr>
        <w:t>22.4通知以送达之日或通知书中规定的生效之日起生效，两者中以较迟之日为准。</w:t>
      </w:r>
    </w:p>
    <w:p w14:paraId="05D16BB3">
      <w:pPr>
        <w:numPr>
          <w:ilvl w:val="0"/>
          <w:numId w:val="17"/>
        </w:numPr>
        <w:adjustRightInd w:val="0"/>
        <w:snapToGrid w:val="0"/>
        <w:spacing w:line="400" w:lineRule="exact"/>
        <w:jc w:val="left"/>
        <w:rPr>
          <w:rFonts w:ascii="宋体" w:hAnsi="宋体" w:eastAsia="宋体"/>
          <w:b/>
          <w:bCs/>
          <w:sz w:val="24"/>
        </w:rPr>
      </w:pPr>
      <w:r>
        <w:rPr>
          <w:rFonts w:hint="eastAsia" w:ascii="宋体" w:hAnsi="宋体" w:eastAsia="宋体"/>
          <w:b/>
          <w:bCs/>
          <w:sz w:val="24"/>
        </w:rPr>
        <w:t>合同未尽事项</w:t>
      </w:r>
    </w:p>
    <w:p w14:paraId="7D4B7278">
      <w:pPr>
        <w:adjustRightInd w:val="0"/>
        <w:snapToGrid w:val="0"/>
        <w:spacing w:line="400" w:lineRule="exact"/>
        <w:ind w:firstLine="420" w:firstLineChars="200"/>
        <w:jc w:val="left"/>
        <w:rPr>
          <w:rFonts w:ascii="宋体" w:hAnsi="宋体" w:eastAsia="宋体"/>
          <w:bCs/>
          <w:szCs w:val="21"/>
        </w:rPr>
      </w:pPr>
      <w:r>
        <w:rPr>
          <w:rFonts w:hint="eastAsia" w:ascii="宋体" w:hAnsi="宋体" w:eastAsia="宋体"/>
          <w:bCs/>
          <w:szCs w:val="21"/>
        </w:rPr>
        <w:t>23.1合同未尽事项见</w:t>
      </w:r>
      <w:r>
        <w:rPr>
          <w:rFonts w:hint="eastAsia" w:ascii="宋体" w:hAnsi="宋体" w:eastAsia="宋体"/>
          <w:b/>
          <w:szCs w:val="21"/>
        </w:rPr>
        <w:t>【政府采购合同专用条款】</w:t>
      </w:r>
      <w:r>
        <w:rPr>
          <w:rFonts w:hint="eastAsia" w:ascii="宋体" w:hAnsi="宋体" w:eastAsia="宋体"/>
          <w:bCs/>
          <w:szCs w:val="21"/>
        </w:rPr>
        <w:t>。</w:t>
      </w:r>
    </w:p>
    <w:p w14:paraId="5397A328">
      <w:pPr>
        <w:adjustRightInd w:val="0"/>
        <w:snapToGrid w:val="0"/>
        <w:spacing w:line="400" w:lineRule="exact"/>
        <w:jc w:val="left"/>
        <w:rPr>
          <w:rFonts w:ascii="黑体" w:hAnsi="华文中宋" w:eastAsia="黑体"/>
          <w:sz w:val="28"/>
          <w:szCs w:val="28"/>
        </w:rPr>
      </w:pPr>
      <w:r>
        <w:rPr>
          <w:rFonts w:hint="eastAsia" w:ascii="宋体" w:hAnsi="宋体" w:eastAsia="宋体"/>
          <w:bCs/>
          <w:szCs w:val="21"/>
        </w:rPr>
        <w:t xml:space="preserve">    23.2 合同附件与合同正文具有同等的法律效力。</w:t>
      </w:r>
      <w:bookmarkStart w:id="72" w:name="_Toc20313"/>
    </w:p>
    <w:p w14:paraId="37FF7A16">
      <w:pPr>
        <w:adjustRightInd w:val="0"/>
        <w:snapToGrid w:val="0"/>
        <w:jc w:val="center"/>
        <w:rPr>
          <w:rFonts w:ascii="黑体" w:hAnsi="华文中宋" w:eastAsia="黑体"/>
          <w:sz w:val="28"/>
          <w:szCs w:val="28"/>
        </w:rPr>
      </w:pPr>
      <w:r>
        <w:rPr>
          <w:rFonts w:hint="eastAsia" w:ascii="黑体" w:hAnsi="华文中宋" w:eastAsia="黑体"/>
          <w:sz w:val="28"/>
          <w:szCs w:val="28"/>
        </w:rPr>
        <w:br w:type="page"/>
      </w:r>
    </w:p>
    <w:p w14:paraId="617C0983">
      <w:pPr>
        <w:keepNext/>
        <w:keepLines/>
        <w:adjustRightInd w:val="0"/>
        <w:snapToGrid w:val="0"/>
        <w:spacing w:line="360" w:lineRule="auto"/>
        <w:jc w:val="center"/>
        <w:outlineLvl w:val="1"/>
        <w:rPr>
          <w:rFonts w:ascii="黑体" w:hAnsi="华文中宋" w:eastAsia="黑体" w:cs="Times New Roman"/>
          <w:sz w:val="28"/>
          <w:szCs w:val="28"/>
        </w:rPr>
      </w:pPr>
      <w:r>
        <w:rPr>
          <w:rFonts w:hint="eastAsia" w:ascii="黑体" w:hAnsi="华文中宋" w:eastAsia="黑体" w:cs="Times New Roman"/>
          <w:sz w:val="28"/>
          <w:szCs w:val="28"/>
        </w:rPr>
        <w:t>第三节 政府采购合同专用条款</w:t>
      </w:r>
      <w:bookmarkEnd w:id="72"/>
    </w:p>
    <w:tbl>
      <w:tblPr>
        <w:tblStyle w:val="44"/>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076F0C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D2494C6">
            <w:pPr>
              <w:adjustRightInd w:val="0"/>
              <w:snapToGrid w:val="0"/>
              <w:jc w:val="center"/>
              <w:rPr>
                <w:rFonts w:ascii="宋体" w:hAnsi="宋体" w:eastAsia="宋体"/>
                <w:szCs w:val="21"/>
              </w:rPr>
            </w:pPr>
            <w:r>
              <w:rPr>
                <w:rFonts w:hint="eastAsia" w:ascii="宋体" w:hAnsi="宋体" w:eastAsia="宋体"/>
                <w:szCs w:val="21"/>
              </w:rPr>
              <w:t>第二节</w:t>
            </w:r>
          </w:p>
          <w:p w14:paraId="61C5B942">
            <w:pPr>
              <w:adjustRightInd w:val="0"/>
              <w:snapToGrid w:val="0"/>
              <w:jc w:val="center"/>
              <w:rPr>
                <w:rFonts w:ascii="宋体" w:hAnsi="宋体" w:eastAsia="宋体"/>
                <w:szCs w:val="21"/>
              </w:rPr>
            </w:pPr>
            <w:r>
              <w:rPr>
                <w:rFonts w:hint="eastAsia" w:ascii="宋体" w:hAnsi="宋体" w:eastAsia="宋体"/>
                <w:szCs w:val="21"/>
              </w:rPr>
              <w:t>第1.2（6）项</w:t>
            </w:r>
          </w:p>
        </w:tc>
        <w:tc>
          <w:tcPr>
            <w:tcW w:w="1742" w:type="dxa"/>
            <w:vAlign w:val="center"/>
          </w:tcPr>
          <w:p w14:paraId="7785F727">
            <w:pPr>
              <w:adjustRightInd w:val="0"/>
              <w:snapToGrid w:val="0"/>
              <w:jc w:val="left"/>
              <w:rPr>
                <w:rFonts w:ascii="宋体" w:hAnsi="宋体" w:eastAsia="宋体"/>
                <w:szCs w:val="21"/>
              </w:rPr>
            </w:pPr>
            <w:r>
              <w:rPr>
                <w:rFonts w:hint="eastAsia" w:ascii="宋体" w:hAnsi="宋体" w:eastAsia="宋体"/>
                <w:szCs w:val="21"/>
              </w:rPr>
              <w:t>联合体具体要求</w:t>
            </w:r>
          </w:p>
        </w:tc>
        <w:tc>
          <w:tcPr>
            <w:tcW w:w="5170" w:type="dxa"/>
            <w:vAlign w:val="center"/>
          </w:tcPr>
          <w:p w14:paraId="29A104FB">
            <w:pPr>
              <w:adjustRightInd w:val="0"/>
              <w:snapToGrid w:val="0"/>
              <w:jc w:val="left"/>
              <w:rPr>
                <w:rFonts w:ascii="宋体" w:hAnsi="宋体" w:eastAsia="宋体"/>
                <w:szCs w:val="21"/>
              </w:rPr>
            </w:pPr>
          </w:p>
        </w:tc>
      </w:tr>
      <w:tr w14:paraId="35D2EE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12AAA8F4">
            <w:pPr>
              <w:adjustRightInd w:val="0"/>
              <w:snapToGrid w:val="0"/>
              <w:jc w:val="center"/>
              <w:rPr>
                <w:rFonts w:ascii="宋体" w:hAnsi="宋体" w:eastAsia="宋体"/>
                <w:szCs w:val="21"/>
              </w:rPr>
            </w:pPr>
            <w:r>
              <w:rPr>
                <w:rFonts w:hint="eastAsia" w:ascii="宋体" w:hAnsi="宋体" w:eastAsia="宋体"/>
                <w:szCs w:val="21"/>
              </w:rPr>
              <w:t>第二节</w:t>
            </w:r>
          </w:p>
          <w:p w14:paraId="4E45E781">
            <w:pPr>
              <w:adjustRightInd w:val="0"/>
              <w:snapToGrid w:val="0"/>
              <w:jc w:val="center"/>
              <w:rPr>
                <w:rFonts w:ascii="宋体" w:hAnsi="宋体" w:eastAsia="宋体" w:cs="Times New Roman"/>
                <w:szCs w:val="21"/>
              </w:rPr>
            </w:pPr>
            <w:r>
              <w:rPr>
                <w:rFonts w:hint="eastAsia" w:ascii="宋体" w:hAnsi="宋体" w:eastAsia="宋体"/>
                <w:szCs w:val="21"/>
              </w:rPr>
              <w:t>第1.2（7）项</w:t>
            </w:r>
          </w:p>
        </w:tc>
        <w:tc>
          <w:tcPr>
            <w:tcW w:w="1742" w:type="dxa"/>
            <w:vAlign w:val="center"/>
          </w:tcPr>
          <w:p w14:paraId="7BEDA693">
            <w:pPr>
              <w:adjustRightInd w:val="0"/>
              <w:snapToGrid w:val="0"/>
              <w:jc w:val="left"/>
              <w:rPr>
                <w:rFonts w:ascii="宋体" w:hAnsi="宋体" w:eastAsia="宋体" w:cs="Times New Roman"/>
                <w:szCs w:val="21"/>
              </w:rPr>
            </w:pPr>
            <w:r>
              <w:rPr>
                <w:rFonts w:hint="eastAsia" w:ascii="宋体" w:hAnsi="宋体" w:eastAsia="宋体"/>
                <w:szCs w:val="21"/>
              </w:rPr>
              <w:t>其他术语解释</w:t>
            </w:r>
          </w:p>
        </w:tc>
        <w:tc>
          <w:tcPr>
            <w:tcW w:w="5170" w:type="dxa"/>
            <w:vAlign w:val="center"/>
          </w:tcPr>
          <w:p w14:paraId="36EE4935">
            <w:pPr>
              <w:adjustRightInd w:val="0"/>
              <w:snapToGrid w:val="0"/>
              <w:jc w:val="left"/>
              <w:rPr>
                <w:rFonts w:ascii="宋体" w:hAnsi="宋体" w:eastAsia="宋体" w:cs="Times New Roman"/>
                <w:szCs w:val="21"/>
              </w:rPr>
            </w:pPr>
          </w:p>
        </w:tc>
      </w:tr>
      <w:tr w14:paraId="23D84D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C3C7205">
            <w:pPr>
              <w:adjustRightInd w:val="0"/>
              <w:snapToGrid w:val="0"/>
              <w:jc w:val="center"/>
              <w:rPr>
                <w:rFonts w:ascii="宋体" w:hAnsi="宋体" w:eastAsia="宋体"/>
                <w:szCs w:val="21"/>
              </w:rPr>
            </w:pPr>
            <w:r>
              <w:rPr>
                <w:rFonts w:hint="eastAsia" w:ascii="宋体" w:hAnsi="宋体" w:eastAsia="宋体"/>
                <w:szCs w:val="21"/>
              </w:rPr>
              <w:t>第二节</w:t>
            </w:r>
          </w:p>
          <w:p w14:paraId="3C66CC0F">
            <w:pPr>
              <w:adjustRightInd w:val="0"/>
              <w:snapToGrid w:val="0"/>
              <w:jc w:val="center"/>
              <w:rPr>
                <w:rFonts w:ascii="宋体" w:hAnsi="宋体" w:eastAsia="宋体"/>
                <w:szCs w:val="21"/>
              </w:rPr>
            </w:pPr>
            <w:r>
              <w:rPr>
                <w:rFonts w:hint="eastAsia" w:ascii="宋体" w:hAnsi="宋体" w:eastAsia="宋体"/>
                <w:szCs w:val="21"/>
              </w:rPr>
              <w:t>第4.4款</w:t>
            </w:r>
          </w:p>
        </w:tc>
        <w:tc>
          <w:tcPr>
            <w:tcW w:w="1742" w:type="dxa"/>
            <w:vAlign w:val="center"/>
          </w:tcPr>
          <w:p w14:paraId="2CBFCF2E">
            <w:pPr>
              <w:adjustRightInd w:val="0"/>
              <w:snapToGrid w:val="0"/>
              <w:jc w:val="left"/>
              <w:rPr>
                <w:rFonts w:ascii="宋体" w:hAnsi="宋体" w:eastAsia="宋体"/>
                <w:szCs w:val="21"/>
              </w:rPr>
            </w:pPr>
            <w:r>
              <w:rPr>
                <w:rFonts w:hint="eastAsia" w:ascii="宋体" w:hAnsi="宋体" w:eastAsia="宋体"/>
                <w:szCs w:val="21"/>
              </w:rPr>
              <w:t>履约验收中甲方提出异议或作出说明的期限</w:t>
            </w:r>
          </w:p>
        </w:tc>
        <w:tc>
          <w:tcPr>
            <w:tcW w:w="5170" w:type="dxa"/>
            <w:vAlign w:val="center"/>
          </w:tcPr>
          <w:p w14:paraId="07AA0E0D">
            <w:pPr>
              <w:adjustRightInd w:val="0"/>
              <w:snapToGrid w:val="0"/>
              <w:jc w:val="left"/>
              <w:rPr>
                <w:rFonts w:ascii="宋体" w:hAnsi="宋体" w:eastAsia="宋体" w:cs="Times New Roman"/>
                <w:szCs w:val="21"/>
              </w:rPr>
            </w:pPr>
          </w:p>
        </w:tc>
      </w:tr>
      <w:tr w14:paraId="475FB6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FC710F2">
            <w:pPr>
              <w:adjustRightInd w:val="0"/>
              <w:snapToGrid w:val="0"/>
              <w:jc w:val="center"/>
              <w:rPr>
                <w:rFonts w:ascii="宋体" w:hAnsi="宋体" w:eastAsia="宋体"/>
                <w:szCs w:val="21"/>
              </w:rPr>
            </w:pPr>
            <w:r>
              <w:rPr>
                <w:rFonts w:hint="eastAsia" w:ascii="宋体" w:hAnsi="宋体" w:eastAsia="宋体"/>
                <w:szCs w:val="21"/>
              </w:rPr>
              <w:t>第二节</w:t>
            </w:r>
          </w:p>
          <w:p w14:paraId="3B34D6EA">
            <w:pPr>
              <w:adjustRightInd w:val="0"/>
              <w:snapToGrid w:val="0"/>
              <w:jc w:val="center"/>
              <w:rPr>
                <w:rFonts w:ascii="宋体" w:hAnsi="宋体" w:eastAsia="宋体"/>
                <w:szCs w:val="21"/>
              </w:rPr>
            </w:pPr>
            <w:r>
              <w:rPr>
                <w:rFonts w:hint="eastAsia" w:ascii="宋体" w:hAnsi="宋体" w:eastAsia="宋体"/>
                <w:szCs w:val="21"/>
              </w:rPr>
              <w:t>第4.6款</w:t>
            </w:r>
          </w:p>
        </w:tc>
        <w:tc>
          <w:tcPr>
            <w:tcW w:w="1742" w:type="dxa"/>
            <w:vAlign w:val="center"/>
          </w:tcPr>
          <w:p w14:paraId="1A3F6BF5">
            <w:pPr>
              <w:adjustRightInd w:val="0"/>
              <w:snapToGrid w:val="0"/>
              <w:jc w:val="left"/>
              <w:rPr>
                <w:rFonts w:ascii="宋体" w:hAnsi="宋体" w:eastAsia="宋体"/>
                <w:szCs w:val="21"/>
              </w:rPr>
            </w:pPr>
            <w:r>
              <w:rPr>
                <w:rFonts w:hint="eastAsia" w:ascii="宋体" w:hAnsi="宋体" w:eastAsia="宋体"/>
                <w:szCs w:val="21"/>
              </w:rPr>
              <w:t>约定甲方承担的其他义务和责任</w:t>
            </w:r>
          </w:p>
        </w:tc>
        <w:tc>
          <w:tcPr>
            <w:tcW w:w="5170" w:type="dxa"/>
            <w:vAlign w:val="center"/>
          </w:tcPr>
          <w:p w14:paraId="4CF51AF4">
            <w:pPr>
              <w:adjustRightInd w:val="0"/>
              <w:snapToGrid w:val="0"/>
              <w:jc w:val="left"/>
              <w:rPr>
                <w:rFonts w:ascii="宋体" w:hAnsi="宋体" w:eastAsia="宋体" w:cs="Times New Roman"/>
                <w:szCs w:val="21"/>
              </w:rPr>
            </w:pPr>
          </w:p>
        </w:tc>
      </w:tr>
      <w:tr w14:paraId="4F2097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CC92153">
            <w:pPr>
              <w:adjustRightInd w:val="0"/>
              <w:snapToGrid w:val="0"/>
              <w:jc w:val="center"/>
              <w:rPr>
                <w:rFonts w:ascii="宋体" w:hAnsi="宋体" w:eastAsia="宋体"/>
                <w:szCs w:val="21"/>
              </w:rPr>
            </w:pPr>
            <w:r>
              <w:rPr>
                <w:rFonts w:hint="eastAsia" w:ascii="宋体" w:hAnsi="宋体" w:eastAsia="宋体"/>
                <w:szCs w:val="21"/>
              </w:rPr>
              <w:t>第二节</w:t>
            </w:r>
          </w:p>
          <w:p w14:paraId="40D04A45">
            <w:pPr>
              <w:snapToGrid w:val="0"/>
              <w:jc w:val="center"/>
              <w:rPr>
                <w:rFonts w:eastAsia="宋体"/>
              </w:rPr>
            </w:pPr>
            <w:r>
              <w:rPr>
                <w:rFonts w:hint="eastAsia" w:ascii="宋体" w:hAnsi="宋体" w:eastAsia="宋体"/>
                <w:szCs w:val="21"/>
              </w:rPr>
              <w:t>第5.4款</w:t>
            </w:r>
          </w:p>
        </w:tc>
        <w:tc>
          <w:tcPr>
            <w:tcW w:w="1742" w:type="dxa"/>
            <w:vAlign w:val="center"/>
          </w:tcPr>
          <w:p w14:paraId="005AE584">
            <w:pPr>
              <w:adjustRightInd w:val="0"/>
              <w:snapToGrid w:val="0"/>
              <w:jc w:val="left"/>
              <w:rPr>
                <w:rFonts w:ascii="宋体" w:hAnsi="宋体" w:eastAsia="宋体"/>
                <w:szCs w:val="21"/>
              </w:rPr>
            </w:pPr>
            <w:r>
              <w:rPr>
                <w:rFonts w:hint="eastAsia" w:ascii="宋体" w:hAnsi="宋体" w:eastAsia="宋体"/>
                <w:szCs w:val="21"/>
              </w:rPr>
              <w:t>约定乙方承担的其他义务和责任</w:t>
            </w:r>
          </w:p>
        </w:tc>
        <w:tc>
          <w:tcPr>
            <w:tcW w:w="5170" w:type="dxa"/>
            <w:vAlign w:val="center"/>
          </w:tcPr>
          <w:p w14:paraId="74709BAF">
            <w:pPr>
              <w:adjustRightInd w:val="0"/>
              <w:snapToGrid w:val="0"/>
              <w:jc w:val="left"/>
              <w:rPr>
                <w:rFonts w:ascii="宋体" w:hAnsi="宋体" w:eastAsia="宋体" w:cs="Times New Roman"/>
                <w:szCs w:val="21"/>
              </w:rPr>
            </w:pPr>
          </w:p>
        </w:tc>
      </w:tr>
      <w:tr w14:paraId="770F74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328BC7C">
            <w:pPr>
              <w:adjustRightInd w:val="0"/>
              <w:snapToGrid w:val="0"/>
              <w:jc w:val="center"/>
              <w:rPr>
                <w:rFonts w:ascii="宋体" w:hAnsi="宋体" w:eastAsia="宋体"/>
                <w:szCs w:val="21"/>
              </w:rPr>
            </w:pPr>
            <w:r>
              <w:rPr>
                <w:rFonts w:hint="eastAsia" w:ascii="宋体" w:hAnsi="宋体" w:eastAsia="宋体"/>
                <w:szCs w:val="21"/>
              </w:rPr>
              <w:t>第二节</w:t>
            </w:r>
          </w:p>
          <w:p w14:paraId="044B3C93">
            <w:pPr>
              <w:snapToGrid w:val="0"/>
              <w:jc w:val="center"/>
              <w:rPr>
                <w:rFonts w:ascii="宋体" w:hAnsi="宋体" w:eastAsia="宋体"/>
                <w:szCs w:val="21"/>
              </w:rPr>
            </w:pPr>
            <w:r>
              <w:rPr>
                <w:rFonts w:hint="eastAsia" w:ascii="宋体" w:hAnsi="宋体" w:eastAsia="宋体"/>
                <w:szCs w:val="21"/>
              </w:rPr>
              <w:t>第6.1款</w:t>
            </w:r>
          </w:p>
        </w:tc>
        <w:tc>
          <w:tcPr>
            <w:tcW w:w="1742" w:type="dxa"/>
            <w:vAlign w:val="center"/>
          </w:tcPr>
          <w:p w14:paraId="4AABF91E">
            <w:pPr>
              <w:adjustRightInd w:val="0"/>
              <w:snapToGrid w:val="0"/>
              <w:jc w:val="left"/>
              <w:rPr>
                <w:rFonts w:ascii="宋体" w:hAnsi="宋体" w:eastAsia="宋体"/>
                <w:szCs w:val="21"/>
              </w:rPr>
            </w:pPr>
            <w:r>
              <w:rPr>
                <w:rFonts w:hint="eastAsia" w:ascii="宋体" w:hAnsi="宋体" w:eastAsia="宋体"/>
                <w:szCs w:val="21"/>
              </w:rPr>
              <w:t>履行合同义务的顺序</w:t>
            </w:r>
          </w:p>
        </w:tc>
        <w:tc>
          <w:tcPr>
            <w:tcW w:w="5170" w:type="dxa"/>
            <w:vAlign w:val="center"/>
          </w:tcPr>
          <w:p w14:paraId="2344D8ED">
            <w:pPr>
              <w:adjustRightInd w:val="0"/>
              <w:snapToGrid w:val="0"/>
              <w:jc w:val="left"/>
              <w:rPr>
                <w:rFonts w:ascii="宋体" w:hAnsi="宋体" w:eastAsia="宋体" w:cs="Times New Roman"/>
                <w:szCs w:val="21"/>
              </w:rPr>
            </w:pPr>
          </w:p>
        </w:tc>
      </w:tr>
      <w:tr w14:paraId="0C97F4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38E03AE6">
            <w:pPr>
              <w:adjustRightInd w:val="0"/>
              <w:snapToGrid w:val="0"/>
              <w:jc w:val="center"/>
              <w:rPr>
                <w:rFonts w:ascii="宋体" w:hAnsi="宋体" w:eastAsia="宋体"/>
                <w:szCs w:val="21"/>
              </w:rPr>
            </w:pPr>
            <w:r>
              <w:rPr>
                <w:rFonts w:hint="eastAsia" w:ascii="宋体" w:hAnsi="宋体" w:eastAsia="宋体"/>
                <w:szCs w:val="21"/>
              </w:rPr>
              <w:t>第二节</w:t>
            </w:r>
          </w:p>
          <w:p w14:paraId="4CBBBD9A">
            <w:pPr>
              <w:adjustRightInd w:val="0"/>
              <w:snapToGrid w:val="0"/>
              <w:jc w:val="center"/>
              <w:rPr>
                <w:rFonts w:ascii="宋体" w:hAnsi="宋体" w:eastAsia="宋体"/>
                <w:szCs w:val="21"/>
              </w:rPr>
            </w:pPr>
            <w:r>
              <w:rPr>
                <w:rFonts w:hint="eastAsia" w:ascii="宋体" w:hAnsi="宋体" w:eastAsia="宋体"/>
                <w:szCs w:val="21"/>
              </w:rPr>
              <w:t>第7.1款</w:t>
            </w:r>
          </w:p>
        </w:tc>
        <w:tc>
          <w:tcPr>
            <w:tcW w:w="1742" w:type="dxa"/>
            <w:vAlign w:val="center"/>
          </w:tcPr>
          <w:p w14:paraId="1C90D770">
            <w:pPr>
              <w:adjustRightInd w:val="0"/>
              <w:snapToGrid w:val="0"/>
              <w:jc w:val="left"/>
              <w:rPr>
                <w:rFonts w:ascii="宋体" w:hAnsi="宋体" w:eastAsia="宋体"/>
                <w:szCs w:val="21"/>
              </w:rPr>
            </w:pPr>
            <w:r>
              <w:rPr>
                <w:rFonts w:hint="eastAsia" w:ascii="宋体" w:hAnsi="宋体" w:eastAsia="宋体"/>
                <w:szCs w:val="21"/>
              </w:rPr>
              <w:t>包装特殊要求</w:t>
            </w:r>
          </w:p>
        </w:tc>
        <w:tc>
          <w:tcPr>
            <w:tcW w:w="5170" w:type="dxa"/>
            <w:vAlign w:val="center"/>
          </w:tcPr>
          <w:p w14:paraId="31717A35">
            <w:pPr>
              <w:rPr>
                <w:rFonts w:eastAsia="宋体"/>
              </w:rPr>
            </w:pPr>
          </w:p>
        </w:tc>
      </w:tr>
      <w:tr w14:paraId="495018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2A6EB08D">
            <w:pPr>
              <w:adjustRightInd w:val="0"/>
              <w:snapToGrid w:val="0"/>
              <w:jc w:val="center"/>
              <w:rPr>
                <w:rFonts w:ascii="宋体" w:hAnsi="宋体" w:eastAsia="宋体"/>
                <w:szCs w:val="21"/>
              </w:rPr>
            </w:pPr>
          </w:p>
        </w:tc>
        <w:tc>
          <w:tcPr>
            <w:tcW w:w="1742" w:type="dxa"/>
            <w:vAlign w:val="center"/>
          </w:tcPr>
          <w:p w14:paraId="1D085464">
            <w:pPr>
              <w:adjustRightInd w:val="0"/>
              <w:snapToGrid w:val="0"/>
              <w:jc w:val="left"/>
              <w:rPr>
                <w:rFonts w:ascii="宋体" w:hAnsi="宋体" w:eastAsia="宋体"/>
                <w:szCs w:val="21"/>
              </w:rPr>
            </w:pPr>
            <w:r>
              <w:rPr>
                <w:rFonts w:hint="eastAsia" w:ascii="宋体" w:hAnsi="宋体" w:eastAsia="宋体"/>
                <w:szCs w:val="21"/>
              </w:rPr>
              <w:t>指定现场</w:t>
            </w:r>
          </w:p>
        </w:tc>
        <w:tc>
          <w:tcPr>
            <w:tcW w:w="5170" w:type="dxa"/>
            <w:vAlign w:val="center"/>
          </w:tcPr>
          <w:p w14:paraId="79C34794">
            <w:pPr>
              <w:rPr>
                <w:rFonts w:eastAsia="宋体"/>
              </w:rPr>
            </w:pPr>
          </w:p>
        </w:tc>
      </w:tr>
      <w:tr w14:paraId="5B36E0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5A5467BE">
            <w:pPr>
              <w:adjustRightInd w:val="0"/>
              <w:snapToGrid w:val="0"/>
              <w:jc w:val="center"/>
              <w:rPr>
                <w:rFonts w:ascii="宋体" w:hAnsi="宋体" w:eastAsia="宋体"/>
                <w:szCs w:val="21"/>
              </w:rPr>
            </w:pPr>
            <w:r>
              <w:rPr>
                <w:rFonts w:hint="eastAsia" w:ascii="宋体" w:hAnsi="宋体" w:eastAsia="宋体"/>
                <w:szCs w:val="21"/>
              </w:rPr>
              <w:t>第二节</w:t>
            </w:r>
          </w:p>
          <w:p w14:paraId="74C8650E">
            <w:pPr>
              <w:adjustRightInd w:val="0"/>
              <w:snapToGrid w:val="0"/>
              <w:jc w:val="center"/>
              <w:rPr>
                <w:rFonts w:ascii="宋体" w:hAnsi="宋体" w:eastAsia="宋体"/>
                <w:szCs w:val="21"/>
              </w:rPr>
            </w:pPr>
            <w:r>
              <w:rPr>
                <w:rFonts w:hint="eastAsia" w:ascii="宋体" w:hAnsi="宋体" w:eastAsia="宋体"/>
                <w:szCs w:val="21"/>
              </w:rPr>
              <w:t>第7.2款</w:t>
            </w:r>
          </w:p>
        </w:tc>
        <w:tc>
          <w:tcPr>
            <w:tcW w:w="1742" w:type="dxa"/>
            <w:vAlign w:val="center"/>
          </w:tcPr>
          <w:p w14:paraId="52E3F99B">
            <w:pPr>
              <w:adjustRightInd w:val="0"/>
              <w:snapToGrid w:val="0"/>
              <w:jc w:val="left"/>
              <w:rPr>
                <w:rFonts w:ascii="宋体" w:hAnsi="宋体" w:eastAsia="宋体"/>
                <w:szCs w:val="21"/>
              </w:rPr>
            </w:pPr>
            <w:r>
              <w:rPr>
                <w:rFonts w:hint="eastAsia" w:ascii="宋体" w:hAnsi="宋体" w:eastAsia="宋体"/>
                <w:szCs w:val="21"/>
              </w:rPr>
              <w:t>运输特殊要求</w:t>
            </w:r>
          </w:p>
        </w:tc>
        <w:tc>
          <w:tcPr>
            <w:tcW w:w="5170" w:type="dxa"/>
            <w:vAlign w:val="center"/>
          </w:tcPr>
          <w:p w14:paraId="79EB50F3">
            <w:pPr>
              <w:rPr>
                <w:rFonts w:eastAsia="宋体"/>
              </w:rPr>
            </w:pPr>
          </w:p>
        </w:tc>
      </w:tr>
      <w:tr w14:paraId="7172A6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179379B0">
            <w:pPr>
              <w:adjustRightInd w:val="0"/>
              <w:snapToGrid w:val="0"/>
              <w:jc w:val="center"/>
              <w:rPr>
                <w:rFonts w:ascii="宋体" w:hAnsi="宋体" w:eastAsia="宋体"/>
                <w:szCs w:val="21"/>
              </w:rPr>
            </w:pPr>
            <w:r>
              <w:rPr>
                <w:rFonts w:hint="eastAsia" w:ascii="宋体" w:hAnsi="宋体" w:eastAsia="宋体"/>
                <w:szCs w:val="21"/>
              </w:rPr>
              <w:t>第二节</w:t>
            </w:r>
          </w:p>
          <w:p w14:paraId="13E8701F">
            <w:pPr>
              <w:adjustRightInd w:val="0"/>
              <w:snapToGrid w:val="0"/>
              <w:jc w:val="center"/>
              <w:rPr>
                <w:rFonts w:ascii="宋体" w:hAnsi="宋体" w:eastAsia="宋体"/>
                <w:szCs w:val="21"/>
              </w:rPr>
            </w:pPr>
            <w:r>
              <w:rPr>
                <w:rFonts w:hint="eastAsia" w:ascii="宋体" w:hAnsi="宋体" w:eastAsia="宋体"/>
                <w:szCs w:val="21"/>
              </w:rPr>
              <w:t>第7.3款</w:t>
            </w:r>
          </w:p>
        </w:tc>
        <w:tc>
          <w:tcPr>
            <w:tcW w:w="1742" w:type="dxa"/>
            <w:vAlign w:val="center"/>
          </w:tcPr>
          <w:p w14:paraId="3289BC8B">
            <w:pPr>
              <w:adjustRightInd w:val="0"/>
              <w:snapToGrid w:val="0"/>
              <w:jc w:val="left"/>
              <w:rPr>
                <w:rFonts w:ascii="宋体" w:hAnsi="宋体" w:eastAsia="宋体"/>
                <w:szCs w:val="21"/>
              </w:rPr>
            </w:pPr>
            <w:r>
              <w:rPr>
                <w:rFonts w:hint="eastAsia" w:ascii="宋体" w:hAnsi="宋体" w:eastAsia="宋体"/>
                <w:szCs w:val="21"/>
              </w:rPr>
              <w:t>保险要求</w:t>
            </w:r>
          </w:p>
        </w:tc>
        <w:tc>
          <w:tcPr>
            <w:tcW w:w="5170" w:type="dxa"/>
            <w:vAlign w:val="center"/>
          </w:tcPr>
          <w:p w14:paraId="40527537">
            <w:pPr>
              <w:rPr>
                <w:rFonts w:eastAsia="宋体"/>
              </w:rPr>
            </w:pPr>
          </w:p>
        </w:tc>
      </w:tr>
      <w:tr w14:paraId="5A6807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D392600">
            <w:pPr>
              <w:adjustRightInd w:val="0"/>
              <w:snapToGrid w:val="0"/>
              <w:jc w:val="center"/>
              <w:rPr>
                <w:rFonts w:ascii="宋体" w:hAnsi="宋体" w:eastAsia="宋体"/>
                <w:szCs w:val="21"/>
              </w:rPr>
            </w:pPr>
            <w:r>
              <w:rPr>
                <w:rFonts w:hint="eastAsia" w:ascii="宋体" w:hAnsi="宋体" w:eastAsia="宋体"/>
                <w:szCs w:val="21"/>
              </w:rPr>
              <w:t>第二节</w:t>
            </w:r>
          </w:p>
          <w:p w14:paraId="0958D06C">
            <w:pPr>
              <w:adjustRightInd w:val="0"/>
              <w:snapToGrid w:val="0"/>
              <w:jc w:val="center"/>
              <w:rPr>
                <w:rFonts w:ascii="宋体" w:hAnsi="宋体" w:eastAsia="宋体"/>
                <w:szCs w:val="21"/>
              </w:rPr>
            </w:pPr>
            <w:r>
              <w:rPr>
                <w:rFonts w:hint="eastAsia" w:ascii="宋体" w:hAnsi="宋体" w:eastAsia="宋体"/>
                <w:szCs w:val="21"/>
              </w:rPr>
              <w:t>第8.2（1）项</w:t>
            </w:r>
          </w:p>
        </w:tc>
        <w:tc>
          <w:tcPr>
            <w:tcW w:w="1742" w:type="dxa"/>
            <w:vAlign w:val="center"/>
          </w:tcPr>
          <w:p w14:paraId="2E25EDAA">
            <w:pPr>
              <w:adjustRightInd w:val="0"/>
              <w:snapToGrid w:val="0"/>
              <w:jc w:val="left"/>
              <w:rPr>
                <w:rFonts w:ascii="宋体" w:hAnsi="宋体" w:eastAsia="宋体"/>
                <w:szCs w:val="21"/>
              </w:rPr>
            </w:pPr>
            <w:r>
              <w:rPr>
                <w:rFonts w:hint="eastAsia" w:ascii="宋体" w:hAnsi="宋体" w:eastAsia="宋体"/>
                <w:szCs w:val="21"/>
              </w:rPr>
              <w:t>质量保证期</w:t>
            </w:r>
          </w:p>
        </w:tc>
        <w:tc>
          <w:tcPr>
            <w:tcW w:w="5170" w:type="dxa"/>
            <w:vAlign w:val="center"/>
          </w:tcPr>
          <w:p w14:paraId="28FCF30C">
            <w:pPr>
              <w:autoSpaceDE w:val="0"/>
              <w:autoSpaceDN w:val="0"/>
              <w:adjustRightInd w:val="0"/>
              <w:snapToGrid w:val="0"/>
              <w:ind w:firstLine="420" w:firstLineChars="200"/>
              <w:jc w:val="left"/>
              <w:rPr>
                <w:rFonts w:ascii="宋体" w:hAnsi="宋体" w:eastAsia="宋体"/>
                <w:szCs w:val="21"/>
              </w:rPr>
            </w:pPr>
          </w:p>
        </w:tc>
      </w:tr>
      <w:tr w14:paraId="3D8010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2A1A789">
            <w:pPr>
              <w:adjustRightInd w:val="0"/>
              <w:snapToGrid w:val="0"/>
              <w:jc w:val="center"/>
              <w:rPr>
                <w:rFonts w:ascii="宋体" w:hAnsi="宋体" w:eastAsia="宋体"/>
                <w:szCs w:val="21"/>
              </w:rPr>
            </w:pPr>
            <w:r>
              <w:rPr>
                <w:rFonts w:hint="eastAsia" w:ascii="宋体" w:hAnsi="宋体" w:eastAsia="宋体"/>
                <w:szCs w:val="21"/>
              </w:rPr>
              <w:t>第二节</w:t>
            </w:r>
          </w:p>
          <w:p w14:paraId="1F054978">
            <w:pPr>
              <w:adjustRightInd w:val="0"/>
              <w:snapToGrid w:val="0"/>
              <w:jc w:val="center"/>
              <w:rPr>
                <w:rFonts w:ascii="宋体" w:hAnsi="宋体" w:eastAsia="宋体"/>
                <w:szCs w:val="21"/>
              </w:rPr>
            </w:pPr>
            <w:r>
              <w:rPr>
                <w:rFonts w:hint="eastAsia" w:ascii="宋体" w:hAnsi="宋体" w:eastAsia="宋体"/>
                <w:szCs w:val="21"/>
              </w:rPr>
              <w:t>第8.2（3）项</w:t>
            </w:r>
          </w:p>
        </w:tc>
        <w:tc>
          <w:tcPr>
            <w:tcW w:w="1742" w:type="dxa"/>
            <w:vAlign w:val="center"/>
          </w:tcPr>
          <w:p w14:paraId="15CC46C8">
            <w:pPr>
              <w:adjustRightInd w:val="0"/>
              <w:snapToGrid w:val="0"/>
              <w:jc w:val="left"/>
              <w:rPr>
                <w:rFonts w:ascii="宋体" w:hAnsi="宋体" w:eastAsia="宋体"/>
                <w:szCs w:val="21"/>
              </w:rPr>
            </w:pPr>
            <w:r>
              <w:rPr>
                <w:rFonts w:hint="eastAsia" w:ascii="宋体" w:hAnsi="宋体" w:eastAsia="宋体"/>
                <w:szCs w:val="21"/>
              </w:rPr>
              <w:t>货物质量缺陷</w:t>
            </w:r>
          </w:p>
          <w:p w14:paraId="5E632A61">
            <w:pPr>
              <w:adjustRightInd w:val="0"/>
              <w:snapToGrid w:val="0"/>
              <w:jc w:val="left"/>
              <w:rPr>
                <w:rFonts w:ascii="宋体" w:hAnsi="宋体" w:eastAsia="宋体"/>
                <w:szCs w:val="21"/>
              </w:rPr>
            </w:pPr>
            <w:r>
              <w:rPr>
                <w:rFonts w:hint="eastAsia" w:ascii="宋体" w:hAnsi="宋体" w:eastAsia="宋体"/>
                <w:szCs w:val="21"/>
              </w:rPr>
              <w:t>响应时间</w:t>
            </w:r>
          </w:p>
        </w:tc>
        <w:tc>
          <w:tcPr>
            <w:tcW w:w="5170" w:type="dxa"/>
            <w:vAlign w:val="center"/>
          </w:tcPr>
          <w:p w14:paraId="38ABE7B2">
            <w:pPr>
              <w:adjustRightInd w:val="0"/>
              <w:snapToGrid w:val="0"/>
              <w:jc w:val="left"/>
              <w:rPr>
                <w:rFonts w:ascii="宋体" w:hAnsi="宋体" w:eastAsia="宋体"/>
                <w:szCs w:val="21"/>
              </w:rPr>
            </w:pPr>
          </w:p>
        </w:tc>
      </w:tr>
      <w:tr w14:paraId="7D30DB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4D36E3D">
            <w:pPr>
              <w:snapToGrid w:val="0"/>
              <w:jc w:val="center"/>
              <w:rPr>
                <w:rFonts w:ascii="宋体" w:hAnsi="宋体" w:eastAsia="宋体" w:cs="宋体"/>
                <w:szCs w:val="21"/>
              </w:rPr>
            </w:pPr>
            <w:r>
              <w:rPr>
                <w:rFonts w:hint="eastAsia" w:ascii="宋体" w:hAnsi="宋体" w:eastAsia="宋体" w:cs="宋体"/>
                <w:szCs w:val="21"/>
              </w:rPr>
              <w:t>第二节</w:t>
            </w:r>
          </w:p>
          <w:p w14:paraId="685C0332">
            <w:pPr>
              <w:autoSpaceDE w:val="0"/>
              <w:autoSpaceDN w:val="0"/>
              <w:adjustRightInd w:val="0"/>
              <w:spacing w:line="400" w:lineRule="exact"/>
              <w:jc w:val="center"/>
              <w:rPr>
                <w:rFonts w:ascii="华文楷体" w:hAnsi="华文楷体" w:eastAsia="华文楷体" w:cs="华文楷体"/>
                <w:sz w:val="22"/>
                <w:szCs w:val="21"/>
              </w:rPr>
            </w:pPr>
            <w:r>
              <w:rPr>
                <w:rFonts w:hint="eastAsia" w:ascii="宋体" w:hAnsi="宋体" w:eastAsia="宋体" w:cs="宋体"/>
                <w:sz w:val="22"/>
                <w:szCs w:val="21"/>
              </w:rPr>
              <w:t>第11.1款</w:t>
            </w:r>
          </w:p>
        </w:tc>
        <w:tc>
          <w:tcPr>
            <w:tcW w:w="1742" w:type="dxa"/>
            <w:vAlign w:val="center"/>
          </w:tcPr>
          <w:p w14:paraId="602C84F6">
            <w:pPr>
              <w:adjustRightInd w:val="0"/>
              <w:snapToGrid w:val="0"/>
              <w:rPr>
                <w:rFonts w:ascii="宋体" w:hAnsi="宋体" w:eastAsia="宋体"/>
                <w:szCs w:val="21"/>
              </w:rPr>
            </w:pPr>
            <w:r>
              <w:rPr>
                <w:rFonts w:hint="eastAsia" w:ascii="宋体" w:hAnsi="宋体" w:eastAsia="宋体"/>
                <w:szCs w:val="21"/>
              </w:rPr>
              <w:t>其他应当保密的信息</w:t>
            </w:r>
          </w:p>
        </w:tc>
        <w:tc>
          <w:tcPr>
            <w:tcW w:w="5170" w:type="dxa"/>
            <w:vAlign w:val="center"/>
          </w:tcPr>
          <w:p w14:paraId="2EBABD24">
            <w:pPr>
              <w:adjustRightInd w:val="0"/>
              <w:snapToGrid w:val="0"/>
              <w:jc w:val="left"/>
              <w:rPr>
                <w:rFonts w:ascii="宋体" w:hAnsi="宋体" w:eastAsia="宋体"/>
                <w:szCs w:val="21"/>
              </w:rPr>
            </w:pPr>
          </w:p>
        </w:tc>
      </w:tr>
      <w:tr w14:paraId="3C1950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2947C657">
            <w:pPr>
              <w:adjustRightInd w:val="0"/>
              <w:snapToGrid w:val="0"/>
              <w:jc w:val="center"/>
              <w:rPr>
                <w:rFonts w:ascii="宋体" w:hAnsi="宋体" w:eastAsia="宋体"/>
                <w:szCs w:val="21"/>
              </w:rPr>
            </w:pPr>
            <w:r>
              <w:rPr>
                <w:rFonts w:hint="eastAsia" w:ascii="宋体" w:hAnsi="宋体" w:eastAsia="宋体"/>
                <w:szCs w:val="21"/>
              </w:rPr>
              <w:t>第二节</w:t>
            </w:r>
          </w:p>
          <w:p w14:paraId="7A0858CA">
            <w:pPr>
              <w:adjustRightInd w:val="0"/>
              <w:snapToGrid w:val="0"/>
              <w:jc w:val="center"/>
              <w:rPr>
                <w:rFonts w:ascii="宋体" w:hAnsi="宋体" w:eastAsia="宋体"/>
                <w:szCs w:val="21"/>
              </w:rPr>
            </w:pPr>
            <w:r>
              <w:rPr>
                <w:rFonts w:hint="eastAsia" w:ascii="宋体" w:hAnsi="宋体" w:eastAsia="宋体"/>
                <w:szCs w:val="21"/>
              </w:rPr>
              <w:t>第12.2款</w:t>
            </w:r>
          </w:p>
        </w:tc>
        <w:tc>
          <w:tcPr>
            <w:tcW w:w="1742" w:type="dxa"/>
            <w:vAlign w:val="center"/>
          </w:tcPr>
          <w:p w14:paraId="52273FEB">
            <w:pPr>
              <w:adjustRightInd w:val="0"/>
              <w:snapToGrid w:val="0"/>
              <w:jc w:val="left"/>
              <w:rPr>
                <w:rFonts w:ascii="宋体" w:hAnsi="宋体" w:eastAsia="宋体"/>
                <w:szCs w:val="21"/>
              </w:rPr>
            </w:pPr>
            <w:r>
              <w:rPr>
                <w:rFonts w:hint="eastAsia" w:ascii="宋体" w:hAnsi="宋体" w:eastAsia="宋体"/>
                <w:szCs w:val="21"/>
              </w:rPr>
              <w:t>合同价款支付时间</w:t>
            </w:r>
          </w:p>
        </w:tc>
        <w:tc>
          <w:tcPr>
            <w:tcW w:w="5170" w:type="dxa"/>
            <w:vAlign w:val="center"/>
          </w:tcPr>
          <w:p w14:paraId="42143D4F">
            <w:pPr>
              <w:adjustRightInd w:val="0"/>
              <w:snapToGrid w:val="0"/>
              <w:jc w:val="left"/>
              <w:rPr>
                <w:rFonts w:ascii="宋体" w:hAnsi="宋体" w:eastAsia="宋体"/>
                <w:szCs w:val="21"/>
              </w:rPr>
            </w:pPr>
          </w:p>
        </w:tc>
      </w:tr>
      <w:tr w14:paraId="36E6F8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514271C2">
            <w:pPr>
              <w:adjustRightInd w:val="0"/>
              <w:snapToGrid w:val="0"/>
              <w:jc w:val="center"/>
              <w:rPr>
                <w:rFonts w:ascii="宋体" w:hAnsi="宋体" w:eastAsia="宋体"/>
                <w:szCs w:val="21"/>
              </w:rPr>
            </w:pPr>
            <w:r>
              <w:rPr>
                <w:rFonts w:hint="eastAsia" w:ascii="宋体" w:hAnsi="宋体" w:eastAsia="宋体"/>
                <w:szCs w:val="21"/>
              </w:rPr>
              <w:t>第二节</w:t>
            </w:r>
          </w:p>
          <w:p w14:paraId="33ECF1C1">
            <w:pPr>
              <w:adjustRightInd w:val="0"/>
              <w:snapToGrid w:val="0"/>
              <w:jc w:val="center"/>
              <w:rPr>
                <w:rFonts w:ascii="宋体" w:hAnsi="宋体" w:eastAsia="宋体"/>
                <w:szCs w:val="21"/>
              </w:rPr>
            </w:pPr>
            <w:r>
              <w:rPr>
                <w:rFonts w:hint="eastAsia" w:ascii="宋体" w:hAnsi="宋体" w:eastAsia="宋体"/>
                <w:szCs w:val="21"/>
              </w:rPr>
              <w:t>第13.2款</w:t>
            </w:r>
          </w:p>
        </w:tc>
        <w:tc>
          <w:tcPr>
            <w:tcW w:w="1742" w:type="dxa"/>
            <w:vAlign w:val="center"/>
          </w:tcPr>
          <w:p w14:paraId="5F4490F4">
            <w:pPr>
              <w:adjustRightInd w:val="0"/>
              <w:snapToGrid w:val="0"/>
              <w:jc w:val="left"/>
              <w:rPr>
                <w:rFonts w:ascii="宋体" w:hAnsi="宋体" w:eastAsia="宋体"/>
                <w:szCs w:val="21"/>
              </w:rPr>
            </w:pPr>
            <w:r>
              <w:rPr>
                <w:rFonts w:hint="eastAsia" w:ascii="宋体" w:hAnsi="宋体" w:eastAsia="宋体"/>
                <w:szCs w:val="21"/>
              </w:rPr>
              <w:t>履约保证金不予退还的情形</w:t>
            </w:r>
          </w:p>
        </w:tc>
        <w:tc>
          <w:tcPr>
            <w:tcW w:w="5170" w:type="dxa"/>
            <w:vAlign w:val="center"/>
          </w:tcPr>
          <w:p w14:paraId="653351FF">
            <w:pPr>
              <w:adjustRightInd w:val="0"/>
              <w:snapToGrid w:val="0"/>
              <w:jc w:val="left"/>
              <w:rPr>
                <w:rFonts w:ascii="宋体" w:hAnsi="宋体" w:eastAsia="宋体"/>
                <w:szCs w:val="21"/>
              </w:rPr>
            </w:pPr>
          </w:p>
        </w:tc>
      </w:tr>
      <w:tr w14:paraId="35BB17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A0C3EDD">
            <w:pPr>
              <w:adjustRightInd w:val="0"/>
              <w:snapToGrid w:val="0"/>
              <w:jc w:val="center"/>
              <w:rPr>
                <w:rFonts w:ascii="宋体" w:hAnsi="宋体" w:eastAsia="宋体"/>
                <w:szCs w:val="21"/>
              </w:rPr>
            </w:pPr>
            <w:r>
              <w:rPr>
                <w:rFonts w:hint="eastAsia" w:ascii="宋体" w:hAnsi="宋体" w:eastAsia="宋体"/>
                <w:szCs w:val="21"/>
              </w:rPr>
              <w:t>第二节</w:t>
            </w:r>
          </w:p>
          <w:p w14:paraId="2453BEDD">
            <w:pPr>
              <w:adjustRightInd w:val="0"/>
              <w:snapToGrid w:val="0"/>
              <w:jc w:val="center"/>
              <w:rPr>
                <w:rFonts w:ascii="宋体" w:hAnsi="宋体" w:eastAsia="宋体"/>
                <w:szCs w:val="21"/>
              </w:rPr>
            </w:pPr>
            <w:r>
              <w:rPr>
                <w:rFonts w:hint="eastAsia" w:ascii="宋体" w:hAnsi="宋体" w:eastAsia="宋体"/>
                <w:szCs w:val="21"/>
              </w:rPr>
              <w:t>第13.3款</w:t>
            </w:r>
          </w:p>
        </w:tc>
        <w:tc>
          <w:tcPr>
            <w:tcW w:w="1742" w:type="dxa"/>
            <w:vAlign w:val="center"/>
          </w:tcPr>
          <w:p w14:paraId="23FA56B7">
            <w:pPr>
              <w:adjustRightInd w:val="0"/>
              <w:snapToGrid w:val="0"/>
              <w:jc w:val="left"/>
              <w:rPr>
                <w:rFonts w:ascii="宋体" w:hAnsi="宋体" w:eastAsia="宋体"/>
                <w:szCs w:val="21"/>
              </w:rPr>
            </w:pPr>
            <w:r>
              <w:rPr>
                <w:rFonts w:hint="eastAsia" w:ascii="宋体" w:hAnsi="宋体" w:eastAsia="宋体"/>
                <w:szCs w:val="21"/>
              </w:rPr>
              <w:t>履约保证金退还时间及逾期退还的违约金</w:t>
            </w:r>
          </w:p>
        </w:tc>
        <w:tc>
          <w:tcPr>
            <w:tcW w:w="5170" w:type="dxa"/>
            <w:vAlign w:val="center"/>
          </w:tcPr>
          <w:p w14:paraId="366A60AD">
            <w:pPr>
              <w:adjustRightInd w:val="0"/>
              <w:snapToGrid w:val="0"/>
              <w:jc w:val="left"/>
              <w:rPr>
                <w:rFonts w:ascii="宋体" w:hAnsi="宋体" w:eastAsia="宋体"/>
                <w:szCs w:val="21"/>
              </w:rPr>
            </w:pPr>
          </w:p>
        </w:tc>
      </w:tr>
      <w:tr w14:paraId="4AFD45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4F539F19">
            <w:pPr>
              <w:adjustRightInd w:val="0"/>
              <w:snapToGrid w:val="0"/>
              <w:jc w:val="center"/>
              <w:rPr>
                <w:rFonts w:ascii="宋体" w:hAnsi="宋体" w:eastAsia="宋体"/>
                <w:szCs w:val="21"/>
              </w:rPr>
            </w:pPr>
            <w:r>
              <w:rPr>
                <w:rFonts w:hint="eastAsia" w:ascii="宋体" w:hAnsi="宋体" w:eastAsia="宋体"/>
                <w:szCs w:val="21"/>
              </w:rPr>
              <w:t>第二节</w:t>
            </w:r>
          </w:p>
          <w:p w14:paraId="26E15891">
            <w:pPr>
              <w:adjustRightInd w:val="0"/>
              <w:snapToGrid w:val="0"/>
              <w:jc w:val="center"/>
              <w:rPr>
                <w:rFonts w:ascii="宋体" w:hAnsi="宋体" w:eastAsia="宋体"/>
                <w:szCs w:val="21"/>
              </w:rPr>
            </w:pPr>
            <w:r>
              <w:rPr>
                <w:rFonts w:hint="eastAsia" w:ascii="宋体" w:hAnsi="宋体" w:eastAsia="宋体"/>
                <w:szCs w:val="21"/>
              </w:rPr>
              <w:t>第14.1（3）项</w:t>
            </w:r>
          </w:p>
        </w:tc>
        <w:tc>
          <w:tcPr>
            <w:tcW w:w="1742" w:type="dxa"/>
            <w:vAlign w:val="center"/>
          </w:tcPr>
          <w:p w14:paraId="1F4B6118">
            <w:pPr>
              <w:adjustRightInd w:val="0"/>
              <w:snapToGrid w:val="0"/>
              <w:jc w:val="left"/>
              <w:rPr>
                <w:rFonts w:ascii="宋体" w:hAnsi="宋体" w:eastAsia="宋体"/>
                <w:szCs w:val="21"/>
              </w:rPr>
            </w:pPr>
            <w:r>
              <w:rPr>
                <w:rFonts w:hint="eastAsia" w:ascii="宋体" w:hAnsi="宋体" w:eastAsia="宋体"/>
                <w:szCs w:val="21"/>
              </w:rPr>
              <w:t>运行监督、维修期限</w:t>
            </w:r>
          </w:p>
        </w:tc>
        <w:tc>
          <w:tcPr>
            <w:tcW w:w="5170" w:type="dxa"/>
            <w:vAlign w:val="center"/>
          </w:tcPr>
          <w:p w14:paraId="76D14A62">
            <w:pPr>
              <w:adjustRightInd w:val="0"/>
              <w:snapToGrid w:val="0"/>
              <w:jc w:val="left"/>
              <w:rPr>
                <w:rFonts w:ascii="宋体" w:hAnsi="宋体" w:eastAsia="宋体"/>
                <w:szCs w:val="21"/>
              </w:rPr>
            </w:pPr>
          </w:p>
        </w:tc>
      </w:tr>
      <w:tr w14:paraId="58E782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4B4BE985">
            <w:pPr>
              <w:adjustRightInd w:val="0"/>
              <w:snapToGrid w:val="0"/>
              <w:jc w:val="center"/>
              <w:rPr>
                <w:rFonts w:ascii="宋体" w:hAnsi="宋体" w:eastAsia="宋体"/>
                <w:szCs w:val="21"/>
              </w:rPr>
            </w:pPr>
            <w:r>
              <w:rPr>
                <w:rFonts w:hint="eastAsia" w:ascii="宋体" w:hAnsi="宋体" w:eastAsia="宋体"/>
                <w:szCs w:val="21"/>
              </w:rPr>
              <w:t>第二节</w:t>
            </w:r>
          </w:p>
          <w:p w14:paraId="0475C320">
            <w:pPr>
              <w:adjustRightInd w:val="0"/>
              <w:snapToGrid w:val="0"/>
              <w:jc w:val="center"/>
              <w:rPr>
                <w:rFonts w:ascii="宋体" w:hAnsi="宋体" w:eastAsia="宋体"/>
                <w:szCs w:val="21"/>
              </w:rPr>
            </w:pPr>
            <w:r>
              <w:rPr>
                <w:rFonts w:hint="eastAsia" w:ascii="宋体" w:hAnsi="宋体" w:eastAsia="宋体"/>
                <w:szCs w:val="21"/>
              </w:rPr>
              <w:t>第14.1（5）项</w:t>
            </w:r>
          </w:p>
        </w:tc>
        <w:tc>
          <w:tcPr>
            <w:tcW w:w="1742" w:type="dxa"/>
            <w:vAlign w:val="center"/>
          </w:tcPr>
          <w:p w14:paraId="33D35419">
            <w:pPr>
              <w:adjustRightInd w:val="0"/>
              <w:snapToGrid w:val="0"/>
              <w:jc w:val="left"/>
              <w:rPr>
                <w:rFonts w:ascii="宋体" w:hAnsi="宋体" w:eastAsia="宋体"/>
                <w:szCs w:val="21"/>
              </w:rPr>
            </w:pPr>
            <w:r>
              <w:rPr>
                <w:rFonts w:hint="eastAsia" w:ascii="宋体" w:hAnsi="宋体" w:eastAsia="宋体"/>
                <w:szCs w:val="21"/>
              </w:rPr>
              <w:t>货物回收的约定</w:t>
            </w:r>
          </w:p>
        </w:tc>
        <w:tc>
          <w:tcPr>
            <w:tcW w:w="5170" w:type="dxa"/>
            <w:vAlign w:val="center"/>
          </w:tcPr>
          <w:p w14:paraId="41976613">
            <w:pPr>
              <w:adjustRightInd w:val="0"/>
              <w:snapToGrid w:val="0"/>
              <w:jc w:val="left"/>
              <w:rPr>
                <w:rFonts w:ascii="宋体" w:hAnsi="宋体" w:eastAsia="宋体"/>
                <w:szCs w:val="21"/>
              </w:rPr>
            </w:pPr>
          </w:p>
        </w:tc>
      </w:tr>
      <w:tr w14:paraId="668AABEB">
        <w:tblPrEx>
          <w:tblCellMar>
            <w:top w:w="0" w:type="dxa"/>
            <w:left w:w="108" w:type="dxa"/>
            <w:bottom w:w="0" w:type="dxa"/>
            <w:right w:w="108" w:type="dxa"/>
          </w:tblCellMar>
        </w:tblPrEx>
        <w:trPr>
          <w:trHeight w:val="736" w:hRule="atLeast"/>
        </w:trPr>
        <w:tc>
          <w:tcPr>
            <w:tcW w:w="1607" w:type="dxa"/>
            <w:vAlign w:val="center"/>
          </w:tcPr>
          <w:p w14:paraId="18883966">
            <w:pPr>
              <w:adjustRightInd w:val="0"/>
              <w:snapToGrid w:val="0"/>
              <w:jc w:val="center"/>
              <w:rPr>
                <w:rFonts w:ascii="宋体" w:hAnsi="宋体" w:eastAsia="宋体"/>
                <w:szCs w:val="21"/>
              </w:rPr>
            </w:pPr>
            <w:r>
              <w:rPr>
                <w:rFonts w:hint="eastAsia" w:ascii="宋体" w:hAnsi="宋体" w:eastAsia="宋体"/>
                <w:szCs w:val="21"/>
              </w:rPr>
              <w:t>第二节</w:t>
            </w:r>
          </w:p>
          <w:p w14:paraId="45EFDAAA">
            <w:pPr>
              <w:adjustRightInd w:val="0"/>
              <w:snapToGrid w:val="0"/>
              <w:jc w:val="center"/>
              <w:rPr>
                <w:rFonts w:ascii="宋体" w:hAnsi="宋体" w:eastAsia="宋体"/>
                <w:szCs w:val="21"/>
              </w:rPr>
            </w:pPr>
            <w:r>
              <w:rPr>
                <w:rFonts w:hint="eastAsia" w:ascii="宋体" w:hAnsi="宋体" w:eastAsia="宋体"/>
                <w:szCs w:val="21"/>
              </w:rPr>
              <w:t>第14.1（6）项</w:t>
            </w:r>
          </w:p>
        </w:tc>
        <w:tc>
          <w:tcPr>
            <w:tcW w:w="1742" w:type="dxa"/>
            <w:vAlign w:val="center"/>
          </w:tcPr>
          <w:p w14:paraId="41FDD398">
            <w:pPr>
              <w:adjustRightInd w:val="0"/>
              <w:snapToGrid w:val="0"/>
              <w:jc w:val="left"/>
              <w:rPr>
                <w:rFonts w:ascii="宋体" w:hAnsi="宋体" w:eastAsia="宋体"/>
                <w:szCs w:val="21"/>
              </w:rPr>
            </w:pPr>
            <w:r>
              <w:rPr>
                <w:rFonts w:hint="eastAsia" w:ascii="宋体" w:hAnsi="宋体" w:eastAsia="宋体"/>
                <w:szCs w:val="21"/>
              </w:rPr>
              <w:t>乙方提供的其他服务</w:t>
            </w:r>
          </w:p>
        </w:tc>
        <w:tc>
          <w:tcPr>
            <w:tcW w:w="5170" w:type="dxa"/>
            <w:vAlign w:val="center"/>
          </w:tcPr>
          <w:p w14:paraId="77890D5F">
            <w:pPr>
              <w:adjustRightInd w:val="0"/>
              <w:snapToGrid w:val="0"/>
              <w:jc w:val="left"/>
              <w:rPr>
                <w:rFonts w:ascii="宋体" w:hAnsi="宋体" w:eastAsia="宋体"/>
                <w:szCs w:val="21"/>
              </w:rPr>
            </w:pPr>
          </w:p>
        </w:tc>
      </w:tr>
      <w:tr w14:paraId="5BB514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48581F4">
            <w:pPr>
              <w:adjustRightInd w:val="0"/>
              <w:snapToGrid w:val="0"/>
              <w:jc w:val="center"/>
              <w:rPr>
                <w:rFonts w:ascii="宋体" w:hAnsi="宋体" w:eastAsia="宋体"/>
                <w:szCs w:val="21"/>
              </w:rPr>
            </w:pPr>
            <w:r>
              <w:rPr>
                <w:rFonts w:hint="eastAsia" w:ascii="宋体" w:hAnsi="宋体" w:eastAsia="宋体"/>
                <w:szCs w:val="21"/>
              </w:rPr>
              <w:t>第二节</w:t>
            </w:r>
          </w:p>
          <w:p w14:paraId="445819D1">
            <w:pPr>
              <w:adjustRightInd w:val="0"/>
              <w:snapToGrid w:val="0"/>
              <w:jc w:val="center"/>
              <w:rPr>
                <w:rFonts w:ascii="宋体" w:hAnsi="宋体" w:eastAsia="宋体"/>
                <w:szCs w:val="21"/>
              </w:rPr>
            </w:pPr>
            <w:r>
              <w:rPr>
                <w:rFonts w:hint="eastAsia" w:ascii="宋体" w:hAnsi="宋体" w:eastAsia="宋体"/>
                <w:szCs w:val="21"/>
              </w:rPr>
              <w:t>第15.1款</w:t>
            </w:r>
          </w:p>
        </w:tc>
        <w:tc>
          <w:tcPr>
            <w:tcW w:w="1742" w:type="dxa"/>
            <w:vAlign w:val="center"/>
          </w:tcPr>
          <w:p w14:paraId="4EE8B9A0">
            <w:pPr>
              <w:adjustRightInd w:val="0"/>
              <w:snapToGrid w:val="0"/>
              <w:jc w:val="left"/>
              <w:rPr>
                <w:rFonts w:ascii="宋体" w:hAnsi="宋体" w:eastAsia="宋体"/>
                <w:szCs w:val="21"/>
              </w:rPr>
            </w:pPr>
            <w:r>
              <w:rPr>
                <w:rFonts w:hint="eastAsia" w:ascii="宋体" w:hAnsi="宋体" w:eastAsia="宋体"/>
                <w:szCs w:val="21"/>
              </w:rPr>
              <w:t>修理、重作、更换相关具体规定</w:t>
            </w:r>
          </w:p>
        </w:tc>
        <w:tc>
          <w:tcPr>
            <w:tcW w:w="5170" w:type="dxa"/>
            <w:vAlign w:val="center"/>
          </w:tcPr>
          <w:p w14:paraId="2382ECE5">
            <w:pPr>
              <w:adjustRightInd w:val="0"/>
              <w:snapToGrid w:val="0"/>
              <w:jc w:val="left"/>
              <w:rPr>
                <w:rFonts w:ascii="宋体" w:hAnsi="宋体" w:eastAsia="宋体"/>
                <w:szCs w:val="21"/>
              </w:rPr>
            </w:pPr>
          </w:p>
        </w:tc>
      </w:tr>
      <w:tr w14:paraId="21B960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2296CAD">
            <w:pPr>
              <w:adjustRightInd w:val="0"/>
              <w:snapToGrid w:val="0"/>
              <w:jc w:val="center"/>
              <w:rPr>
                <w:rFonts w:ascii="宋体" w:hAnsi="宋体" w:eastAsia="宋体"/>
                <w:szCs w:val="21"/>
              </w:rPr>
            </w:pPr>
            <w:r>
              <w:rPr>
                <w:rFonts w:hint="eastAsia" w:ascii="宋体" w:hAnsi="宋体" w:eastAsia="宋体"/>
                <w:szCs w:val="21"/>
              </w:rPr>
              <w:t>第二节</w:t>
            </w:r>
          </w:p>
          <w:p w14:paraId="70C6726B">
            <w:pPr>
              <w:adjustRightInd w:val="0"/>
              <w:snapToGrid w:val="0"/>
              <w:jc w:val="center"/>
              <w:rPr>
                <w:rFonts w:ascii="宋体" w:hAnsi="宋体" w:eastAsia="宋体"/>
                <w:szCs w:val="21"/>
              </w:rPr>
            </w:pPr>
            <w:r>
              <w:rPr>
                <w:rFonts w:hint="eastAsia" w:ascii="宋体" w:hAnsi="宋体" w:eastAsia="宋体"/>
                <w:szCs w:val="21"/>
              </w:rPr>
              <w:t>第15.2（2）项</w:t>
            </w:r>
          </w:p>
        </w:tc>
        <w:tc>
          <w:tcPr>
            <w:tcW w:w="1742" w:type="dxa"/>
            <w:vAlign w:val="center"/>
          </w:tcPr>
          <w:p w14:paraId="35ED6F6C">
            <w:pPr>
              <w:adjustRightInd w:val="0"/>
              <w:snapToGrid w:val="0"/>
              <w:jc w:val="left"/>
              <w:rPr>
                <w:rFonts w:ascii="宋体" w:hAnsi="宋体" w:eastAsia="宋体"/>
                <w:szCs w:val="21"/>
              </w:rPr>
            </w:pPr>
            <w:r>
              <w:rPr>
                <w:rFonts w:hint="eastAsia" w:ascii="宋体" w:hAnsi="宋体" w:eastAsia="宋体"/>
                <w:szCs w:val="21"/>
              </w:rPr>
              <w:t>迟延交货赔偿费</w:t>
            </w:r>
          </w:p>
        </w:tc>
        <w:tc>
          <w:tcPr>
            <w:tcW w:w="5170" w:type="dxa"/>
            <w:vAlign w:val="center"/>
          </w:tcPr>
          <w:p w14:paraId="042981E8">
            <w:pPr>
              <w:adjustRightInd w:val="0"/>
              <w:snapToGrid w:val="0"/>
              <w:jc w:val="left"/>
              <w:rPr>
                <w:rFonts w:ascii="宋体" w:hAnsi="宋体" w:eastAsia="宋体"/>
                <w:szCs w:val="21"/>
                <w:u w:val="single"/>
              </w:rPr>
            </w:pPr>
          </w:p>
        </w:tc>
      </w:tr>
      <w:tr w14:paraId="6FEB87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635546E">
            <w:pPr>
              <w:adjustRightInd w:val="0"/>
              <w:snapToGrid w:val="0"/>
              <w:jc w:val="center"/>
              <w:rPr>
                <w:rFonts w:ascii="宋体" w:hAnsi="宋体" w:eastAsia="宋体"/>
                <w:szCs w:val="21"/>
              </w:rPr>
            </w:pPr>
            <w:r>
              <w:rPr>
                <w:rFonts w:hint="eastAsia" w:ascii="宋体" w:hAnsi="宋体" w:eastAsia="宋体"/>
                <w:szCs w:val="21"/>
              </w:rPr>
              <w:t>第二节</w:t>
            </w:r>
          </w:p>
          <w:p w14:paraId="5AB76F4C">
            <w:pPr>
              <w:adjustRightInd w:val="0"/>
              <w:snapToGrid w:val="0"/>
              <w:jc w:val="center"/>
              <w:rPr>
                <w:rFonts w:ascii="宋体" w:hAnsi="宋体" w:eastAsia="宋体"/>
                <w:szCs w:val="21"/>
              </w:rPr>
            </w:pPr>
            <w:r>
              <w:rPr>
                <w:rFonts w:hint="eastAsia" w:ascii="宋体" w:hAnsi="宋体" w:eastAsia="宋体"/>
                <w:szCs w:val="21"/>
              </w:rPr>
              <w:t>第15.3款</w:t>
            </w:r>
          </w:p>
        </w:tc>
        <w:tc>
          <w:tcPr>
            <w:tcW w:w="1742" w:type="dxa"/>
            <w:vAlign w:val="center"/>
          </w:tcPr>
          <w:p w14:paraId="4B73B2B1">
            <w:pPr>
              <w:adjustRightInd w:val="0"/>
              <w:snapToGrid w:val="0"/>
              <w:jc w:val="left"/>
              <w:rPr>
                <w:rFonts w:ascii="宋体" w:hAnsi="宋体" w:eastAsia="宋体"/>
                <w:szCs w:val="21"/>
              </w:rPr>
            </w:pPr>
            <w:r>
              <w:rPr>
                <w:rFonts w:hint="eastAsia" w:ascii="宋体" w:hAnsi="宋体" w:eastAsia="宋体"/>
                <w:szCs w:val="21"/>
              </w:rPr>
              <w:t>逾期付款利息</w:t>
            </w:r>
          </w:p>
        </w:tc>
        <w:tc>
          <w:tcPr>
            <w:tcW w:w="5170" w:type="dxa"/>
            <w:vAlign w:val="center"/>
          </w:tcPr>
          <w:p w14:paraId="0EFCF655">
            <w:pPr>
              <w:adjustRightInd w:val="0"/>
              <w:snapToGrid w:val="0"/>
              <w:jc w:val="left"/>
              <w:rPr>
                <w:rFonts w:ascii="宋体" w:hAnsi="宋体" w:eastAsia="宋体"/>
                <w:szCs w:val="21"/>
                <w:u w:val="single"/>
              </w:rPr>
            </w:pPr>
          </w:p>
        </w:tc>
      </w:tr>
      <w:tr w14:paraId="464A90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2CE43218">
            <w:pPr>
              <w:adjustRightInd w:val="0"/>
              <w:snapToGrid w:val="0"/>
              <w:jc w:val="center"/>
              <w:rPr>
                <w:rFonts w:ascii="宋体" w:hAnsi="宋体" w:eastAsia="宋体"/>
                <w:szCs w:val="21"/>
              </w:rPr>
            </w:pPr>
            <w:r>
              <w:rPr>
                <w:rFonts w:hint="eastAsia" w:ascii="宋体" w:hAnsi="宋体" w:eastAsia="宋体"/>
                <w:szCs w:val="21"/>
              </w:rPr>
              <w:t>第二节</w:t>
            </w:r>
          </w:p>
          <w:p w14:paraId="4CA98150">
            <w:pPr>
              <w:adjustRightInd w:val="0"/>
              <w:snapToGrid w:val="0"/>
              <w:jc w:val="center"/>
              <w:rPr>
                <w:rFonts w:ascii="宋体" w:hAnsi="宋体" w:eastAsia="宋体"/>
                <w:szCs w:val="21"/>
              </w:rPr>
            </w:pPr>
            <w:r>
              <w:rPr>
                <w:rFonts w:hint="eastAsia" w:ascii="宋体" w:hAnsi="宋体" w:eastAsia="宋体"/>
                <w:szCs w:val="21"/>
              </w:rPr>
              <w:t>第15.4款</w:t>
            </w:r>
          </w:p>
        </w:tc>
        <w:tc>
          <w:tcPr>
            <w:tcW w:w="1742" w:type="dxa"/>
            <w:tcBorders>
              <w:left w:val="single" w:color="auto" w:sz="2" w:space="0"/>
              <w:bottom w:val="single" w:color="auto" w:sz="2" w:space="0"/>
              <w:right w:val="single" w:color="auto" w:sz="2" w:space="0"/>
            </w:tcBorders>
            <w:vAlign w:val="center"/>
          </w:tcPr>
          <w:p w14:paraId="25F89DAB">
            <w:pPr>
              <w:adjustRightInd w:val="0"/>
              <w:snapToGrid w:val="0"/>
              <w:jc w:val="left"/>
              <w:rPr>
                <w:rFonts w:ascii="宋体" w:hAnsi="宋体" w:eastAsia="宋体"/>
                <w:szCs w:val="21"/>
              </w:rPr>
            </w:pPr>
            <w:r>
              <w:rPr>
                <w:rFonts w:hint="eastAsia" w:ascii="宋体" w:hAnsi="宋体" w:eastAsia="宋体"/>
                <w:szCs w:val="21"/>
              </w:rPr>
              <w:t>其他违约责任</w:t>
            </w:r>
          </w:p>
        </w:tc>
        <w:tc>
          <w:tcPr>
            <w:tcW w:w="5170" w:type="dxa"/>
            <w:tcBorders>
              <w:left w:val="single" w:color="auto" w:sz="2" w:space="0"/>
              <w:bottom w:val="single" w:color="auto" w:sz="2" w:space="0"/>
            </w:tcBorders>
            <w:vAlign w:val="center"/>
          </w:tcPr>
          <w:p w14:paraId="0D20AD61">
            <w:pPr>
              <w:adjustRightInd w:val="0"/>
              <w:snapToGrid w:val="0"/>
              <w:jc w:val="left"/>
              <w:rPr>
                <w:rFonts w:ascii="宋体" w:hAnsi="宋体" w:eastAsia="宋体"/>
                <w:szCs w:val="21"/>
                <w:u w:val="single"/>
              </w:rPr>
            </w:pPr>
          </w:p>
        </w:tc>
      </w:tr>
      <w:tr w14:paraId="12F28D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04763717">
            <w:pPr>
              <w:adjustRightInd w:val="0"/>
              <w:snapToGrid w:val="0"/>
              <w:jc w:val="center"/>
              <w:rPr>
                <w:rFonts w:ascii="宋体" w:hAnsi="宋体" w:eastAsia="宋体"/>
                <w:szCs w:val="21"/>
              </w:rPr>
            </w:pPr>
            <w:r>
              <w:rPr>
                <w:rFonts w:hint="eastAsia" w:ascii="宋体" w:hAnsi="宋体" w:eastAsia="宋体"/>
                <w:szCs w:val="21"/>
              </w:rPr>
              <w:t>第二节</w:t>
            </w:r>
          </w:p>
          <w:p w14:paraId="13A3C8A4">
            <w:pPr>
              <w:adjustRightInd w:val="0"/>
              <w:snapToGrid w:val="0"/>
              <w:jc w:val="center"/>
              <w:rPr>
                <w:rFonts w:ascii="宋体" w:hAnsi="宋体" w:eastAsia="宋体"/>
                <w:szCs w:val="21"/>
              </w:rPr>
            </w:pPr>
            <w:r>
              <w:rPr>
                <w:rFonts w:hint="eastAsia" w:ascii="宋体" w:hAnsi="宋体" w:eastAsia="宋体"/>
                <w:szCs w:val="21"/>
              </w:rPr>
              <w:t>第19.2款</w:t>
            </w:r>
          </w:p>
        </w:tc>
        <w:tc>
          <w:tcPr>
            <w:tcW w:w="1742" w:type="dxa"/>
            <w:tcBorders>
              <w:top w:val="single" w:color="auto" w:sz="2" w:space="0"/>
              <w:left w:val="single" w:color="auto" w:sz="2" w:space="0"/>
              <w:right w:val="single" w:color="auto" w:sz="2" w:space="0"/>
            </w:tcBorders>
            <w:vAlign w:val="center"/>
          </w:tcPr>
          <w:p w14:paraId="5777B039">
            <w:pPr>
              <w:adjustRightInd w:val="0"/>
              <w:snapToGrid w:val="0"/>
              <w:jc w:val="left"/>
              <w:rPr>
                <w:rFonts w:ascii="宋体" w:hAnsi="宋体" w:eastAsia="宋体"/>
                <w:szCs w:val="21"/>
              </w:rPr>
            </w:pPr>
            <w:r>
              <w:rPr>
                <w:rFonts w:hint="eastAsia" w:ascii="宋体" w:hAnsi="宋体" w:eastAsia="宋体"/>
                <w:szCs w:val="21"/>
              </w:rPr>
              <w:t>解决争议的方法</w:t>
            </w:r>
          </w:p>
        </w:tc>
        <w:tc>
          <w:tcPr>
            <w:tcW w:w="5170" w:type="dxa"/>
            <w:tcBorders>
              <w:top w:val="single" w:color="auto" w:sz="2" w:space="0"/>
              <w:left w:val="single" w:color="auto" w:sz="2" w:space="0"/>
            </w:tcBorders>
            <w:vAlign w:val="center"/>
          </w:tcPr>
          <w:p w14:paraId="2D7AA9A2">
            <w:pPr>
              <w:autoSpaceDE w:val="0"/>
              <w:autoSpaceDN w:val="0"/>
              <w:adjustRightInd w:val="0"/>
              <w:snapToGrid w:val="0"/>
              <w:spacing w:line="400" w:lineRule="exact"/>
              <w:jc w:val="left"/>
              <w:rPr>
                <w:rFonts w:ascii="宋体" w:hAnsi="宋体" w:eastAsia="宋体" w:cs="宋体"/>
                <w:iCs/>
                <w:szCs w:val="21"/>
              </w:rPr>
            </w:pPr>
            <w:r>
              <w:rPr>
                <w:rFonts w:hint="eastAsia" w:ascii="宋体" w:hAnsi="宋体" w:eastAsia="宋体" w:cs="宋体"/>
                <w:iCs/>
                <w:szCs w:val="21"/>
              </w:rPr>
              <w:t>因本合同及合同有关事项发生的争议，按下列第</w:t>
            </w:r>
            <w:r>
              <w:rPr>
                <w:rFonts w:hint="eastAsia" w:ascii="宋体" w:hAnsi="宋体" w:eastAsia="宋体" w:cs="宋体"/>
                <w:iCs/>
                <w:szCs w:val="21"/>
                <w:u w:val="single"/>
              </w:rPr>
              <w:t xml:space="preserve">   </w:t>
            </w:r>
            <w:r>
              <w:rPr>
                <w:rFonts w:hint="eastAsia" w:ascii="宋体" w:hAnsi="宋体" w:eastAsia="宋体" w:cs="宋体"/>
                <w:iCs/>
                <w:szCs w:val="21"/>
              </w:rPr>
              <w:t>种方式解决：</w:t>
            </w:r>
          </w:p>
          <w:p w14:paraId="181DB250">
            <w:pPr>
              <w:autoSpaceDE w:val="0"/>
              <w:autoSpaceDN w:val="0"/>
              <w:adjustRightInd w:val="0"/>
              <w:snapToGrid w:val="0"/>
              <w:spacing w:line="400" w:lineRule="exact"/>
              <w:jc w:val="left"/>
              <w:rPr>
                <w:rFonts w:ascii="宋体" w:hAnsi="宋体" w:eastAsia="宋体" w:cs="宋体"/>
                <w:iCs/>
                <w:szCs w:val="21"/>
              </w:rPr>
            </w:pPr>
            <w:r>
              <w:rPr>
                <w:rFonts w:hint="eastAsia" w:ascii="宋体" w:hAnsi="宋体" w:eastAsia="宋体" w:cs="宋体"/>
                <w:iCs/>
                <w:szCs w:val="21"/>
              </w:rPr>
              <w:t>（1）向</w:t>
            </w:r>
            <w:r>
              <w:rPr>
                <w:rFonts w:hint="eastAsia" w:ascii="宋体" w:hAnsi="宋体" w:eastAsia="宋体" w:cs="宋体"/>
                <w:iCs/>
                <w:szCs w:val="21"/>
                <w:u w:val="single"/>
              </w:rPr>
              <w:t xml:space="preserve">                    </w:t>
            </w:r>
            <w:r>
              <w:rPr>
                <w:rFonts w:hint="eastAsia" w:ascii="宋体" w:hAnsi="宋体" w:eastAsia="宋体" w:cs="宋体"/>
                <w:iCs/>
                <w:szCs w:val="21"/>
              </w:rPr>
              <w:t>仲裁委员会申请仲裁，仲裁地点为</w:t>
            </w:r>
            <w:r>
              <w:rPr>
                <w:rFonts w:hint="eastAsia" w:ascii="宋体" w:hAnsi="宋体" w:eastAsia="宋体" w:cs="宋体"/>
                <w:iCs/>
                <w:szCs w:val="21"/>
                <w:u w:val="single"/>
              </w:rPr>
              <w:t xml:space="preserve">           </w:t>
            </w:r>
            <w:r>
              <w:rPr>
                <w:rFonts w:hint="eastAsia" w:ascii="宋体" w:hAnsi="宋体" w:eastAsia="宋体" w:cs="宋体"/>
                <w:iCs/>
                <w:szCs w:val="21"/>
              </w:rPr>
              <w:t>；</w:t>
            </w:r>
          </w:p>
          <w:p w14:paraId="0E7ED942">
            <w:pPr>
              <w:adjustRightInd w:val="0"/>
              <w:snapToGrid w:val="0"/>
              <w:jc w:val="left"/>
              <w:rPr>
                <w:rFonts w:ascii="宋体" w:hAnsi="宋体" w:eastAsia="宋体"/>
                <w:szCs w:val="21"/>
                <w:u w:val="single"/>
              </w:rPr>
            </w:pPr>
            <w:r>
              <w:rPr>
                <w:rFonts w:hint="eastAsia" w:ascii="宋体" w:hAnsi="宋体" w:eastAsia="宋体" w:cs="宋体"/>
                <w:iCs/>
                <w:szCs w:val="21"/>
              </w:rPr>
              <w:t>（2）向</w:t>
            </w:r>
            <w:r>
              <w:rPr>
                <w:rFonts w:hint="eastAsia" w:ascii="宋体" w:hAnsi="宋体" w:eastAsia="宋体" w:cs="宋体"/>
                <w:iCs/>
                <w:szCs w:val="21"/>
                <w:u w:val="single"/>
              </w:rPr>
              <w:t xml:space="preserve">                    </w:t>
            </w:r>
            <w:r>
              <w:rPr>
                <w:rFonts w:hint="eastAsia" w:ascii="宋体" w:hAnsi="宋体" w:eastAsia="宋体" w:cs="宋体"/>
                <w:iCs/>
                <w:szCs w:val="21"/>
              </w:rPr>
              <w:t>人民法院起诉。</w:t>
            </w:r>
          </w:p>
        </w:tc>
      </w:tr>
      <w:tr w14:paraId="02C4A8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6A97E3AE">
            <w:pPr>
              <w:adjustRightInd w:val="0"/>
              <w:snapToGrid w:val="0"/>
              <w:jc w:val="center"/>
              <w:rPr>
                <w:rFonts w:ascii="宋体" w:hAnsi="宋体" w:eastAsia="宋体"/>
                <w:szCs w:val="21"/>
              </w:rPr>
            </w:pPr>
            <w:r>
              <w:rPr>
                <w:rFonts w:hint="eastAsia" w:ascii="宋体" w:hAnsi="宋体" w:eastAsia="宋体"/>
                <w:szCs w:val="21"/>
              </w:rPr>
              <w:t>第二节</w:t>
            </w:r>
          </w:p>
          <w:p w14:paraId="5267E7EA">
            <w:pPr>
              <w:adjustRightInd w:val="0"/>
              <w:snapToGrid w:val="0"/>
              <w:jc w:val="center"/>
              <w:rPr>
                <w:rFonts w:ascii="宋体" w:hAnsi="宋体" w:eastAsia="宋体"/>
                <w:szCs w:val="21"/>
              </w:rPr>
            </w:pPr>
            <w:r>
              <w:rPr>
                <w:rFonts w:hint="eastAsia" w:ascii="宋体" w:hAnsi="宋体" w:eastAsia="宋体"/>
                <w:szCs w:val="21"/>
              </w:rPr>
              <w:t>第23.1款</w:t>
            </w:r>
          </w:p>
        </w:tc>
        <w:tc>
          <w:tcPr>
            <w:tcW w:w="1742" w:type="dxa"/>
            <w:vAlign w:val="center"/>
          </w:tcPr>
          <w:p w14:paraId="2B3670CB">
            <w:pPr>
              <w:adjustRightInd w:val="0"/>
              <w:snapToGrid w:val="0"/>
              <w:jc w:val="left"/>
              <w:rPr>
                <w:rFonts w:ascii="宋体" w:hAnsi="宋体" w:eastAsia="宋体"/>
                <w:szCs w:val="21"/>
              </w:rPr>
            </w:pPr>
            <w:r>
              <w:rPr>
                <w:rFonts w:hint="eastAsia" w:ascii="宋体" w:hAnsi="宋体" w:eastAsia="宋体"/>
                <w:bCs/>
                <w:szCs w:val="21"/>
              </w:rPr>
              <w:t>其他专用条款</w:t>
            </w:r>
          </w:p>
        </w:tc>
        <w:tc>
          <w:tcPr>
            <w:tcW w:w="5170" w:type="dxa"/>
            <w:vAlign w:val="center"/>
          </w:tcPr>
          <w:p w14:paraId="470C6235">
            <w:pPr>
              <w:adjustRightInd w:val="0"/>
              <w:snapToGrid w:val="0"/>
              <w:jc w:val="left"/>
              <w:rPr>
                <w:rFonts w:ascii="宋体" w:hAnsi="宋体" w:eastAsia="宋体"/>
                <w:szCs w:val="21"/>
              </w:rPr>
            </w:pPr>
          </w:p>
        </w:tc>
      </w:tr>
    </w:tbl>
    <w:p w14:paraId="6438AA3B">
      <w:pPr>
        <w:rPr>
          <w:rFonts w:eastAsia="宋体"/>
        </w:rPr>
      </w:pPr>
    </w:p>
    <w:p w14:paraId="06A1BC02">
      <w:pPr>
        <w:spacing w:line="276" w:lineRule="auto"/>
        <w:ind w:firstLine="560"/>
        <w:jc w:val="left"/>
        <w:rPr>
          <w:rFonts w:ascii="Times New Roman" w:hAnsi="Times New Roman" w:eastAsia="宋体" w:cs="Times New Roman"/>
          <w:szCs w:val="24"/>
        </w:rPr>
      </w:pPr>
    </w:p>
    <w:p w14:paraId="3D7FBC77">
      <w:pPr>
        <w:widowControl/>
        <w:spacing w:line="276" w:lineRule="auto"/>
        <w:jc w:val="left"/>
        <w:rPr>
          <w:rFonts w:ascii="Times New Roman" w:hAnsi="Times New Roman" w:eastAsia="宋体" w:cs="Times New Roman"/>
          <w:szCs w:val="21"/>
        </w:rPr>
      </w:pPr>
      <w:r>
        <w:rPr>
          <w:rFonts w:ascii="Times New Roman" w:hAnsi="Times New Roman" w:eastAsia="宋体" w:cs="Times New Roman"/>
          <w:szCs w:val="21"/>
        </w:rPr>
        <w:br w:type="page"/>
      </w:r>
    </w:p>
    <w:p w14:paraId="22CDF145">
      <w:pPr>
        <w:keepNext/>
        <w:keepLines/>
        <w:adjustRightInd w:val="0"/>
        <w:spacing w:before="120" w:beforeLines="50" w:after="120" w:afterLines="50"/>
        <w:ind w:left="562"/>
        <w:jc w:val="center"/>
        <w:textAlignment w:val="baseline"/>
        <w:outlineLvl w:val="1"/>
        <w:rPr>
          <w:rFonts w:ascii="Times New Roman" w:hAnsi="Times New Roman" w:eastAsia="宋体" w:cs="Times New Roman"/>
          <w:b/>
          <w:bCs/>
          <w:kern w:val="0"/>
          <w:sz w:val="28"/>
          <w:szCs w:val="28"/>
        </w:rPr>
      </w:pPr>
      <w:r>
        <w:rPr>
          <w:rFonts w:ascii="Times New Roman" w:hAnsi="Times New Roman" w:eastAsia="宋体" w:cs="Times New Roman"/>
          <w:b/>
          <w:bCs/>
          <w:kern w:val="0"/>
          <w:sz w:val="28"/>
          <w:szCs w:val="28"/>
        </w:rPr>
        <w:t>第二册  通用条款（公开招标）</w:t>
      </w:r>
    </w:p>
    <w:p w14:paraId="22A6DBFE">
      <w:pPr>
        <w:keepNext/>
        <w:keepLines/>
        <w:numPr>
          <w:ilvl w:val="0"/>
          <w:numId w:val="18"/>
        </w:numPr>
        <w:adjustRightInd w:val="0"/>
        <w:spacing w:before="120" w:beforeLines="50" w:after="120" w:afterLines="50" w:line="276" w:lineRule="auto"/>
        <w:ind w:left="562" w:hanging="562"/>
        <w:jc w:val="center"/>
        <w:textAlignment w:val="baseline"/>
        <w:outlineLvl w:val="1"/>
        <w:rPr>
          <w:rFonts w:ascii="Times New Roman" w:hAnsi="Times New Roman" w:eastAsia="宋体" w:cs="Times New Roman"/>
          <w:b/>
          <w:bCs/>
          <w:kern w:val="0"/>
          <w:sz w:val="28"/>
          <w:szCs w:val="28"/>
        </w:rPr>
      </w:pPr>
      <w:bookmarkStart w:id="73" w:name="_Hlk72399513"/>
      <w:r>
        <w:rPr>
          <w:rFonts w:ascii="Times New Roman" w:hAnsi="Times New Roman" w:eastAsia="宋体" w:cs="Times New Roman"/>
          <w:b/>
          <w:bCs/>
          <w:kern w:val="0"/>
          <w:sz w:val="28"/>
          <w:szCs w:val="28"/>
        </w:rPr>
        <w:t>总则</w:t>
      </w:r>
    </w:p>
    <w:bookmarkEnd w:id="73"/>
    <w:p w14:paraId="387FE15A">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1. 通用条款说明</w:t>
      </w:r>
    </w:p>
    <w:p w14:paraId="225D7E98">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1.1政府集中采购机构发出招标文件通用条款版本，列出深圳市政府采购项目进行招标采购所适用的通用条款内容。</w:t>
      </w:r>
      <w:bookmarkStart w:id="74" w:name="_Hlk72399729"/>
      <w:r>
        <w:rPr>
          <w:rFonts w:ascii="Times New Roman" w:hAnsi="Times New Roman" w:eastAsia="宋体" w:cs="Times New Roman"/>
          <w:szCs w:val="21"/>
        </w:rPr>
        <w:t>如有需要，政府集中采购机构可以对通用条款的内容进行补充。</w:t>
      </w:r>
      <w:bookmarkEnd w:id="74"/>
    </w:p>
    <w:p w14:paraId="70CB3879">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1.2招标文件分为第一册“专用条款”和第二册“通用条款”。</w:t>
      </w:r>
    </w:p>
    <w:p w14:paraId="67FABE07">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1.3“专用条款”是对本次采购项目的具体要求，包含招标公告、对通用条款的补充内容及其他关键信息、用户需求书、投标文件格式及附件、合同条款及格式等内容。</w:t>
      </w:r>
    </w:p>
    <w:p w14:paraId="57E1337C">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1.4“通用条款”是适用于政府采购公开招标项目的基础性条款，具有普遍性和通用性。</w:t>
      </w:r>
    </w:p>
    <w:p w14:paraId="26CC4113">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1.5 “专用条款”和“通用条款”表述不一致或有冲突时，以“专用条款”为准。</w:t>
      </w:r>
    </w:p>
    <w:p w14:paraId="766D20EF">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2．招标说明</w:t>
      </w:r>
    </w:p>
    <w:p w14:paraId="660790C0">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本项目按照《深圳经济特区政府采购条例》、《深圳经济特区政府采购条例实施细则》及政府采购其他法律法规，通过公开招标方式确定中标供应商。</w:t>
      </w:r>
    </w:p>
    <w:p w14:paraId="53A046F9">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3．定义</w:t>
      </w:r>
    </w:p>
    <w:p w14:paraId="0A120615">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招标文件中下列术语应解释为：</w:t>
      </w:r>
    </w:p>
    <w:p w14:paraId="60C8B034">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3.1“采购人”：指利用财政性资金依法进行政府采购的国家机关、事业单位、团体组织；</w:t>
      </w:r>
    </w:p>
    <w:p w14:paraId="41E00115">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3.2 “政府集中采购机构”</w:t>
      </w:r>
      <w:r>
        <w:rPr>
          <w:rFonts w:ascii="Times New Roman" w:hAnsi="Times New Roman" w:eastAsia="宋体" w:cs="Times New Roman"/>
          <w:szCs w:val="21"/>
          <w:shd w:val="clear" w:color="auto" w:fill="FFFFFF"/>
        </w:rPr>
        <w:t>是指市政府设立的，组织实施政府采购项目，并对政府采购活动提供服务的专门机构；</w:t>
      </w:r>
      <w:r>
        <w:rPr>
          <w:rFonts w:ascii="Times New Roman" w:hAnsi="Times New Roman" w:eastAsia="宋体" w:cs="Times New Roman"/>
          <w:szCs w:val="21"/>
        </w:rPr>
        <w:t>本文件所述的“政府集中采购机构”指</w:t>
      </w:r>
      <w:r>
        <w:rPr>
          <w:rFonts w:ascii="Times New Roman" w:hAnsi="Times New Roman" w:eastAsia="宋体" w:cs="Times New Roman"/>
          <w:b/>
          <w:bCs/>
          <w:szCs w:val="21"/>
        </w:rPr>
        <w:t>深圳公共资源交易中心</w:t>
      </w:r>
      <w:r>
        <w:rPr>
          <w:rFonts w:ascii="Times New Roman" w:hAnsi="Times New Roman" w:eastAsia="宋体" w:cs="Times New Roman"/>
          <w:szCs w:val="21"/>
        </w:rPr>
        <w:t>；</w:t>
      </w:r>
    </w:p>
    <w:p w14:paraId="14762BA8">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3.3“投标人”，即供应商，指参加投标竞争并愿意按照招标文件要求向采购人提供货物、工程或者服务的依法成立的法人、其他组织或者自然人；</w:t>
      </w:r>
    </w:p>
    <w:p w14:paraId="6D4AADD3">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3.4“中标候选人”即“候选中标供应商”</w:t>
      </w:r>
      <w:r>
        <w:rPr>
          <w:rFonts w:hint="eastAsia" w:ascii="宋体" w:hAnsi="Times New Roman" w:eastAsia="宋体" w:cs="Times New Roman"/>
          <w:kern w:val="0"/>
          <w:szCs w:val="21"/>
        </w:rPr>
        <w:t>；</w:t>
      </w:r>
    </w:p>
    <w:p w14:paraId="4A62356B">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3.5“评审委员会”是依据《深圳经济特区政府采购条例》、《深圳经济特区政府采购条例实施细则》等有关规定组建的专门负责本次招标其评审工作的临时性机构；</w:t>
      </w:r>
    </w:p>
    <w:p w14:paraId="4688375C">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3.6“日期”指公历日；</w:t>
      </w:r>
    </w:p>
    <w:p w14:paraId="521D2160">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3.7“合同”指由本次招标所产生的合同或合约文件；</w:t>
      </w:r>
    </w:p>
    <w:p w14:paraId="59CEDEEC">
      <w:pPr>
        <w:suppressAutoHyphens/>
        <w:wordWrap w:val="0"/>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3.8“电子投标文件”指利用</w:t>
      </w:r>
      <w:r>
        <w:rPr>
          <w:rFonts w:ascii="Times New Roman" w:hAnsi="Times New Roman" w:eastAsia="宋体" w:cs="Times New Roman"/>
          <w:b/>
          <w:bCs/>
          <w:color w:val="FF0000"/>
          <w:szCs w:val="21"/>
        </w:rPr>
        <w:t>深圳公共资源交易中心（深圳交易集团有限公司</w:t>
      </w:r>
      <w:r>
        <w:rPr>
          <w:rFonts w:hint="eastAsia" w:ascii="Times New Roman" w:hAnsi="Times New Roman" w:eastAsia="宋体" w:cs="Times New Roman"/>
          <w:b/>
          <w:bCs/>
          <w:color w:val="FF0000"/>
          <w:szCs w:val="21"/>
        </w:rPr>
        <w:t>南山</w:t>
      </w:r>
      <w:r>
        <w:rPr>
          <w:rFonts w:ascii="Times New Roman" w:hAnsi="Times New Roman" w:eastAsia="宋体" w:cs="Times New Roman"/>
          <w:b/>
          <w:bCs/>
          <w:color w:val="FF0000"/>
          <w:szCs w:val="21"/>
        </w:rPr>
        <w:t>分公司）</w:t>
      </w:r>
      <w:r>
        <w:rPr>
          <w:rFonts w:ascii="Times New Roman" w:hAnsi="Times New Roman" w:eastAsia="宋体" w:cs="Times New Roman"/>
          <w:szCs w:val="21"/>
        </w:rPr>
        <w:t>网站提供的</w:t>
      </w:r>
      <w:r>
        <w:rPr>
          <w:rFonts w:hint="eastAsia" w:ascii="Times New Roman" w:hAnsi="Times New Roman" w:eastAsia="宋体" w:cs="Times New Roman"/>
          <w:szCs w:val="24"/>
        </w:rPr>
        <w:t>深圳智慧采购平台投标文件制作专用软件（以下简称：投标文件制作软件）制作并加密的投标文件，适用于网上投标；（投标文件制作软件可从“下载地址：http://zfcg.szggzy.com:8081/cgxy/013002/list.html”下载）</w:t>
      </w:r>
      <w:r>
        <w:rPr>
          <w:rFonts w:ascii="Times New Roman" w:hAnsi="Times New Roman" w:eastAsia="宋体" w:cs="Times New Roman"/>
          <w:szCs w:val="21"/>
        </w:rPr>
        <w:t>；</w:t>
      </w:r>
    </w:p>
    <w:p w14:paraId="59CBA4B0">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3.9“网上投标”指通过</w:t>
      </w:r>
      <w:r>
        <w:rPr>
          <w:rFonts w:ascii="Times New Roman" w:hAnsi="Times New Roman" w:eastAsia="宋体" w:cs="Times New Roman"/>
          <w:b/>
          <w:bCs/>
          <w:color w:val="FF0000"/>
          <w:szCs w:val="21"/>
        </w:rPr>
        <w:t>深圳公共资源交易中心（深圳交易集团有限公司</w:t>
      </w:r>
      <w:r>
        <w:rPr>
          <w:rFonts w:hint="eastAsia" w:ascii="Times New Roman" w:hAnsi="Times New Roman" w:eastAsia="宋体" w:cs="Times New Roman"/>
          <w:b/>
          <w:bCs/>
          <w:color w:val="FF0000"/>
          <w:szCs w:val="21"/>
        </w:rPr>
        <w:t>南山</w:t>
      </w:r>
      <w:r>
        <w:rPr>
          <w:rFonts w:ascii="Times New Roman" w:hAnsi="Times New Roman" w:eastAsia="宋体" w:cs="Times New Roman"/>
          <w:b/>
          <w:bCs/>
          <w:color w:val="FF0000"/>
          <w:szCs w:val="21"/>
        </w:rPr>
        <w:t>分公司）</w:t>
      </w:r>
      <w:r>
        <w:rPr>
          <w:rFonts w:ascii="Times New Roman" w:hAnsi="Times New Roman" w:eastAsia="宋体" w:cs="Times New Roman"/>
          <w:szCs w:val="21"/>
        </w:rPr>
        <w:t>网站上传电子投标文件；</w:t>
      </w:r>
    </w:p>
    <w:p w14:paraId="276D17B0">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3.10招标文件中的标题或题名仅起引导作用，而不应视为对招标文件内容的理解和解释。</w:t>
      </w:r>
    </w:p>
    <w:p w14:paraId="77597E5C">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 xml:space="preserve">4. </w:t>
      </w:r>
      <w:bookmarkStart w:id="75" w:name="_Hlk72398643"/>
      <w:r>
        <w:rPr>
          <w:rFonts w:ascii="Times New Roman" w:hAnsi="Times New Roman" w:eastAsia="黑体" w:cs="Times New Roman"/>
          <w:sz w:val="24"/>
          <w:szCs w:val="24"/>
        </w:rPr>
        <w:t>政府采购供应商责任</w:t>
      </w:r>
    </w:p>
    <w:p w14:paraId="7FCE0B21">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4.1欢迎诚信、有实力和有社会责任心的供应商参与政府采购事业。</w:t>
      </w:r>
    </w:p>
    <w:p w14:paraId="524D22A4">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4.2投标人应当遵循公平竞争的原则，不得恶意串通，不得妨碍其他投标人的竞争行为，不得损害采购人或者其他投标人的合法权益。如违反上述要求，经核实后，供应商的投标无效。</w:t>
      </w:r>
    </w:p>
    <w:p w14:paraId="39329B89">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5．投标人参加政府采购的条件</w:t>
      </w:r>
    </w:p>
    <w:p w14:paraId="19256413">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5.1投标人应在投标前到</w:t>
      </w:r>
      <w:r>
        <w:rPr>
          <w:rFonts w:ascii="Times New Roman" w:hAnsi="Times New Roman" w:eastAsia="宋体" w:cs="Times New Roman"/>
          <w:b/>
          <w:bCs/>
          <w:szCs w:val="21"/>
        </w:rPr>
        <w:t>深圳公共资源交易中心（具体在深圳交易集团有限公司政府采购业务分公司进行办理）</w:t>
      </w:r>
      <w:r>
        <w:rPr>
          <w:rFonts w:ascii="Times New Roman" w:hAnsi="Times New Roman" w:eastAsia="宋体" w:cs="Times New Roman"/>
          <w:szCs w:val="21"/>
        </w:rPr>
        <w:t>进行注册并办理电子密钥。</w:t>
      </w:r>
      <w:r>
        <w:rPr>
          <w:rFonts w:hint="eastAsia" w:ascii="Times New Roman" w:hAnsi="Times New Roman" w:eastAsia="宋体" w:cs="Times New Roman"/>
          <w:szCs w:val="21"/>
        </w:rPr>
        <w:t>《供应商注册及信息变更指引》详见www.szggzy.com网站“交易服务指南-政府采购”。</w:t>
      </w:r>
    </w:p>
    <w:p w14:paraId="2795C0E8">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5.2投标人资格要求</w:t>
      </w:r>
    </w:p>
    <w:p w14:paraId="04B460B0">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参加本项目的投标人应具备的资格条件详见本项目招标公告中 “投标人资格要求”（即申请人的资格要求）的内容。</w:t>
      </w:r>
    </w:p>
    <w:p w14:paraId="7768E516">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5.3联合体投标</w:t>
      </w:r>
    </w:p>
    <w:p w14:paraId="3361E19D">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5.3.1</w:t>
      </w:r>
      <w:r>
        <w:rPr>
          <w:rFonts w:hint="eastAsia" w:ascii="Times New Roman" w:hAnsi="Times New Roman" w:eastAsia="宋体" w:cs="Times New Roman"/>
          <w:szCs w:val="21"/>
        </w:rPr>
        <w:t xml:space="preserve">  </w:t>
      </w:r>
      <w:r>
        <w:rPr>
          <w:rFonts w:ascii="Times New Roman" w:hAnsi="Times New Roman" w:eastAsia="宋体" w:cs="Times New Roman"/>
          <w:szCs w:val="21"/>
        </w:rPr>
        <w:t>以下有关联合体投标的条款仅适用于允许投标人组成联合体投标的项目。</w:t>
      </w:r>
    </w:p>
    <w:p w14:paraId="65C35D97">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5.3.2  由两个或两个以上的自然人、法人或者其他组织可以组成一个联合体，以一个供应商的身份共同投标时，应符合以下原则：</w:t>
      </w:r>
    </w:p>
    <w:p w14:paraId="4178BE2F">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（1）投标联合体各方参加政府采购活动应当具备下列条件：</w:t>
      </w:r>
    </w:p>
    <w:p w14:paraId="1DA2EC41">
      <w:pPr>
        <w:spacing w:line="276" w:lineRule="auto"/>
        <w:ind w:left="420" w:leftChars="200" w:firstLine="411" w:firstLineChars="196"/>
        <w:rPr>
          <w:rFonts w:ascii="Times New Roman" w:hAnsi="Times New Roman" w:eastAsia="宋体" w:cs="Times New Roman"/>
          <w:szCs w:val="24"/>
        </w:rPr>
      </w:pPr>
      <w:r>
        <w:rPr>
          <w:rFonts w:ascii="Times New Roman" w:hAnsi="Times New Roman" w:eastAsia="宋体" w:cs="Times New Roman"/>
          <w:szCs w:val="24"/>
        </w:rPr>
        <w:t>1</w:t>
      </w:r>
      <w:r>
        <w:rPr>
          <w:rFonts w:hint="eastAsia" w:ascii="Times New Roman" w:hAnsi="Times New Roman" w:eastAsia="宋体" w:cs="Times New Roman"/>
          <w:szCs w:val="24"/>
        </w:rPr>
        <w:t>.</w:t>
      </w:r>
      <w:r>
        <w:rPr>
          <w:rFonts w:ascii="Times New Roman" w:hAnsi="Times New Roman" w:eastAsia="宋体" w:cs="Times New Roman"/>
          <w:szCs w:val="24"/>
        </w:rPr>
        <w:t>具有独立承担民事责任的能力；</w:t>
      </w:r>
    </w:p>
    <w:p w14:paraId="45097747">
      <w:pPr>
        <w:spacing w:line="276" w:lineRule="auto"/>
        <w:ind w:left="420" w:firstLine="411" w:firstLineChars="196"/>
        <w:rPr>
          <w:rFonts w:ascii="Times New Roman" w:hAnsi="Times New Roman" w:eastAsia="宋体" w:cs="Times New Roman"/>
          <w:szCs w:val="24"/>
        </w:rPr>
      </w:pPr>
      <w:r>
        <w:rPr>
          <w:rFonts w:ascii="Times New Roman" w:hAnsi="Times New Roman" w:eastAsia="宋体" w:cs="Times New Roman"/>
          <w:szCs w:val="24"/>
        </w:rPr>
        <w:t>2</w:t>
      </w:r>
      <w:r>
        <w:rPr>
          <w:rFonts w:hint="eastAsia" w:ascii="Times New Roman" w:hAnsi="Times New Roman" w:eastAsia="宋体" w:cs="Times New Roman"/>
          <w:szCs w:val="24"/>
        </w:rPr>
        <w:t>.</w:t>
      </w:r>
      <w:r>
        <w:rPr>
          <w:rFonts w:ascii="Times New Roman" w:hAnsi="Times New Roman" w:eastAsia="宋体" w:cs="Times New Roman"/>
          <w:szCs w:val="24"/>
        </w:rPr>
        <w:t>有良好的商业信誉和健全的财务会计制度；</w:t>
      </w:r>
    </w:p>
    <w:p w14:paraId="05E2D495">
      <w:pPr>
        <w:spacing w:line="276" w:lineRule="auto"/>
        <w:ind w:left="420" w:leftChars="200" w:firstLine="411" w:firstLineChars="196"/>
        <w:rPr>
          <w:rFonts w:ascii="Times New Roman" w:hAnsi="Times New Roman" w:eastAsia="宋体" w:cs="Times New Roman"/>
          <w:szCs w:val="24"/>
        </w:rPr>
      </w:pPr>
      <w:r>
        <w:rPr>
          <w:rFonts w:ascii="Times New Roman" w:hAnsi="Times New Roman" w:eastAsia="宋体" w:cs="Times New Roman"/>
          <w:szCs w:val="24"/>
        </w:rPr>
        <w:t>3</w:t>
      </w:r>
      <w:r>
        <w:rPr>
          <w:rFonts w:hint="eastAsia" w:ascii="Times New Roman" w:hAnsi="Times New Roman" w:eastAsia="宋体" w:cs="Times New Roman"/>
          <w:szCs w:val="24"/>
        </w:rPr>
        <w:t>.</w:t>
      </w:r>
      <w:r>
        <w:rPr>
          <w:rFonts w:ascii="Times New Roman" w:hAnsi="Times New Roman" w:eastAsia="宋体" w:cs="Times New Roman"/>
          <w:szCs w:val="24"/>
        </w:rPr>
        <w:t>具有履行合同所必需的设备和专业技术能力；</w:t>
      </w:r>
    </w:p>
    <w:p w14:paraId="3EB839EF">
      <w:pPr>
        <w:spacing w:line="276" w:lineRule="auto"/>
        <w:ind w:left="420" w:leftChars="200" w:firstLine="411" w:firstLineChars="196"/>
        <w:rPr>
          <w:rFonts w:ascii="Times New Roman" w:hAnsi="Times New Roman" w:eastAsia="宋体" w:cs="Times New Roman"/>
          <w:szCs w:val="24"/>
        </w:rPr>
      </w:pPr>
      <w:r>
        <w:rPr>
          <w:rFonts w:ascii="Times New Roman" w:hAnsi="Times New Roman" w:eastAsia="宋体" w:cs="Times New Roman"/>
          <w:szCs w:val="24"/>
        </w:rPr>
        <w:t>4</w:t>
      </w:r>
      <w:r>
        <w:rPr>
          <w:rFonts w:hint="eastAsia" w:ascii="Times New Roman" w:hAnsi="Times New Roman" w:eastAsia="宋体" w:cs="Times New Roman"/>
          <w:szCs w:val="24"/>
        </w:rPr>
        <w:t>.</w:t>
      </w:r>
      <w:r>
        <w:rPr>
          <w:rFonts w:ascii="Times New Roman" w:hAnsi="Times New Roman" w:eastAsia="宋体" w:cs="Times New Roman"/>
          <w:szCs w:val="24"/>
        </w:rPr>
        <w:t>有依法缴纳税收和社会保障资金的良好记录；</w:t>
      </w:r>
    </w:p>
    <w:p w14:paraId="09A51832">
      <w:pPr>
        <w:spacing w:line="276" w:lineRule="auto"/>
        <w:ind w:left="420" w:leftChars="200" w:firstLine="411" w:firstLineChars="196"/>
        <w:rPr>
          <w:rFonts w:ascii="Times New Roman" w:hAnsi="Times New Roman" w:eastAsia="宋体" w:cs="Times New Roman"/>
          <w:szCs w:val="24"/>
        </w:rPr>
      </w:pPr>
      <w:r>
        <w:rPr>
          <w:rFonts w:ascii="Times New Roman" w:hAnsi="Times New Roman" w:eastAsia="宋体" w:cs="Times New Roman"/>
          <w:szCs w:val="24"/>
        </w:rPr>
        <w:t>5</w:t>
      </w:r>
      <w:r>
        <w:rPr>
          <w:rFonts w:hint="eastAsia" w:ascii="Times New Roman" w:hAnsi="Times New Roman" w:eastAsia="宋体" w:cs="Times New Roman"/>
          <w:szCs w:val="24"/>
        </w:rPr>
        <w:t>.</w:t>
      </w:r>
      <w:r>
        <w:rPr>
          <w:rFonts w:ascii="Times New Roman" w:hAnsi="Times New Roman" w:eastAsia="宋体" w:cs="Times New Roman"/>
          <w:szCs w:val="24"/>
        </w:rPr>
        <w:t>参加政府采购活动前三年内，在经营活动中没有重大违法记录；</w:t>
      </w:r>
    </w:p>
    <w:p w14:paraId="30825D80">
      <w:pPr>
        <w:spacing w:line="276" w:lineRule="auto"/>
        <w:ind w:left="420" w:leftChars="200" w:firstLine="411" w:firstLineChars="196"/>
        <w:rPr>
          <w:rFonts w:ascii="Times New Roman" w:hAnsi="Times New Roman" w:eastAsia="宋体" w:cs="Times New Roman"/>
          <w:szCs w:val="24"/>
        </w:rPr>
      </w:pPr>
      <w:r>
        <w:rPr>
          <w:rFonts w:ascii="Times New Roman" w:hAnsi="Times New Roman" w:eastAsia="宋体" w:cs="Times New Roman"/>
          <w:szCs w:val="24"/>
        </w:rPr>
        <w:t>6</w:t>
      </w:r>
      <w:r>
        <w:rPr>
          <w:rFonts w:hint="eastAsia" w:ascii="Times New Roman" w:hAnsi="Times New Roman" w:eastAsia="宋体" w:cs="Times New Roman"/>
          <w:szCs w:val="24"/>
        </w:rPr>
        <w:t>.</w:t>
      </w:r>
      <w:r>
        <w:rPr>
          <w:rFonts w:ascii="Times New Roman" w:hAnsi="Times New Roman" w:eastAsia="宋体" w:cs="Times New Roman"/>
          <w:szCs w:val="24"/>
        </w:rPr>
        <w:t>法律、行政法规规定的其他条件。</w:t>
      </w:r>
    </w:p>
    <w:p w14:paraId="6DC91E90">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（2）在投标截止前，投标联合体各方均应注册成政府集中采购机构供应商；</w:t>
      </w:r>
    </w:p>
    <w:p w14:paraId="514E55A7">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（3）联合体中有同类资质的供应商按照联合体分工承担相同工作的，应当按照资质等级较低的供应商确定资质等级；</w:t>
      </w:r>
    </w:p>
    <w:p w14:paraId="59DBC853">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（4）是否允许联合体参加投标，应当由采购人和采购代理机构根据项目的实际情况和潜在供应商的数量自主决定，如果决定接受联合体投标则应当在招标公告中明示；</w:t>
      </w:r>
    </w:p>
    <w:p w14:paraId="5A45B76B">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（5）投标人的投标文件及中标后签署的合同协议对联合体各方均具法律约束力；</w:t>
      </w:r>
    </w:p>
    <w:p w14:paraId="365F887E">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（6）联合体各方应当签订联合体投标协议，明确约定各方拟承担的工作和责任，并将该协议随投标文件一并递交给政府集中采购机构；</w:t>
      </w:r>
    </w:p>
    <w:p w14:paraId="53810C71">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（7）联合体中标后，联合体各方应当共同与采购人签订合同，就中标项目向采购人承担连带责任；</w:t>
      </w:r>
    </w:p>
    <w:p w14:paraId="09345662">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0AB943A2">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4"/>
        </w:rPr>
        <w:t>（9）本通用条款中“投标人”一词亦指联合体各方，专用条款另有规定或说明的除外。</w:t>
      </w:r>
    </w:p>
    <w:p w14:paraId="0A18C4B9">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6．政策导向</w:t>
      </w:r>
    </w:p>
    <w:p w14:paraId="133796C1">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6.1</w:t>
      </w:r>
      <w:r>
        <w:rPr>
          <w:rFonts w:hint="eastAsia" w:ascii="Times New Roman" w:hAnsi="Times New Roman" w:eastAsia="宋体" w:cs="Times New Roman"/>
          <w:szCs w:val="24"/>
          <w:shd w:val="clear" w:color="auto" w:fill="FFFFFF"/>
        </w:rPr>
        <w:t>政府采购支持本国产品、支持中小企业、监狱企业和残疾人福利性单位发展，支持乡村产业振兴，支持创新、节能减排、绿色环保等。</w:t>
      </w:r>
    </w:p>
    <w:p w14:paraId="4CB47A4C">
      <w:pPr>
        <w:spacing w:line="276" w:lineRule="auto"/>
        <w:ind w:firstLine="405"/>
        <w:rPr>
          <w:rFonts w:ascii="Times New Roman" w:hAnsi="Times New Roman" w:eastAsia="宋体" w:cs="Times New Roman"/>
          <w:szCs w:val="24"/>
        </w:rPr>
      </w:pPr>
      <w:r>
        <w:rPr>
          <w:rFonts w:ascii="Times New Roman" w:hAnsi="Times New Roman" w:eastAsia="宋体" w:cs="Times New Roman"/>
          <w:szCs w:val="24"/>
        </w:rPr>
        <w:t>6.2本项目落实深圳市政府采购供应商诚信管理政策要求。</w:t>
      </w:r>
    </w:p>
    <w:p w14:paraId="3CE1612E">
      <w:pPr>
        <w:ind w:firstLine="405"/>
        <w:rPr>
          <w:rFonts w:ascii="Times New Roman" w:hAnsi="Times New Roman" w:eastAsia="宋体" w:cs="Times New Roman"/>
          <w:szCs w:val="24"/>
          <w:shd w:val="clear" w:color="auto" w:fill="FFFFFF"/>
        </w:rPr>
      </w:pPr>
      <w:r>
        <w:rPr>
          <w:rFonts w:hint="eastAsia" w:ascii="Times New Roman" w:hAnsi="Times New Roman" w:eastAsia="宋体" w:cs="Times New Roman"/>
          <w:szCs w:val="24"/>
          <w:shd w:val="clear" w:color="auto" w:fill="FFFFFF"/>
        </w:rPr>
        <w:t>6.3  本项目支持投标人性别平等的相关政策。</w:t>
      </w:r>
    </w:p>
    <w:p w14:paraId="27841420">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7</w:t>
      </w:r>
      <w:r>
        <w:rPr>
          <w:rFonts w:hint="eastAsia" w:ascii="Times New Roman" w:hAnsi="Times New Roman" w:eastAsia="黑体" w:cs="Times New Roman"/>
          <w:sz w:val="24"/>
          <w:szCs w:val="24"/>
        </w:rPr>
        <w:t>．</w:t>
      </w:r>
      <w:r>
        <w:rPr>
          <w:rFonts w:ascii="Times New Roman" w:hAnsi="Times New Roman" w:eastAsia="黑体" w:cs="Times New Roman"/>
          <w:sz w:val="24"/>
          <w:szCs w:val="24"/>
        </w:rPr>
        <w:t>本项目若涉及采购货物，则合格的货物及相应服务应满足以下要求：</w:t>
      </w:r>
    </w:p>
    <w:p w14:paraId="71CFE3AC">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7.1  必须是全新、未使用过的原装合格正品（包括零部件），如安装或配置了软件的，须为正版软件。</w:t>
      </w:r>
    </w:p>
    <w:p w14:paraId="10A7F023">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7.2  国产的货物及其有关服务必须符合中华人民共和国的设计、制造生产标准及行业标准。招标公告有其他要求的，亦应符合其要求。</w:t>
      </w:r>
    </w:p>
    <w:p w14:paraId="352E3C46">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7.3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1B0287F7">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7.4投标人</w:t>
      </w:r>
      <w:bookmarkStart w:id="76" w:name="_Hlk72152753"/>
      <w:r>
        <w:rPr>
          <w:rFonts w:ascii="Times New Roman" w:hAnsi="Times New Roman" w:eastAsia="宋体" w:cs="Times New Roman"/>
          <w:szCs w:val="24"/>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76"/>
    </w:p>
    <w:p w14:paraId="3F831010">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727657CC">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7.6  工期要求：投标人在投标时对其所投项目应提交交货进度、交货计划等，在合同规定的时间内完成项目实施工作。</w:t>
      </w:r>
    </w:p>
    <w:p w14:paraId="493D8600">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7.7  投标人必须承担的设备运输、安装调试、验收检测和提供设备操作说明书、图纸等其他相关及类似的义务。</w:t>
      </w:r>
    </w:p>
    <w:p w14:paraId="71BAFB24">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8．投标费用</w:t>
      </w:r>
    </w:p>
    <w:p w14:paraId="5879C92A">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不论投标结果如何，投标人应承担其编制投标文件与递交投标文件所涉及的一切费用。</w:t>
      </w:r>
    </w:p>
    <w:p w14:paraId="3DCA1154">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9．踏勘现场</w:t>
      </w:r>
    </w:p>
    <w:p w14:paraId="3C2A7F73">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73E7CAFB">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9.2投标人及其人员经过采购人的允许，可以进入采购人的项目现场踏勘。若招标文件要求投标人于统一时间地点踏勘现场的，投标人应当按时前往。</w:t>
      </w:r>
    </w:p>
    <w:p w14:paraId="50EEC1D8">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9.3采购人应当通过政府集中采购机构向投标人提供有关现场的书面资料和数据。</w:t>
      </w:r>
    </w:p>
    <w:p w14:paraId="78DF38CB">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9.4任何人或任何组织在踏勘现场时向投标人提供的任何书面资料或口头承诺，未经政府集中采购机构在网上发布或书面通知，均作无效处理。</w:t>
      </w:r>
    </w:p>
    <w:p w14:paraId="580C20B8">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1"/>
        </w:rPr>
        <w:t>9.5未参与踏勘现场不作为否定投标人资格的理由。</w:t>
      </w:r>
    </w:p>
    <w:p w14:paraId="6DA3312A">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10．标前会议</w:t>
      </w:r>
    </w:p>
    <w:p w14:paraId="4F252432">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10.1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168D6A25">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4"/>
        </w:rPr>
        <w:t>10.2任何人或任何组织在标前会议时向投标人提供的任何书面资料或口头承诺，未经政府集中采购机构在网上发布或书面通知，均作无效处理。</w:t>
      </w:r>
    </w:p>
    <w:p w14:paraId="49E22DB2">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10.3未参与标前会议不作为否定投标人资格的理由。</w:t>
      </w:r>
    </w:p>
    <w:bookmarkEnd w:id="75"/>
    <w:p w14:paraId="2FA40A14">
      <w:pPr>
        <w:keepNext/>
        <w:keepLines/>
        <w:numPr>
          <w:ilvl w:val="0"/>
          <w:numId w:val="18"/>
        </w:numPr>
        <w:adjustRightInd w:val="0"/>
        <w:spacing w:before="120" w:beforeLines="50" w:after="120" w:afterLines="50" w:line="276" w:lineRule="auto"/>
        <w:ind w:left="562" w:hanging="562"/>
        <w:jc w:val="center"/>
        <w:textAlignment w:val="baseline"/>
        <w:outlineLvl w:val="1"/>
        <w:rPr>
          <w:rFonts w:ascii="Times New Roman" w:hAnsi="Times New Roman" w:eastAsia="宋体" w:cs="Times New Roman"/>
          <w:b/>
          <w:bCs/>
          <w:kern w:val="0"/>
          <w:sz w:val="28"/>
          <w:szCs w:val="28"/>
        </w:rPr>
      </w:pPr>
      <w:r>
        <w:rPr>
          <w:rFonts w:ascii="Times New Roman" w:hAnsi="Times New Roman" w:eastAsia="宋体" w:cs="Times New Roman"/>
          <w:b/>
          <w:bCs/>
          <w:kern w:val="0"/>
          <w:sz w:val="28"/>
          <w:szCs w:val="28"/>
        </w:rPr>
        <w:t>招标文件</w:t>
      </w:r>
    </w:p>
    <w:p w14:paraId="1E5270DB">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11．</w:t>
      </w:r>
      <w:bookmarkStart w:id="77" w:name="_Hlk72399819"/>
      <w:r>
        <w:rPr>
          <w:rFonts w:ascii="Times New Roman" w:hAnsi="Times New Roman" w:eastAsia="黑体" w:cs="Times New Roman"/>
          <w:sz w:val="24"/>
          <w:szCs w:val="24"/>
        </w:rPr>
        <w:t>招标文件的编制与组成</w:t>
      </w:r>
    </w:p>
    <w:p w14:paraId="4EF59122">
      <w:pPr>
        <w:snapToGrid w:val="0"/>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11.1招标文件除以下内容外，政府集中采购机构在招标期间发出的澄清或修改等相关公告或通知内容，均是招标文件的组成部分，对投标人起约束作用；</w:t>
      </w:r>
    </w:p>
    <w:p w14:paraId="71AB6AE7">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招标文件包括下列内容：</w:t>
      </w:r>
    </w:p>
    <w:p w14:paraId="5B1AA1BB">
      <w:pPr>
        <w:spacing w:line="276" w:lineRule="auto"/>
        <w:ind w:left="420" w:leftChars="200" w:firstLine="413" w:firstLineChars="196"/>
        <w:rPr>
          <w:rFonts w:ascii="Times New Roman" w:hAnsi="Times New Roman" w:eastAsia="宋体" w:cs="Times New Roman"/>
          <w:b/>
          <w:szCs w:val="21"/>
        </w:rPr>
      </w:pPr>
      <w:r>
        <w:rPr>
          <w:rFonts w:ascii="Times New Roman" w:hAnsi="Times New Roman" w:eastAsia="宋体" w:cs="Times New Roman"/>
          <w:b/>
          <w:szCs w:val="21"/>
        </w:rPr>
        <w:t>第一册  专用条款</w:t>
      </w:r>
    </w:p>
    <w:p w14:paraId="3EB7B344">
      <w:pPr>
        <w:spacing w:line="276" w:lineRule="auto"/>
        <w:ind w:left="1079" w:leftChars="514"/>
        <w:rPr>
          <w:rFonts w:ascii="Times New Roman" w:hAnsi="Times New Roman" w:eastAsia="宋体" w:cs="Times New Roman"/>
          <w:b/>
          <w:szCs w:val="21"/>
        </w:rPr>
      </w:pPr>
      <w:r>
        <w:rPr>
          <w:rFonts w:ascii="Times New Roman" w:hAnsi="Times New Roman" w:eastAsia="宋体" w:cs="Times New Roman"/>
          <w:b/>
          <w:szCs w:val="21"/>
        </w:rPr>
        <w:t>关键信息</w:t>
      </w:r>
    </w:p>
    <w:p w14:paraId="31516889">
      <w:pPr>
        <w:spacing w:line="276" w:lineRule="auto"/>
        <w:ind w:firstLine="1050" w:firstLineChars="500"/>
        <w:rPr>
          <w:rFonts w:ascii="Times New Roman" w:hAnsi="Times New Roman" w:eastAsia="宋体" w:cs="Times New Roman"/>
          <w:szCs w:val="24"/>
        </w:rPr>
      </w:pPr>
      <w:r>
        <w:rPr>
          <w:rFonts w:ascii="Times New Roman" w:hAnsi="Times New Roman" w:eastAsia="宋体" w:cs="Times New Roman"/>
          <w:szCs w:val="24"/>
        </w:rPr>
        <w:t>第一章  招标公告</w:t>
      </w:r>
    </w:p>
    <w:p w14:paraId="7759BBEF">
      <w:pPr>
        <w:spacing w:line="276" w:lineRule="auto"/>
        <w:ind w:firstLine="1050" w:firstLineChars="500"/>
        <w:rPr>
          <w:rFonts w:ascii="Times New Roman" w:hAnsi="Times New Roman" w:eastAsia="宋体" w:cs="Times New Roman"/>
          <w:szCs w:val="24"/>
        </w:rPr>
      </w:pPr>
      <w:r>
        <w:rPr>
          <w:rFonts w:ascii="Times New Roman" w:hAnsi="Times New Roman" w:eastAsia="宋体" w:cs="Times New Roman"/>
          <w:szCs w:val="24"/>
        </w:rPr>
        <w:t>第二章  对通用条款的补充内容及其他关键信息</w:t>
      </w:r>
    </w:p>
    <w:p w14:paraId="750227D5">
      <w:pPr>
        <w:spacing w:line="276" w:lineRule="auto"/>
        <w:ind w:firstLine="1050" w:firstLineChars="500"/>
        <w:rPr>
          <w:rFonts w:ascii="Times New Roman" w:hAnsi="Times New Roman" w:eastAsia="宋体" w:cs="Times New Roman"/>
          <w:szCs w:val="24"/>
        </w:rPr>
      </w:pPr>
      <w:r>
        <w:rPr>
          <w:rFonts w:ascii="Times New Roman" w:hAnsi="Times New Roman" w:eastAsia="宋体" w:cs="Times New Roman"/>
          <w:szCs w:val="24"/>
        </w:rPr>
        <w:t>第三章  用户需求书</w:t>
      </w:r>
    </w:p>
    <w:p w14:paraId="697626C0">
      <w:pPr>
        <w:spacing w:line="276" w:lineRule="auto"/>
        <w:ind w:firstLine="1050" w:firstLineChars="500"/>
        <w:rPr>
          <w:rFonts w:ascii="Times New Roman" w:hAnsi="Times New Roman" w:eastAsia="宋体" w:cs="Times New Roman"/>
          <w:szCs w:val="24"/>
        </w:rPr>
      </w:pPr>
      <w:r>
        <w:rPr>
          <w:rFonts w:ascii="Times New Roman" w:hAnsi="Times New Roman" w:eastAsia="宋体" w:cs="Times New Roman"/>
          <w:szCs w:val="24"/>
        </w:rPr>
        <w:t>第四章 投标文件格式及附件</w:t>
      </w:r>
    </w:p>
    <w:p w14:paraId="06B60DDA">
      <w:pPr>
        <w:spacing w:line="276" w:lineRule="auto"/>
        <w:ind w:firstLine="1050" w:firstLineChars="500"/>
        <w:rPr>
          <w:rFonts w:ascii="Times New Roman" w:hAnsi="Times New Roman" w:eastAsia="宋体" w:cs="Times New Roman"/>
          <w:szCs w:val="24"/>
        </w:rPr>
      </w:pPr>
      <w:r>
        <w:rPr>
          <w:rFonts w:ascii="Times New Roman" w:hAnsi="Times New Roman" w:eastAsia="宋体" w:cs="Times New Roman"/>
          <w:szCs w:val="24"/>
        </w:rPr>
        <w:t>第五章  合同条款及格式</w:t>
      </w:r>
    </w:p>
    <w:p w14:paraId="40060D4B">
      <w:pPr>
        <w:spacing w:line="276" w:lineRule="auto"/>
        <w:ind w:left="420" w:leftChars="200" w:firstLine="413" w:firstLineChars="196"/>
        <w:rPr>
          <w:rFonts w:ascii="Times New Roman" w:hAnsi="Times New Roman" w:eastAsia="宋体" w:cs="Times New Roman"/>
          <w:b/>
          <w:szCs w:val="21"/>
        </w:rPr>
      </w:pPr>
      <w:r>
        <w:rPr>
          <w:rFonts w:ascii="Times New Roman" w:hAnsi="Times New Roman" w:eastAsia="宋体" w:cs="Times New Roman"/>
          <w:b/>
          <w:szCs w:val="21"/>
        </w:rPr>
        <w:t>第二册  通用条款</w:t>
      </w:r>
    </w:p>
    <w:p w14:paraId="305FC101">
      <w:pPr>
        <w:spacing w:line="276" w:lineRule="auto"/>
        <w:ind w:firstLine="1050" w:firstLineChars="500"/>
        <w:rPr>
          <w:rFonts w:ascii="Times New Roman" w:hAnsi="Times New Roman" w:eastAsia="宋体" w:cs="Times New Roman"/>
          <w:szCs w:val="24"/>
        </w:rPr>
      </w:pPr>
      <w:r>
        <w:rPr>
          <w:rFonts w:ascii="Times New Roman" w:hAnsi="Times New Roman" w:eastAsia="宋体" w:cs="Times New Roman"/>
          <w:szCs w:val="24"/>
        </w:rPr>
        <w:t>第一章  总则</w:t>
      </w:r>
    </w:p>
    <w:p w14:paraId="60EF9DDB">
      <w:pPr>
        <w:spacing w:line="276" w:lineRule="auto"/>
        <w:ind w:firstLine="1050" w:firstLineChars="500"/>
        <w:rPr>
          <w:rFonts w:ascii="Times New Roman" w:hAnsi="Times New Roman" w:eastAsia="宋体" w:cs="Times New Roman"/>
          <w:szCs w:val="24"/>
        </w:rPr>
      </w:pPr>
      <w:r>
        <w:rPr>
          <w:rFonts w:ascii="Times New Roman" w:hAnsi="Times New Roman" w:eastAsia="宋体" w:cs="Times New Roman"/>
          <w:szCs w:val="24"/>
        </w:rPr>
        <w:t>第二章  招标文件</w:t>
      </w:r>
    </w:p>
    <w:p w14:paraId="10569634">
      <w:pPr>
        <w:spacing w:line="276" w:lineRule="auto"/>
        <w:ind w:firstLine="1050" w:firstLineChars="500"/>
        <w:rPr>
          <w:rFonts w:ascii="Times New Roman" w:hAnsi="Times New Roman" w:eastAsia="宋体" w:cs="Times New Roman"/>
          <w:szCs w:val="24"/>
        </w:rPr>
      </w:pPr>
      <w:r>
        <w:rPr>
          <w:rFonts w:ascii="Times New Roman" w:hAnsi="Times New Roman" w:eastAsia="宋体" w:cs="Times New Roman"/>
          <w:szCs w:val="24"/>
        </w:rPr>
        <w:t>第三章  投标文件的编制</w:t>
      </w:r>
    </w:p>
    <w:p w14:paraId="0E9921F4">
      <w:pPr>
        <w:spacing w:line="276" w:lineRule="auto"/>
        <w:ind w:firstLine="1050" w:firstLineChars="500"/>
        <w:rPr>
          <w:rFonts w:ascii="Times New Roman" w:hAnsi="Times New Roman" w:eastAsia="宋体" w:cs="Times New Roman"/>
          <w:szCs w:val="24"/>
        </w:rPr>
      </w:pPr>
      <w:r>
        <w:rPr>
          <w:rFonts w:ascii="Times New Roman" w:hAnsi="Times New Roman" w:eastAsia="宋体" w:cs="Times New Roman"/>
          <w:szCs w:val="24"/>
        </w:rPr>
        <w:t>第四章  投标文件的递交</w:t>
      </w:r>
    </w:p>
    <w:p w14:paraId="3EF97DB1">
      <w:pPr>
        <w:spacing w:line="276" w:lineRule="auto"/>
        <w:ind w:firstLine="1050" w:firstLineChars="500"/>
        <w:rPr>
          <w:rFonts w:ascii="Times New Roman" w:hAnsi="Times New Roman" w:eastAsia="宋体" w:cs="Times New Roman"/>
          <w:szCs w:val="24"/>
        </w:rPr>
      </w:pPr>
      <w:r>
        <w:rPr>
          <w:rFonts w:ascii="Times New Roman" w:hAnsi="Times New Roman" w:eastAsia="宋体" w:cs="Times New Roman"/>
          <w:szCs w:val="24"/>
        </w:rPr>
        <w:t>第五章  开标</w:t>
      </w:r>
    </w:p>
    <w:p w14:paraId="065E2C4E">
      <w:pPr>
        <w:spacing w:line="276" w:lineRule="auto"/>
        <w:ind w:firstLine="1050" w:firstLineChars="500"/>
        <w:rPr>
          <w:rFonts w:ascii="Times New Roman" w:hAnsi="Times New Roman" w:eastAsia="宋体" w:cs="Times New Roman"/>
          <w:szCs w:val="24"/>
        </w:rPr>
      </w:pPr>
      <w:r>
        <w:rPr>
          <w:rFonts w:ascii="Times New Roman" w:hAnsi="Times New Roman" w:eastAsia="宋体" w:cs="Times New Roman"/>
          <w:szCs w:val="24"/>
        </w:rPr>
        <w:t>第六章  评审要求</w:t>
      </w:r>
    </w:p>
    <w:p w14:paraId="28F97829">
      <w:pPr>
        <w:spacing w:line="276" w:lineRule="auto"/>
        <w:ind w:firstLine="1050" w:firstLineChars="500"/>
        <w:rPr>
          <w:rFonts w:ascii="Times New Roman" w:hAnsi="Times New Roman" w:eastAsia="宋体" w:cs="Times New Roman"/>
          <w:szCs w:val="24"/>
        </w:rPr>
      </w:pPr>
      <w:r>
        <w:rPr>
          <w:rFonts w:ascii="Times New Roman" w:hAnsi="Times New Roman" w:eastAsia="宋体" w:cs="Times New Roman"/>
          <w:szCs w:val="24"/>
        </w:rPr>
        <w:t>第七章  评审程序及评审方法</w:t>
      </w:r>
    </w:p>
    <w:p w14:paraId="5D572B7D">
      <w:pPr>
        <w:spacing w:line="276" w:lineRule="auto"/>
        <w:ind w:firstLine="1050" w:firstLineChars="500"/>
        <w:rPr>
          <w:rFonts w:ascii="Times New Roman" w:hAnsi="Times New Roman" w:eastAsia="宋体" w:cs="Times New Roman"/>
          <w:szCs w:val="24"/>
        </w:rPr>
      </w:pPr>
      <w:r>
        <w:rPr>
          <w:rFonts w:ascii="Times New Roman" w:hAnsi="Times New Roman" w:eastAsia="宋体" w:cs="Times New Roman"/>
          <w:szCs w:val="24"/>
        </w:rPr>
        <w:t>第八章  定标及公示</w:t>
      </w:r>
    </w:p>
    <w:p w14:paraId="4EED3B12">
      <w:pPr>
        <w:spacing w:line="276" w:lineRule="auto"/>
        <w:ind w:firstLine="1050" w:firstLineChars="500"/>
        <w:rPr>
          <w:rFonts w:ascii="Times New Roman" w:hAnsi="Times New Roman" w:eastAsia="宋体" w:cs="Times New Roman"/>
          <w:szCs w:val="24"/>
        </w:rPr>
      </w:pPr>
      <w:r>
        <w:rPr>
          <w:rFonts w:ascii="Times New Roman" w:hAnsi="Times New Roman" w:eastAsia="宋体" w:cs="Times New Roman"/>
          <w:szCs w:val="24"/>
        </w:rPr>
        <w:t>第九章  公开招标失败的后续处理</w:t>
      </w:r>
    </w:p>
    <w:p w14:paraId="541B8874">
      <w:pPr>
        <w:spacing w:line="276" w:lineRule="auto"/>
        <w:ind w:firstLine="1050" w:firstLineChars="500"/>
        <w:rPr>
          <w:rFonts w:ascii="Times New Roman" w:hAnsi="Times New Roman" w:eastAsia="宋体" w:cs="Times New Roman"/>
          <w:szCs w:val="24"/>
        </w:rPr>
      </w:pPr>
      <w:r>
        <w:rPr>
          <w:rFonts w:ascii="Times New Roman" w:hAnsi="Times New Roman" w:eastAsia="宋体" w:cs="Times New Roman"/>
          <w:szCs w:val="24"/>
        </w:rPr>
        <w:t>第十章  合同的授予与备案</w:t>
      </w:r>
    </w:p>
    <w:p w14:paraId="3FC202E1">
      <w:pPr>
        <w:spacing w:line="276" w:lineRule="auto"/>
        <w:ind w:firstLine="1050" w:firstLineChars="500"/>
        <w:rPr>
          <w:rFonts w:ascii="Times New Roman" w:hAnsi="Times New Roman" w:eastAsia="宋体" w:cs="Times New Roman"/>
          <w:szCs w:val="24"/>
        </w:rPr>
      </w:pPr>
      <w:r>
        <w:rPr>
          <w:rFonts w:ascii="Times New Roman" w:hAnsi="Times New Roman" w:eastAsia="宋体" w:cs="Times New Roman"/>
          <w:szCs w:val="24"/>
        </w:rPr>
        <w:t>第十一章  质疑处理</w:t>
      </w:r>
    </w:p>
    <w:p w14:paraId="316658EA">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11.2 投标人</w:t>
      </w:r>
      <w:r>
        <w:rPr>
          <w:rFonts w:hint="eastAsia" w:ascii="宋体" w:hAnsi="宋体"/>
          <w:szCs w:val="21"/>
          <w:lang w:val="en-US" w:eastAsia="zh-CN"/>
        </w:rPr>
        <w:t>登录</w:t>
      </w:r>
      <w:r>
        <w:rPr>
          <w:rFonts w:hint="eastAsia" w:ascii="宋体" w:hAnsi="宋体"/>
          <w:szCs w:val="21"/>
        </w:rPr>
        <w:t>深圳政府采购智慧平台（http://zfcg.szggzy.com:8081/）</w:t>
      </w:r>
      <w:r>
        <w:rPr>
          <w:rFonts w:ascii="Times New Roman" w:hAnsi="Times New Roman" w:eastAsia="宋体" w:cs="Times New Roman"/>
          <w:szCs w:val="21"/>
        </w:rPr>
        <w:t>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1804FDC2">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1"/>
        </w:rPr>
        <w:t>11.3</w:t>
      </w:r>
      <w:r>
        <w:rPr>
          <w:rFonts w:ascii="Times New Roman" w:hAnsi="Times New Roman" w:eastAsia="宋体" w:cs="Times New Roman"/>
          <w:szCs w:val="24"/>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1D02A0FB">
      <w:pPr>
        <w:pStyle w:val="19"/>
        <w:ind w:firstLine="420" w:firstLineChars="200"/>
        <w:rPr>
          <w:rFonts w:hint="default" w:ascii="宋体" w:hAnsi="宋体" w:eastAsia="宋体" w:cs="Times New Roman"/>
          <w:b w:val="0"/>
          <w:bCs w:val="0"/>
          <w:kern w:val="2"/>
          <w:sz w:val="21"/>
          <w:szCs w:val="24"/>
          <w:lang w:val="en-US" w:eastAsia="zh-CN" w:bidi="ar-SA"/>
        </w:rPr>
      </w:pPr>
      <w:r>
        <w:rPr>
          <w:rFonts w:hint="eastAsia" w:ascii="宋体" w:hAnsi="宋体" w:eastAsia="宋体" w:cs="Times New Roman"/>
          <w:b w:val="0"/>
          <w:bCs w:val="0"/>
          <w:kern w:val="2"/>
          <w:sz w:val="21"/>
          <w:szCs w:val="24"/>
          <w:lang w:val="en-US" w:eastAsia="zh-CN" w:bidi="ar-SA"/>
        </w:rPr>
        <w:t>11.4</w:t>
      </w:r>
      <w:r>
        <w:rPr>
          <w:rFonts w:hint="eastAsia" w:ascii="宋体" w:hAnsi="宋体" w:cs="Times New Roman"/>
          <w:b w:val="0"/>
          <w:bCs w:val="0"/>
          <w:kern w:val="2"/>
          <w:sz w:val="21"/>
          <w:szCs w:val="24"/>
          <w:lang w:val="en-US" w:eastAsia="zh-CN" w:bidi="ar-SA"/>
        </w:rPr>
        <w:t>招标文件所称“原件</w:t>
      </w:r>
      <w:r>
        <w:rPr>
          <w:rFonts w:hint="eastAsia" w:ascii="宋体" w:hAnsi="宋体" w:eastAsia="宋体" w:cs="Times New Roman"/>
          <w:b w:val="0"/>
          <w:bCs w:val="0"/>
          <w:kern w:val="2"/>
          <w:sz w:val="21"/>
          <w:szCs w:val="24"/>
          <w:lang w:val="en-US" w:eastAsia="zh-CN" w:bidi="ar-SA"/>
        </w:rPr>
        <w:t>备查</w:t>
      </w:r>
      <w:r>
        <w:rPr>
          <w:rFonts w:hint="eastAsia" w:ascii="宋体" w:hAnsi="宋体" w:cs="Times New Roman"/>
          <w:b w:val="0"/>
          <w:bCs w:val="0"/>
          <w:kern w:val="2"/>
          <w:sz w:val="21"/>
          <w:szCs w:val="24"/>
          <w:lang w:val="en-US" w:eastAsia="zh-CN" w:bidi="ar-SA"/>
        </w:rPr>
        <w:t>”，</w:t>
      </w:r>
      <w:r>
        <w:rPr>
          <w:rFonts w:hint="eastAsia" w:ascii="宋体" w:hAnsi="宋体" w:eastAsia="宋体" w:cs="Times New Roman"/>
          <w:b w:val="0"/>
          <w:bCs w:val="0"/>
          <w:kern w:val="2"/>
          <w:sz w:val="21"/>
          <w:szCs w:val="24"/>
          <w:lang w:val="en-US" w:eastAsia="zh-CN" w:bidi="ar-SA"/>
        </w:rPr>
        <w:t>是指在项目产生质疑、投诉等阶段，主管部门、采购人、代理机构、评审委员会等可以要求供应商提供原件进行核查。</w:t>
      </w:r>
    </w:p>
    <w:p w14:paraId="31CAB8EA">
      <w:pPr>
        <w:pStyle w:val="62"/>
      </w:pPr>
    </w:p>
    <w:p w14:paraId="79BB1903">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12．招标文件的澄清</w:t>
      </w:r>
    </w:p>
    <w:p w14:paraId="75381FFD">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12.1招标文件澄清的目的是澄清、解答投标人在查阅招标文件后或现场踏勘中可能提出的与投标有关的疑问或询问。</w:t>
      </w:r>
    </w:p>
    <w:p w14:paraId="780D7806">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12.2投标人如对招标文件内容有疑问，应当在招标公告规定的澄清（提问）截止时间前以网上提问的形式通过网上政府采购系统提交政府集中采购机构。</w:t>
      </w:r>
    </w:p>
    <w:p w14:paraId="1D58203D">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12.3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13.3、13.4款规定执行。</w:t>
      </w:r>
    </w:p>
    <w:p w14:paraId="498E9D69">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13．招标文件的修改</w:t>
      </w:r>
    </w:p>
    <w:p w14:paraId="023B6123">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13.1招标文件发出后，在投标截止日期前任何时候，确需要变更招标文件内容的，政府集中采购机构可主动或在解答投标人提出的澄清问题时对招标文件进行修改。</w:t>
      </w:r>
    </w:p>
    <w:p w14:paraId="479A0EC1">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13.2招标文件的修改以书面形式（包括政府集中采购机构网站发布方式，如更正公告等）发送给所有投标人，招标文件的修改内容作为招标文件的组成部分，并具有约束力。</w:t>
      </w:r>
    </w:p>
    <w:p w14:paraId="37D5144B">
      <w:pPr>
        <w:ind w:firstLine="411" w:firstLineChars="196"/>
        <w:rPr>
          <w:rFonts w:ascii="宋体" w:hAnsi="宋体"/>
          <w:szCs w:val="21"/>
        </w:rPr>
      </w:pPr>
      <w:r>
        <w:rPr>
          <w:rFonts w:ascii="宋体" w:hAnsi="宋体"/>
          <w:szCs w:val="21"/>
        </w:rPr>
        <w:t>1</w:t>
      </w:r>
      <w:r>
        <w:rPr>
          <w:rFonts w:hint="eastAsia" w:ascii="宋体" w:hAnsi="宋体"/>
          <w:szCs w:val="21"/>
        </w:rPr>
        <w:t>3.3招标文件、招标文件澄清答复内容、招标文件修改补充内容均以书面形式（包括政府集中采购机构网站公开发布方式，如更正公告等）明确的内容为准</w:t>
      </w:r>
      <w:r>
        <w:rPr>
          <w:rFonts w:hint="eastAsia" w:ascii="宋体" w:hAnsi="宋体"/>
          <w:color w:val="FF0000"/>
          <w:szCs w:val="21"/>
          <w:lang w:eastAsia="zh-CN"/>
        </w:rPr>
        <w:t>，</w:t>
      </w:r>
      <w:r>
        <w:rPr>
          <w:rFonts w:hint="eastAsia" w:ascii="宋体" w:hAnsi="宋体"/>
          <w:color w:val="FF0000"/>
          <w:szCs w:val="21"/>
          <w:lang w:val="en-US" w:eastAsia="zh-CN"/>
        </w:rPr>
        <w:t>投标人应当登录</w:t>
      </w:r>
      <w:r>
        <w:rPr>
          <w:rFonts w:hint="eastAsia" w:ascii="宋体" w:hAnsi="宋体"/>
          <w:color w:val="FF0000"/>
          <w:szCs w:val="21"/>
        </w:rPr>
        <w:t>深圳政府采购智慧平台（http://zfcg.szggzy.com:8081/）下载</w:t>
      </w:r>
      <w:r>
        <w:rPr>
          <w:rFonts w:hint="eastAsia" w:ascii="宋体" w:hAnsi="宋体"/>
          <w:color w:val="FF0000"/>
          <w:szCs w:val="21"/>
          <w:lang w:val="en-US" w:eastAsia="zh-CN"/>
        </w:rPr>
        <w:t>最新的</w:t>
      </w:r>
      <w:r>
        <w:rPr>
          <w:rFonts w:hint="eastAsia" w:ascii="宋体" w:hAnsi="宋体"/>
          <w:color w:val="FF0000"/>
          <w:szCs w:val="21"/>
        </w:rPr>
        <w:t>招标文件。</w:t>
      </w:r>
      <w:r>
        <w:rPr>
          <w:rFonts w:hint="eastAsia" w:ascii="宋体" w:hAnsi="宋体"/>
          <w:szCs w:val="21"/>
        </w:rPr>
        <w:t>当招标文件、修改补充通知、招标文件澄清答复内容相互矛盾时，以最后发出的内容为准。</w:t>
      </w:r>
    </w:p>
    <w:p w14:paraId="1F6B4AB6">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77"/>
    </w:p>
    <w:p w14:paraId="7428C29B">
      <w:pPr>
        <w:keepNext/>
        <w:keepLines/>
        <w:numPr>
          <w:ilvl w:val="0"/>
          <w:numId w:val="18"/>
        </w:numPr>
        <w:adjustRightInd w:val="0"/>
        <w:spacing w:before="120" w:beforeLines="50" w:after="120" w:afterLines="50" w:line="276" w:lineRule="auto"/>
        <w:ind w:left="562" w:hanging="562"/>
        <w:jc w:val="center"/>
        <w:textAlignment w:val="baseline"/>
        <w:outlineLvl w:val="1"/>
        <w:rPr>
          <w:rFonts w:ascii="Times New Roman" w:hAnsi="Times New Roman" w:eastAsia="宋体" w:cs="Times New Roman"/>
          <w:b/>
          <w:bCs/>
          <w:kern w:val="0"/>
          <w:sz w:val="28"/>
          <w:szCs w:val="28"/>
        </w:rPr>
      </w:pPr>
      <w:r>
        <w:rPr>
          <w:rFonts w:ascii="Times New Roman" w:hAnsi="Times New Roman" w:eastAsia="宋体" w:cs="Times New Roman"/>
          <w:b/>
          <w:bCs/>
          <w:kern w:val="0"/>
          <w:sz w:val="28"/>
          <w:szCs w:val="28"/>
        </w:rPr>
        <w:t>投标文件的编制</w:t>
      </w:r>
    </w:p>
    <w:p w14:paraId="74588A3E">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14．</w:t>
      </w:r>
      <w:bookmarkStart w:id="78" w:name="_Hlk72400236"/>
      <w:r>
        <w:rPr>
          <w:rFonts w:ascii="Times New Roman" w:hAnsi="Times New Roman" w:eastAsia="黑体" w:cs="Times New Roman"/>
          <w:sz w:val="24"/>
          <w:szCs w:val="24"/>
        </w:rPr>
        <w:t>投标文件的语言及度量单位</w:t>
      </w:r>
    </w:p>
    <w:p w14:paraId="37815C79">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但翻译错误的除外。</w:t>
      </w:r>
    </w:p>
    <w:p w14:paraId="657D3C64">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14.2 除技术规范另有规定外，投标文件使用的度量单位，均采用中华人民共和国法定计量单位。</w:t>
      </w:r>
    </w:p>
    <w:bookmarkEnd w:id="78"/>
    <w:p w14:paraId="6F459633">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15．</w:t>
      </w:r>
      <w:bookmarkStart w:id="79" w:name="_Hlk72401567"/>
      <w:r>
        <w:rPr>
          <w:rFonts w:ascii="Times New Roman" w:hAnsi="Times New Roman" w:eastAsia="黑体" w:cs="Times New Roman"/>
          <w:sz w:val="24"/>
          <w:szCs w:val="24"/>
        </w:rPr>
        <w:t>投标文件的组成</w:t>
      </w:r>
    </w:p>
    <w:p w14:paraId="5F7A8127">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具体内容在招标文件专用条款中进行规定。</w:t>
      </w:r>
    </w:p>
    <w:p w14:paraId="7A8A6862">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16．投标文件格式</w:t>
      </w:r>
    </w:p>
    <w:p w14:paraId="0CB386CC">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投标文件包括本通用条款第15条中规定的内容。如招标文件提供了投标文件格式，则</w:t>
      </w:r>
      <w:r>
        <w:rPr>
          <w:rFonts w:ascii="Times New Roman" w:hAnsi="Times New Roman" w:eastAsia="宋体" w:cs="Times New Roman"/>
          <w:b/>
          <w:bCs/>
          <w:szCs w:val="21"/>
        </w:rPr>
        <w:t>投标人提交的投标文件应毫无例外地使用招标文件所提供的相应格式</w:t>
      </w:r>
      <w:r>
        <w:rPr>
          <w:rFonts w:ascii="Times New Roman" w:hAnsi="Times New Roman" w:eastAsia="宋体" w:cs="Times New Roman"/>
          <w:szCs w:val="21"/>
        </w:rPr>
        <w:t>（表格均可按同样格式扩展）。</w:t>
      </w:r>
    </w:p>
    <w:p w14:paraId="01E040C6">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17．投标货币</w:t>
      </w:r>
    </w:p>
    <w:p w14:paraId="42F7AC3C">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本项目的投标报价应以人民币计。</w:t>
      </w:r>
    </w:p>
    <w:bookmarkEnd w:id="79"/>
    <w:p w14:paraId="52936A80">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18．</w:t>
      </w:r>
      <w:bookmarkStart w:id="80" w:name="_Hlk72401735"/>
      <w:r>
        <w:rPr>
          <w:rFonts w:ascii="Times New Roman" w:hAnsi="Times New Roman" w:eastAsia="黑体" w:cs="Times New Roman"/>
          <w:sz w:val="24"/>
          <w:szCs w:val="24"/>
        </w:rPr>
        <w:t>证明投标文件投标技术方案的合格性和符合招标文件规定的文件要求</w:t>
      </w:r>
    </w:p>
    <w:p w14:paraId="173D7C09">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18.1投标人应提交证明文件，证明其投标技术方案项下的货物和服务的合格性符合招标文件规定。该投标技术方案及其证明文件均作为投标文件组成部分。</w:t>
      </w:r>
    </w:p>
    <w:p w14:paraId="156F90A2">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18.2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38806DDD">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18.2.1主要技术指标和性能的详细说明。</w:t>
      </w:r>
    </w:p>
    <w:p w14:paraId="14A56F6E">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18.2.2投标产品从采购人开始使用至招标文件中规定的周期内正常、连续地使用所必须的备件和专用工具清单，包括备件和专用工具的货源及现行价格。</w:t>
      </w:r>
    </w:p>
    <w:p w14:paraId="6239516E">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18.2.3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515EC9E9">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ascii="Times New Roman" w:hAnsi="Times New Roman" w:eastAsia="宋体" w:cs="Times New Roman"/>
          <w:szCs w:val="24"/>
        </w:rPr>
        <w:t>清晰度要求能够使用电脑阅读、识别和判断</w:t>
      </w:r>
      <w:r>
        <w:rPr>
          <w:rFonts w:ascii="Times New Roman" w:hAnsi="Times New Roman" w:eastAsia="宋体" w:cs="Times New Roman"/>
          <w:szCs w:val="21"/>
        </w:rPr>
        <w:t>；</w:t>
      </w:r>
    </w:p>
    <w:p w14:paraId="04817DF7">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18.2.5我国政府机构出具的产品检验和核准证件应为证件正面、背面和附件标注的全部具体内容；产品检验和核准证件的尺寸和清晰度应该能够在电脑上被阅读、识别和判断，提供原件扫描件。</w:t>
      </w:r>
    </w:p>
    <w:p w14:paraId="5DAB9C17">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18.3相关资料不符合18.2款要求的，评审委员会有权认定为投标技术方案不合格响应，其相关分数予以扣减或作投标无效处理。</w:t>
      </w:r>
    </w:p>
    <w:p w14:paraId="733CC383">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18.4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ascii="Times New Roman" w:hAnsi="Times New Roman" w:eastAsia="宋体" w:cs="Times New Roman"/>
          <w:szCs w:val="24"/>
        </w:rPr>
        <w:t>满足要求</w:t>
      </w:r>
      <w:r>
        <w:rPr>
          <w:rFonts w:ascii="Times New Roman" w:hAnsi="Times New Roman" w:eastAsia="宋体" w:cs="Times New Roman"/>
          <w:szCs w:val="21"/>
        </w:rPr>
        <w:t>，由评审委员会来评判。</w:t>
      </w:r>
    </w:p>
    <w:p w14:paraId="647C6F9D">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18.5除非另有规定或说明，投标人对同一项目投标时，不得同时提供两套或两套以上的投标方案。</w:t>
      </w:r>
    </w:p>
    <w:bookmarkEnd w:id="80"/>
    <w:p w14:paraId="63388FFC">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19．</w:t>
      </w:r>
      <w:bookmarkStart w:id="81" w:name="_Hlk72402034"/>
      <w:r>
        <w:rPr>
          <w:rFonts w:ascii="Times New Roman" w:hAnsi="Times New Roman" w:eastAsia="黑体" w:cs="Times New Roman"/>
          <w:sz w:val="24"/>
          <w:szCs w:val="24"/>
        </w:rPr>
        <w:t>投标文件其他证明文件的要求</w:t>
      </w:r>
    </w:p>
    <w:p w14:paraId="66133C34">
      <w:pPr>
        <w:spacing w:line="276" w:lineRule="auto"/>
        <w:ind w:firstLine="420" w:firstLineChars="200"/>
        <w:rPr>
          <w:rFonts w:ascii="Times New Roman" w:hAnsi="Times New Roman" w:eastAsia="宋体" w:cs="Times New Roman"/>
          <w:color w:val="FF0000"/>
          <w:szCs w:val="21"/>
        </w:rPr>
      </w:pPr>
      <w:r>
        <w:rPr>
          <w:rFonts w:ascii="Times New Roman" w:hAnsi="Times New Roman" w:eastAsia="宋体" w:cs="Times New Roman"/>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若投标人未按要求提供证明材料或提供的是部分证明材料或提供不清晰的扫描件（或照片）的，</w:t>
      </w:r>
      <w:r>
        <w:rPr>
          <w:rFonts w:hint="eastAsia" w:ascii="宋体" w:hAnsi="宋体" w:eastAsia="宋体" w:cs="Times New Roman"/>
          <w:szCs w:val="21"/>
        </w:rPr>
        <w:t>采购人或代理机构或评审委员会依据各自审查范围，</w:t>
      </w:r>
      <w:r>
        <w:rPr>
          <w:rFonts w:ascii="Times New Roman" w:hAnsi="Times New Roman" w:eastAsia="宋体" w:cs="Times New Roman"/>
          <w:szCs w:val="21"/>
        </w:rPr>
        <w:t>有权认定其投标文件未对招标文件有关需求进行响应，涉及资格性检查或符合性检查的予以投标无效处理，涉及《评标信息》打分项的则该项评分予以0分处理。评审委员会对供应商投标资料是否异常、是否有效问题进行核查和判定，如认为供应商投标资料有异常或无效的，若涉及资格性审查或符合性审查条款的，则应作投标无效处理；若涉及评分的，则作不得分处理。</w:t>
      </w:r>
      <w:bookmarkStart w:id="82" w:name="_Hlk71407299"/>
    </w:p>
    <w:bookmarkEnd w:id="82"/>
    <w:p w14:paraId="6E5657F3">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19.2本项目涉及提供的有关资质（资格）证书，若原有资质（资格）证书处于年审期间，须提供证书颁发部门提供的回执，并且回执须证明该证书依然有效（若在法规范围不需提供的，供应商应做书面说明并提供证明文件，否则该证书无效），则该投标人提供年审证明的可按原资质（资格）投标；若投标人正在申报上一级别资质（资格），在未获批准之前，仍按原级别资质（资格）投标。</w:t>
      </w:r>
    </w:p>
    <w:p w14:paraId="4CC9B4AE">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20．投标有效期</w:t>
      </w:r>
    </w:p>
    <w:bookmarkEnd w:id="81"/>
    <w:p w14:paraId="3F79DED8">
      <w:pPr>
        <w:spacing w:line="276" w:lineRule="auto"/>
        <w:ind w:firstLine="411" w:firstLineChars="196"/>
        <w:rPr>
          <w:rFonts w:ascii="Times New Roman" w:hAnsi="Times New Roman" w:eastAsia="宋体" w:cs="Times New Roman"/>
          <w:szCs w:val="21"/>
        </w:rPr>
      </w:pPr>
      <w:bookmarkStart w:id="83" w:name="_Hlk72402214"/>
      <w:r>
        <w:rPr>
          <w:rFonts w:ascii="Times New Roman" w:hAnsi="Times New Roman" w:eastAsia="宋体" w:cs="Times New Roman"/>
          <w:szCs w:val="21"/>
        </w:rPr>
        <w:t>20.1投标有效期为从投标截止之日算起的日历天数。在此期限内，所有投标文件均保持有效。</w:t>
      </w:r>
    </w:p>
    <w:p w14:paraId="689CBEB2">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20.2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0FD90281">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20.3中标供应商的投标文件有效期，截止于完成本招标文件规定的全部项目内容，并通过竣工验收及保修期结束。</w:t>
      </w:r>
    </w:p>
    <w:bookmarkEnd w:id="83"/>
    <w:p w14:paraId="488A882D">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21．</w:t>
      </w:r>
      <w:bookmarkStart w:id="84" w:name="_Hlk72402325"/>
      <w:r>
        <w:rPr>
          <w:rFonts w:ascii="Times New Roman" w:hAnsi="Times New Roman" w:eastAsia="黑体" w:cs="Times New Roman"/>
          <w:sz w:val="24"/>
          <w:szCs w:val="24"/>
        </w:rPr>
        <w:t xml:space="preserve">关于投标保证金 </w:t>
      </w:r>
    </w:p>
    <w:p w14:paraId="25D7F2D5">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21.1</w:t>
      </w:r>
      <w:r>
        <w:rPr>
          <w:rFonts w:hint="eastAsia" w:ascii="Times New Roman" w:hAnsi="Times New Roman" w:eastAsia="宋体" w:cs="Times New Roman"/>
          <w:szCs w:val="24"/>
        </w:rPr>
        <w:t>根据《深圳市财政局关于调整政府采购投标（响应）保证金管理政策的通知》（深财购〔2021〕51号）文的规定，本项目不收取投标保证金。</w:t>
      </w:r>
    </w:p>
    <w:p w14:paraId="64A4D95B">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22．投标人的替代方案</w:t>
      </w:r>
    </w:p>
    <w:p w14:paraId="3C5588BB">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0FC27EDC">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22.2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84"/>
    <w:p w14:paraId="4325CAAF">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23．</w:t>
      </w:r>
      <w:bookmarkStart w:id="85" w:name="_Hlk72402860"/>
      <w:r>
        <w:rPr>
          <w:rFonts w:ascii="Times New Roman" w:hAnsi="Times New Roman" w:eastAsia="黑体" w:cs="Times New Roman"/>
          <w:sz w:val="24"/>
          <w:szCs w:val="24"/>
        </w:rPr>
        <w:t>投标文件的制作要求</w:t>
      </w:r>
    </w:p>
    <w:p w14:paraId="68CD3DF8">
      <w:pPr>
        <w:wordWrap w:val="0"/>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23.1</w:t>
      </w:r>
      <w:r>
        <w:rPr>
          <w:rFonts w:hint="eastAsia" w:ascii="Times New Roman" w:hAnsi="Times New Roman" w:eastAsia="宋体" w:cs="Times New Roman"/>
          <w:szCs w:val="24"/>
        </w:rPr>
        <w:t>投标人应准备所投项目的电子投标文件一份。此电子投标文件须由投标人根据政府集中采购机构提供的后缀名为.szczf的电子招标文件，下载并使用相应的深圳智慧采购平台投标文件制作专用软件打开招标文件（.szczf格式）【下载地址：http://zfcg.szggzy.com:8081/cgxy/013002/list.html】</w:t>
      </w:r>
      <w:r>
        <w:rPr>
          <w:rFonts w:ascii="Times New Roman" w:hAnsi="Times New Roman" w:eastAsia="宋体" w:cs="Times New Roman"/>
          <w:szCs w:val="24"/>
        </w:rPr>
        <w:t>。</w:t>
      </w:r>
    </w:p>
    <w:p w14:paraId="3E138115">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23.2投标人在使用《投标文件制作软件》编制投标书时须注意：</w:t>
      </w:r>
    </w:p>
    <w:p w14:paraId="00341CE4">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23.2.1导入《投标文件制作软件》的招标文件项目编号、包号应与以此制作的投标文件项目编号、包号一致。例如，不能将甲项目A包的招标书导入《投标文件制作软件》，制作乙项目B包的投标书。</w:t>
      </w:r>
    </w:p>
    <w:p w14:paraId="742DB9CE">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23.2.2不能用非本公司的电子密钥加密本公司的投标文件，或者用其它公司的登录用户上传本公司的投标文件。</w:t>
      </w:r>
    </w:p>
    <w:p w14:paraId="24437C3B">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23.2.3要求用《投标文件制作软件》编制投标书的包，不能用其它方式编制投标书。编制投标文件时，电脑须连通互联网。</w:t>
      </w:r>
    </w:p>
    <w:p w14:paraId="34F577D8">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23.2.4投标文件不能带病毒。政府集中采购机构将用专业杀毒软件对投标文件进行病毒检测，如果这两种软件均报告发现病毒，则政府集中采购机构认为该投标文件带病毒。</w:t>
      </w:r>
    </w:p>
    <w:p w14:paraId="1CE96509">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23.2.5完整填写“投标关键信息”，如下图所示：</w:t>
      </w:r>
    </w:p>
    <w:p w14:paraId="61A20E59">
      <w:pPr>
        <w:spacing w:line="276" w:lineRule="auto"/>
        <w:rPr>
          <w:rFonts w:ascii="Times New Roman" w:hAnsi="Times New Roman" w:eastAsia="宋体" w:cs="Times New Roman"/>
          <w:szCs w:val="24"/>
        </w:rPr>
      </w:pPr>
      <w:r>
        <w:rPr>
          <w:rFonts w:ascii="Times New Roman" w:hAnsi="Times New Roman" w:eastAsia="宋体" w:cs="Times New Roman"/>
          <w:szCs w:val="24"/>
        </w:rPr>
        <w:drawing>
          <wp:inline distT="0" distB="0" distL="0" distR="0">
            <wp:extent cx="5689600" cy="2933700"/>
            <wp:effectExtent l="0" t="0" r="6350" b="0"/>
            <wp:docPr id="2" name="图片 2"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形用户界面, 应用程序&#10;&#10;描述已自动生成"/>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692172" cy="2934759"/>
                    </a:xfrm>
                    <a:prstGeom prst="rect">
                      <a:avLst/>
                    </a:prstGeom>
                    <a:noFill/>
                    <a:ln>
                      <a:noFill/>
                    </a:ln>
                  </pic:spPr>
                </pic:pic>
              </a:graphicData>
            </a:graphic>
          </wp:inline>
        </w:drawing>
      </w:r>
    </w:p>
    <w:p w14:paraId="0FF64CD2">
      <w:pPr>
        <w:spacing w:line="276" w:lineRule="auto"/>
        <w:ind w:firstLine="413" w:firstLineChars="196"/>
        <w:rPr>
          <w:rFonts w:ascii="Times New Roman" w:hAnsi="Times New Roman" w:eastAsia="宋体" w:cs="Times New Roman"/>
          <w:b/>
          <w:szCs w:val="24"/>
        </w:rPr>
      </w:pPr>
      <w:r>
        <w:rPr>
          <w:rFonts w:ascii="Times New Roman" w:hAnsi="Times New Roman" w:eastAsia="宋体" w:cs="Times New Roman"/>
          <w:b/>
          <w:szCs w:val="24"/>
        </w:rPr>
        <w:t>备注：上述“开标一览表”中的“投标报价”将作为价格分计算依据；其它信息仅是对投标文件相关内容的概括性表述，不作为评审依据。</w:t>
      </w:r>
    </w:p>
    <w:p w14:paraId="07F3CF08">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23.2.6投标人在编辑投标文件时，</w:t>
      </w:r>
      <w:r>
        <w:rPr>
          <w:rFonts w:ascii="Times New Roman" w:hAnsi="Times New Roman" w:eastAsia="宋体" w:cs="Times New Roman"/>
          <w:b/>
          <w:szCs w:val="24"/>
        </w:rPr>
        <w:t>在投标文件目录中属于本节点内容的必须在本节点中填写，填写到其他节点或附件，</w:t>
      </w:r>
      <w:r>
        <w:rPr>
          <w:rFonts w:ascii="Times New Roman" w:hAnsi="Times New Roman" w:eastAsia="宋体" w:cs="Times New Roman"/>
          <w:szCs w:val="24"/>
        </w:rPr>
        <w:t>一切后果由供应商自行承担。</w:t>
      </w:r>
    </w:p>
    <w:p w14:paraId="5C9ACE48">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23.2.7投标文件编写完成后，</w:t>
      </w:r>
      <w:r>
        <w:rPr>
          <w:rFonts w:ascii="Times New Roman" w:hAnsi="Times New Roman" w:eastAsia="宋体" w:cs="Times New Roman"/>
          <w:b/>
          <w:szCs w:val="24"/>
        </w:rPr>
        <w:t>必须用属于投标人的电子密钥或电子营业执照进行加密，否则视同未盖公章，将导致投标文件无效。</w:t>
      </w:r>
    </w:p>
    <w:p w14:paraId="5A138B8E">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3DEEA9A1">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23.2.9如果开标时出现网络故障、技术故障，影响了政府采购活动，政府集中采购机构有权采取措施如延期、接受无法从网上上传的投标书等，以保障政府采购活动的公开、公平和公正。</w:t>
      </w:r>
    </w:p>
    <w:p w14:paraId="4E4712E1">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23.3电报、电话、传真形式的投标概不接受。</w:t>
      </w:r>
    </w:p>
    <w:p w14:paraId="1088508A">
      <w:pPr>
        <w:spacing w:line="276" w:lineRule="auto"/>
        <w:ind w:firstLine="413" w:firstLineChars="196"/>
        <w:rPr>
          <w:rFonts w:ascii="Times New Roman" w:hAnsi="Times New Roman" w:eastAsia="宋体" w:cs="Times New Roman"/>
          <w:b/>
          <w:szCs w:val="24"/>
        </w:rPr>
      </w:pPr>
      <w:r>
        <w:rPr>
          <w:rFonts w:ascii="Times New Roman" w:hAnsi="Times New Roman" w:eastAsia="宋体" w:cs="Times New Roman"/>
          <w:b/>
          <w:szCs w:val="24"/>
        </w:rPr>
        <w:t>23.4经投标人电子密钥或电子营业执照加密的投标文件无须盖章或签字，</w:t>
      </w:r>
      <w:r>
        <w:rPr>
          <w:rFonts w:ascii="Times New Roman" w:hAnsi="Times New Roman" w:eastAsia="宋体" w:cs="Times New Roman"/>
          <w:szCs w:val="24"/>
        </w:rPr>
        <w:t>专用条款另有要求的除外。</w:t>
      </w:r>
    </w:p>
    <w:p w14:paraId="34628F83">
      <w:pPr>
        <w:spacing w:line="276" w:lineRule="auto"/>
        <w:ind w:firstLine="413" w:firstLineChars="196"/>
        <w:rPr>
          <w:rFonts w:ascii="Times New Roman" w:hAnsi="Times New Roman" w:eastAsia="宋体" w:cs="Times New Roman"/>
          <w:szCs w:val="24"/>
        </w:rPr>
      </w:pPr>
      <w:r>
        <w:rPr>
          <w:rFonts w:ascii="Times New Roman" w:hAnsi="Times New Roman" w:eastAsia="宋体" w:cs="Times New Roman"/>
          <w:b/>
          <w:szCs w:val="24"/>
        </w:rPr>
        <w:t>23.5</w:t>
      </w:r>
      <w:r>
        <w:rPr>
          <w:rFonts w:ascii="Times New Roman" w:hAnsi="Times New Roman" w:eastAsia="宋体" w:cs="Times New Roman"/>
          <w:szCs w:val="24"/>
        </w:rPr>
        <w:t xml:space="preserve"> 各类资格（资质）文件提供扫描件，专用条款另有要求的除外。</w:t>
      </w:r>
      <w:bookmarkEnd w:id="85"/>
    </w:p>
    <w:p w14:paraId="2F094830">
      <w:pPr>
        <w:keepNext/>
        <w:keepLines/>
        <w:numPr>
          <w:ilvl w:val="0"/>
          <w:numId w:val="18"/>
        </w:numPr>
        <w:adjustRightInd w:val="0"/>
        <w:spacing w:before="120" w:beforeLines="50" w:after="120" w:afterLines="50" w:line="276" w:lineRule="auto"/>
        <w:ind w:left="562" w:hanging="562"/>
        <w:jc w:val="center"/>
        <w:textAlignment w:val="baseline"/>
        <w:outlineLvl w:val="1"/>
        <w:rPr>
          <w:rFonts w:ascii="Times New Roman" w:hAnsi="Times New Roman" w:eastAsia="宋体" w:cs="Times New Roman"/>
          <w:b/>
          <w:bCs/>
          <w:kern w:val="0"/>
          <w:sz w:val="28"/>
          <w:szCs w:val="28"/>
        </w:rPr>
      </w:pPr>
      <w:r>
        <w:rPr>
          <w:rFonts w:ascii="Times New Roman" w:hAnsi="Times New Roman" w:eastAsia="宋体" w:cs="Times New Roman"/>
          <w:b/>
          <w:bCs/>
          <w:kern w:val="0"/>
          <w:sz w:val="28"/>
          <w:szCs w:val="28"/>
        </w:rPr>
        <w:t>投标文件的递交</w:t>
      </w:r>
      <w:bookmarkStart w:id="86" w:name="_Hlk72405459"/>
    </w:p>
    <w:p w14:paraId="535193AC">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24．投标</w:t>
      </w:r>
      <w:r>
        <w:rPr>
          <w:rFonts w:hint="eastAsia" w:ascii="Times New Roman" w:hAnsi="Times New Roman" w:eastAsia="黑体" w:cs="Times New Roman"/>
          <w:sz w:val="24"/>
          <w:szCs w:val="24"/>
        </w:rPr>
        <w:t>文件</w:t>
      </w:r>
      <w:r>
        <w:rPr>
          <w:rFonts w:ascii="Times New Roman" w:hAnsi="Times New Roman" w:eastAsia="黑体" w:cs="Times New Roman"/>
          <w:sz w:val="24"/>
          <w:szCs w:val="24"/>
        </w:rPr>
        <w:t>的保密</w:t>
      </w:r>
    </w:p>
    <w:p w14:paraId="1B5E2C4E">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w:t>
      </w:r>
      <w:r>
        <w:rPr>
          <w:rFonts w:hint="eastAsia" w:ascii="宋体" w:hAnsi="宋体"/>
          <w:lang w:val="en-US" w:eastAsia="zh-CN"/>
        </w:rPr>
        <w:t>投</w:t>
      </w:r>
      <w:r>
        <w:rPr>
          <w:rFonts w:hint="eastAsia" w:ascii="宋体" w:hAnsi="宋体"/>
        </w:rPr>
        <w:t>标文件自动进行加密，此加密程序确保投标文件在到达投标截止时间后才能解密查看。在加密过程中，请按照软件提示进行操作。加密界面如下图所示：</w:t>
      </w:r>
    </w:p>
    <w:p w14:paraId="562B7B99">
      <w:pPr>
        <w:spacing w:line="276" w:lineRule="auto"/>
        <w:rPr>
          <w:rFonts w:ascii="Times New Roman" w:hAnsi="Times New Roman" w:eastAsia="宋体" w:cs="Times New Roman"/>
          <w:szCs w:val="24"/>
        </w:rPr>
      </w:pPr>
      <w:r>
        <w:rPr>
          <w:rFonts w:ascii="Times New Roman" w:hAnsi="Times New Roman" w:eastAsia="宋体" w:cs="Times New Roman"/>
          <w:szCs w:val="24"/>
        </w:rPr>
        <w:drawing>
          <wp:inline distT="0" distB="0" distL="0" distR="0">
            <wp:extent cx="5679440" cy="2927985"/>
            <wp:effectExtent l="0" t="0" r="0" b="5715"/>
            <wp:docPr id="3" name="图片 3"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形用户界面, 应用程序&#10;&#10;描述已自动生成"/>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679940" cy="2928452"/>
                    </a:xfrm>
                    <a:prstGeom prst="rect">
                      <a:avLst/>
                    </a:prstGeom>
                    <a:noFill/>
                    <a:ln>
                      <a:noFill/>
                    </a:ln>
                  </pic:spPr>
                </pic:pic>
              </a:graphicData>
            </a:graphic>
          </wp:inline>
        </w:drawing>
      </w:r>
    </w:p>
    <w:p w14:paraId="3ED94BF9">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在投标文件制作软件点击【生成标书】按钮进入【填写开标一览表界面】界面，在该界面填写完开标一览表信息后点击【确定】，进入投标文件生成环节。</w:t>
      </w:r>
    </w:p>
    <w:p w14:paraId="582CF618">
      <w:pPr>
        <w:spacing w:line="276" w:lineRule="auto"/>
        <w:rPr>
          <w:rFonts w:ascii="Times New Roman" w:hAnsi="Times New Roman" w:eastAsia="宋体" w:cs="Times New Roman"/>
          <w:szCs w:val="24"/>
        </w:rPr>
      </w:pPr>
      <w:r>
        <w:rPr>
          <w:rFonts w:ascii="Times New Roman" w:hAnsi="Times New Roman" w:eastAsia="宋体" w:cs="Times New Roman"/>
          <w:szCs w:val="24"/>
        </w:rPr>
        <w:drawing>
          <wp:inline distT="0" distB="0" distL="0" distR="0">
            <wp:extent cx="5699125" cy="2949575"/>
            <wp:effectExtent l="0" t="0" r="0" b="3175"/>
            <wp:docPr id="5" name="图片 5"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形用户界面&#10;&#10;描述已自动生成"/>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699374" cy="2950127"/>
                    </a:xfrm>
                    <a:prstGeom prst="rect">
                      <a:avLst/>
                    </a:prstGeom>
                    <a:noFill/>
                    <a:ln>
                      <a:noFill/>
                    </a:ln>
                  </pic:spPr>
                </pic:pic>
              </a:graphicData>
            </a:graphic>
          </wp:inline>
        </w:drawing>
      </w:r>
    </w:p>
    <w:p w14:paraId="60A3F7B4">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投标文件制作软件会在投标文件生成过程中，提示用户输入密码，输入密码后对投标文件自动进行加密。</w:t>
      </w:r>
    </w:p>
    <w:p w14:paraId="6D469C41">
      <w:pPr>
        <w:spacing w:line="276" w:lineRule="auto"/>
        <w:ind w:firstLine="422" w:firstLineChars="200"/>
        <w:rPr>
          <w:rFonts w:ascii="Times New Roman" w:hAnsi="Times New Roman" w:eastAsia="宋体" w:cs="Times New Roman"/>
          <w:b/>
          <w:szCs w:val="24"/>
        </w:rPr>
      </w:pPr>
      <w:r>
        <w:rPr>
          <w:rFonts w:ascii="Times New Roman" w:hAnsi="Times New Roman" w:eastAsia="宋体" w:cs="Times New Roman"/>
          <w:b/>
          <w:szCs w:val="24"/>
        </w:rPr>
        <w:t>24.2若采购项目出现延期情况：</w:t>
      </w:r>
    </w:p>
    <w:p w14:paraId="0C998CE7">
      <w:pPr>
        <w:spacing w:line="276" w:lineRule="auto"/>
        <w:ind w:firstLine="422" w:firstLineChars="200"/>
        <w:rPr>
          <w:rFonts w:ascii="Times New Roman" w:hAnsi="Times New Roman" w:eastAsia="黑体" w:cs="Times New Roman"/>
          <w:b/>
          <w:sz w:val="24"/>
          <w:szCs w:val="24"/>
        </w:rPr>
      </w:pPr>
      <w:r>
        <w:rPr>
          <w:rFonts w:ascii="Times New Roman" w:hAnsi="Times New Roman" w:eastAsia="宋体" w:cs="Times New Roman"/>
          <w:b/>
          <w:szCs w:val="24"/>
        </w:rPr>
        <w:t>如果供下载的招标文件（后缀名为.szczf）有更新，投标人必须重新下载招标文件、重新制作投标文件、重新加密投标文件、重新上传投标文件；如果供下载的招标文件（后缀名为.szczf）没有更新，投标人必须重新加密投标文件、重新上传投标文件（是否重新制作投标文件根据项目实际情况定）。否则，投标人自行承担投标文件无法解密导致投标无效的后果。</w:t>
      </w:r>
    </w:p>
    <w:p w14:paraId="7AAD4530">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25．上传投标文件及投标截止日期</w:t>
      </w:r>
    </w:p>
    <w:p w14:paraId="7DB2B4C8">
      <w:pPr>
        <w:wordWrap w:val="0"/>
        <w:spacing w:line="276" w:lineRule="auto"/>
        <w:ind w:firstLine="411" w:firstLineChars="196"/>
        <w:rPr>
          <w:rFonts w:ascii="Times New Roman" w:hAnsi="Times New Roman" w:eastAsia="宋体" w:cs="Times New Roman"/>
          <w:szCs w:val="24"/>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w:t>
      </w:r>
      <w:r>
        <w:rPr>
          <w:rFonts w:hint="eastAsia" w:ascii="宋体" w:hAnsi="宋体"/>
          <w:lang w:val="en-US" w:eastAsia="zh-CN"/>
        </w:rPr>
        <w:t>采购公告中的技术支持电话</w:t>
      </w:r>
      <w:r>
        <w:rPr>
          <w:rFonts w:hint="eastAsia" w:ascii="宋体" w:hAnsi="宋体"/>
        </w:rPr>
        <w:t>。</w:t>
      </w:r>
      <w:r>
        <w:rPr>
          <w:rFonts w:ascii="Times New Roman" w:hAnsi="Times New Roman" w:eastAsia="宋体" w:cs="Times New Roman"/>
          <w:szCs w:val="24"/>
        </w:rPr>
        <w:t>联系方式：</w:t>
      </w:r>
      <w:r>
        <w:rPr>
          <w:rFonts w:hint="eastAsia" w:ascii="Times New Roman" w:hAnsi="Times New Roman" w:eastAsia="宋体" w:cs="Times New Roman"/>
          <w:szCs w:val="24"/>
        </w:rPr>
        <w:t>0755-36568999</w:t>
      </w:r>
      <w:r>
        <w:rPr>
          <w:rFonts w:ascii="Times New Roman" w:hAnsi="Times New Roman" w:eastAsia="宋体" w:cs="Times New Roman"/>
          <w:szCs w:val="24"/>
        </w:rPr>
        <w:t>。</w:t>
      </w:r>
    </w:p>
    <w:p w14:paraId="1957F922">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2A2F24EA">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25.3投标截止时间以后不得上传投标文件。</w:t>
      </w:r>
    </w:p>
    <w:bookmarkEnd w:id="86"/>
    <w:p w14:paraId="556F440F">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26．样品、演示、方案讲解</w:t>
      </w:r>
    </w:p>
    <w:p w14:paraId="0477BCBD">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26.1 样品、演示、方案讲解等事项在招标文件专用条款中进行规定。</w:t>
      </w:r>
    </w:p>
    <w:p w14:paraId="355414EA">
      <w:pPr>
        <w:spacing w:line="276" w:lineRule="auto"/>
        <w:rPr>
          <w:rFonts w:ascii="Times New Roman" w:hAnsi="Times New Roman" w:eastAsia="黑体" w:cs="Times New Roman"/>
          <w:sz w:val="24"/>
          <w:szCs w:val="24"/>
        </w:rPr>
      </w:pPr>
      <w:bookmarkStart w:id="87" w:name="_Hlk72428346"/>
      <w:r>
        <w:rPr>
          <w:rFonts w:ascii="Times New Roman" w:hAnsi="Times New Roman" w:eastAsia="黑体" w:cs="Times New Roman"/>
          <w:sz w:val="24"/>
          <w:szCs w:val="24"/>
        </w:rPr>
        <w:t>27．投标文件的修改和撤销</w:t>
      </w:r>
    </w:p>
    <w:p w14:paraId="1A272000">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27.1投标方在提交投标文件后可对其投标文件进行修改并重新上传投标文件或在网上进行撤销投标的操作。</w:t>
      </w:r>
    </w:p>
    <w:p w14:paraId="4606A7CA">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27.2投标截止时间以后不得修改投标文件。</w:t>
      </w:r>
    </w:p>
    <w:p w14:paraId="27D78EBD">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27.3从投标截止期至投标人在投标文件中确定的投标有效期之间的这段时间内，投标人不得撤回其投标。</w:t>
      </w:r>
    </w:p>
    <w:p w14:paraId="7F689144">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27.4政府集中采购机构不退还投标文件，专用条款另有规定的除外。</w:t>
      </w:r>
    </w:p>
    <w:bookmarkEnd w:id="87"/>
    <w:p w14:paraId="336BEBF0">
      <w:pPr>
        <w:keepNext/>
        <w:keepLines/>
        <w:numPr>
          <w:ilvl w:val="0"/>
          <w:numId w:val="18"/>
        </w:numPr>
        <w:adjustRightInd w:val="0"/>
        <w:spacing w:before="120" w:beforeLines="50" w:after="120" w:afterLines="50" w:line="276" w:lineRule="auto"/>
        <w:ind w:left="562" w:hanging="562"/>
        <w:jc w:val="center"/>
        <w:textAlignment w:val="baseline"/>
        <w:outlineLvl w:val="1"/>
        <w:rPr>
          <w:rFonts w:ascii="Times New Roman" w:hAnsi="Times New Roman" w:eastAsia="宋体" w:cs="Times New Roman"/>
          <w:b/>
          <w:bCs/>
          <w:kern w:val="0"/>
          <w:sz w:val="28"/>
          <w:szCs w:val="28"/>
        </w:rPr>
      </w:pPr>
      <w:r>
        <w:rPr>
          <w:rFonts w:ascii="Times New Roman" w:hAnsi="Times New Roman" w:eastAsia="宋体" w:cs="Times New Roman"/>
          <w:b/>
          <w:bCs/>
          <w:kern w:val="0"/>
          <w:sz w:val="28"/>
          <w:szCs w:val="28"/>
        </w:rPr>
        <w:t>开标</w:t>
      </w:r>
    </w:p>
    <w:p w14:paraId="20826693">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28．开标</w:t>
      </w:r>
    </w:p>
    <w:p w14:paraId="547BA39A">
      <w:pPr>
        <w:ind w:firstLine="359" w:firstLineChars="171"/>
        <w:rPr>
          <w:rFonts w:ascii="宋体" w:hAnsi="宋体"/>
          <w:szCs w:val="21"/>
        </w:rPr>
      </w:pPr>
      <w:r>
        <w:rPr>
          <w:rFonts w:ascii="宋体" w:hAnsi="宋体"/>
          <w:szCs w:val="21"/>
        </w:rPr>
        <w:t>2</w:t>
      </w:r>
      <w:r>
        <w:rPr>
          <w:rFonts w:hint="eastAsia" w:ascii="宋体" w:hAnsi="宋体"/>
          <w:szCs w:val="21"/>
        </w:rPr>
        <w:t>8</w:t>
      </w:r>
      <w:r>
        <w:rPr>
          <w:rFonts w:ascii="宋体" w:hAnsi="宋体"/>
          <w:szCs w:val="21"/>
        </w:rPr>
        <w:t>.</w:t>
      </w:r>
      <w:r>
        <w:rPr>
          <w:rFonts w:hint="eastAsia" w:ascii="宋体" w:hAnsi="宋体"/>
          <w:szCs w:val="21"/>
        </w:rPr>
        <w:t>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11D40503">
      <w:pPr>
        <w:spacing w:line="276" w:lineRule="auto"/>
        <w:ind w:firstLine="359" w:firstLineChars="171"/>
        <w:rPr>
          <w:rFonts w:ascii="Times New Roman" w:hAnsi="Times New Roman" w:eastAsia="宋体" w:cs="Times New Roman"/>
          <w:szCs w:val="21"/>
        </w:rPr>
      </w:pPr>
      <w:r>
        <w:rPr>
          <w:rFonts w:ascii="Times New Roman" w:hAnsi="Times New Roman" w:eastAsia="宋体" w:cs="Times New Roman"/>
          <w:szCs w:val="21"/>
        </w:rPr>
        <w:t>28.2</w:t>
      </w:r>
      <w:r>
        <w:rPr>
          <w:rFonts w:hint="eastAsia" w:ascii="Times New Roman" w:hAnsi="Times New Roman" w:eastAsia="宋体" w:cs="Times New Roman"/>
          <w:szCs w:val="21"/>
        </w:rPr>
        <w:t>政府集中采购机构将在满足开标条件（①解密时间结束，解密后的投标供应商数量满足开标要求或②解密时间结束前所有投标供应商均完成投标文件解密）后，对投标文件进行开标，并在网上公布开标结果。</w:t>
      </w:r>
    </w:p>
    <w:p w14:paraId="19622253">
      <w:pPr>
        <w:keepNext/>
        <w:keepLines/>
        <w:numPr>
          <w:ilvl w:val="0"/>
          <w:numId w:val="18"/>
        </w:numPr>
        <w:adjustRightInd w:val="0"/>
        <w:spacing w:before="120" w:beforeLines="50" w:after="120" w:afterLines="50" w:line="276" w:lineRule="auto"/>
        <w:ind w:left="562" w:hanging="562"/>
        <w:jc w:val="center"/>
        <w:textAlignment w:val="baseline"/>
        <w:outlineLvl w:val="1"/>
        <w:rPr>
          <w:rFonts w:ascii="Times New Roman" w:hAnsi="Times New Roman" w:eastAsia="宋体" w:cs="Times New Roman"/>
          <w:b/>
          <w:bCs/>
          <w:kern w:val="0"/>
          <w:sz w:val="28"/>
          <w:szCs w:val="28"/>
        </w:rPr>
      </w:pPr>
      <w:r>
        <w:rPr>
          <w:rFonts w:ascii="Times New Roman" w:hAnsi="Times New Roman" w:eastAsia="宋体" w:cs="Times New Roman"/>
          <w:b/>
          <w:bCs/>
          <w:kern w:val="0"/>
          <w:sz w:val="28"/>
          <w:szCs w:val="28"/>
        </w:rPr>
        <w:t>评审要求</w:t>
      </w:r>
    </w:p>
    <w:p w14:paraId="6DD92462">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29．评审委员会组成</w:t>
      </w:r>
    </w:p>
    <w:p w14:paraId="70B684B6">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29.1网上开标结束后召开评审会议，</w:t>
      </w:r>
      <w:r>
        <w:rPr>
          <w:rFonts w:ascii="Times New Roman" w:hAnsi="Times New Roman" w:eastAsia="宋体" w:cs="Times New Roman"/>
          <w:szCs w:val="21"/>
        </w:rPr>
        <w:t>评审委员会</w:t>
      </w:r>
      <w:r>
        <w:rPr>
          <w:rFonts w:ascii="Times New Roman" w:hAnsi="Times New Roman" w:eastAsia="宋体" w:cs="Times New Roman"/>
          <w:szCs w:val="24"/>
        </w:rPr>
        <w:t>由政府集中采购机构依法组建，负责评审活动。</w:t>
      </w:r>
    </w:p>
    <w:p w14:paraId="05A94AC5">
      <w:pPr>
        <w:spacing w:line="276" w:lineRule="auto"/>
        <w:ind w:firstLine="411" w:firstLineChars="196"/>
        <w:rPr>
          <w:rFonts w:ascii="Times New Roman" w:hAnsi="Times New Roman" w:eastAsia="宋体" w:cs="Times New Roman"/>
          <w:szCs w:val="24"/>
        </w:rPr>
      </w:pPr>
      <w:bookmarkStart w:id="88" w:name="_Hlk72436580"/>
      <w:r>
        <w:rPr>
          <w:rFonts w:ascii="Times New Roman" w:hAnsi="Times New Roman" w:eastAsia="宋体" w:cs="Times New Roman"/>
          <w:szCs w:val="24"/>
        </w:rPr>
        <w:t>评审委员会由采购人代表和评审专家组成，成员人数应当为5人以上单数（部分条件下为7人以上单数），其中评审专家不得少于成员总数的三分之二。</w:t>
      </w:r>
      <w:bookmarkEnd w:id="88"/>
      <w:r>
        <w:rPr>
          <w:rFonts w:ascii="Times New Roman" w:hAnsi="Times New Roman" w:eastAsia="宋体" w:cs="Times New Roman"/>
          <w:szCs w:val="24"/>
        </w:rPr>
        <w:t>评定分离项目评审专家均由评审专家组成。</w:t>
      </w:r>
      <w:r>
        <w:rPr>
          <w:rFonts w:ascii="Times New Roman" w:hAnsi="Times New Roman" w:eastAsia="宋体" w:cs="Times New Roman"/>
          <w:szCs w:val="21"/>
        </w:rPr>
        <w:t>评审专家一般是</w:t>
      </w:r>
      <w:r>
        <w:rPr>
          <w:rFonts w:ascii="Times New Roman" w:hAnsi="Times New Roman" w:eastAsia="宋体" w:cs="Times New Roman"/>
          <w:szCs w:val="24"/>
        </w:rPr>
        <w:t>从深圳市政府采购评审专家库中随机抽取。采购人代表须持采购人出具的《评审授权书》参加评审。</w:t>
      </w:r>
    </w:p>
    <w:p w14:paraId="16A71AC7">
      <w:pPr>
        <w:pStyle w:val="62"/>
      </w:pPr>
    </w:p>
    <w:p w14:paraId="547BF4B3">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29.2评审定标应当遵循公平、公正、科学、择优的原则。</w:t>
      </w:r>
    </w:p>
    <w:p w14:paraId="6F2A05AA">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29.3评审活动依法进行，任何单位和个人不得非法干预评标过程和结果。</w:t>
      </w:r>
    </w:p>
    <w:p w14:paraId="48C52364">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29.4评审过程中不允许违背评标程序或采用招标文件未载明的评标方法或评标因素进行评标。</w:t>
      </w:r>
    </w:p>
    <w:p w14:paraId="7A58A33C">
      <w:pPr>
        <w:spacing w:line="276" w:lineRule="auto"/>
        <w:ind w:firstLine="411" w:firstLineChars="196"/>
        <w:rPr>
          <w:rFonts w:ascii="Times New Roman" w:hAnsi="Times New Roman" w:eastAsia="宋体" w:cs="Times New Roman"/>
          <w:bCs/>
          <w:szCs w:val="24"/>
        </w:rPr>
      </w:pPr>
      <w:r>
        <w:rPr>
          <w:rFonts w:ascii="Times New Roman" w:hAnsi="Times New Roman" w:eastAsia="宋体" w:cs="Times New Roman"/>
          <w:bCs/>
          <w:szCs w:val="24"/>
        </w:rPr>
        <w:t>29.5 开标后，直到签订合同为止，凡属于对投标文件的审查、澄清、评价和比较的有关资料以及中标候选人的推荐情况、与评审有关的其他任何情况均严格保密（</w:t>
      </w:r>
      <w:r>
        <w:rPr>
          <w:rFonts w:ascii="Times New Roman" w:hAnsi="Times New Roman" w:eastAsia="宋体" w:cs="Times New Roman"/>
          <w:szCs w:val="24"/>
        </w:rPr>
        <w:t>信息公开的内容除外</w:t>
      </w:r>
      <w:r>
        <w:rPr>
          <w:rFonts w:ascii="Times New Roman" w:hAnsi="Times New Roman" w:eastAsia="宋体" w:cs="Times New Roman"/>
          <w:bCs/>
          <w:szCs w:val="24"/>
        </w:rPr>
        <w:t>）。</w:t>
      </w:r>
    </w:p>
    <w:p w14:paraId="659C1FE1">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30．向评审委员会提供的资料</w:t>
      </w:r>
    </w:p>
    <w:p w14:paraId="36A296F3">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30.1公开发布的招标文件，包括图纸、服务清单、答疑文件等；</w:t>
      </w:r>
    </w:p>
    <w:p w14:paraId="128C1229">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30.2其他评标必须的资料。</w:t>
      </w:r>
    </w:p>
    <w:p w14:paraId="07BB0DB2">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30.3</w:t>
      </w:r>
      <w:r>
        <w:rPr>
          <w:rFonts w:ascii="Times New Roman" w:hAnsi="Times New Roman" w:eastAsia="宋体" w:cs="Times New Roman"/>
          <w:szCs w:val="21"/>
        </w:rPr>
        <w:t>评审委员会</w:t>
      </w:r>
      <w:r>
        <w:rPr>
          <w:rFonts w:ascii="Times New Roman" w:hAnsi="Times New Roman" w:eastAsia="宋体" w:cs="Times New Roman"/>
          <w:szCs w:val="24"/>
        </w:rPr>
        <w:t>应当认真研究招标文件，至少应了解熟悉以下内容：</w:t>
      </w:r>
    </w:p>
    <w:p w14:paraId="45926096">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（1）招标的目的；</w:t>
      </w:r>
    </w:p>
    <w:p w14:paraId="2F97A279">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（2）招标项目需求的范围和性质；</w:t>
      </w:r>
    </w:p>
    <w:p w14:paraId="6BB79140">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（3）招标文件规定的投标人的资格、预算金额、商务条款；</w:t>
      </w:r>
    </w:p>
    <w:p w14:paraId="3C91B356">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（4）招标文件规定的评标程序、评标方法和评标因素；</w:t>
      </w:r>
    </w:p>
    <w:p w14:paraId="5D3215D7">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（5）招标文件所列示的资格性审查表及符合性审查表。</w:t>
      </w:r>
    </w:p>
    <w:p w14:paraId="7D46182D">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31．独立评审</w:t>
      </w:r>
    </w:p>
    <w:p w14:paraId="30E9B906">
      <w:pPr>
        <w:spacing w:line="276" w:lineRule="auto"/>
        <w:ind w:firstLine="411" w:firstLineChars="196"/>
        <w:rPr>
          <w:rFonts w:ascii="Times New Roman" w:hAnsi="Times New Roman" w:eastAsia="宋体" w:cs="Times New Roman"/>
          <w:bCs/>
          <w:szCs w:val="24"/>
        </w:rPr>
      </w:pPr>
      <w:r>
        <w:rPr>
          <w:rFonts w:ascii="Times New Roman" w:hAnsi="Times New Roman" w:eastAsia="宋体" w:cs="Times New Roman"/>
          <w:bCs/>
          <w:szCs w:val="24"/>
        </w:rPr>
        <w:t>31.1</w:t>
      </w:r>
      <w:r>
        <w:rPr>
          <w:rFonts w:ascii="Times New Roman" w:hAnsi="Times New Roman" w:eastAsia="宋体" w:cs="Times New Roman"/>
          <w:szCs w:val="21"/>
        </w:rPr>
        <w:t>评审委员会</w:t>
      </w:r>
      <w:r>
        <w:rPr>
          <w:rFonts w:ascii="Times New Roman" w:hAnsi="Times New Roman" w:eastAsia="宋体" w:cs="Times New Roman"/>
          <w:bCs/>
          <w:szCs w:val="24"/>
        </w:rPr>
        <w:t>成员的评标活动应当独立进行，并应遵循投标文件初审、澄清有关问题、比较与评价、确定中标供应商、编写评审报告的工作程序。</w:t>
      </w:r>
    </w:p>
    <w:p w14:paraId="761B4ED2">
      <w:pPr>
        <w:keepNext/>
        <w:keepLines/>
        <w:numPr>
          <w:ilvl w:val="0"/>
          <w:numId w:val="18"/>
        </w:numPr>
        <w:adjustRightInd w:val="0"/>
        <w:spacing w:before="120" w:beforeLines="50" w:after="120" w:afterLines="50" w:line="276" w:lineRule="auto"/>
        <w:ind w:left="562" w:hanging="562"/>
        <w:jc w:val="center"/>
        <w:textAlignment w:val="baseline"/>
        <w:outlineLvl w:val="1"/>
        <w:rPr>
          <w:rFonts w:ascii="Times New Roman" w:hAnsi="Times New Roman" w:eastAsia="宋体" w:cs="Times New Roman"/>
          <w:b/>
          <w:bCs/>
          <w:kern w:val="0"/>
          <w:sz w:val="28"/>
          <w:szCs w:val="28"/>
        </w:rPr>
      </w:pPr>
      <w:r>
        <w:rPr>
          <w:rFonts w:ascii="Times New Roman" w:hAnsi="Times New Roman" w:eastAsia="宋体" w:cs="Times New Roman"/>
          <w:b/>
          <w:bCs/>
          <w:kern w:val="0"/>
          <w:sz w:val="28"/>
          <w:szCs w:val="28"/>
        </w:rPr>
        <w:t>评审程序及评审方法</w:t>
      </w:r>
    </w:p>
    <w:p w14:paraId="52A98C47">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32．投标文件初审</w:t>
      </w:r>
    </w:p>
    <w:p w14:paraId="3B6BD4C7">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32.1投标文件初审包括资格性审查和符合性审查。</w:t>
      </w:r>
    </w:p>
    <w:p w14:paraId="619EA593">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资格性审查：依据法律法规和招标文件的规定，对投标文件中的资格证明等进行审查，以确定投标供应商是否具备投标资格。</w:t>
      </w:r>
    </w:p>
    <w:p w14:paraId="242D688E">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符合性审查：依据招标文件的规定，对投标文件的有效性、完整性和对招标文件的响应程度进行审查，以确定是否满足符合性审查的要求。</w:t>
      </w:r>
    </w:p>
    <w:p w14:paraId="22C2A7B3">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32.2 投标文件初审内容请详见《资格性审查表》和《符合性审查表》部分。投标人若有一条审查不通过则按投标无效处理。</w:t>
      </w:r>
    </w:p>
    <w:p w14:paraId="2ABF2814">
      <w:pPr>
        <w:spacing w:line="276" w:lineRule="auto"/>
        <w:ind w:firstLine="411" w:firstLineChars="196"/>
        <w:rPr>
          <w:rFonts w:ascii="Times New Roman" w:hAnsi="Times New Roman" w:eastAsia="宋体" w:cs="Times New Roman"/>
          <w:bCs/>
          <w:szCs w:val="24"/>
        </w:rPr>
      </w:pPr>
      <w:r>
        <w:rPr>
          <w:rFonts w:ascii="Times New Roman" w:hAnsi="Times New Roman" w:eastAsia="宋体" w:cs="Times New Roman"/>
          <w:bCs/>
          <w:szCs w:val="24"/>
        </w:rPr>
        <w:t>32.3 投标文件初审中关于供应商家数的计算:</w:t>
      </w:r>
    </w:p>
    <w:p w14:paraId="303C6E2A">
      <w:pPr>
        <w:spacing w:line="276" w:lineRule="auto"/>
        <w:ind w:firstLine="411" w:firstLineChars="196"/>
        <w:rPr>
          <w:rFonts w:ascii="Times New Roman" w:hAnsi="Times New Roman" w:eastAsia="宋体" w:cs="Times New Roman"/>
          <w:bCs/>
          <w:szCs w:val="24"/>
        </w:rPr>
      </w:pPr>
      <w:r>
        <w:rPr>
          <w:rFonts w:ascii="Times New Roman" w:hAnsi="Times New Roman" w:eastAsia="宋体" w:cs="Times New Roman"/>
          <w:bCs/>
          <w:szCs w:val="24"/>
        </w:rPr>
        <w:t>32.3.1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审的投标人，招标文件未规定的采取随机抽取方式确定，其他投标无效。</w:t>
      </w:r>
    </w:p>
    <w:p w14:paraId="0EFDB4D4">
      <w:pPr>
        <w:spacing w:line="276" w:lineRule="auto"/>
        <w:ind w:firstLine="411" w:firstLineChars="196"/>
        <w:rPr>
          <w:rFonts w:ascii="Times New Roman" w:hAnsi="Times New Roman" w:eastAsia="宋体" w:cs="Times New Roman"/>
          <w:bCs/>
          <w:szCs w:val="24"/>
        </w:rPr>
      </w:pPr>
      <w:r>
        <w:rPr>
          <w:rFonts w:ascii="Times New Roman" w:hAnsi="Times New Roman" w:eastAsia="宋体" w:cs="Times New Roman"/>
          <w:bCs/>
          <w:szCs w:val="24"/>
        </w:rPr>
        <w:t>32.3.2采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w:t>
      </w:r>
      <w:r>
        <w:rPr>
          <w:rFonts w:ascii="Times New Roman" w:hAnsi="Times New Roman" w:eastAsia="宋体" w:cs="Times New Roman"/>
          <w:bCs/>
          <w:szCs w:val="21"/>
        </w:rPr>
        <w:t>评审委员会</w:t>
      </w:r>
      <w:r>
        <w:rPr>
          <w:rFonts w:ascii="Times New Roman" w:hAnsi="Times New Roman" w:eastAsia="宋体" w:cs="Times New Roman"/>
          <w:bCs/>
          <w:szCs w:val="24"/>
        </w:rPr>
        <w:t>按照招标文件规定的方式确定一个投标人获得中标人推荐资格，招标文件未规定的采取随机抽取方式确定，其他同品牌投标人不作为中标候选人。</w:t>
      </w:r>
    </w:p>
    <w:p w14:paraId="06541DD3">
      <w:pPr>
        <w:spacing w:line="276" w:lineRule="auto"/>
        <w:ind w:firstLine="411" w:firstLineChars="196"/>
        <w:rPr>
          <w:rFonts w:ascii="Times New Roman" w:hAnsi="Times New Roman" w:eastAsia="宋体" w:cs="Times New Roman"/>
          <w:bCs/>
          <w:szCs w:val="24"/>
        </w:rPr>
      </w:pPr>
      <w:r>
        <w:rPr>
          <w:rFonts w:ascii="Times New Roman" w:hAnsi="Times New Roman" w:eastAsia="宋体" w:cs="Times New Roman"/>
          <w:bCs/>
          <w:szCs w:val="24"/>
        </w:rPr>
        <w:t>32.3.3非单一产品采购项目，采购人应当根据采购项目技术构成、产品价格比重等合理确定核心产品，并在招标文件中载明。多家投标人提供的核心产品品牌相同的，按前两款规定处理。</w:t>
      </w:r>
    </w:p>
    <w:p w14:paraId="757E5593">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32.4投标人投标文件作无效处理的情形，具体包括但不限于以下：</w:t>
      </w:r>
    </w:p>
    <w:p w14:paraId="3B2ABA27">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32.4.1不同投标人的投标文件由同一单位或者同一个人编制，或者由同一个人分阶段参与编制；</w:t>
      </w:r>
    </w:p>
    <w:p w14:paraId="2EF8B4CA">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32.4.2不同投标人委托同一单位或者个人办理投标事宜；</w:t>
      </w:r>
    </w:p>
    <w:p w14:paraId="363BF59A">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32.4.3不同投标人的投标文件载明的项目管理成员或者联系人员为同一人；</w:t>
      </w:r>
    </w:p>
    <w:p w14:paraId="5E13920F">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32.4.4不同投标人的投标文件异常一致或者投标报价呈规律性差异；</w:t>
      </w:r>
    </w:p>
    <w:p w14:paraId="7F72DFFB">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32.4.5不同投标供应商的投标文件或部分投标文件相互混装；</w:t>
      </w:r>
    </w:p>
    <w:p w14:paraId="3B76FB2E">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32.4.6投标供应商之间相互约定给予未中标的供应商利益补偿；</w:t>
      </w:r>
    </w:p>
    <w:p w14:paraId="71585C66">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32.4.7不同投标供应商的法定代表人、主要经营负责人、项目投标授权代表人、项目负责人、主要技术人员为同一人、属同一单位或者同一单位缴纳社会保险；</w:t>
      </w:r>
    </w:p>
    <w:p w14:paraId="25810914">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32.4.8不同投标供应商的投标文件内容存在非正常一致；</w:t>
      </w:r>
    </w:p>
    <w:p w14:paraId="5204B46D">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32.4.9在同一单位工作人员为两家以上（含两家）供应商进行同一项投标活动；</w:t>
      </w:r>
    </w:p>
    <w:p w14:paraId="70091264">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32.4.10主管部门依照法律、法规认定的其他情形。</w:t>
      </w:r>
    </w:p>
    <w:p w14:paraId="1FBC5C41">
      <w:pPr>
        <w:ind w:firstLine="420" w:firstLineChars="200"/>
        <w:rPr>
          <w:rFonts w:hint="default" w:ascii="宋体" w:hAnsi="宋体" w:eastAsia="宋体"/>
          <w:color w:val="FF0000"/>
          <w:lang w:val="en-US" w:eastAsia="zh-CN"/>
        </w:rPr>
      </w:pPr>
      <w:r>
        <w:rPr>
          <w:rFonts w:hint="eastAsia" w:ascii="宋体" w:hAnsi="宋体"/>
          <w:color w:val="FF0000"/>
          <w:lang w:val="en-US" w:eastAsia="zh-CN"/>
        </w:rPr>
        <w:t>32.5</w:t>
      </w:r>
      <w:r>
        <w:rPr>
          <w:rFonts w:hint="eastAsia" w:ascii="宋体" w:hAnsi="宋体"/>
          <w:color w:val="FF0000"/>
        </w:rPr>
        <w:t>政府采购异常低价审查</w:t>
      </w:r>
      <w:r>
        <w:rPr>
          <w:rFonts w:hint="eastAsia" w:ascii="宋体" w:hAnsi="宋体"/>
          <w:color w:val="FF0000"/>
          <w:lang w:val="en-US" w:eastAsia="zh-CN"/>
        </w:rPr>
        <w:t>对的程序及要求：</w:t>
      </w:r>
    </w:p>
    <w:p w14:paraId="05B85DF5">
      <w:pPr>
        <w:ind w:firstLine="420" w:firstLineChars="200"/>
        <w:rPr>
          <w:rFonts w:hint="eastAsia" w:ascii="宋体" w:hAnsi="宋体"/>
          <w:color w:val="FF0000"/>
        </w:rPr>
      </w:pPr>
      <w:r>
        <w:rPr>
          <w:rFonts w:hint="eastAsia" w:ascii="宋体" w:hAnsi="宋体"/>
          <w:color w:val="FF0000"/>
          <w:lang w:val="en-US" w:eastAsia="zh-CN"/>
        </w:rPr>
        <w:t>32.5.1政府采购评审中出现下列情形之一的，</w:t>
      </w:r>
      <w:r>
        <w:rPr>
          <w:rFonts w:hint="eastAsia" w:ascii="宋体" w:hAnsi="宋体"/>
          <w:color w:val="FF0000"/>
        </w:rPr>
        <w:t>评审委员会应当启动异常低价投标（响应）审查程序：</w:t>
      </w:r>
    </w:p>
    <w:p w14:paraId="2E956232">
      <w:pPr>
        <w:ind w:firstLine="420" w:firstLineChars="200"/>
        <w:rPr>
          <w:rFonts w:hint="eastAsia" w:ascii="宋体" w:hAnsi="宋体"/>
          <w:color w:val="FF0000"/>
        </w:rPr>
      </w:pPr>
      <w:r>
        <w:rPr>
          <w:rFonts w:hint="eastAsia" w:ascii="宋体" w:hAnsi="宋体"/>
          <w:color w:val="FF0000"/>
          <w:lang w:eastAsia="zh-CN"/>
        </w:rPr>
        <w:t>（</w:t>
      </w:r>
      <w:r>
        <w:rPr>
          <w:rFonts w:hint="eastAsia" w:ascii="宋体" w:hAnsi="宋体"/>
          <w:color w:val="FF0000"/>
          <w:lang w:val="en-US" w:eastAsia="zh-CN"/>
        </w:rPr>
        <w:t>1</w:t>
      </w:r>
      <w:r>
        <w:rPr>
          <w:rFonts w:hint="eastAsia" w:ascii="宋体" w:hAnsi="宋体"/>
          <w:color w:val="FF0000"/>
          <w:lang w:eastAsia="zh-CN"/>
        </w:rPr>
        <w:t>）</w:t>
      </w:r>
      <w:r>
        <w:rPr>
          <w:rFonts w:hint="eastAsia" w:ascii="宋体" w:hAnsi="宋体"/>
          <w:color w:val="FF0000"/>
        </w:rPr>
        <w:t>投标（响应）报价低于全部通过符合性审查供应商投标（响应）报价平均值50%的，即投标（响应）报价&lt;全部通过符合性审查供应商投标（响应）报价平均值×50%；</w:t>
      </w:r>
    </w:p>
    <w:p w14:paraId="0C59B98D">
      <w:pPr>
        <w:ind w:firstLine="420" w:firstLineChars="200"/>
        <w:rPr>
          <w:rFonts w:hint="eastAsia" w:ascii="宋体" w:hAnsi="宋体"/>
          <w:color w:val="FF0000"/>
        </w:rPr>
      </w:pPr>
      <w:r>
        <w:rPr>
          <w:rFonts w:hint="eastAsia" w:ascii="宋体" w:hAnsi="宋体"/>
          <w:color w:val="FF0000"/>
          <w:lang w:eastAsia="zh-CN"/>
        </w:rPr>
        <w:t>（</w:t>
      </w:r>
      <w:r>
        <w:rPr>
          <w:rFonts w:hint="eastAsia" w:ascii="宋体" w:hAnsi="宋体"/>
          <w:color w:val="FF0000"/>
          <w:lang w:val="en-US" w:eastAsia="zh-CN"/>
        </w:rPr>
        <w:t>2</w:t>
      </w:r>
      <w:r>
        <w:rPr>
          <w:rFonts w:hint="eastAsia" w:ascii="宋体" w:hAnsi="宋体"/>
          <w:color w:val="FF0000"/>
          <w:lang w:eastAsia="zh-CN"/>
        </w:rPr>
        <w:t>）</w:t>
      </w:r>
      <w:r>
        <w:rPr>
          <w:rFonts w:hint="eastAsia" w:ascii="宋体" w:hAnsi="宋体"/>
          <w:color w:val="FF0000"/>
        </w:rPr>
        <w:t>投标（响应）报价低于通过符合性审查的次低报价供应商投标（响应）报价50%的，即投标（响应）报价&lt;通过符合性审查的次低报价供应商投标（响应）报价×50%；</w:t>
      </w:r>
    </w:p>
    <w:p w14:paraId="1B931F4A">
      <w:pPr>
        <w:ind w:firstLine="420" w:firstLineChars="200"/>
        <w:rPr>
          <w:rFonts w:hint="eastAsia" w:ascii="宋体" w:hAnsi="宋体"/>
          <w:color w:val="FF0000"/>
        </w:rPr>
      </w:pPr>
      <w:r>
        <w:rPr>
          <w:rFonts w:hint="eastAsia" w:ascii="宋体" w:hAnsi="宋体"/>
          <w:color w:val="FF0000"/>
          <w:lang w:eastAsia="zh-CN"/>
        </w:rPr>
        <w:t>（</w:t>
      </w:r>
      <w:r>
        <w:rPr>
          <w:rFonts w:hint="eastAsia" w:ascii="宋体" w:hAnsi="宋体"/>
          <w:color w:val="FF0000"/>
          <w:lang w:val="en-US" w:eastAsia="zh-CN"/>
        </w:rPr>
        <w:t>3</w:t>
      </w:r>
      <w:r>
        <w:rPr>
          <w:rFonts w:hint="eastAsia" w:ascii="宋体" w:hAnsi="宋体"/>
          <w:color w:val="FF0000"/>
          <w:lang w:eastAsia="zh-CN"/>
        </w:rPr>
        <w:t>）</w:t>
      </w:r>
      <w:r>
        <w:rPr>
          <w:rFonts w:hint="eastAsia" w:ascii="宋体" w:hAnsi="宋体"/>
          <w:color w:val="FF0000"/>
        </w:rPr>
        <w:t>投标（响应）报价低于采购项目最高限价45%的，即投标（响应）报价&lt;采购项目最高限价×45%；</w:t>
      </w:r>
    </w:p>
    <w:p w14:paraId="07725DD8">
      <w:pPr>
        <w:ind w:firstLine="420" w:firstLineChars="200"/>
        <w:rPr>
          <w:rFonts w:hint="eastAsia" w:ascii="宋体" w:hAnsi="宋体"/>
          <w:color w:val="FF0000"/>
        </w:rPr>
      </w:pPr>
      <w:r>
        <w:rPr>
          <w:rFonts w:hint="eastAsia" w:ascii="宋体" w:hAnsi="宋体"/>
          <w:color w:val="FF0000"/>
          <w:lang w:eastAsia="zh-CN"/>
        </w:rPr>
        <w:t>（</w:t>
      </w:r>
      <w:r>
        <w:rPr>
          <w:rFonts w:hint="eastAsia" w:ascii="宋体" w:hAnsi="宋体"/>
          <w:color w:val="FF0000"/>
          <w:lang w:val="en-US" w:eastAsia="zh-CN"/>
        </w:rPr>
        <w:t>4</w:t>
      </w:r>
      <w:r>
        <w:rPr>
          <w:rFonts w:hint="eastAsia" w:ascii="宋体" w:hAnsi="宋体"/>
          <w:color w:val="FF0000"/>
          <w:lang w:eastAsia="zh-CN"/>
        </w:rPr>
        <w:t>）</w:t>
      </w:r>
      <w:r>
        <w:rPr>
          <w:rFonts w:hint="eastAsia" w:ascii="宋体" w:hAnsi="宋体"/>
          <w:color w:val="FF0000"/>
        </w:rPr>
        <w:t>评审委员会基于专业判断，认为供应商报价过低，有可能影响产品质量或者不能诚信履约的其他情形。</w:t>
      </w:r>
    </w:p>
    <w:p w14:paraId="7A2D5B10">
      <w:pPr>
        <w:ind w:firstLine="420" w:firstLineChars="200"/>
        <w:rPr>
          <w:rFonts w:hint="eastAsia" w:ascii="宋体" w:hAnsi="宋体"/>
          <w:color w:val="FF0000"/>
        </w:rPr>
      </w:pPr>
      <w:r>
        <w:rPr>
          <w:rFonts w:hint="eastAsia" w:ascii="宋体" w:hAnsi="宋体"/>
          <w:color w:val="FF0000"/>
        </w:rPr>
        <w:t>采购人可以结合具体项目实际情况，提高上述第</w:t>
      </w:r>
      <w:r>
        <w:rPr>
          <w:rFonts w:hint="eastAsia" w:ascii="宋体" w:hAnsi="宋体"/>
          <w:color w:val="FF0000"/>
          <w:lang w:eastAsia="zh-CN"/>
        </w:rPr>
        <w:t>（</w:t>
      </w:r>
      <w:r>
        <w:rPr>
          <w:rFonts w:hint="eastAsia" w:ascii="宋体" w:hAnsi="宋体"/>
          <w:color w:val="FF0000"/>
          <w:lang w:val="en-US" w:eastAsia="zh-CN"/>
        </w:rPr>
        <w:t>1</w:t>
      </w:r>
      <w:r>
        <w:rPr>
          <w:rFonts w:hint="eastAsia" w:ascii="宋体" w:hAnsi="宋体"/>
          <w:color w:val="FF0000"/>
          <w:lang w:eastAsia="zh-CN"/>
        </w:rPr>
        <w:t>）</w:t>
      </w:r>
      <w:r>
        <w:rPr>
          <w:rFonts w:hint="eastAsia" w:ascii="宋体" w:hAnsi="宋体"/>
          <w:color w:val="FF0000"/>
        </w:rPr>
        <w:t>项至第</w:t>
      </w:r>
      <w:r>
        <w:rPr>
          <w:rFonts w:hint="eastAsia" w:ascii="宋体" w:hAnsi="宋体"/>
          <w:color w:val="FF0000"/>
          <w:lang w:eastAsia="zh-CN"/>
        </w:rPr>
        <w:t>（</w:t>
      </w:r>
      <w:r>
        <w:rPr>
          <w:rFonts w:hint="eastAsia" w:ascii="宋体" w:hAnsi="宋体"/>
          <w:color w:val="FF0000"/>
          <w:lang w:val="en-US" w:eastAsia="zh-CN"/>
        </w:rPr>
        <w:t>3</w:t>
      </w:r>
      <w:r>
        <w:rPr>
          <w:rFonts w:hint="eastAsia" w:ascii="宋体" w:hAnsi="宋体"/>
          <w:color w:val="FF0000"/>
          <w:lang w:eastAsia="zh-CN"/>
        </w:rPr>
        <w:t>）</w:t>
      </w:r>
      <w:r>
        <w:rPr>
          <w:rFonts w:hint="eastAsia" w:ascii="宋体" w:hAnsi="宋体"/>
          <w:color w:val="FF0000"/>
        </w:rPr>
        <w:t>项中启动异常低价投标（响应）审查的数值标准，但是最高不得超过65%</w:t>
      </w:r>
      <w:r>
        <w:rPr>
          <w:rFonts w:hint="eastAsia" w:ascii="宋体" w:hAnsi="宋体"/>
          <w:color w:val="FF0000"/>
          <w:lang w:eastAsia="zh-CN"/>
        </w:rPr>
        <w:t>，</w:t>
      </w:r>
      <w:r>
        <w:rPr>
          <w:rFonts w:hint="eastAsia" w:ascii="宋体" w:hAnsi="宋体"/>
          <w:color w:val="FF0000"/>
          <w:lang w:val="en-US" w:eastAsia="zh-CN"/>
        </w:rPr>
        <w:t>具体以采购文件</w:t>
      </w:r>
      <w:r>
        <w:rPr>
          <w:rFonts w:hint="eastAsia" w:ascii="宋体" w:hAnsi="宋体"/>
          <w:color w:val="FF0000"/>
        </w:rPr>
        <w:t>《符合性审查表》</w:t>
      </w:r>
      <w:r>
        <w:rPr>
          <w:rFonts w:hint="eastAsia" w:ascii="宋体" w:hAnsi="宋体"/>
          <w:color w:val="FF0000"/>
          <w:lang w:val="en-US" w:eastAsia="zh-CN"/>
        </w:rPr>
        <w:t>为准</w:t>
      </w:r>
      <w:r>
        <w:rPr>
          <w:rFonts w:hint="eastAsia" w:ascii="宋体" w:hAnsi="宋体"/>
          <w:color w:val="FF0000"/>
        </w:rPr>
        <w:t>。</w:t>
      </w:r>
    </w:p>
    <w:p w14:paraId="05B44ACD">
      <w:pPr>
        <w:ind w:firstLine="420" w:firstLineChars="200"/>
        <w:rPr>
          <w:rFonts w:hint="eastAsia" w:ascii="宋体" w:hAnsi="宋体"/>
          <w:color w:val="FF0000"/>
        </w:rPr>
      </w:pPr>
      <w:r>
        <w:rPr>
          <w:rFonts w:hint="eastAsia" w:ascii="宋体" w:hAnsi="宋体"/>
          <w:color w:val="FF0000"/>
        </w:rPr>
        <w:t>相关法律法规对供应商报价有规定的，从其规定。</w:t>
      </w:r>
    </w:p>
    <w:p w14:paraId="452E6D96">
      <w:pPr>
        <w:ind w:firstLine="420" w:firstLineChars="200"/>
        <w:rPr>
          <w:rFonts w:hint="eastAsia" w:ascii="宋体" w:hAnsi="宋体"/>
          <w:color w:val="FF0000"/>
          <w:lang w:val="en-US" w:eastAsia="zh-CN"/>
        </w:rPr>
      </w:pPr>
      <w:r>
        <w:rPr>
          <w:rFonts w:hint="eastAsia" w:ascii="宋体" w:hAnsi="宋体"/>
          <w:color w:val="FF0000"/>
          <w:lang w:val="en-US" w:eastAsia="zh-CN"/>
        </w:rPr>
        <w:t>32.5.2评审委员会启动异常低价投标（响应）审查后，属于前述第</w:t>
      </w:r>
      <w:r>
        <w:rPr>
          <w:rFonts w:hint="eastAsia" w:ascii="宋体" w:hAnsi="宋体"/>
          <w:color w:val="FF0000"/>
          <w:lang w:eastAsia="zh-CN"/>
        </w:rPr>
        <w:t>（</w:t>
      </w:r>
      <w:r>
        <w:rPr>
          <w:rFonts w:hint="eastAsia" w:ascii="宋体" w:hAnsi="宋体"/>
          <w:color w:val="FF0000"/>
          <w:lang w:val="en-US" w:eastAsia="zh-CN"/>
        </w:rPr>
        <w:t>1</w:t>
      </w:r>
      <w:r>
        <w:rPr>
          <w:rFonts w:hint="eastAsia" w:ascii="宋体" w:hAnsi="宋体"/>
          <w:color w:val="FF0000"/>
          <w:lang w:eastAsia="zh-CN"/>
        </w:rPr>
        <w:t>）</w:t>
      </w:r>
      <w:r>
        <w:rPr>
          <w:rFonts w:hint="eastAsia" w:ascii="宋体" w:hAnsi="宋体"/>
          <w:color w:val="FF0000"/>
          <w:lang w:val="en-US" w:eastAsia="zh-CN"/>
        </w:rPr>
        <w:t>项至第</w:t>
      </w:r>
      <w:r>
        <w:rPr>
          <w:rFonts w:hint="eastAsia" w:ascii="宋体" w:hAnsi="宋体"/>
          <w:color w:val="FF0000"/>
          <w:lang w:eastAsia="zh-CN"/>
        </w:rPr>
        <w:t>（</w:t>
      </w:r>
      <w:r>
        <w:rPr>
          <w:rFonts w:hint="eastAsia" w:ascii="宋体" w:hAnsi="宋体"/>
          <w:color w:val="FF0000"/>
          <w:lang w:val="en-US" w:eastAsia="zh-CN"/>
        </w:rPr>
        <w:t>4</w:t>
      </w:r>
      <w:r>
        <w:rPr>
          <w:rFonts w:hint="eastAsia" w:ascii="宋体" w:hAnsi="宋体"/>
          <w:color w:val="FF0000"/>
          <w:lang w:eastAsia="zh-CN"/>
        </w:rPr>
        <w:t>）</w:t>
      </w:r>
      <w:r>
        <w:rPr>
          <w:rFonts w:hint="eastAsia" w:ascii="宋体" w:hAnsi="宋体"/>
          <w:color w:val="FF0000"/>
          <w:lang w:val="en-US"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olor w:val="FF0000"/>
          <w:lang w:eastAsia="zh-CN"/>
        </w:rPr>
        <w:t>（</w:t>
      </w:r>
      <w:r>
        <w:rPr>
          <w:rFonts w:hint="eastAsia" w:ascii="宋体" w:hAnsi="宋体"/>
          <w:color w:val="FF0000"/>
          <w:lang w:val="en-US" w:eastAsia="zh-CN"/>
        </w:rPr>
        <w:t>3</w:t>
      </w:r>
      <w:r>
        <w:rPr>
          <w:rFonts w:hint="eastAsia" w:ascii="宋体" w:hAnsi="宋体"/>
          <w:color w:val="FF0000"/>
          <w:lang w:eastAsia="zh-CN"/>
        </w:rPr>
        <w:t>）</w:t>
      </w:r>
      <w:r>
        <w:rPr>
          <w:rFonts w:hint="eastAsia" w:ascii="宋体" w:hAnsi="宋体"/>
          <w:color w:val="FF0000"/>
          <w:lang w:val="en-US" w:eastAsia="zh-CN"/>
        </w:rPr>
        <w:t>项情形，供应商已随投标（响应）文件一并提交相关书面说明及必要的证明材料的，在评审现场可不再重复提交。</w:t>
      </w:r>
    </w:p>
    <w:p w14:paraId="7BB6A0BF">
      <w:pPr>
        <w:pStyle w:val="62"/>
        <w:ind w:firstLine="420" w:firstLineChars="200"/>
        <w:rPr>
          <w:rFonts w:hint="eastAsia" w:ascii="宋体" w:hAnsi="宋体"/>
          <w:color w:val="FF0000"/>
        </w:rPr>
      </w:pPr>
      <w:r>
        <w:rPr>
          <w:rFonts w:hint="eastAsia" w:ascii="宋体" w:hAnsi="宋体"/>
          <w:color w:val="FF0000"/>
          <w:lang w:val="en-US" w:eastAsia="zh-CN"/>
        </w:rPr>
        <w:t>32.5.3</w:t>
      </w:r>
      <w:r>
        <w:rPr>
          <w:rFonts w:hint="eastAsia" w:ascii="宋体" w:hAnsi="宋体"/>
          <w:color w:val="FF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316BC88">
      <w:pPr>
        <w:pStyle w:val="62"/>
        <w:ind w:firstLine="420" w:firstLineChars="200"/>
        <w:rPr>
          <w:rFonts w:hint="eastAsia" w:ascii="宋体" w:hAnsi="宋体"/>
          <w:color w:val="FF0000"/>
          <w:lang w:val="en-US" w:eastAsia="zh-CN"/>
        </w:rPr>
      </w:pPr>
      <w:r>
        <w:rPr>
          <w:rFonts w:hint="eastAsia" w:ascii="宋体" w:hAnsi="宋体"/>
          <w:color w:val="FF0000"/>
          <w:lang w:val="en-US" w:eastAsia="zh-CN"/>
        </w:rPr>
        <w:t>32.5.4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2C4272C">
      <w:pPr>
        <w:pStyle w:val="62"/>
        <w:ind w:firstLine="420" w:firstLineChars="200"/>
        <w:rPr>
          <w:rFonts w:hint="default" w:ascii="宋体" w:hAnsi="宋体"/>
          <w:lang w:val="en-US" w:eastAsia="zh-CN"/>
        </w:rPr>
      </w:pPr>
      <w:r>
        <w:rPr>
          <w:rFonts w:hint="eastAsia" w:ascii="宋体" w:hAnsi="宋体"/>
          <w:color w:val="FF0000"/>
          <w:lang w:val="en-US" w:eastAsia="zh-CN"/>
        </w:rPr>
        <w:t>32.5.5异常低价投标（响应）审查的启动原因、审查意见和审查结果应当在评审报告中记录，并随供应商提供的相关书面说明及证明材料，以及评审委员会有关互联网浏览、查询历史一并归档。</w:t>
      </w:r>
    </w:p>
    <w:p w14:paraId="5FA77B3B">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32.</w:t>
      </w:r>
      <w:r>
        <w:rPr>
          <w:rFonts w:hint="eastAsia" w:ascii="Times New Roman" w:hAnsi="Times New Roman" w:eastAsia="宋体" w:cs="Times New Roman"/>
          <w:szCs w:val="24"/>
          <w:lang w:val="en-US" w:eastAsia="zh-CN"/>
        </w:rPr>
        <w:t>6</w:t>
      </w:r>
      <w:r>
        <w:rPr>
          <w:rFonts w:ascii="Times New Roman" w:hAnsi="Times New Roman" w:eastAsia="宋体" w:cs="Times New Roman"/>
          <w:szCs w:val="24"/>
        </w:rPr>
        <w:t>对不属于《资格性审查表》和《符合性审查表》所列的其他情形，除专用条款另有规定和32.4条款所列情形外，不得作为投标无效的理由。</w:t>
      </w:r>
    </w:p>
    <w:p w14:paraId="60D73A2E">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33．澄清有关问题</w:t>
      </w:r>
    </w:p>
    <w:p w14:paraId="7154595D">
      <w:pPr>
        <w:spacing w:line="276" w:lineRule="auto"/>
        <w:ind w:firstLine="411" w:firstLineChars="196"/>
        <w:rPr>
          <w:rFonts w:ascii="Times New Roman" w:hAnsi="Times New Roman" w:eastAsia="宋体" w:cs="Times New Roman"/>
          <w:szCs w:val="24"/>
        </w:rPr>
      </w:pPr>
      <w:bookmarkStart w:id="89" w:name="_Hlk71407321"/>
      <w:r>
        <w:rPr>
          <w:rFonts w:ascii="Times New Roman" w:hAnsi="Times New Roman" w:eastAsia="宋体" w:cs="Times New Roman"/>
          <w:szCs w:val="24"/>
        </w:rPr>
        <w:t>33.1对招标文件中描述有歧义或前后不一致的地方（不含</w:t>
      </w:r>
      <w:r>
        <w:rPr>
          <w:rFonts w:ascii="Times New Roman" w:hAnsi="Times New Roman" w:eastAsia="宋体" w:cs="Times New Roman"/>
          <w:szCs w:val="21"/>
        </w:rPr>
        <w:t>招标文件存在歧义、重大缺陷导致评审工作无法进行的情况）</w:t>
      </w:r>
      <w:r>
        <w:rPr>
          <w:rFonts w:ascii="Times New Roman" w:hAnsi="Times New Roman" w:eastAsia="宋体" w:cs="Times New Roman"/>
          <w:szCs w:val="24"/>
        </w:rPr>
        <w:t>，评审委员会有权进行评判，但对同一条款的评判应适用于每个投标人。</w:t>
      </w:r>
      <w:bookmarkEnd w:id="89"/>
    </w:p>
    <w:p w14:paraId="10252CD7">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33.2</w:t>
      </w:r>
      <w:r>
        <w:rPr>
          <w:rFonts w:ascii="Times New Roman" w:hAnsi="Times New Roman" w:eastAsia="宋体" w:cs="Times New Roman"/>
          <w:szCs w:val="21"/>
        </w:rPr>
        <w:t>评审委员会发现招标文件存在歧义、重大缺陷导致评审工作无法进行，或者招标文件内容违反国家有关强制性规定的，应当停止评审工作，与政府集中采购机构沟通并作书面记录。经确认后，项目应当修改招标文件，重新组织采购活动。</w:t>
      </w:r>
    </w:p>
    <w:p w14:paraId="71CA3092">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33.3对于投标文件中含义不明确、同类问题表述不一致或者有明显文字和计算错误的内容，评审委员会应当以书面形式要求投标人作出必要的澄清、说明或者补正。</w:t>
      </w:r>
    </w:p>
    <w:p w14:paraId="6E16D9E8">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11703959">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根据本通用条款第34条，凡属于评审委员会在评审中发现的算术错误进行核实的修改不在此列。</w:t>
      </w:r>
    </w:p>
    <w:p w14:paraId="48191A12">
      <w:pPr>
        <w:spacing w:line="276" w:lineRule="auto"/>
        <w:rPr>
          <w:rFonts w:ascii="Times New Roman" w:hAnsi="Times New Roman" w:eastAsia="黑体" w:cs="Times New Roman"/>
          <w:sz w:val="24"/>
          <w:szCs w:val="24"/>
        </w:rPr>
      </w:pPr>
      <w:bookmarkStart w:id="90" w:name="_Toc100052400"/>
      <w:bookmarkStart w:id="91" w:name="_Toc73517673"/>
      <w:bookmarkStart w:id="92" w:name="_Toc73521581"/>
      <w:bookmarkStart w:id="93" w:name="_Toc73521669"/>
      <w:bookmarkStart w:id="94" w:name="_Toc73518151"/>
      <w:r>
        <w:rPr>
          <w:rFonts w:ascii="Times New Roman" w:hAnsi="Times New Roman" w:eastAsia="黑体" w:cs="Times New Roman"/>
          <w:sz w:val="24"/>
          <w:szCs w:val="24"/>
        </w:rPr>
        <w:t>34．错误的修正</w:t>
      </w:r>
      <w:bookmarkEnd w:id="90"/>
      <w:bookmarkEnd w:id="91"/>
      <w:bookmarkEnd w:id="92"/>
      <w:bookmarkEnd w:id="93"/>
      <w:bookmarkEnd w:id="94"/>
    </w:p>
    <w:p w14:paraId="1F1F58F4">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投标文件报价出现前后不一致的，除专用条款另有规定外，按照下列规定修正：</w:t>
      </w:r>
    </w:p>
    <w:p w14:paraId="5B2D2ED9">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34.1投标文件中开标一览表投标报价内容与投标文件中投标报价相应内容不一致的，以开标一览表为准；</w:t>
      </w:r>
    </w:p>
    <w:p w14:paraId="62D5B585">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34.2大写金额和小写金额不一致的，以大写金额为准；</w:t>
      </w:r>
    </w:p>
    <w:p w14:paraId="378FAF52">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34.3单价金额小数点或者百分比有明显错位，以开标一览表的总价为准，并修改单价；</w:t>
      </w:r>
    </w:p>
    <w:p w14:paraId="6968E786">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34.4总价金额与按单价汇总金额不一致的，以单价金额计算结果为准。</w:t>
      </w:r>
    </w:p>
    <w:p w14:paraId="4DE88F68">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34.5同时出现两种以上不一致的，按照前款规定的顺序修正。修正后的报价按照本通用条款33条的规定，经投标人确认后产生约束力，投标人不确认的，其投标无效。</w:t>
      </w:r>
    </w:p>
    <w:p w14:paraId="34743EE1">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35．投标文件的比较与评价</w:t>
      </w:r>
    </w:p>
    <w:p w14:paraId="4B641C3A">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评审委员会将按照《深圳经济特区政府采购条例》、《深圳经济特区政府采购条例实施细则》、《深圳市政府采购评标定标分离管理办法》及政府采购其他法律法规，仅对通过资格性审查和符合性审查的投标文件进行综合比较与评价。</w:t>
      </w:r>
    </w:p>
    <w:p w14:paraId="6CEE6F83">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评审委员会成员对需要共同认定的事项存在争议的，应当按照少数服从多数的原则作出结论。持不同意见的评审委员会成员应当书面作出说明，否则视为无异议。</w:t>
      </w:r>
    </w:p>
    <w:p w14:paraId="0955FFD6">
      <w:pPr>
        <w:rPr>
          <w:rFonts w:ascii="黑体" w:hAnsi="宋体" w:eastAsia="黑体"/>
          <w:sz w:val="24"/>
        </w:rPr>
      </w:pPr>
      <w:r>
        <w:rPr>
          <w:rFonts w:hint="eastAsia" w:ascii="黑体" w:hAnsi="宋体" w:eastAsia="黑体"/>
          <w:sz w:val="24"/>
        </w:rPr>
        <w:t>36. 实地考察</w:t>
      </w:r>
    </w:p>
    <w:p w14:paraId="64823970">
      <w:pPr>
        <w:ind w:firstLine="411" w:firstLineChars="196"/>
        <w:rPr>
          <w:rFonts w:ascii="宋体" w:hAnsi="宋体"/>
          <w:szCs w:val="21"/>
        </w:rPr>
      </w:pPr>
      <w:r>
        <w:rPr>
          <w:rFonts w:hint="eastAsia" w:ascii="宋体" w:hAnsi="宋体"/>
          <w:szCs w:val="21"/>
        </w:rPr>
        <w:t>36.1</w:t>
      </w:r>
      <w:r>
        <w:rPr>
          <w:rFonts w:hint="eastAsia" w:ascii="宋体" w:hAnsi="宋体"/>
          <w:szCs w:val="21"/>
          <w:lang w:val="en-US" w:eastAsia="zh-CN"/>
        </w:rPr>
        <w:t>在评审期间，评审委员会根据招标文件规定（详见“一、对通用条款的补充内容”），有权对本项目的投标人开展实地考察，投标人需时刻做好接收实地考察的准备。</w:t>
      </w:r>
    </w:p>
    <w:p w14:paraId="37CEDE00">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37．评审方法</w:t>
      </w:r>
    </w:p>
    <w:p w14:paraId="73E2697A">
      <w:pPr>
        <w:spacing w:line="276" w:lineRule="auto"/>
        <w:ind w:firstLine="413" w:firstLineChars="196"/>
        <w:rPr>
          <w:rFonts w:ascii="Times New Roman" w:hAnsi="Times New Roman" w:eastAsia="宋体" w:cs="Times New Roman"/>
          <w:b/>
          <w:bCs/>
          <w:szCs w:val="21"/>
        </w:rPr>
      </w:pPr>
      <w:r>
        <w:rPr>
          <w:rFonts w:ascii="Times New Roman" w:hAnsi="Times New Roman" w:eastAsia="宋体" w:cs="Times New Roman"/>
          <w:b/>
          <w:bCs/>
          <w:szCs w:val="21"/>
        </w:rPr>
        <w:t>37.1.1最低价法</w:t>
      </w:r>
    </w:p>
    <w:p w14:paraId="301B33BB">
      <w:pPr>
        <w:ind w:firstLine="411" w:firstLineChars="196"/>
        <w:rPr>
          <w:rFonts w:hint="eastAsia" w:ascii="ˎ̥" w:hAnsi="ˎ̥"/>
          <w:lang w:eastAsia="zh-CN"/>
        </w:rPr>
      </w:pPr>
      <w:bookmarkStart w:id="95" w:name="_Hlk72438142"/>
      <w:r>
        <w:rPr>
          <w:rFonts w:ascii="ˎ̥" w:hAnsi="ˎ̥"/>
        </w:rPr>
        <w:t>最低价法，</w:t>
      </w:r>
      <w:r>
        <w:rPr>
          <w:rFonts w:hint="eastAsia" w:ascii="ˎ̥" w:hAnsi="ˎ̥"/>
        </w:rPr>
        <w:t>是指投标文件满足招标文件全部实质性要求，且投标报价最低的投标人为中标候选人的评标方法</w:t>
      </w:r>
      <w:r>
        <w:rPr>
          <w:rFonts w:hint="eastAsia" w:ascii="ˎ̥" w:hAnsi="ˎ̥"/>
          <w:lang w:eastAsia="zh-CN"/>
        </w:rPr>
        <w:t>。</w:t>
      </w:r>
    </w:p>
    <w:p w14:paraId="38B7E25D">
      <w:pPr>
        <w:ind w:firstLine="411" w:firstLineChars="196"/>
        <w:rPr>
          <w:rFonts w:hint="eastAsia" w:ascii="ˎ̥" w:hAnsi="ˎ̥" w:eastAsia="宋体"/>
          <w:lang w:eastAsia="zh-CN"/>
        </w:rPr>
      </w:pP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中标候选人并列的，由采购人或者采购人委托评标委员会按照招标文件规定的方式确定中标人；招标文件未规定的，采取随机抽取的方式确定。</w:t>
      </w:r>
    </w:p>
    <w:p w14:paraId="4696F20D">
      <w:pPr>
        <w:pStyle w:val="62"/>
      </w:pPr>
    </w:p>
    <w:p w14:paraId="1556371B">
      <w:pPr>
        <w:spacing w:line="276" w:lineRule="auto"/>
        <w:ind w:firstLine="413" w:firstLineChars="196"/>
        <w:rPr>
          <w:rFonts w:ascii="Times New Roman" w:hAnsi="Times New Roman" w:eastAsia="宋体" w:cs="Times New Roman"/>
          <w:b/>
          <w:bCs/>
          <w:szCs w:val="21"/>
        </w:rPr>
      </w:pPr>
      <w:r>
        <w:rPr>
          <w:rFonts w:ascii="Times New Roman" w:hAnsi="Times New Roman" w:eastAsia="宋体" w:cs="Times New Roman"/>
          <w:b/>
          <w:bCs/>
          <w:szCs w:val="21"/>
        </w:rPr>
        <w:t>37.1.2综合评分法</w:t>
      </w:r>
    </w:p>
    <w:p w14:paraId="68FBF632">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综合评分法，是指在满足招标文件全部实质性要求的前提下，按照招标文件中规定的各项因素进行综合评审，评审总得分排名前列的投标人，作为推荐的候选中标供应商。</w:t>
      </w:r>
      <w:bookmarkEnd w:id="95"/>
    </w:p>
    <w:p w14:paraId="54FF42E1">
      <w:pPr>
        <w:ind w:firstLine="411" w:firstLineChars="196"/>
      </w:pP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中标候选人并列的，由采购人或者采购人委托评标委员会按照招标文件规定的方式确定中标人；招标文件未规定的，采取随机抽取的方式确定。</w:t>
      </w:r>
    </w:p>
    <w:p w14:paraId="4EB29299">
      <w:pPr>
        <w:spacing w:line="276" w:lineRule="auto"/>
        <w:ind w:firstLine="413" w:firstLineChars="196"/>
        <w:rPr>
          <w:rFonts w:ascii="Times New Roman" w:hAnsi="Times New Roman" w:eastAsia="宋体" w:cs="Times New Roman"/>
          <w:b/>
          <w:bCs/>
          <w:szCs w:val="21"/>
        </w:rPr>
      </w:pPr>
      <w:r>
        <w:rPr>
          <w:rFonts w:ascii="Times New Roman" w:hAnsi="Times New Roman" w:eastAsia="宋体" w:cs="Times New Roman"/>
          <w:b/>
          <w:bCs/>
          <w:szCs w:val="21"/>
        </w:rPr>
        <w:t>37.2 本项目采用的评审方法见本项目招标文件第一册“专用条款”的相关内容。</w:t>
      </w:r>
    </w:p>
    <w:p w14:paraId="08373AF8">
      <w:pPr>
        <w:spacing w:line="276" w:lineRule="auto"/>
        <w:ind w:firstLine="413" w:firstLineChars="196"/>
        <w:rPr>
          <w:rFonts w:ascii="Times New Roman" w:hAnsi="Times New Roman" w:eastAsia="宋体" w:cs="Times New Roman"/>
          <w:b/>
          <w:bCs/>
          <w:szCs w:val="21"/>
        </w:rPr>
      </w:pPr>
      <w:r>
        <w:rPr>
          <w:rFonts w:ascii="Times New Roman" w:hAnsi="Times New Roman" w:eastAsia="宋体" w:cs="Times New Roman"/>
          <w:b/>
          <w:bCs/>
          <w:szCs w:val="21"/>
        </w:rPr>
        <w:t>37.3重新评审的情形</w:t>
      </w:r>
    </w:p>
    <w:p w14:paraId="19391AAC">
      <w:pPr>
        <w:spacing w:line="276" w:lineRule="auto"/>
        <w:ind w:firstLine="411" w:firstLineChars="196"/>
        <w:rPr>
          <w:rFonts w:ascii="Times New Roman" w:hAnsi="Times New Roman" w:eastAsia="宋体" w:cs="Times New Roman"/>
          <w:b/>
          <w:bCs/>
          <w:szCs w:val="21"/>
        </w:rPr>
      </w:pPr>
      <w:r>
        <w:rPr>
          <w:rFonts w:ascii="Times New Roman" w:hAnsi="Times New Roman" w:eastAsia="宋体" w:cs="Times New Roman"/>
          <w:kern w:val="0"/>
          <w:szCs w:val="21"/>
        </w:rPr>
        <w:t>评审结果汇总完成后，除下列情形外，任何人不得修改评审结果：</w:t>
      </w:r>
    </w:p>
    <w:p w14:paraId="2AD8F8CC">
      <w:pPr>
        <w:spacing w:line="276" w:lineRule="auto"/>
        <w:ind w:firstLine="411" w:firstLineChars="196"/>
        <w:rPr>
          <w:rFonts w:ascii="Times New Roman" w:hAnsi="Times New Roman" w:eastAsia="宋体" w:cs="Times New Roman"/>
          <w:kern w:val="0"/>
          <w:szCs w:val="21"/>
        </w:rPr>
      </w:pPr>
      <w:r>
        <w:rPr>
          <w:rFonts w:ascii="Times New Roman" w:hAnsi="Times New Roman" w:eastAsia="宋体" w:cs="Times New Roman"/>
          <w:kern w:val="0"/>
          <w:szCs w:val="21"/>
        </w:rPr>
        <w:t>37.3.1分值汇总计算错误的；</w:t>
      </w:r>
    </w:p>
    <w:p w14:paraId="3CD58CBC">
      <w:pPr>
        <w:spacing w:line="276" w:lineRule="auto"/>
        <w:ind w:firstLine="411" w:firstLineChars="196"/>
        <w:rPr>
          <w:rFonts w:ascii="Times New Roman" w:hAnsi="Times New Roman" w:eastAsia="宋体" w:cs="Times New Roman"/>
          <w:kern w:val="0"/>
          <w:szCs w:val="21"/>
        </w:rPr>
      </w:pPr>
      <w:r>
        <w:rPr>
          <w:rFonts w:ascii="Times New Roman" w:hAnsi="Times New Roman" w:eastAsia="宋体" w:cs="Times New Roman"/>
          <w:kern w:val="0"/>
          <w:szCs w:val="21"/>
        </w:rPr>
        <w:t>37.3.2分项评分超出评分标准范围的；</w:t>
      </w:r>
    </w:p>
    <w:p w14:paraId="6A0EB846">
      <w:pPr>
        <w:spacing w:line="276" w:lineRule="auto"/>
        <w:ind w:firstLine="411" w:firstLineChars="196"/>
        <w:rPr>
          <w:rFonts w:ascii="Times New Roman" w:hAnsi="Times New Roman" w:eastAsia="宋体" w:cs="Times New Roman"/>
          <w:kern w:val="0"/>
          <w:szCs w:val="21"/>
        </w:rPr>
      </w:pPr>
      <w:r>
        <w:rPr>
          <w:rFonts w:ascii="Times New Roman" w:hAnsi="Times New Roman" w:eastAsia="宋体" w:cs="Times New Roman"/>
          <w:kern w:val="0"/>
          <w:szCs w:val="21"/>
        </w:rPr>
        <w:t>37.3.3评审委员会成员对客观评审因素评分不一致的；</w:t>
      </w:r>
    </w:p>
    <w:p w14:paraId="0A45098A">
      <w:pPr>
        <w:spacing w:line="276" w:lineRule="auto"/>
        <w:ind w:firstLine="411" w:firstLineChars="196"/>
        <w:rPr>
          <w:rFonts w:ascii="Times New Roman" w:hAnsi="Times New Roman" w:eastAsia="宋体" w:cs="Times New Roman"/>
          <w:kern w:val="0"/>
          <w:szCs w:val="21"/>
        </w:rPr>
      </w:pPr>
      <w:r>
        <w:rPr>
          <w:rFonts w:ascii="Times New Roman" w:hAnsi="Times New Roman" w:eastAsia="宋体" w:cs="Times New Roman"/>
          <w:kern w:val="0"/>
          <w:szCs w:val="21"/>
        </w:rPr>
        <w:t>37.3.4经评审委员会认定评分畸高、畸低的。</w:t>
      </w:r>
    </w:p>
    <w:p w14:paraId="3DC39C06">
      <w:pPr>
        <w:spacing w:line="276" w:lineRule="auto"/>
        <w:ind w:firstLine="411" w:firstLineChars="196"/>
        <w:rPr>
          <w:rFonts w:ascii="Times New Roman" w:hAnsi="Times New Roman" w:eastAsia="宋体" w:cs="Times New Roman"/>
          <w:kern w:val="0"/>
          <w:szCs w:val="21"/>
        </w:rPr>
      </w:pPr>
      <w:r>
        <w:rPr>
          <w:rFonts w:ascii="Times New Roman" w:hAnsi="Times New Roman" w:eastAsia="宋体" w:cs="Times New Roman"/>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71DF5808">
      <w:pPr>
        <w:spacing w:line="276" w:lineRule="auto"/>
        <w:ind w:firstLine="411" w:firstLineChars="196"/>
        <w:rPr>
          <w:rFonts w:ascii="Times New Roman" w:hAnsi="Times New Roman" w:eastAsia="宋体" w:cs="Times New Roman"/>
          <w:kern w:val="0"/>
          <w:szCs w:val="21"/>
        </w:rPr>
      </w:pPr>
      <w:r>
        <w:rPr>
          <w:rFonts w:ascii="Times New Roman" w:hAnsi="Times New Roman" w:eastAsia="宋体" w:cs="Times New Roman"/>
          <w:kern w:val="0"/>
          <w:szCs w:val="21"/>
        </w:rPr>
        <w:t>投标人对本条第一款情形提出质疑的，采购人或者采购代理机构可以组织原评审委员会进行重新评审，重新评审改变评审结果的，应当书面报告本级财政部门。</w:t>
      </w:r>
    </w:p>
    <w:p w14:paraId="722DD8E9">
      <w:pPr>
        <w:spacing w:line="276" w:lineRule="auto"/>
        <w:ind w:firstLine="413" w:firstLineChars="196"/>
        <w:rPr>
          <w:rFonts w:ascii="Times New Roman" w:hAnsi="Times New Roman" w:eastAsia="宋体" w:cs="Times New Roman"/>
          <w:b/>
          <w:bCs/>
          <w:szCs w:val="21"/>
        </w:rPr>
      </w:pPr>
      <w:r>
        <w:rPr>
          <w:rFonts w:ascii="Times New Roman" w:hAnsi="Times New Roman" w:eastAsia="宋体" w:cs="Times New Roman"/>
          <w:b/>
          <w:bCs/>
          <w:szCs w:val="21"/>
        </w:rPr>
        <w:t>37.4重新组建评审委员会的情形</w:t>
      </w:r>
    </w:p>
    <w:p w14:paraId="03AAA9EF">
      <w:pPr>
        <w:spacing w:line="276" w:lineRule="auto"/>
        <w:ind w:firstLine="411" w:firstLineChars="196"/>
        <w:rPr>
          <w:rFonts w:ascii="Times New Roman" w:hAnsi="Times New Roman" w:eastAsia="宋体" w:cs="Times New Roman"/>
          <w:kern w:val="0"/>
          <w:szCs w:val="21"/>
        </w:rPr>
      </w:pPr>
      <w:r>
        <w:rPr>
          <w:rFonts w:ascii="Times New Roman" w:hAnsi="Times New Roman" w:eastAsia="宋体" w:cs="Times New Roman"/>
          <w:kern w:val="0"/>
          <w:szCs w:val="21"/>
        </w:rPr>
        <w:t>评审委员会或者其成员存在下列情形导致评审结果无效的，重新组建评审委员会进行评标，并书面报告本级财政部门：</w:t>
      </w:r>
    </w:p>
    <w:p w14:paraId="67BB1ECE">
      <w:pPr>
        <w:spacing w:line="276" w:lineRule="auto"/>
        <w:ind w:firstLine="411" w:firstLineChars="196"/>
        <w:rPr>
          <w:rFonts w:ascii="Times New Roman" w:hAnsi="Times New Roman" w:eastAsia="宋体" w:cs="Times New Roman"/>
          <w:kern w:val="0"/>
          <w:szCs w:val="21"/>
        </w:rPr>
      </w:pPr>
      <w:r>
        <w:rPr>
          <w:rFonts w:ascii="Times New Roman" w:hAnsi="Times New Roman" w:eastAsia="宋体" w:cs="Times New Roman"/>
          <w:kern w:val="0"/>
          <w:szCs w:val="21"/>
        </w:rPr>
        <w:t>37.4.1评审委员会组成不符合《政府采购货物和服务招标投标管理办法》规定的；</w:t>
      </w:r>
    </w:p>
    <w:p w14:paraId="48AD0692">
      <w:pPr>
        <w:spacing w:line="276" w:lineRule="auto"/>
        <w:ind w:firstLine="411" w:firstLineChars="196"/>
        <w:rPr>
          <w:rFonts w:ascii="Times New Roman" w:hAnsi="Times New Roman" w:eastAsia="宋体" w:cs="Times New Roman"/>
          <w:kern w:val="0"/>
          <w:szCs w:val="21"/>
        </w:rPr>
      </w:pPr>
      <w:r>
        <w:rPr>
          <w:rFonts w:ascii="Times New Roman" w:hAnsi="Times New Roman" w:eastAsia="宋体" w:cs="Times New Roman"/>
          <w:kern w:val="0"/>
          <w:szCs w:val="21"/>
        </w:rPr>
        <w:t>37.4.2有《政府采购货物和服务招标投标管理办法》第六十二条第一至五项情形的；</w:t>
      </w:r>
    </w:p>
    <w:p w14:paraId="60E57C19">
      <w:pPr>
        <w:spacing w:line="276" w:lineRule="auto"/>
        <w:ind w:firstLine="411" w:firstLineChars="196"/>
        <w:rPr>
          <w:rFonts w:ascii="Times New Roman" w:hAnsi="Times New Roman" w:eastAsia="宋体" w:cs="Times New Roman"/>
          <w:kern w:val="0"/>
          <w:szCs w:val="21"/>
        </w:rPr>
      </w:pPr>
      <w:r>
        <w:rPr>
          <w:rFonts w:ascii="Times New Roman" w:hAnsi="Times New Roman" w:eastAsia="宋体" w:cs="Times New Roman"/>
          <w:kern w:val="0"/>
          <w:szCs w:val="21"/>
        </w:rPr>
        <w:t>37.4.3评审委员会及其成员独立评标受到非法干预的；</w:t>
      </w:r>
    </w:p>
    <w:p w14:paraId="37A9E91F">
      <w:pPr>
        <w:spacing w:line="276" w:lineRule="auto"/>
        <w:ind w:firstLine="411" w:firstLineChars="196"/>
        <w:rPr>
          <w:rFonts w:ascii="Times New Roman" w:hAnsi="Times New Roman" w:eastAsia="宋体" w:cs="Times New Roman"/>
          <w:kern w:val="0"/>
          <w:szCs w:val="21"/>
        </w:rPr>
      </w:pPr>
      <w:r>
        <w:rPr>
          <w:rFonts w:ascii="Times New Roman" w:hAnsi="Times New Roman" w:eastAsia="宋体" w:cs="Times New Roman"/>
          <w:kern w:val="0"/>
          <w:szCs w:val="21"/>
        </w:rPr>
        <w:t>37.4.4有政府采购法实施条例第七十五条规定的违法行为的。</w:t>
      </w:r>
    </w:p>
    <w:p w14:paraId="76DB8D0C">
      <w:pPr>
        <w:spacing w:line="276" w:lineRule="auto"/>
        <w:ind w:firstLine="411" w:firstLineChars="196"/>
        <w:rPr>
          <w:rFonts w:ascii="Times New Roman" w:hAnsi="Times New Roman" w:eastAsia="宋体" w:cs="Times New Roman"/>
          <w:kern w:val="0"/>
          <w:szCs w:val="21"/>
        </w:rPr>
      </w:pPr>
      <w:r>
        <w:rPr>
          <w:rFonts w:ascii="Times New Roman" w:hAnsi="Times New Roman" w:eastAsia="宋体" w:cs="Times New Roman"/>
          <w:kern w:val="0"/>
          <w:szCs w:val="21"/>
        </w:rPr>
        <w:t>有违法违规行为的原评审委员会成员不得参加重新组建的评审委员会。</w:t>
      </w:r>
    </w:p>
    <w:p w14:paraId="48514986">
      <w:pPr>
        <w:keepNext/>
        <w:keepLines/>
        <w:numPr>
          <w:ilvl w:val="0"/>
          <w:numId w:val="18"/>
        </w:numPr>
        <w:adjustRightInd w:val="0"/>
        <w:spacing w:before="120" w:beforeLines="50" w:after="120" w:afterLines="50" w:line="276" w:lineRule="auto"/>
        <w:ind w:left="562" w:hanging="562"/>
        <w:jc w:val="center"/>
        <w:textAlignment w:val="baseline"/>
        <w:outlineLvl w:val="1"/>
        <w:rPr>
          <w:rFonts w:ascii="Times New Roman" w:hAnsi="Times New Roman" w:eastAsia="宋体" w:cs="Times New Roman"/>
          <w:b/>
          <w:bCs/>
          <w:kern w:val="0"/>
          <w:sz w:val="28"/>
          <w:szCs w:val="28"/>
        </w:rPr>
      </w:pPr>
      <w:r>
        <w:rPr>
          <w:rFonts w:ascii="Times New Roman" w:hAnsi="Times New Roman" w:eastAsia="宋体" w:cs="Times New Roman"/>
          <w:b/>
          <w:bCs/>
          <w:kern w:val="0"/>
          <w:sz w:val="28"/>
          <w:szCs w:val="28"/>
        </w:rPr>
        <w:t>定标及公示</w:t>
      </w:r>
    </w:p>
    <w:p w14:paraId="2DFD6D20">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38．定标方法</w:t>
      </w:r>
    </w:p>
    <w:p w14:paraId="2567CEC7">
      <w:pPr>
        <w:spacing w:line="276" w:lineRule="auto"/>
        <w:ind w:firstLine="411" w:firstLineChars="196"/>
        <w:rPr>
          <w:rFonts w:ascii="Times New Roman" w:hAnsi="Times New Roman" w:eastAsia="宋体" w:cs="Times New Roman"/>
          <w:szCs w:val="21"/>
        </w:rPr>
      </w:pPr>
      <w:bookmarkStart w:id="96" w:name="_Hlk73782795"/>
      <w:r>
        <w:rPr>
          <w:rFonts w:ascii="Times New Roman" w:hAnsi="Times New Roman" w:eastAsia="宋体" w:cs="Times New Roman"/>
          <w:szCs w:val="21"/>
        </w:rPr>
        <w:t>38.1非评定分离项目定标方法</w:t>
      </w:r>
    </w:p>
    <w:p w14:paraId="7456D419">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38.1.1评审委员会依据本项目招标文件所约定的评审方法进行评审和比较，向政府集中采购机构提交书面评审报告，并根据评审方法比较评价结果从优到劣进行排序，确定候选中标供应商。</w:t>
      </w:r>
    </w:p>
    <w:p w14:paraId="087314F5">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1"/>
        </w:rPr>
        <w:t>38.1.2</w:t>
      </w:r>
      <w:r>
        <w:rPr>
          <w:rFonts w:ascii="Times New Roman" w:hAnsi="Times New Roman" w:eastAsia="宋体" w:cs="Times New Roman"/>
          <w:szCs w:val="24"/>
        </w:rPr>
        <w:t>采用最低价法的，评审结果按投标报价由低到高顺序排列。投标报价相同的并列。投标文件满足招标文件全部实质性要求且投标报价最低的投标人为</w:t>
      </w:r>
      <w:bookmarkStart w:id="97" w:name="_Hlk73821177"/>
      <w:r>
        <w:rPr>
          <w:rFonts w:ascii="Times New Roman" w:hAnsi="Times New Roman" w:eastAsia="宋体" w:cs="Times New Roman"/>
          <w:szCs w:val="24"/>
        </w:rPr>
        <w:t>中标供应商（排名第二的投标人为第一替补中标候选人、排名第三的投标人为第二替补中标候选人</w:t>
      </w:r>
      <w:bookmarkEnd w:id="97"/>
      <w:r>
        <w:rPr>
          <w:rFonts w:ascii="Times New Roman" w:hAnsi="Times New Roman" w:eastAsia="宋体" w:cs="Times New Roman"/>
          <w:szCs w:val="24"/>
        </w:rPr>
        <w:t>）。</w:t>
      </w:r>
    </w:p>
    <w:p w14:paraId="5BCE21E0">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1"/>
        </w:rPr>
        <w:t>38.1.3采</w:t>
      </w:r>
      <w:r>
        <w:rPr>
          <w:rFonts w:ascii="Times New Roman" w:hAnsi="Times New Roman" w:eastAsia="宋体" w:cs="Times New Roman"/>
          <w:szCs w:val="24"/>
        </w:rPr>
        <w:t>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供应商（排名第二的投标人为第一替补中标候选人、排名第三的投标人为第二替补中标候选人）。出现得分且投标报价相同的并列情况时，采取随机抽取的方式确定，具体操作办法及流程由评审委员会确定。</w:t>
      </w:r>
    </w:p>
    <w:p w14:paraId="399F4B7C">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38.2评定分离项目定标方法</w:t>
      </w:r>
    </w:p>
    <w:p w14:paraId="114389A7">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38.2.1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1F9A1027">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1"/>
        </w:rPr>
        <w:t xml:space="preserve">38.2.2 </w:t>
      </w:r>
      <w:bookmarkStart w:id="98" w:name="_Hlk71469733"/>
      <w:r>
        <w:rPr>
          <w:rFonts w:ascii="Times New Roman" w:hAnsi="Times New Roman" w:eastAsia="宋体" w:cs="Times New Roman"/>
          <w:szCs w:val="24"/>
        </w:rPr>
        <w:t>适用评定分离的政府采购项目，采用综合评分法评审。</w:t>
      </w:r>
      <w:r>
        <w:rPr>
          <w:rFonts w:ascii="Times New Roman" w:hAnsi="Times New Roman" w:eastAsia="宋体" w:cs="Times New Roman"/>
          <w:szCs w:val="21"/>
        </w:rPr>
        <w:t>评审委员会按照评审结果，推荐</w:t>
      </w:r>
      <w:r>
        <w:rPr>
          <w:rFonts w:ascii="Times New Roman" w:hAnsi="Times New Roman" w:eastAsia="宋体" w:cs="Times New Roman"/>
          <w:szCs w:val="24"/>
        </w:rPr>
        <w:t>三个合格的候选中标供应商。</w:t>
      </w:r>
    </w:p>
    <w:p w14:paraId="610D3681">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38.2.3</w:t>
      </w:r>
      <w:bookmarkStart w:id="99" w:name="_Hlk71469688"/>
      <w:r>
        <w:rPr>
          <w:rFonts w:ascii="Times New Roman" w:hAnsi="Times New Roman" w:eastAsia="宋体" w:cs="Times New Roman"/>
          <w:szCs w:val="24"/>
        </w:rPr>
        <w:t>适用评定分离的政府采购项目，</w:t>
      </w:r>
      <w:r>
        <w:rPr>
          <w:rFonts w:ascii="Times New Roman" w:hAnsi="Times New Roman" w:eastAsia="宋体" w:cs="Times New Roman"/>
          <w:szCs w:val="21"/>
        </w:rPr>
        <w:t>按照自定法确定中标供应商：自定法是指采购人组织定标委员会，由定标委员会在三家候选中标供应商中确定中标供应商。</w:t>
      </w:r>
      <w:bookmarkEnd w:id="98"/>
      <w:bookmarkEnd w:id="99"/>
    </w:p>
    <w:p w14:paraId="5EA9F4EB">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38.2.4政府集中采购机构</w:t>
      </w:r>
      <w:r>
        <w:rPr>
          <w:rFonts w:ascii="Times New Roman" w:hAnsi="Times New Roman" w:eastAsia="宋体" w:cs="Times New Roman"/>
          <w:szCs w:val="24"/>
        </w:rPr>
        <w:t>应当自评审结束之日起两个工作日内将候选中标供应商名单及其投标文件、评审报告送交采购人</w:t>
      </w:r>
      <w:r>
        <w:rPr>
          <w:rFonts w:ascii="Times New Roman" w:hAnsi="Times New Roman" w:eastAsia="宋体" w:cs="Times New Roman"/>
          <w:szCs w:val="21"/>
        </w:rPr>
        <w:t>。</w:t>
      </w:r>
      <w:r>
        <w:rPr>
          <w:rFonts w:ascii="Times New Roman" w:hAnsi="Times New Roman" w:eastAsia="宋体" w:cs="Times New Roman"/>
          <w:szCs w:val="24"/>
        </w:rPr>
        <w:t>采购人应当安排专人对定标过程进行书面记录，形成定标报告，作为采购文件的组成部分存档，并及时将定标结果反馈政府集中采购机构。具体定标程序及相关要求以按照《深圳市财政局关于印发〈深圳市政府采购评标定标分离管理办法〉的通知》（深财规【2020】1号）执行。</w:t>
      </w:r>
    </w:p>
    <w:p w14:paraId="2028A249">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说明：采购人及投标供应商应按照上述方法提前做好相关准备。</w:t>
      </w:r>
    </w:p>
    <w:p w14:paraId="28D89351">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38.3专用条款另有规定的，按专用条款相关要求定标。</w:t>
      </w:r>
      <w:bookmarkEnd w:id="96"/>
    </w:p>
    <w:p w14:paraId="3F9AF553">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39．编写评审报告</w:t>
      </w:r>
    </w:p>
    <w:p w14:paraId="09843CBB">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593BEE2F">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40．中标公告</w:t>
      </w:r>
    </w:p>
    <w:p w14:paraId="5D956168">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40.1</w:t>
      </w:r>
      <w:bookmarkStart w:id="100" w:name="_Hlk72438709"/>
      <w:r>
        <w:rPr>
          <w:rFonts w:ascii="Times New Roman" w:hAnsi="Times New Roman" w:eastAsia="宋体" w:cs="Times New Roman"/>
          <w:szCs w:val="21"/>
        </w:rPr>
        <w:t>为体现“公开、公平、公正”的原则，评审结束后经采购人确认（确定）评审结果，政府集中采购机构将在“深圳政府采购智慧平台（http://zfcg.szggzy.com:8081/）”上发布中标结果公告。</w:t>
      </w:r>
      <w:bookmarkEnd w:id="100"/>
      <w:bookmarkStart w:id="101" w:name="_Hlk72438751"/>
      <w:r>
        <w:rPr>
          <w:rFonts w:ascii="Times New Roman" w:hAnsi="Times New Roman" w:eastAsia="宋体" w:cs="Times New Roman"/>
          <w:szCs w:val="21"/>
        </w:rPr>
        <w:t>供应商如对评审结果有异议，可在发布公示日期起七个工作日内向政府集中采购机构提出。监督电话：</w:t>
      </w:r>
      <w:r>
        <w:rPr>
          <w:rFonts w:hint="eastAsia" w:ascii="Times New Roman" w:hAnsi="Times New Roman" w:eastAsia="宋体" w:cs="Times New Roman"/>
          <w:szCs w:val="21"/>
        </w:rPr>
        <w:t>0755-86500054、0755-86500050</w:t>
      </w:r>
      <w:r>
        <w:rPr>
          <w:rFonts w:ascii="Times New Roman" w:hAnsi="Times New Roman" w:eastAsia="宋体" w:cs="Times New Roman"/>
          <w:szCs w:val="21"/>
        </w:rPr>
        <w:t>。若在公示期内未提出质疑，则视为认同该评审结果。</w:t>
      </w:r>
    </w:p>
    <w:bookmarkEnd w:id="101"/>
    <w:p w14:paraId="2FFCB1AA">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40.2质疑、投诉供应商应保证质疑、投诉内容的真实性和可靠性，并承担相应的法律责任。</w:t>
      </w:r>
    </w:p>
    <w:p w14:paraId="2E39527F">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41．中标通知书</w:t>
      </w:r>
    </w:p>
    <w:p w14:paraId="493AD349">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41.1</w:t>
      </w:r>
      <w:bookmarkStart w:id="102" w:name="_Hlk72438863"/>
      <w:r>
        <w:rPr>
          <w:rFonts w:ascii="Times New Roman" w:hAnsi="Times New Roman" w:eastAsia="宋体" w:cs="Times New Roman"/>
          <w:szCs w:val="21"/>
        </w:rPr>
        <w:t>中标公告公布以后无异常的情况下,中标供应商和采购人可自行在“深圳政府采购智慧平台（http://zfcg.szggzy.com:8081/）”上打印</w:t>
      </w:r>
      <w:r>
        <w:rPr>
          <w:rFonts w:ascii="Times New Roman" w:hAnsi="Times New Roman" w:eastAsia="宋体" w:cs="Times New Roman"/>
          <w:b/>
          <w:szCs w:val="21"/>
        </w:rPr>
        <w:t>《数字中标通知书》（</w:t>
      </w:r>
      <w:r>
        <w:rPr>
          <w:rFonts w:ascii="Times New Roman" w:hAnsi="Times New Roman" w:eastAsia="宋体" w:cs="Times New Roman"/>
          <w:szCs w:val="21"/>
        </w:rPr>
        <w:t>咨询电话：</w:t>
      </w:r>
      <w:r>
        <w:rPr>
          <w:rFonts w:hint="eastAsia" w:ascii="Times New Roman" w:hAnsi="Times New Roman" w:eastAsia="宋体" w:cs="Times New Roman"/>
          <w:szCs w:val="24"/>
        </w:rPr>
        <w:t>0755-36568999</w:t>
      </w:r>
      <w:r>
        <w:rPr>
          <w:rFonts w:ascii="Times New Roman" w:hAnsi="Times New Roman" w:eastAsia="宋体" w:cs="Times New Roman"/>
          <w:szCs w:val="21"/>
        </w:rPr>
        <w:t>）。</w:t>
      </w:r>
      <w:bookmarkEnd w:id="102"/>
    </w:p>
    <w:p w14:paraId="08ED5101">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41.2中标通知书是合同的重要组成部分。</w:t>
      </w:r>
    </w:p>
    <w:p w14:paraId="0A37AF3F">
      <w:pPr>
        <w:spacing w:line="276" w:lineRule="auto"/>
        <w:ind w:firstLine="411" w:firstLineChars="196"/>
        <w:rPr>
          <w:rFonts w:ascii="Times New Roman" w:hAnsi="Times New Roman" w:eastAsia="宋体" w:cs="Times New Roman"/>
          <w:szCs w:val="21"/>
        </w:rPr>
      </w:pPr>
      <w:bookmarkStart w:id="103" w:name="_Hlk71407340"/>
      <w:r>
        <w:rPr>
          <w:rFonts w:ascii="Times New Roman" w:hAnsi="Times New Roman" w:eastAsia="宋体" w:cs="Times New Roman"/>
          <w:szCs w:val="21"/>
        </w:rPr>
        <w:t>41.3因质疑投诉或其它原因导致项目结果变更或采购终止的，政府集中采购机构有权吊销中标通知书。</w:t>
      </w:r>
    </w:p>
    <w:bookmarkEnd w:id="103"/>
    <w:p w14:paraId="6689E742">
      <w:pPr>
        <w:keepNext/>
        <w:keepLines/>
        <w:numPr>
          <w:ilvl w:val="0"/>
          <w:numId w:val="18"/>
        </w:numPr>
        <w:adjustRightInd w:val="0"/>
        <w:spacing w:before="120" w:beforeLines="50" w:after="120" w:afterLines="50" w:line="276" w:lineRule="auto"/>
        <w:ind w:left="562" w:hanging="562"/>
        <w:jc w:val="center"/>
        <w:textAlignment w:val="baseline"/>
        <w:outlineLvl w:val="1"/>
        <w:rPr>
          <w:rFonts w:ascii="Times New Roman" w:hAnsi="Times New Roman" w:eastAsia="宋体" w:cs="Times New Roman"/>
          <w:b/>
          <w:bCs/>
          <w:kern w:val="0"/>
          <w:sz w:val="28"/>
          <w:szCs w:val="28"/>
        </w:rPr>
      </w:pPr>
      <w:r>
        <w:rPr>
          <w:rFonts w:ascii="Times New Roman" w:hAnsi="Times New Roman" w:eastAsia="宋体" w:cs="Times New Roman"/>
          <w:b/>
          <w:bCs/>
          <w:kern w:val="0"/>
          <w:sz w:val="28"/>
          <w:szCs w:val="28"/>
        </w:rPr>
        <w:t>公开招标失败的后续处理</w:t>
      </w:r>
    </w:p>
    <w:p w14:paraId="1BD4D386">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42．公开招标失败的处理</w:t>
      </w:r>
    </w:p>
    <w:p w14:paraId="5AECAC14">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1"/>
        </w:rPr>
        <w:t>42.1本项目公开招标过程中若由于投标截止后</w:t>
      </w:r>
      <w:r>
        <w:rPr>
          <w:rFonts w:ascii="Times New Roman" w:hAnsi="Times New Roman" w:eastAsia="宋体" w:cs="Times New Roman"/>
          <w:szCs w:val="24"/>
        </w:rPr>
        <w:t>实际递交投标文件的供应商数量不足、经</w:t>
      </w:r>
      <w:r>
        <w:rPr>
          <w:rFonts w:ascii="Times New Roman" w:hAnsi="Times New Roman" w:eastAsia="宋体" w:cs="Times New Roman"/>
          <w:szCs w:val="21"/>
        </w:rPr>
        <w:t>评审委员会</w:t>
      </w:r>
      <w:r>
        <w:rPr>
          <w:rFonts w:ascii="Times New Roman" w:hAnsi="Times New Roman" w:eastAsia="宋体" w:cs="Times New Roman"/>
          <w:szCs w:val="24"/>
        </w:rPr>
        <w:t>评审对招标文件作实质响应的供应商不足等原因造成公开招标失败，可由政府集中采购机构重新组织采购。</w:t>
      </w:r>
    </w:p>
    <w:p w14:paraId="6E45537E">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42.2对公开招标失败的项目，评审委员会在出具该项目招标失败结论的同时，可以提出重新采购组织形式的建议，以及进一步完善招标文件的资格、技术、商务要求的修改建议。</w:t>
      </w:r>
    </w:p>
    <w:p w14:paraId="58255827">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42.3重新组织采购有以下两种组织形式：</w:t>
      </w:r>
    </w:p>
    <w:p w14:paraId="53F5FE02">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（1）由政府集中采购机构重新组织公开招标；</w:t>
      </w:r>
    </w:p>
    <w:p w14:paraId="79632EC3">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（2）根据实际情况需要向同级财政部门提出非公开招标方式申请，经同级财政部门批准，公开招标失败采购项目可转为竞争性谈判或单一来源谈判方式采购。</w:t>
      </w:r>
    </w:p>
    <w:p w14:paraId="221E0690">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42.4公开招标失败的采购项目重新组织公开招标，由政府集中采购机构重新按公开招标流程组织采购活动。</w:t>
      </w:r>
    </w:p>
    <w:p w14:paraId="6AC98EDF">
      <w:pPr>
        <w:spacing w:line="276" w:lineRule="auto"/>
        <w:ind w:firstLine="411" w:firstLineChars="196"/>
        <w:rPr>
          <w:rFonts w:ascii="Times New Roman" w:hAnsi="Times New Roman" w:eastAsia="宋体" w:cs="Times New Roman"/>
          <w:szCs w:val="24"/>
        </w:rPr>
      </w:pPr>
      <w:r>
        <w:rPr>
          <w:rFonts w:ascii="Times New Roman" w:hAnsi="Times New Roman" w:eastAsia="宋体" w:cs="Times New Roman"/>
          <w:szCs w:val="24"/>
        </w:rPr>
        <w:t>42.5公开招标失败的采购项目经同级财政部门批准转为竞争性谈判或单一来源谈判方式采购的，按规定要求组织政府采购工作。</w:t>
      </w:r>
    </w:p>
    <w:p w14:paraId="4F6B51FA">
      <w:pPr>
        <w:keepNext/>
        <w:keepLines/>
        <w:numPr>
          <w:ilvl w:val="0"/>
          <w:numId w:val="18"/>
        </w:numPr>
        <w:adjustRightInd w:val="0"/>
        <w:spacing w:before="120" w:beforeLines="50" w:after="120" w:afterLines="50" w:line="276" w:lineRule="auto"/>
        <w:ind w:left="562" w:hanging="562"/>
        <w:jc w:val="center"/>
        <w:textAlignment w:val="baseline"/>
        <w:outlineLvl w:val="1"/>
        <w:rPr>
          <w:rFonts w:ascii="Times New Roman" w:hAnsi="Times New Roman" w:eastAsia="宋体" w:cs="Times New Roman"/>
          <w:b/>
          <w:bCs/>
          <w:kern w:val="0"/>
          <w:sz w:val="28"/>
          <w:szCs w:val="28"/>
        </w:rPr>
      </w:pPr>
      <w:bookmarkStart w:id="104" w:name="_Hlk72439043"/>
      <w:r>
        <w:rPr>
          <w:rFonts w:ascii="Times New Roman" w:hAnsi="Times New Roman" w:eastAsia="宋体" w:cs="Times New Roman"/>
          <w:b/>
          <w:bCs/>
          <w:kern w:val="0"/>
          <w:sz w:val="28"/>
          <w:szCs w:val="28"/>
        </w:rPr>
        <w:t>合同的授予与备案</w:t>
      </w:r>
      <w:bookmarkEnd w:id="104"/>
    </w:p>
    <w:p w14:paraId="73BC7358">
      <w:pPr>
        <w:spacing w:line="276" w:lineRule="auto"/>
        <w:rPr>
          <w:rFonts w:ascii="Times New Roman" w:hAnsi="Times New Roman" w:eastAsia="黑体" w:cs="Times New Roman"/>
          <w:sz w:val="24"/>
          <w:szCs w:val="24"/>
        </w:rPr>
      </w:pPr>
      <w:bookmarkStart w:id="105" w:name="_Toc100052408"/>
      <w:bookmarkStart w:id="106" w:name="_Toc73521586"/>
      <w:bookmarkStart w:id="107" w:name="_Toc73517679"/>
      <w:bookmarkStart w:id="108" w:name="_Toc73521674"/>
      <w:bookmarkStart w:id="109" w:name="_Toc73518157"/>
      <w:bookmarkStart w:id="110" w:name="_Hlk72439088"/>
      <w:r>
        <w:rPr>
          <w:rFonts w:ascii="Times New Roman" w:hAnsi="Times New Roman" w:eastAsia="黑体" w:cs="Times New Roman"/>
          <w:sz w:val="24"/>
          <w:szCs w:val="24"/>
        </w:rPr>
        <w:t>43．合同授予标准</w:t>
      </w:r>
      <w:bookmarkEnd w:id="105"/>
      <w:bookmarkEnd w:id="106"/>
      <w:bookmarkEnd w:id="107"/>
      <w:bookmarkEnd w:id="108"/>
      <w:bookmarkEnd w:id="109"/>
    </w:p>
    <w:p w14:paraId="38A73FD9">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本项目的合同将授予经本招标文件规定评审确定的中标供应商。</w:t>
      </w:r>
    </w:p>
    <w:p w14:paraId="27DD48AD">
      <w:pPr>
        <w:spacing w:line="276" w:lineRule="auto"/>
        <w:rPr>
          <w:rFonts w:ascii="Times New Roman" w:hAnsi="Times New Roman" w:eastAsia="黑体" w:cs="Times New Roman"/>
          <w:sz w:val="24"/>
          <w:szCs w:val="24"/>
        </w:rPr>
      </w:pPr>
      <w:bookmarkStart w:id="111" w:name="_Toc73521675"/>
      <w:bookmarkStart w:id="112" w:name="_Toc73517680"/>
      <w:bookmarkStart w:id="113" w:name="_Toc73521587"/>
      <w:bookmarkStart w:id="114" w:name="_Toc73518158"/>
      <w:bookmarkStart w:id="115" w:name="_Toc100052409"/>
      <w:r>
        <w:rPr>
          <w:rFonts w:ascii="Times New Roman" w:hAnsi="Times New Roman" w:eastAsia="黑体" w:cs="Times New Roman"/>
          <w:sz w:val="24"/>
          <w:szCs w:val="24"/>
        </w:rPr>
        <w:t>44．</w:t>
      </w:r>
      <w:bookmarkEnd w:id="111"/>
      <w:bookmarkEnd w:id="112"/>
      <w:bookmarkEnd w:id="113"/>
      <w:bookmarkEnd w:id="114"/>
      <w:bookmarkEnd w:id="115"/>
      <w:r>
        <w:rPr>
          <w:rFonts w:ascii="Times New Roman" w:hAnsi="Times New Roman" w:eastAsia="黑体" w:cs="Times New Roman"/>
          <w:sz w:val="24"/>
          <w:szCs w:val="24"/>
        </w:rPr>
        <w:t>接受和拒绝任何或所有投标的权力</w:t>
      </w:r>
    </w:p>
    <w:p w14:paraId="54CB3E07">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68321DFD">
      <w:pPr>
        <w:spacing w:line="276" w:lineRule="auto"/>
        <w:rPr>
          <w:rFonts w:ascii="Times New Roman" w:hAnsi="Times New Roman" w:eastAsia="黑体" w:cs="Times New Roman"/>
          <w:sz w:val="24"/>
          <w:szCs w:val="24"/>
        </w:rPr>
      </w:pPr>
      <w:bookmarkStart w:id="116" w:name="_Toc73517682"/>
      <w:bookmarkStart w:id="117" w:name="_Toc73521589"/>
      <w:bookmarkStart w:id="118" w:name="_Toc100052410"/>
      <w:bookmarkStart w:id="119" w:name="_Toc73521677"/>
      <w:bookmarkStart w:id="120" w:name="_Toc73518160"/>
      <w:r>
        <w:rPr>
          <w:rFonts w:ascii="Times New Roman" w:hAnsi="Times New Roman" w:eastAsia="黑体" w:cs="Times New Roman"/>
          <w:sz w:val="24"/>
          <w:szCs w:val="24"/>
        </w:rPr>
        <w:t>45．合同的签订</w:t>
      </w:r>
      <w:bookmarkEnd w:id="116"/>
      <w:bookmarkEnd w:id="117"/>
      <w:bookmarkEnd w:id="118"/>
      <w:bookmarkEnd w:id="119"/>
      <w:bookmarkEnd w:id="120"/>
    </w:p>
    <w:p w14:paraId="3BA9770C">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45.1中标人将于中标通知书发出之日起十个工作日内，按照采购文件（招标文件和投标文件等）内容与采购人签订政府采购合同；合同的实质性内容应当符合招标文件的规定；</w:t>
      </w:r>
    </w:p>
    <w:p w14:paraId="49D9970D">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45.2中标人如不按本通用条款第45.1款的规定与采购人签订合同，</w:t>
      </w:r>
      <w:r>
        <w:rPr>
          <w:rFonts w:ascii="Times New Roman" w:hAnsi="Times New Roman" w:eastAsia="宋体" w:cs="Times New Roman"/>
          <w:kern w:val="0"/>
          <w:szCs w:val="21"/>
        </w:rPr>
        <w:t>情节严重的，由同级财政部门记入供应商诚信档案，予以通报</w:t>
      </w:r>
      <w:r>
        <w:rPr>
          <w:rFonts w:ascii="Times New Roman" w:hAnsi="Times New Roman" w:eastAsia="宋体" w:cs="Times New Roman"/>
          <w:szCs w:val="21"/>
        </w:rPr>
        <w:t>；</w:t>
      </w:r>
    </w:p>
    <w:p w14:paraId="6B6A50B4">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45.3中标人应当按照合同约定履行义务，完成中标项目，不得将中标项目转让（转包）给他人。</w:t>
      </w:r>
    </w:p>
    <w:p w14:paraId="6584784C">
      <w:pPr>
        <w:spacing w:line="276" w:lineRule="auto"/>
        <w:rPr>
          <w:rFonts w:ascii="Times New Roman" w:hAnsi="Times New Roman" w:eastAsia="黑体" w:cs="Times New Roman"/>
          <w:sz w:val="24"/>
          <w:szCs w:val="24"/>
        </w:rPr>
      </w:pPr>
      <w:bookmarkStart w:id="121" w:name="_Toc73518161"/>
      <w:bookmarkStart w:id="122" w:name="_Toc100052411"/>
      <w:bookmarkStart w:id="123" w:name="_Toc73517683"/>
      <w:bookmarkStart w:id="124" w:name="_Toc73521590"/>
      <w:bookmarkStart w:id="125" w:name="_Toc73521678"/>
      <w:r>
        <w:rPr>
          <w:rFonts w:ascii="Times New Roman" w:hAnsi="Times New Roman" w:eastAsia="黑体" w:cs="Times New Roman"/>
          <w:sz w:val="24"/>
          <w:szCs w:val="24"/>
        </w:rPr>
        <w:t>46．履约担保</w:t>
      </w:r>
      <w:bookmarkEnd w:id="121"/>
      <w:bookmarkEnd w:id="122"/>
      <w:bookmarkEnd w:id="123"/>
      <w:bookmarkEnd w:id="124"/>
      <w:bookmarkEnd w:id="125"/>
    </w:p>
    <w:p w14:paraId="2F5DCAED">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46.1在签订项目合同的同时，中标人应按“对通用条款的补充内容”中规定的金额向采购人提交履约担保；</w:t>
      </w:r>
    </w:p>
    <w:p w14:paraId="38868EF2">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46.2，允许供应商自主选择以支票、汇票、本票、保函等非现金方式提交履约担保；</w:t>
      </w:r>
      <w:r>
        <w:rPr>
          <w:rFonts w:ascii="Times New Roman" w:hAnsi="Times New Roman" w:eastAsia="宋体" w:cs="Times New Roman"/>
          <w:szCs w:val="24"/>
        </w:rPr>
        <w:t>中标人提交履约担保不是合同签订的前提条件，不要求中标人提供除法律、法规明确规定外的其他担保。</w:t>
      </w:r>
    </w:p>
    <w:p w14:paraId="3C9E2861">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47. 合同备案</w:t>
      </w:r>
    </w:p>
    <w:p w14:paraId="3C73DEF7">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采购人</w:t>
      </w:r>
      <w:r>
        <w:rPr>
          <w:rFonts w:hint="eastAsia" w:ascii="Times New Roman" w:hAnsi="Times New Roman" w:eastAsia="宋体" w:cs="Times New Roman"/>
          <w:szCs w:val="21"/>
        </w:rPr>
        <w:t>与中标供应商自中标通知书发出之日起10个工作日内签订政府采购合同，并按财政部门规定提交备案。</w:t>
      </w:r>
    </w:p>
    <w:p w14:paraId="462B9B2F">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48. 合同变更</w:t>
      </w:r>
    </w:p>
    <w:p w14:paraId="12E187E3">
      <w:pPr>
        <w:spacing w:line="276" w:lineRule="auto"/>
        <w:ind w:firstLine="411" w:firstLineChars="196"/>
        <w:rPr>
          <w:rFonts w:ascii="Times New Roman" w:hAnsi="Times New Roman" w:eastAsia="宋体" w:cs="Times New Roman"/>
          <w:szCs w:val="21"/>
        </w:rPr>
      </w:pPr>
      <w:r>
        <w:rPr>
          <w:rFonts w:hint="eastAsia" w:ascii="Times New Roman" w:hAnsi="Times New Roman" w:eastAsia="宋体" w:cs="Times New Roman"/>
          <w:szCs w:val="21"/>
        </w:rPr>
        <w:t>合同变更事宜按《深圳市财政局关于优化政府采购合同备案的通知》（深财发保〔2022〕2号）相关规定执行</w:t>
      </w:r>
      <w:r>
        <w:rPr>
          <w:rFonts w:ascii="Times New Roman" w:hAnsi="Times New Roman" w:eastAsia="宋体" w:cs="Times New Roman"/>
          <w:szCs w:val="21"/>
        </w:rPr>
        <w:t>。</w:t>
      </w:r>
    </w:p>
    <w:p w14:paraId="48721501">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49. 项目验收</w:t>
      </w:r>
    </w:p>
    <w:p w14:paraId="4829B6E8">
      <w:pPr>
        <w:widowControl/>
        <w:spacing w:line="276" w:lineRule="auto"/>
        <w:ind w:right="176" w:firstLine="420"/>
        <w:jc w:val="left"/>
        <w:rPr>
          <w:rFonts w:ascii="Times New Roman" w:hAnsi="Times New Roman" w:eastAsia="宋体" w:cs="Times New Roman"/>
          <w:szCs w:val="24"/>
        </w:rPr>
      </w:pPr>
      <w:r>
        <w:rPr>
          <w:rFonts w:ascii="Times New Roman" w:hAnsi="Times New Roman" w:eastAsia="宋体" w:cs="Times New Roman"/>
          <w:szCs w:val="24"/>
        </w:rPr>
        <w:t>49.1采购人应当按照招标文件和合同规定的标准和方法，及时组织验收。</w:t>
      </w:r>
    </w:p>
    <w:p w14:paraId="72F6F93A">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50. 宣传</w:t>
      </w:r>
    </w:p>
    <w:p w14:paraId="5673E2DF">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凡与政府采购活动有关的宣传或广告，若当中提及政府采购，必须事先将具体对外宣传方案报同级财政部门和政府集中采购机构，并征得其同意。对外市场宣传包括但不限于以下形式：</w:t>
      </w:r>
    </w:p>
    <w:p w14:paraId="53174EF0">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a.名片、宣传册、广告标语等；</w:t>
      </w:r>
    </w:p>
    <w:p w14:paraId="16E1CD5A">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b.案例介绍、推广等；</w:t>
      </w:r>
    </w:p>
    <w:p w14:paraId="64C7438A">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c.工作人员向其他消费群体宣传。</w:t>
      </w:r>
    </w:p>
    <w:p w14:paraId="30253599">
      <w:pPr>
        <w:spacing w:line="276" w:lineRule="auto"/>
        <w:rPr>
          <w:rFonts w:ascii="Times New Roman" w:hAnsi="Times New Roman" w:eastAsia="黑体" w:cs="Times New Roman"/>
          <w:sz w:val="24"/>
          <w:szCs w:val="24"/>
        </w:rPr>
      </w:pPr>
      <w:r>
        <w:rPr>
          <w:rFonts w:ascii="Times New Roman" w:hAnsi="Times New Roman" w:eastAsia="黑体" w:cs="Times New Roman"/>
          <w:sz w:val="24"/>
          <w:szCs w:val="24"/>
        </w:rPr>
        <w:t>51. 供应商违法责任</w:t>
      </w:r>
    </w:p>
    <w:p w14:paraId="0694BDB4">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51.1《深圳经济特区政府采购条例》第五十七条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48774489">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（1）在采购活动中应当回避而未回避的；</w:t>
      </w:r>
    </w:p>
    <w:p w14:paraId="25052619">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（2）未按本条例规定签订、履行采购合同，造成严重后果的；</w:t>
      </w:r>
    </w:p>
    <w:p w14:paraId="32BD5E19">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（3）隐瞒真实情况，提供虚假资料的；</w:t>
      </w:r>
    </w:p>
    <w:p w14:paraId="1A4425BD">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（4）以非法手段排斥其他供应商参与竞争的；</w:t>
      </w:r>
    </w:p>
    <w:p w14:paraId="00739314">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（5）与其他采购参加人串通投标的；</w:t>
      </w:r>
    </w:p>
    <w:p w14:paraId="509CB4D0">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（6）恶意投诉的；</w:t>
      </w:r>
    </w:p>
    <w:p w14:paraId="5CD161BB">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（7）向采购项目相关人行贿或者提供其他不当利益的；</w:t>
      </w:r>
    </w:p>
    <w:p w14:paraId="143D8FD2">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（8）阻碍、抗拒主管部门监督检查的；</w:t>
      </w:r>
    </w:p>
    <w:p w14:paraId="2D69DB72">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（9）其他违反本条例规定的行为。</w:t>
      </w:r>
    </w:p>
    <w:p w14:paraId="50475DF5">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51.2</w:t>
      </w:r>
      <w:r>
        <w:rPr>
          <w:rFonts w:hint="eastAsia" w:ascii="Times New Roman" w:hAnsi="Times New Roman" w:eastAsia="宋体" w:cs="Times New Roman"/>
          <w:szCs w:val="21"/>
        </w:rPr>
        <w:t>根据《深圳市财政局关于调整政府采购投标（响应）保证金管理政策的通知 》（深财购〔2021〕51号）的要求，供应商在政府采购活动中出现《深圳经济特区政府采购条例实施细则》第八十条所列情形的，政府集中采购机构或采购人不予退还其交纳的谈判保证金，情节严重的，并由主管部门记入供应商诚信档案，予以通报</w:t>
      </w:r>
      <w:r>
        <w:rPr>
          <w:rFonts w:ascii="Times New Roman" w:hAnsi="Times New Roman" w:eastAsia="宋体" w:cs="Times New Roman"/>
          <w:szCs w:val="21"/>
        </w:rPr>
        <w:t>：</w:t>
      </w:r>
    </w:p>
    <w:p w14:paraId="202CD466">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（1）投标截止后，撤销投标的；</w:t>
      </w:r>
    </w:p>
    <w:p w14:paraId="5A645A9B">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（2）中标后无正当理由未在规定期限内签订合同的；</w:t>
      </w:r>
    </w:p>
    <w:p w14:paraId="6B4EF570">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（3）将中标项目转让给他人、或者在投标文件中未说明且未经采购人、采购招标机构同意，将中标项目分包给他人的；</w:t>
      </w:r>
    </w:p>
    <w:p w14:paraId="6F11D224">
      <w:pPr>
        <w:spacing w:line="276" w:lineRule="auto"/>
        <w:ind w:firstLine="411" w:firstLineChars="196"/>
        <w:rPr>
          <w:rFonts w:ascii="Times New Roman" w:hAnsi="Times New Roman" w:eastAsia="宋体" w:cs="Times New Roman"/>
          <w:szCs w:val="21"/>
        </w:rPr>
      </w:pPr>
      <w:r>
        <w:rPr>
          <w:rFonts w:ascii="Times New Roman" w:hAnsi="Times New Roman" w:eastAsia="宋体" w:cs="Times New Roman"/>
          <w:szCs w:val="21"/>
        </w:rPr>
        <w:t>（4）拒绝履行合同义务的。</w:t>
      </w:r>
    </w:p>
    <w:bookmarkEnd w:id="110"/>
    <w:p w14:paraId="471D6541">
      <w:pPr>
        <w:keepNext/>
        <w:keepLines/>
        <w:numPr>
          <w:ilvl w:val="0"/>
          <w:numId w:val="18"/>
        </w:numPr>
        <w:adjustRightInd w:val="0"/>
        <w:spacing w:before="120" w:beforeLines="50" w:after="120" w:afterLines="50" w:line="276" w:lineRule="auto"/>
        <w:ind w:left="562" w:hanging="562"/>
        <w:jc w:val="center"/>
        <w:textAlignment w:val="baseline"/>
        <w:outlineLvl w:val="1"/>
        <w:rPr>
          <w:rFonts w:ascii="Times New Roman" w:hAnsi="Times New Roman" w:eastAsia="宋体" w:cs="Times New Roman"/>
          <w:b/>
          <w:bCs/>
          <w:kern w:val="0"/>
          <w:sz w:val="28"/>
          <w:szCs w:val="28"/>
        </w:rPr>
      </w:pPr>
      <w:r>
        <w:rPr>
          <w:rFonts w:ascii="Times New Roman" w:hAnsi="Times New Roman" w:eastAsia="宋体" w:cs="Times New Roman"/>
          <w:b/>
          <w:bCs/>
          <w:kern w:val="0"/>
          <w:sz w:val="28"/>
          <w:szCs w:val="28"/>
        </w:rPr>
        <w:t>质疑处理</w:t>
      </w:r>
    </w:p>
    <w:p w14:paraId="45E558F9">
      <w:pPr>
        <w:spacing w:line="276" w:lineRule="auto"/>
        <w:rPr>
          <w:rFonts w:ascii="Times New Roman" w:hAnsi="Times New Roman" w:eastAsia="黑体" w:cs="Times New Roman"/>
          <w:sz w:val="24"/>
          <w:szCs w:val="24"/>
        </w:rPr>
      </w:pPr>
      <w:bookmarkStart w:id="126" w:name="_Hlk72439706"/>
      <w:r>
        <w:rPr>
          <w:rFonts w:ascii="Times New Roman" w:hAnsi="Times New Roman" w:eastAsia="黑体" w:cs="Times New Roman"/>
          <w:sz w:val="24"/>
          <w:szCs w:val="24"/>
        </w:rPr>
        <w:t>52.质疑提出与答复</w:t>
      </w:r>
    </w:p>
    <w:p w14:paraId="22573EC4">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52.1提出质疑</w:t>
      </w:r>
    </w:p>
    <w:p w14:paraId="3421D10E">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参与政府采购活动的供应商认为自己的权益在采购活动中受到损害的，应当自知道或者应当知道其权益受到损害之日起七个工作日内向采购人、政府集中采购机构以书面形式提出质疑。</w:t>
      </w:r>
    </w:p>
    <w:p w14:paraId="7FBA9CBD">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52.2法律依据</w:t>
      </w:r>
    </w:p>
    <w:p w14:paraId="0845785A">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中华人民共和国政府采购法》、《中华人民共和国政府采购法实施条例》、《深圳经济特区政府采购条例》、《深圳经济特区政府采购条例实施细则》、《政府采购质疑和投诉办法》（财政部令第94号）和其他有关法律法规规定。</w:t>
      </w:r>
    </w:p>
    <w:p w14:paraId="797FE247">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52.3质疑条件</w:t>
      </w:r>
    </w:p>
    <w:p w14:paraId="720E0C49">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52.3.1提出质疑的供应商应当是参与所质疑项目采购活动的供应商；</w:t>
      </w:r>
      <w:bookmarkStart w:id="127" w:name="_Hlk75374941"/>
      <w:r>
        <w:rPr>
          <w:rFonts w:ascii="Times New Roman" w:hAnsi="Times New Roman" w:eastAsia="宋体" w:cs="Times New Roman"/>
          <w:szCs w:val="21"/>
        </w:rPr>
        <w:t>以联合体形式参与的，质疑应当由组成联合体的所有成员共同提出</w:t>
      </w:r>
      <w:bookmarkEnd w:id="127"/>
      <w:r>
        <w:rPr>
          <w:rFonts w:ascii="Times New Roman" w:hAnsi="Times New Roman" w:eastAsia="宋体" w:cs="Times New Roman"/>
          <w:szCs w:val="21"/>
        </w:rPr>
        <w:t>；</w:t>
      </w:r>
    </w:p>
    <w:p w14:paraId="26F51F90">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52.3.2应当在法定质疑期内一次性提出针对同一采购程序环节的质疑，法定质疑期为自知道或应当知道权益受到损害之日起7个工作日内。应当知道其权益受到损害之日是指：对招标文件的质疑，为招标文件公布之日；对采购过程的质疑，为各采购程序环节结束之日；对中标结果以及评审委员会组成人员的质疑，为中标结果公示之日；</w:t>
      </w:r>
    </w:p>
    <w:p w14:paraId="2842CD18">
      <w:pPr>
        <w:spacing w:line="276" w:lineRule="auto"/>
        <w:ind w:firstLine="420"/>
        <w:rPr>
          <w:rFonts w:ascii="Times New Roman" w:hAnsi="Times New Roman" w:eastAsia="宋体" w:cs="Times New Roman"/>
          <w:szCs w:val="21"/>
        </w:rPr>
      </w:pPr>
      <w:r>
        <w:rPr>
          <w:rFonts w:ascii="Times New Roman" w:hAnsi="Times New Roman" w:eastAsia="宋体" w:cs="Times New Roman"/>
          <w:szCs w:val="21"/>
        </w:rPr>
        <w:t>52.3.3应提交书面质疑函，质疑函应当包括以下内容：</w:t>
      </w:r>
    </w:p>
    <w:p w14:paraId="6D7D35C1">
      <w:pPr>
        <w:spacing w:line="276" w:lineRule="auto"/>
        <w:ind w:firstLine="420"/>
        <w:rPr>
          <w:rFonts w:ascii="Times New Roman" w:hAnsi="Times New Roman" w:eastAsia="宋体" w:cs="Times New Roman"/>
          <w:szCs w:val="21"/>
        </w:rPr>
      </w:pPr>
      <w:r>
        <w:rPr>
          <w:rFonts w:ascii="Times New Roman" w:hAnsi="Times New Roman" w:eastAsia="宋体" w:cs="Times New Roman"/>
          <w:szCs w:val="21"/>
        </w:rPr>
        <w:t>（1）供应商的名称（或者姓名）、地址、邮编、邮箱、联系人及联系电话；</w:t>
      </w:r>
    </w:p>
    <w:p w14:paraId="0E85136B">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（2）质疑项目的名称、编号；</w:t>
      </w:r>
    </w:p>
    <w:p w14:paraId="0F2A0080">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（3）具体、明确的质疑对象、质疑事项和质疑请求；</w:t>
      </w:r>
    </w:p>
    <w:p w14:paraId="1F684B5F">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（4）因质疑事项而受损害的权益；</w:t>
      </w:r>
    </w:p>
    <w:p w14:paraId="4452A665">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（5）事实依据；</w:t>
      </w:r>
    </w:p>
    <w:p w14:paraId="4D7BE7EE">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（6）必要的法律依据；</w:t>
      </w:r>
    </w:p>
    <w:p w14:paraId="1D6138E2">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（7）提出质疑的日期。</w:t>
      </w:r>
    </w:p>
    <w:p w14:paraId="27BDF5FC">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供应商为自然人的，应当由本人签字；供应商为法人或者其他组织的，应当由法定代表人（负责人），或者其授权代理人签字或者盖章，并加盖公章。</w:t>
      </w:r>
    </w:p>
    <w:p w14:paraId="2B64BE6D">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52.4提交材料</w:t>
      </w:r>
    </w:p>
    <w:p w14:paraId="686EC371">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供应商质疑实行实名制。供应商为自然人的，应当提交本人身份证复印件；供应商为法人或者其他组织的，应当根据自身性质提交营业执照复印件或者其他证明文件（如事业单位法人证书等）复印件。</w:t>
      </w:r>
    </w:p>
    <w:p w14:paraId="70285559">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90AF34D">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52.5提交方式</w:t>
      </w:r>
    </w:p>
    <w:p w14:paraId="1574371B">
      <w:pPr>
        <w:spacing w:line="276" w:lineRule="auto"/>
        <w:ind w:firstLine="420" w:firstLineChars="200"/>
        <w:rPr>
          <w:rFonts w:ascii="Times New Roman" w:hAnsi="Times New Roman" w:eastAsia="宋体" w:cs="Times New Roman"/>
          <w:b/>
          <w:bCs/>
          <w:szCs w:val="21"/>
        </w:rPr>
      </w:pPr>
      <w:r>
        <w:rPr>
          <w:rFonts w:ascii="Times New Roman" w:hAnsi="Times New Roman" w:eastAsia="宋体" w:cs="Times New Roman"/>
          <w:szCs w:val="21"/>
        </w:rPr>
        <w:t>请质疑供应商根据深圳政府采购智慧平台（http://zfcg.szggzy.com:8081/）所发布的质疑指引、质疑函模板填写质疑函并提交质疑材料。</w:t>
      </w:r>
      <w:r>
        <w:rPr>
          <w:rFonts w:ascii="Times New Roman" w:hAnsi="Times New Roman" w:eastAsia="宋体" w:cs="Times New Roman"/>
          <w:b/>
          <w:bCs/>
          <w:szCs w:val="21"/>
        </w:rPr>
        <w:t>地址：深圳市南山区沙河西路3185号南山智谷A座（深圳交易集团总部大楼）27楼，质疑咨询电话：</w:t>
      </w:r>
      <w:r>
        <w:rPr>
          <w:rFonts w:hint="eastAsia" w:ascii="Times New Roman" w:hAnsi="Times New Roman" w:eastAsia="宋体" w:cs="Times New Roman"/>
          <w:b/>
          <w:bCs/>
          <w:szCs w:val="21"/>
        </w:rPr>
        <w:t>0755-86500054、0755-86500050</w:t>
      </w:r>
      <w:r>
        <w:rPr>
          <w:rFonts w:ascii="Times New Roman" w:hAnsi="Times New Roman" w:eastAsia="宋体" w:cs="Times New Roman"/>
          <w:b/>
          <w:bCs/>
          <w:szCs w:val="21"/>
        </w:rPr>
        <w:t>。</w:t>
      </w:r>
    </w:p>
    <w:p w14:paraId="7AC9A1B0">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52.6收文办理程序</w:t>
      </w:r>
    </w:p>
    <w:p w14:paraId="201A6EEA">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52.6.1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14:paraId="23C399B4">
      <w:pPr>
        <w:spacing w:line="276" w:lineRule="auto"/>
        <w:ind w:firstLine="420" w:firstLineChars="200"/>
        <w:rPr>
          <w:rFonts w:ascii="Times New Roman" w:hAnsi="Times New Roman" w:eastAsia="仿宋" w:cs="Times New Roman"/>
          <w:sz w:val="28"/>
          <w:szCs w:val="28"/>
        </w:rPr>
      </w:pPr>
      <w:r>
        <w:rPr>
          <w:rFonts w:ascii="Times New Roman" w:hAnsi="Times New Roman" w:eastAsia="宋体" w:cs="Times New Roman"/>
          <w:szCs w:val="21"/>
        </w:rPr>
        <w:t>52.6.2供应商提交的质疑材料不符合质疑条件的，视情况处理：</w:t>
      </w:r>
    </w:p>
    <w:p w14:paraId="44D740B4">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供应商提交的质疑材料不全或者未按要求签字或者盖章的，政府集中采购机构应当一次性告知供应商需补正的内容和补正期限。</w:t>
      </w:r>
    </w:p>
    <w:p w14:paraId="356907A8">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供应商提交的质疑存在下列情形之一的，不予受理：</w:t>
      </w:r>
    </w:p>
    <w:p w14:paraId="28E1F7A4">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（1）质疑主体不满足要求的；</w:t>
      </w:r>
    </w:p>
    <w:p w14:paraId="4C69EB95">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（2）供应商自身权益未受到损害的；</w:t>
      </w:r>
    </w:p>
    <w:p w14:paraId="5444597B">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（3）供应商未在法定质疑期限内提出质疑的；</w:t>
      </w:r>
    </w:p>
    <w:p w14:paraId="69C32416">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（4）质疑材料不全或者未按要求签字或者盖章的情况下，要求补正后，逾期未补正或者补正后仍不符合规定的；</w:t>
      </w:r>
    </w:p>
    <w:p w14:paraId="371AF00A">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（5）其他不符合受理条件情形的。</w:t>
      </w:r>
    </w:p>
    <w:p w14:paraId="752E8D72">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质疑事项不予受理的，政府集中采购机构应当向供应商出具不符合质疑条件告知书。</w:t>
      </w:r>
    </w:p>
    <w:p w14:paraId="3C2C0518">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52.7质疑答复时限</w:t>
      </w:r>
    </w:p>
    <w:p w14:paraId="1EEDC672">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自收文之日起七个工作日内。</w:t>
      </w:r>
    </w:p>
    <w:p w14:paraId="46459D73">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52.8投诉</w:t>
      </w:r>
    </w:p>
    <w:p w14:paraId="31C539BD">
      <w:pPr>
        <w:spacing w:line="276"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对质疑答复不满意或者未在规定时间内答复的，提出质疑的供应商可以在答复期满后15个工作日内向同级财政部门投诉。</w:t>
      </w:r>
    </w:p>
    <w:p w14:paraId="6B128207">
      <w:pPr>
        <w:spacing w:line="276" w:lineRule="auto"/>
        <w:rPr>
          <w:rFonts w:ascii="宋体" w:hAnsi="宋体" w:eastAsia="宋体" w:cs="宋体"/>
          <w:b/>
          <w:bCs/>
          <w:sz w:val="24"/>
          <w:szCs w:val="24"/>
        </w:rPr>
      </w:pPr>
      <w:r>
        <w:rPr>
          <w:rFonts w:hint="eastAsia" w:ascii="宋体" w:hAnsi="宋体" w:eastAsia="宋体" w:cs="宋体"/>
          <w:b/>
          <w:bCs/>
          <w:sz w:val="24"/>
          <w:szCs w:val="24"/>
        </w:rPr>
        <w:t>53. 质疑后续处理</w:t>
      </w:r>
    </w:p>
    <w:p w14:paraId="390D5589">
      <w:pPr>
        <w:spacing w:line="276" w:lineRule="auto"/>
        <w:ind w:firstLine="420" w:firstLineChars="200"/>
        <w:rPr>
          <w:rFonts w:ascii="宋体" w:hAnsi="宋体" w:eastAsia="宋体" w:cs="宋体"/>
          <w:szCs w:val="21"/>
        </w:rPr>
      </w:pPr>
      <w:r>
        <w:rPr>
          <w:rFonts w:hint="eastAsia" w:ascii="宋体" w:hAnsi="宋体" w:eastAsia="宋体" w:cs="宋体"/>
          <w:szCs w:val="21"/>
        </w:rPr>
        <w:t>53.1供应商质疑不成立，或者成立但未对中标、成交结果构成影响的，继续开展采购活动。</w:t>
      </w:r>
    </w:p>
    <w:p w14:paraId="324A9609">
      <w:pPr>
        <w:spacing w:line="276" w:lineRule="auto"/>
        <w:ind w:firstLine="420" w:firstLineChars="200"/>
        <w:rPr>
          <w:rFonts w:ascii="宋体" w:hAnsi="宋体" w:eastAsia="宋体" w:cs="宋体"/>
          <w:szCs w:val="24"/>
        </w:rPr>
      </w:pPr>
      <w:r>
        <w:rPr>
          <w:rFonts w:hint="eastAsia" w:ascii="宋体" w:hAnsi="宋体" w:eastAsia="宋体" w:cs="宋体"/>
          <w:szCs w:val="21"/>
        </w:rPr>
        <w:t>53.2供应商质疑成立且影响或者可能影响中标、成交结果的，按照下列情况处理：（1）对采购文件提出的质疑，依法通过澄清或者修改可以继续开展采购活动的，澄清或者修改采购文件后继续开展采购活动；否则应当修改采购文件后重新开展采购活动。（2）对采购过程、中标或者成交结果提出的质疑，合格供应商符合法定数量时，可以从合格的中标或者成交候选人中另行确定中标、成交供应商的，应当依法另行确定中标、成交供应商；否则应当重新开展采购活动。（3）被质疑供应商应配合提供质疑答辩意见，并提供相关证据材料，逾期不作书面答辩的，视同放弃答辩权利，依法承担由此可能产生的不利法律后果。</w:t>
      </w:r>
    </w:p>
    <w:p w14:paraId="1958799F">
      <w:pPr>
        <w:spacing w:line="276" w:lineRule="auto"/>
        <w:jc w:val="center"/>
        <w:rPr>
          <w:rFonts w:ascii="Times New Roman" w:hAnsi="Times New Roman" w:eastAsia="宋体" w:cs="Times New Roman"/>
          <w:szCs w:val="24"/>
        </w:rPr>
      </w:pPr>
    </w:p>
    <w:p w14:paraId="22D4AF63">
      <w:pPr>
        <w:spacing w:line="276" w:lineRule="auto"/>
        <w:jc w:val="center"/>
      </w:pPr>
      <w:r>
        <w:rPr>
          <w:rFonts w:ascii="Times New Roman" w:hAnsi="Times New Roman" w:eastAsia="宋体" w:cs="Times New Roman"/>
          <w:szCs w:val="24"/>
        </w:rPr>
        <w:t>---- END ---</w:t>
      </w:r>
      <w:bookmarkEnd w:id="126"/>
    </w:p>
    <w:p w14:paraId="7E06CB2A"/>
    <w:p w14:paraId="4B61A9E9"/>
    <w:p w14:paraId="05F84C3B"/>
    <w:p w14:paraId="7C4145AF"/>
    <w:p w14:paraId="6124B8FA"/>
    <w:p w14:paraId="17DC45E7"/>
    <w:p w14:paraId="5169246F"/>
    <w:p w14:paraId="6A3FC4DC"/>
    <w:p w14:paraId="29BCEF98"/>
    <w:p w14:paraId="492C864C"/>
    <w:p w14:paraId="035701AF"/>
    <w:p w14:paraId="096B9EA6"/>
    <w:p w14:paraId="33B5EC94"/>
    <w:p w14:paraId="27CE4464"/>
    <w:p w14:paraId="6B6AFC4D"/>
    <w:p w14:paraId="447EC24A"/>
    <w:p w14:paraId="274F2009"/>
    <w:p w14:paraId="1FB6D815"/>
    <w:p w14:paraId="370E1E80"/>
    <w:sectPr>
      <w:pgSz w:w="11907" w:h="16840"/>
      <w:pgMar w:top="1440" w:right="1474" w:bottom="1440" w:left="1474" w:header="851" w:footer="992" w:gutter="0"/>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0A97B90-CEB9-44F7-8AF4-9F4FACDEC561}"/>
  </w:font>
  <w:font w:name="Arial">
    <w:panose1 w:val="020B0604020202020204"/>
    <w:charset w:val="01"/>
    <w:family w:val="swiss"/>
    <w:pitch w:val="default"/>
    <w:sig w:usb0="E0002EFF" w:usb1="C000785B" w:usb2="00000009" w:usb3="00000000" w:csb0="400001FF" w:csb1="FFFF0000"/>
    <w:embedRegular r:id="rId2" w:fontKey="{62712E96-3C73-4189-9CC1-F6B7EB5DFD5C}"/>
  </w:font>
  <w:font w:name="黑体">
    <w:panose1 w:val="02010609060101010101"/>
    <w:charset w:val="86"/>
    <w:family w:val="auto"/>
    <w:pitch w:val="default"/>
    <w:sig w:usb0="800002BF" w:usb1="38CF7CFA" w:usb2="00000016" w:usb3="00000000" w:csb0="00040001" w:csb1="00000000"/>
    <w:embedRegular r:id="rId3" w:fontKey="{5E4D3B2A-2302-4F0E-AA00-CD946FAEDE36}"/>
  </w:font>
  <w:font w:name="Courier New">
    <w:panose1 w:val="02070309020205020404"/>
    <w:charset w:val="01"/>
    <w:family w:val="modern"/>
    <w:pitch w:val="default"/>
    <w:sig w:usb0="E0002EFF" w:usb1="C0007843" w:usb2="00000009" w:usb3="00000000" w:csb0="400001FF" w:csb1="FFFF0000"/>
    <w:embedRegular r:id="rId4" w:fontKey="{2BDE5291-62FF-471B-AFB1-54E2C7B5AF5C}"/>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5" w:fontKey="{03C03D43-C824-4AF5-A4E0-272C73F43DD9}"/>
  </w:font>
  <w:font w:name="Arial Unicode MS">
    <w:panose1 w:val="020B0604020202020204"/>
    <w:charset w:val="86"/>
    <w:family w:val="swiss"/>
    <w:pitch w:val="default"/>
    <w:sig w:usb0="FFFFFFFF" w:usb1="E9FFFFFF" w:usb2="0000003F" w:usb3="00000000" w:csb0="603F01FF" w:csb1="FFFF0000"/>
  </w:font>
  <w:font w:name="隶书">
    <w:panose1 w:val="02010509060101010101"/>
    <w:charset w:val="86"/>
    <w:family w:val="modern"/>
    <w:pitch w:val="default"/>
    <w:sig w:usb0="00000001" w:usb1="080E0000" w:usb2="00000000" w:usb3="00000000" w:csb0="00040000" w:csb1="00000000"/>
  </w:font>
  <w:font w:name="Monospace">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embedRegular r:id="rId6" w:fontKey="{2F80DF12-C369-4DBF-A6A7-9F7B427AF8E8}"/>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7" w:fontKey="{DA6151C5-B35C-4BB1-B82A-9EC69CA88D33}"/>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Segoe Print"/>
    <w:panose1 w:val="00000000000000000000"/>
    <w:charset w:val="00"/>
    <w:family w:val="roman"/>
    <w:pitch w:val="default"/>
    <w:sig w:usb0="00000000" w:usb1="00000000" w:usb2="00000000" w:usb3="00000000" w:csb0="00000000" w:csb1="00000000"/>
    <w:embedRegular r:id="rId8" w:fontKey="{4A6DE28F-9A76-4F83-9D7E-89190E5D5445}"/>
  </w:font>
  <w:font w:name="Segoe Print">
    <w:panose1 w:val="02000600000000000000"/>
    <w:charset w:val="00"/>
    <w:family w:val="auto"/>
    <w:pitch w:val="default"/>
    <w:sig w:usb0="0000028F" w:usb1="00000000" w:usb2="00000000" w:usb3="00000000" w:csb0="2000009F" w:csb1="47010000"/>
  </w:font>
  <w:font w:name="??">
    <w:altName w:val="Noto Sans SC"/>
    <w:panose1 w:val="00000000000000000000"/>
    <w:charset w:val="01"/>
    <w:family w:val="auto"/>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汉仪细等线简">
    <w:panose1 w:val="00020600040101010101"/>
    <w:charset w:val="86"/>
    <w:family w:val="modern"/>
    <w:pitch w:val="default"/>
    <w:sig w:usb0="800002BF" w:usb1="1A4F6CF8" w:usb2="00000012" w:usb3="00000000" w:csb0="0004009F" w:csb1="DFD70000"/>
  </w:font>
  <w:font w:name="H Yb 2gj">
    <w:altName w:val="宋体"/>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等线">
    <w:panose1 w:val="02010600030101010101"/>
    <w:charset w:val="86"/>
    <w:family w:val="auto"/>
    <w:pitch w:val="default"/>
    <w:sig w:usb0="A00002BF" w:usb1="38CF7CFA" w:usb2="00000016" w:usb3="00000000" w:csb0="0004000F" w:csb1="00000000"/>
    <w:embedRegular r:id="rId9" w:fontKey="{5E0FF910-7A5B-4A73-A3DC-8EED9AA0BAB7}"/>
  </w:font>
  <w:font w:name="华文中宋">
    <w:panose1 w:val="02010600040101010101"/>
    <w:charset w:val="86"/>
    <w:family w:val="auto"/>
    <w:pitch w:val="default"/>
    <w:sig w:usb0="00000287" w:usb1="080F0000" w:usb2="00000000" w:usb3="00000000" w:csb0="0004009F" w:csb1="DFD70000"/>
    <w:embedRegular r:id="rId10" w:fontKey="{B27301E1-E47F-4250-87FC-5C81175B7B30}"/>
  </w:font>
  <w:font w:name="汉仪书宋二S">
    <w:panose1 w:val="00020600040101010101"/>
    <w:charset w:val="86"/>
    <w:family w:val="auto"/>
    <w:pitch w:val="default"/>
    <w:sig w:usb0="A00002BF" w:usb1="18EF7CFA" w:usb2="00000016" w:usb3="00000000" w:csb0="00040000" w:csb1="00000000"/>
    <w:embedRegular r:id="rId11" w:fontKey="{23899D00-AACE-4F33-AC74-F0681940DF5F}"/>
  </w:font>
  <w:font w:name="华文楷体">
    <w:panose1 w:val="02010600040101010101"/>
    <w:charset w:val="86"/>
    <w:family w:val="auto"/>
    <w:pitch w:val="default"/>
    <w:sig w:usb0="00000287" w:usb1="080F0000" w:usb2="00000000" w:usb3="00000000" w:csb0="0004009F" w:csb1="DFD70000"/>
    <w:embedRegular r:id="rId12" w:fontKey="{244A3F16-1D7E-414F-9729-0ED2606EF5D6}"/>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E7AA7">
    <w:pPr>
      <w:pStyle w:val="29"/>
      <w:framePr w:wrap="around" w:vAnchor="text" w:hAnchor="margin" w:xAlign="center" w:y="1"/>
      <w:rPr>
        <w:rStyle w:val="49"/>
      </w:rPr>
    </w:pPr>
    <w:r>
      <w:t xml:space="preserve">- </w:t>
    </w:r>
    <w:r>
      <w:rPr>
        <w:rFonts w:hint="eastAsia" w:ascii="宋体" w:hAnsi="宋体" w:cs="宋体"/>
      </w:rPr>
      <w:fldChar w:fldCharType="begin"/>
    </w:r>
    <w:r>
      <w:rPr>
        <w:rFonts w:hint="eastAsia" w:ascii="宋体" w:hAnsi="宋体" w:cs="宋体"/>
      </w:rPr>
      <w:instrText xml:space="preserve"> PAGE </w:instrText>
    </w:r>
    <w:r>
      <w:rPr>
        <w:rFonts w:hint="eastAsia" w:ascii="宋体" w:hAnsi="宋体" w:cs="宋体"/>
      </w:rPr>
      <w:fldChar w:fldCharType="separate"/>
    </w:r>
    <w:r>
      <w:rPr>
        <w:rFonts w:ascii="宋体" w:hAnsi="宋体" w:cs="宋体"/>
      </w:rPr>
      <w:t>6</w:t>
    </w:r>
    <w:r>
      <w:rPr>
        <w:rFonts w:hint="eastAsia" w:ascii="宋体" w:hAnsi="宋体" w:cs="宋体"/>
      </w:rPr>
      <w:fldChar w:fldCharType="end"/>
    </w:r>
    <w:r>
      <w:rPr>
        <w:rFonts w:hint="eastAsia" w:ascii="宋体" w:hAnsi="宋体" w:cs="宋体"/>
      </w:rPr>
      <w:t xml:space="preserve"> </w:t>
    </w:r>
    <w:r>
      <w:t>-</w:t>
    </w:r>
  </w:p>
  <w:p w14:paraId="36A6F891">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D02E6">
    <w:pPr>
      <w:pStyle w:val="29"/>
      <w:framePr w:wrap="around" w:vAnchor="text" w:hAnchor="margin" w:xAlign="center" w:y="1"/>
      <w:rPr>
        <w:rStyle w:val="49"/>
      </w:rPr>
    </w:pPr>
    <w:r>
      <w:rPr>
        <w:rStyle w:val="49"/>
      </w:rPr>
      <w:fldChar w:fldCharType="begin"/>
    </w:r>
    <w:r>
      <w:rPr>
        <w:rStyle w:val="49"/>
      </w:rPr>
      <w:instrText xml:space="preserve">PAGE  </w:instrText>
    </w:r>
    <w:r>
      <w:rPr>
        <w:rStyle w:val="49"/>
      </w:rPr>
      <w:fldChar w:fldCharType="separate"/>
    </w:r>
    <w:r>
      <w:rPr>
        <w:rStyle w:val="49"/>
      </w:rPr>
      <w:t>2</w:t>
    </w:r>
    <w:r>
      <w:rPr>
        <w:rStyle w:val="49"/>
      </w:rPr>
      <w:fldChar w:fldCharType="end"/>
    </w:r>
  </w:p>
  <w:p w14:paraId="30A67A78">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52F0A">
    <w:pPr>
      <w:tabs>
        <w:tab w:val="center" w:pos="4153"/>
        <w:tab w:val="right" w:pos="8306"/>
      </w:tabs>
      <w:snapToGrid w:val="0"/>
      <w:jc w:val="left"/>
      <w:rPr>
        <w:rFonts w:ascii="Times New Roman" w:hAnsi="Times New Roman" w:eastAsia="宋体" w:cs="Times New Roman"/>
        <w:sz w:val="18"/>
        <w:szCs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0DCD8">
    <w:pPr>
      <w:tabs>
        <w:tab w:val="center" w:pos="4153"/>
        <w:tab w:val="right" w:pos="8306"/>
      </w:tabs>
      <w:snapToGrid w:val="0"/>
      <w:rPr>
        <w:rFonts w:ascii="Times New Roman" w:hAnsi="Times New Roman" w:eastAsia="宋体" w:cs="Times New Roman"/>
        <w:sz w:val="18"/>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E7A9EC"/>
    <w:multiLevelType w:val="singleLevel"/>
    <w:tmpl w:val="8DE7A9EC"/>
    <w:lvl w:ilvl="0" w:tentative="0">
      <w:start w:val="3"/>
      <w:numFmt w:val="chineseCounting"/>
      <w:suff w:val="nothing"/>
      <w:lvlText w:val="%1、"/>
      <w:lvlJc w:val="left"/>
      <w:rPr>
        <w:rFonts w:hint="eastAsia"/>
        <w:b/>
        <w:bCs/>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E90D64DF"/>
    <w:multiLevelType w:val="singleLevel"/>
    <w:tmpl w:val="E90D64DF"/>
    <w:lvl w:ilvl="0" w:tentative="0">
      <w:start w:val="1"/>
      <w:numFmt w:val="decimal"/>
      <w:suff w:val="nothing"/>
      <w:lvlText w:val="%1）"/>
      <w:lvlJc w:val="left"/>
    </w:lvl>
  </w:abstractNum>
  <w:abstractNum w:abstractNumId="7">
    <w:nsid w:val="FA82F364"/>
    <w:multiLevelType w:val="singleLevel"/>
    <w:tmpl w:val="FA82F364"/>
    <w:lvl w:ilvl="0" w:tentative="0">
      <w:start w:val="2"/>
      <w:numFmt w:val="decimal"/>
      <w:suff w:val="nothing"/>
      <w:lvlText w:val="（%1）"/>
      <w:lvlJc w:val="left"/>
    </w:lvl>
  </w:abstractNum>
  <w:abstractNum w:abstractNumId="8">
    <w:nsid w:val="FFEFC674"/>
    <w:multiLevelType w:val="singleLevel"/>
    <w:tmpl w:val="FFEFC674"/>
    <w:lvl w:ilvl="0" w:tentative="0">
      <w:start w:val="1"/>
      <w:numFmt w:val="decimal"/>
      <w:suff w:val="nothing"/>
      <w:lvlText w:val="（%1）"/>
      <w:lvlJc w:val="left"/>
    </w:lvl>
  </w:abstractNum>
  <w:abstractNum w:abstractNumId="9">
    <w:nsid w:val="FFFFFF7C"/>
    <w:multiLevelType w:val="singleLevel"/>
    <w:tmpl w:val="FFFFFF7C"/>
    <w:lvl w:ilvl="0" w:tentative="0">
      <w:start w:val="1"/>
      <w:numFmt w:val="decimal"/>
      <w:pStyle w:val="93"/>
      <w:lvlText w:val="%1."/>
      <w:lvlJc w:val="left"/>
      <w:pPr>
        <w:tabs>
          <w:tab w:val="left" w:pos="7994"/>
        </w:tabs>
        <w:ind w:left="7994" w:leftChars="800" w:hanging="360" w:hangingChars="200"/>
      </w:pPr>
    </w:lvl>
  </w:abstractNum>
  <w:abstractNum w:abstractNumId="10">
    <w:nsid w:val="FFFFFF89"/>
    <w:multiLevelType w:val="singleLevel"/>
    <w:tmpl w:val="FFFFFF89"/>
    <w:lvl w:ilvl="0" w:tentative="0">
      <w:start w:val="1"/>
      <w:numFmt w:val="bullet"/>
      <w:pStyle w:val="15"/>
      <w:lvlText w:val=""/>
      <w:lvlJc w:val="left"/>
      <w:pPr>
        <w:tabs>
          <w:tab w:val="left" w:pos="360"/>
        </w:tabs>
        <w:ind w:left="360" w:hanging="360" w:hangingChars="200"/>
      </w:pPr>
      <w:rPr>
        <w:rFonts w:hint="default" w:ascii="Wingdings" w:hAnsi="Wingdings"/>
      </w:rPr>
    </w:lvl>
  </w:abstractNum>
  <w:abstractNum w:abstractNumId="11">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12503483"/>
    <w:multiLevelType w:val="multilevel"/>
    <w:tmpl w:val="12503483"/>
    <w:lvl w:ilvl="0" w:tentative="0">
      <w:start w:val="1"/>
      <w:numFmt w:val="bullet"/>
      <w:pStyle w:val="122"/>
      <w:lvlText w:val=""/>
      <w:lvlJc w:val="left"/>
      <w:pPr>
        <w:tabs>
          <w:tab w:val="left" w:pos="420"/>
        </w:tabs>
        <w:ind w:left="420" w:hanging="420"/>
      </w:pPr>
      <w:rPr>
        <w:rFonts w:hint="default" w:ascii="Wingdings" w:hAnsi="Wingdings"/>
      </w:rPr>
    </w:lvl>
    <w:lvl w:ilvl="1" w:tentative="0">
      <w:start w:val="1"/>
      <w:numFmt w:val="bullet"/>
      <w:pStyle w:val="121"/>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3">
    <w:nsid w:val="160D20D0"/>
    <w:multiLevelType w:val="multilevel"/>
    <w:tmpl w:val="160D20D0"/>
    <w:lvl w:ilvl="0" w:tentative="0">
      <w:start w:val="1"/>
      <w:numFmt w:val="bullet"/>
      <w:pStyle w:val="108"/>
      <w:lvlText w:val=""/>
      <w:lvlJc w:val="left"/>
      <w:pPr>
        <w:tabs>
          <w:tab w:val="left" w:pos="840"/>
        </w:tabs>
        <w:ind w:left="840" w:hanging="420"/>
      </w:pPr>
      <w:rPr>
        <w:rFonts w:hint="default" w:ascii="Wingdings" w:hAnsi="Wingdings"/>
      </w:rPr>
    </w:lvl>
    <w:lvl w:ilvl="1" w:tentative="0">
      <w:start w:val="1"/>
      <w:numFmt w:val="bullet"/>
      <w:pStyle w:val="109"/>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4">
    <w:nsid w:val="2F395B7B"/>
    <w:multiLevelType w:val="multilevel"/>
    <w:tmpl w:val="2F395B7B"/>
    <w:lvl w:ilvl="0" w:tentative="0">
      <w:start w:val="1"/>
      <w:numFmt w:val="bullet"/>
      <w:pStyle w:val="181"/>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15">
    <w:nsid w:val="691B7020"/>
    <w:multiLevelType w:val="singleLevel"/>
    <w:tmpl w:val="691B7020"/>
    <w:lvl w:ilvl="0" w:tentative="0">
      <w:start w:val="1"/>
      <w:numFmt w:val="decimal"/>
      <w:suff w:val="space"/>
      <w:lvlText w:val="%1."/>
      <w:lvlJc w:val="left"/>
    </w:lvl>
  </w:abstractNum>
  <w:abstractNum w:abstractNumId="16">
    <w:nsid w:val="7A0F6431"/>
    <w:multiLevelType w:val="singleLevel"/>
    <w:tmpl w:val="7A0F6431"/>
    <w:lvl w:ilvl="0" w:tentative="0">
      <w:start w:val="1"/>
      <w:numFmt w:val="decimal"/>
      <w:suff w:val="space"/>
      <w:lvlText w:val="%1."/>
      <w:lvlJc w:val="left"/>
    </w:lvl>
  </w:abstractNum>
  <w:abstractNum w:abstractNumId="17">
    <w:nsid w:val="7AEF7716"/>
    <w:multiLevelType w:val="multilevel"/>
    <w:tmpl w:val="7AEF7716"/>
    <w:lvl w:ilvl="0" w:tentative="0">
      <w:start w:val="1"/>
      <w:numFmt w:val="chineseCountingThousand"/>
      <w:pStyle w:val="135"/>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0"/>
  </w:num>
  <w:num w:numId="2">
    <w:abstractNumId w:val="9"/>
  </w:num>
  <w:num w:numId="3">
    <w:abstractNumId w:val="13"/>
  </w:num>
  <w:num w:numId="4">
    <w:abstractNumId w:val="12"/>
  </w:num>
  <w:num w:numId="5">
    <w:abstractNumId w:val="17"/>
  </w:num>
  <w:num w:numId="6">
    <w:abstractNumId w:val="14"/>
  </w:num>
  <w:num w:numId="7">
    <w:abstractNumId w:val="7"/>
  </w:num>
  <w:num w:numId="8">
    <w:abstractNumId w:val="0"/>
  </w:num>
  <w:num w:numId="9">
    <w:abstractNumId w:val="15"/>
  </w:num>
  <w:num w:numId="10">
    <w:abstractNumId w:val="6"/>
  </w:num>
  <w:num w:numId="11">
    <w:abstractNumId w:val="16"/>
  </w:num>
  <w:num w:numId="12">
    <w:abstractNumId w:val="2"/>
  </w:num>
  <w:num w:numId="13">
    <w:abstractNumId w:val="8"/>
  </w:num>
  <w:num w:numId="14">
    <w:abstractNumId w:val="4"/>
  </w:num>
  <w:num w:numId="15">
    <w:abstractNumId w:val="3"/>
  </w:num>
  <w:num w:numId="16">
    <w:abstractNumId w:val="1"/>
  </w:num>
  <w:num w:numId="17">
    <w:abstractNumId w:val="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0ZThlYWQxNWZjMDAxNmMyOGU5NTY4ZWIwN2EwZDIifQ=="/>
  </w:docVars>
  <w:rsids>
    <w:rsidRoot w:val="00EE7B01"/>
    <w:rsid w:val="000141F5"/>
    <w:rsid w:val="00015946"/>
    <w:rsid w:val="0001674C"/>
    <w:rsid w:val="000811D3"/>
    <w:rsid w:val="000A1E3A"/>
    <w:rsid w:val="000F6724"/>
    <w:rsid w:val="00114616"/>
    <w:rsid w:val="001208D0"/>
    <w:rsid w:val="001417C5"/>
    <w:rsid w:val="00152939"/>
    <w:rsid w:val="00167FA8"/>
    <w:rsid w:val="00192779"/>
    <w:rsid w:val="001A0E98"/>
    <w:rsid w:val="001D0A5E"/>
    <w:rsid w:val="001F4B5B"/>
    <w:rsid w:val="00203D33"/>
    <w:rsid w:val="00222437"/>
    <w:rsid w:val="00230659"/>
    <w:rsid w:val="0024070D"/>
    <w:rsid w:val="00277316"/>
    <w:rsid w:val="002A0271"/>
    <w:rsid w:val="002A782B"/>
    <w:rsid w:val="002C1197"/>
    <w:rsid w:val="002C6935"/>
    <w:rsid w:val="002E485C"/>
    <w:rsid w:val="00325912"/>
    <w:rsid w:val="00361F12"/>
    <w:rsid w:val="003626B2"/>
    <w:rsid w:val="00380766"/>
    <w:rsid w:val="003979EB"/>
    <w:rsid w:val="003A09DA"/>
    <w:rsid w:val="003F2A69"/>
    <w:rsid w:val="0046643E"/>
    <w:rsid w:val="004A3976"/>
    <w:rsid w:val="004A4211"/>
    <w:rsid w:val="004C1803"/>
    <w:rsid w:val="004C18AA"/>
    <w:rsid w:val="00514EAE"/>
    <w:rsid w:val="0054357C"/>
    <w:rsid w:val="0057628E"/>
    <w:rsid w:val="0058317F"/>
    <w:rsid w:val="0059204A"/>
    <w:rsid w:val="005B7CD0"/>
    <w:rsid w:val="005C02DE"/>
    <w:rsid w:val="005C7838"/>
    <w:rsid w:val="005D3153"/>
    <w:rsid w:val="005E5C2A"/>
    <w:rsid w:val="005F479C"/>
    <w:rsid w:val="00647520"/>
    <w:rsid w:val="00655951"/>
    <w:rsid w:val="00672E0E"/>
    <w:rsid w:val="006A02A7"/>
    <w:rsid w:val="006A5687"/>
    <w:rsid w:val="006B77CA"/>
    <w:rsid w:val="006C51E4"/>
    <w:rsid w:val="006C5D45"/>
    <w:rsid w:val="006F764E"/>
    <w:rsid w:val="007038D5"/>
    <w:rsid w:val="00711552"/>
    <w:rsid w:val="007640A8"/>
    <w:rsid w:val="00765D52"/>
    <w:rsid w:val="0079536A"/>
    <w:rsid w:val="007C1530"/>
    <w:rsid w:val="007E2057"/>
    <w:rsid w:val="007E5C38"/>
    <w:rsid w:val="00847CFF"/>
    <w:rsid w:val="0085596D"/>
    <w:rsid w:val="00870308"/>
    <w:rsid w:val="00892FE8"/>
    <w:rsid w:val="008E1DC6"/>
    <w:rsid w:val="008F332D"/>
    <w:rsid w:val="00907CB7"/>
    <w:rsid w:val="009223FB"/>
    <w:rsid w:val="00941CC3"/>
    <w:rsid w:val="00952594"/>
    <w:rsid w:val="00994F07"/>
    <w:rsid w:val="009A5ECF"/>
    <w:rsid w:val="009B29A5"/>
    <w:rsid w:val="009C75A2"/>
    <w:rsid w:val="009E4FA8"/>
    <w:rsid w:val="009F351B"/>
    <w:rsid w:val="00A13C53"/>
    <w:rsid w:val="00A150BD"/>
    <w:rsid w:val="00A20587"/>
    <w:rsid w:val="00A4666B"/>
    <w:rsid w:val="00A973BB"/>
    <w:rsid w:val="00AC5FC3"/>
    <w:rsid w:val="00AF197F"/>
    <w:rsid w:val="00AF473F"/>
    <w:rsid w:val="00B662F2"/>
    <w:rsid w:val="00B94D5F"/>
    <w:rsid w:val="00BA1CEC"/>
    <w:rsid w:val="00BA3C46"/>
    <w:rsid w:val="00BC5005"/>
    <w:rsid w:val="00BD1B4F"/>
    <w:rsid w:val="00BE56C2"/>
    <w:rsid w:val="00C201E9"/>
    <w:rsid w:val="00C23556"/>
    <w:rsid w:val="00C5162B"/>
    <w:rsid w:val="00C544F8"/>
    <w:rsid w:val="00C75247"/>
    <w:rsid w:val="00C91D5D"/>
    <w:rsid w:val="00C945CC"/>
    <w:rsid w:val="00CA1568"/>
    <w:rsid w:val="00CA1E91"/>
    <w:rsid w:val="00CA7B49"/>
    <w:rsid w:val="00CB2666"/>
    <w:rsid w:val="00CB4E96"/>
    <w:rsid w:val="00CD5178"/>
    <w:rsid w:val="00D2664D"/>
    <w:rsid w:val="00D47C7B"/>
    <w:rsid w:val="00D54862"/>
    <w:rsid w:val="00D63DC0"/>
    <w:rsid w:val="00DA01A9"/>
    <w:rsid w:val="00DA58B3"/>
    <w:rsid w:val="00DC6A21"/>
    <w:rsid w:val="00DD6AF2"/>
    <w:rsid w:val="00DE7696"/>
    <w:rsid w:val="00DF119A"/>
    <w:rsid w:val="00E20149"/>
    <w:rsid w:val="00E37A44"/>
    <w:rsid w:val="00E717B5"/>
    <w:rsid w:val="00EC56A5"/>
    <w:rsid w:val="00EE3B5D"/>
    <w:rsid w:val="00EE7B01"/>
    <w:rsid w:val="00EF0926"/>
    <w:rsid w:val="00EF3462"/>
    <w:rsid w:val="00F335BE"/>
    <w:rsid w:val="00F61F0B"/>
    <w:rsid w:val="00F7045C"/>
    <w:rsid w:val="00FB77C8"/>
    <w:rsid w:val="00FF28DC"/>
    <w:rsid w:val="00FF798F"/>
    <w:rsid w:val="01433EA5"/>
    <w:rsid w:val="01537369"/>
    <w:rsid w:val="01F339D5"/>
    <w:rsid w:val="0217174E"/>
    <w:rsid w:val="02D0730E"/>
    <w:rsid w:val="03C33F93"/>
    <w:rsid w:val="059B11DC"/>
    <w:rsid w:val="06974B3B"/>
    <w:rsid w:val="06A9086A"/>
    <w:rsid w:val="07070EA5"/>
    <w:rsid w:val="07A86AAB"/>
    <w:rsid w:val="07CF3B6E"/>
    <w:rsid w:val="08152388"/>
    <w:rsid w:val="0890027E"/>
    <w:rsid w:val="08D87127"/>
    <w:rsid w:val="08E74448"/>
    <w:rsid w:val="09CC6755"/>
    <w:rsid w:val="0A5D3DEB"/>
    <w:rsid w:val="0B3B3792"/>
    <w:rsid w:val="0BEC07AD"/>
    <w:rsid w:val="0C135AB2"/>
    <w:rsid w:val="0CA56E21"/>
    <w:rsid w:val="0CDC6310"/>
    <w:rsid w:val="0CE904BC"/>
    <w:rsid w:val="0D451623"/>
    <w:rsid w:val="0DDE5177"/>
    <w:rsid w:val="0E1B7FD7"/>
    <w:rsid w:val="0E5139F9"/>
    <w:rsid w:val="0E5C5A3F"/>
    <w:rsid w:val="0ED174EF"/>
    <w:rsid w:val="0F936B41"/>
    <w:rsid w:val="10105048"/>
    <w:rsid w:val="102C7704"/>
    <w:rsid w:val="105F3FAA"/>
    <w:rsid w:val="10640986"/>
    <w:rsid w:val="10E70644"/>
    <w:rsid w:val="110D26DD"/>
    <w:rsid w:val="13896799"/>
    <w:rsid w:val="138A175B"/>
    <w:rsid w:val="139F6FB4"/>
    <w:rsid w:val="13DF276F"/>
    <w:rsid w:val="141E6DC3"/>
    <w:rsid w:val="15003A82"/>
    <w:rsid w:val="152359C3"/>
    <w:rsid w:val="16224EBC"/>
    <w:rsid w:val="169A1CB5"/>
    <w:rsid w:val="17017F86"/>
    <w:rsid w:val="171706C3"/>
    <w:rsid w:val="18B26404"/>
    <w:rsid w:val="1910625E"/>
    <w:rsid w:val="19D76BFD"/>
    <w:rsid w:val="1A141D7E"/>
    <w:rsid w:val="1AA42B13"/>
    <w:rsid w:val="1AF2536A"/>
    <w:rsid w:val="1AF86627"/>
    <w:rsid w:val="1B4B7A22"/>
    <w:rsid w:val="1C3C45BD"/>
    <w:rsid w:val="1C6C40F3"/>
    <w:rsid w:val="1C6E3920"/>
    <w:rsid w:val="1C8B3C37"/>
    <w:rsid w:val="1D5E4E05"/>
    <w:rsid w:val="1DF42309"/>
    <w:rsid w:val="1DF4614E"/>
    <w:rsid w:val="1DF77C9E"/>
    <w:rsid w:val="1EEA3E98"/>
    <w:rsid w:val="1F2B2044"/>
    <w:rsid w:val="1F512658"/>
    <w:rsid w:val="1FB44D03"/>
    <w:rsid w:val="20046485"/>
    <w:rsid w:val="203E4662"/>
    <w:rsid w:val="204B604D"/>
    <w:rsid w:val="20967991"/>
    <w:rsid w:val="20AC5DFB"/>
    <w:rsid w:val="21004464"/>
    <w:rsid w:val="214032A2"/>
    <w:rsid w:val="215B12FA"/>
    <w:rsid w:val="21674345"/>
    <w:rsid w:val="21C85398"/>
    <w:rsid w:val="21CE5FAC"/>
    <w:rsid w:val="222373EF"/>
    <w:rsid w:val="22E42C35"/>
    <w:rsid w:val="235415E1"/>
    <w:rsid w:val="23A83A0D"/>
    <w:rsid w:val="24574C9B"/>
    <w:rsid w:val="24741D97"/>
    <w:rsid w:val="24BD373E"/>
    <w:rsid w:val="252B6788"/>
    <w:rsid w:val="26547784"/>
    <w:rsid w:val="26715CFB"/>
    <w:rsid w:val="269218A7"/>
    <w:rsid w:val="26A57985"/>
    <w:rsid w:val="277246AE"/>
    <w:rsid w:val="28357A8F"/>
    <w:rsid w:val="2899001E"/>
    <w:rsid w:val="28E54BC4"/>
    <w:rsid w:val="29385A89"/>
    <w:rsid w:val="29954C89"/>
    <w:rsid w:val="2A33019E"/>
    <w:rsid w:val="2A331ACA"/>
    <w:rsid w:val="2A456A8F"/>
    <w:rsid w:val="2A4B1D4A"/>
    <w:rsid w:val="2B1A0404"/>
    <w:rsid w:val="2B381D70"/>
    <w:rsid w:val="2B6E5792"/>
    <w:rsid w:val="2B9D4E7A"/>
    <w:rsid w:val="2BB40245"/>
    <w:rsid w:val="2BC51108"/>
    <w:rsid w:val="2C086C8C"/>
    <w:rsid w:val="2C513B67"/>
    <w:rsid w:val="2CF24F9A"/>
    <w:rsid w:val="2D400B75"/>
    <w:rsid w:val="2DDE4E0D"/>
    <w:rsid w:val="2E126FD1"/>
    <w:rsid w:val="2E4A75CD"/>
    <w:rsid w:val="2E5F7614"/>
    <w:rsid w:val="2F0F5FD2"/>
    <w:rsid w:val="2F236981"/>
    <w:rsid w:val="2FF242FB"/>
    <w:rsid w:val="303E3EFB"/>
    <w:rsid w:val="305D4027"/>
    <w:rsid w:val="30976CD2"/>
    <w:rsid w:val="31131651"/>
    <w:rsid w:val="31465C77"/>
    <w:rsid w:val="31900060"/>
    <w:rsid w:val="32655415"/>
    <w:rsid w:val="33753436"/>
    <w:rsid w:val="337D0E54"/>
    <w:rsid w:val="33E660E2"/>
    <w:rsid w:val="341964B7"/>
    <w:rsid w:val="342B31D2"/>
    <w:rsid w:val="34496BA3"/>
    <w:rsid w:val="352766C9"/>
    <w:rsid w:val="364E4B25"/>
    <w:rsid w:val="368968E3"/>
    <w:rsid w:val="36E66D1E"/>
    <w:rsid w:val="3810197F"/>
    <w:rsid w:val="397D1296"/>
    <w:rsid w:val="39DF6E5D"/>
    <w:rsid w:val="3A8F160F"/>
    <w:rsid w:val="3AD061D5"/>
    <w:rsid w:val="3BB333B7"/>
    <w:rsid w:val="3C090BBF"/>
    <w:rsid w:val="3CDA7865"/>
    <w:rsid w:val="3E4660FB"/>
    <w:rsid w:val="3E7561DB"/>
    <w:rsid w:val="3F612297"/>
    <w:rsid w:val="404D5F3C"/>
    <w:rsid w:val="40D56C19"/>
    <w:rsid w:val="410249FD"/>
    <w:rsid w:val="411E6EBB"/>
    <w:rsid w:val="414A7205"/>
    <w:rsid w:val="415F3F89"/>
    <w:rsid w:val="41A35873"/>
    <w:rsid w:val="41B2522E"/>
    <w:rsid w:val="42714CF0"/>
    <w:rsid w:val="428C5620"/>
    <w:rsid w:val="42D07CF3"/>
    <w:rsid w:val="431247FD"/>
    <w:rsid w:val="433A38BB"/>
    <w:rsid w:val="4350355E"/>
    <w:rsid w:val="43984096"/>
    <w:rsid w:val="449C15EE"/>
    <w:rsid w:val="45136F5B"/>
    <w:rsid w:val="452A22D2"/>
    <w:rsid w:val="454347E2"/>
    <w:rsid w:val="457B2B2E"/>
    <w:rsid w:val="45811396"/>
    <w:rsid w:val="46F72688"/>
    <w:rsid w:val="47A41A97"/>
    <w:rsid w:val="47F34E97"/>
    <w:rsid w:val="482F64FC"/>
    <w:rsid w:val="4842760F"/>
    <w:rsid w:val="485E0BFB"/>
    <w:rsid w:val="49046AC3"/>
    <w:rsid w:val="49F36575"/>
    <w:rsid w:val="4A2178D2"/>
    <w:rsid w:val="4A30056F"/>
    <w:rsid w:val="4A8F76F6"/>
    <w:rsid w:val="4B7C18F1"/>
    <w:rsid w:val="4C77260F"/>
    <w:rsid w:val="4D4E0B28"/>
    <w:rsid w:val="4D5E3185"/>
    <w:rsid w:val="4E0D453F"/>
    <w:rsid w:val="4E710F72"/>
    <w:rsid w:val="4F1F277C"/>
    <w:rsid w:val="503E4E84"/>
    <w:rsid w:val="505603BC"/>
    <w:rsid w:val="508E10C4"/>
    <w:rsid w:val="50C2287B"/>
    <w:rsid w:val="515203DF"/>
    <w:rsid w:val="51ED0FF4"/>
    <w:rsid w:val="52564C46"/>
    <w:rsid w:val="52635075"/>
    <w:rsid w:val="52E361B6"/>
    <w:rsid w:val="53BF432D"/>
    <w:rsid w:val="540B1521"/>
    <w:rsid w:val="55C91693"/>
    <w:rsid w:val="55F024A8"/>
    <w:rsid w:val="56372AA1"/>
    <w:rsid w:val="567E7AA0"/>
    <w:rsid w:val="574C6807"/>
    <w:rsid w:val="57B123DF"/>
    <w:rsid w:val="57D65F2C"/>
    <w:rsid w:val="587547D2"/>
    <w:rsid w:val="58D31010"/>
    <w:rsid w:val="58DC348C"/>
    <w:rsid w:val="598863C7"/>
    <w:rsid w:val="59934233"/>
    <w:rsid w:val="5AE96334"/>
    <w:rsid w:val="5B052BC5"/>
    <w:rsid w:val="5B3A6B8F"/>
    <w:rsid w:val="5B9F79E5"/>
    <w:rsid w:val="5C966595"/>
    <w:rsid w:val="5E70299E"/>
    <w:rsid w:val="5F680459"/>
    <w:rsid w:val="5FD117C0"/>
    <w:rsid w:val="5FEE6B72"/>
    <w:rsid w:val="6020478F"/>
    <w:rsid w:val="61C71459"/>
    <w:rsid w:val="61D71A8A"/>
    <w:rsid w:val="6260512D"/>
    <w:rsid w:val="633731E5"/>
    <w:rsid w:val="63666F18"/>
    <w:rsid w:val="63D5361B"/>
    <w:rsid w:val="645A62C2"/>
    <w:rsid w:val="64A85309"/>
    <w:rsid w:val="652438EB"/>
    <w:rsid w:val="65B70DFC"/>
    <w:rsid w:val="673821D5"/>
    <w:rsid w:val="67631DF5"/>
    <w:rsid w:val="67F56318"/>
    <w:rsid w:val="680947DF"/>
    <w:rsid w:val="685228C8"/>
    <w:rsid w:val="68E02B2D"/>
    <w:rsid w:val="69846124"/>
    <w:rsid w:val="69B0084D"/>
    <w:rsid w:val="69B30239"/>
    <w:rsid w:val="69E71C90"/>
    <w:rsid w:val="6A915B6E"/>
    <w:rsid w:val="6AB939E7"/>
    <w:rsid w:val="6B392A80"/>
    <w:rsid w:val="6BE6558D"/>
    <w:rsid w:val="6C01652B"/>
    <w:rsid w:val="6D013883"/>
    <w:rsid w:val="6D496A5A"/>
    <w:rsid w:val="6DF350A8"/>
    <w:rsid w:val="6E7361E8"/>
    <w:rsid w:val="6E9C28CC"/>
    <w:rsid w:val="6ED95E7C"/>
    <w:rsid w:val="6F2B23D1"/>
    <w:rsid w:val="6F6705CF"/>
    <w:rsid w:val="6F717305"/>
    <w:rsid w:val="6FC55C68"/>
    <w:rsid w:val="6FF46EB5"/>
    <w:rsid w:val="6FFA4128"/>
    <w:rsid w:val="71CF29F1"/>
    <w:rsid w:val="725E3AA4"/>
    <w:rsid w:val="72763EE3"/>
    <w:rsid w:val="7289081E"/>
    <w:rsid w:val="74AB2EAE"/>
    <w:rsid w:val="75021CE6"/>
    <w:rsid w:val="758E4325"/>
    <w:rsid w:val="759F78C3"/>
    <w:rsid w:val="7610472F"/>
    <w:rsid w:val="76705730"/>
    <w:rsid w:val="7685780B"/>
    <w:rsid w:val="76933041"/>
    <w:rsid w:val="76985A4C"/>
    <w:rsid w:val="76D0242A"/>
    <w:rsid w:val="773407FB"/>
    <w:rsid w:val="782A3DBC"/>
    <w:rsid w:val="784C7389"/>
    <w:rsid w:val="7879089F"/>
    <w:rsid w:val="79116D2A"/>
    <w:rsid w:val="79187B3A"/>
    <w:rsid w:val="797D31C5"/>
    <w:rsid w:val="7A676EE2"/>
    <w:rsid w:val="7A7E5845"/>
    <w:rsid w:val="7A8111B2"/>
    <w:rsid w:val="7A8C00B6"/>
    <w:rsid w:val="7C320787"/>
    <w:rsid w:val="7C694787"/>
    <w:rsid w:val="7D4F1BCF"/>
    <w:rsid w:val="7DB153AB"/>
    <w:rsid w:val="7E682F48"/>
    <w:rsid w:val="7EB711C8"/>
    <w:rsid w:val="7F725377"/>
    <w:rsid w:val="7FC95C68"/>
    <w:rsid w:val="7FFF16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3"/>
    <w:next w:val="1"/>
    <w:link w:val="63"/>
    <w:qFormat/>
    <w:uiPriority w:val="0"/>
    <w:pPr>
      <w:spacing w:before="340" w:after="330" w:line="360" w:lineRule="auto"/>
      <w:jc w:val="center"/>
      <w:outlineLvl w:val="0"/>
    </w:pPr>
    <w:rPr>
      <w:rFonts w:eastAsia="黑体"/>
      <w:kern w:val="44"/>
      <w:szCs w:val="44"/>
    </w:rPr>
  </w:style>
  <w:style w:type="paragraph" w:styleId="5">
    <w:name w:val="heading 2"/>
    <w:basedOn w:val="3"/>
    <w:next w:val="4"/>
    <w:link w:val="64"/>
    <w:qFormat/>
    <w:uiPriority w:val="0"/>
    <w:pPr>
      <w:adjustRightInd w:val="0"/>
      <w:jc w:val="center"/>
      <w:textAlignment w:val="baseline"/>
      <w:outlineLvl w:val="1"/>
    </w:pPr>
    <w:rPr>
      <w:kern w:val="0"/>
      <w:sz w:val="24"/>
      <w:szCs w:val="20"/>
    </w:rPr>
  </w:style>
  <w:style w:type="paragraph" w:styleId="3">
    <w:name w:val="heading 3"/>
    <w:basedOn w:val="4"/>
    <w:next w:val="1"/>
    <w:link w:val="91"/>
    <w:qFormat/>
    <w:uiPriority w:val="9"/>
    <w:pPr>
      <w:spacing w:before="260" w:after="260" w:line="240" w:lineRule="auto"/>
      <w:outlineLvl w:val="2"/>
    </w:pPr>
    <w:rPr>
      <w:rFonts w:ascii="宋体" w:hAnsi="宋体" w:eastAsia="宋体"/>
      <w:szCs w:val="32"/>
    </w:rPr>
  </w:style>
  <w:style w:type="paragraph" w:styleId="4">
    <w:name w:val="heading 4"/>
    <w:basedOn w:val="1"/>
    <w:next w:val="1"/>
    <w:link w:val="66"/>
    <w:qFormat/>
    <w:uiPriority w:val="9"/>
    <w:pPr>
      <w:keepNext/>
      <w:keepLines/>
      <w:spacing w:before="280" w:after="290" w:line="376" w:lineRule="auto"/>
      <w:outlineLvl w:val="3"/>
    </w:pPr>
    <w:rPr>
      <w:rFonts w:ascii="Arial" w:hAnsi="Arial" w:eastAsia="黑体" w:cs="Times New Roman"/>
      <w:b/>
      <w:bCs/>
      <w:sz w:val="28"/>
      <w:szCs w:val="28"/>
    </w:rPr>
  </w:style>
  <w:style w:type="paragraph" w:styleId="6">
    <w:name w:val="heading 5"/>
    <w:basedOn w:val="1"/>
    <w:next w:val="7"/>
    <w:link w:val="67"/>
    <w:qFormat/>
    <w:uiPriority w:val="0"/>
    <w:pPr>
      <w:keepNext/>
      <w:keepLines/>
      <w:spacing w:before="280" w:after="290" w:line="376" w:lineRule="auto"/>
      <w:outlineLvl w:val="4"/>
    </w:pPr>
    <w:rPr>
      <w:rFonts w:ascii="Times New Roman" w:hAnsi="Times New Roman" w:eastAsia="宋体" w:cs="Times New Roman"/>
      <w:b/>
      <w:sz w:val="28"/>
      <w:szCs w:val="20"/>
    </w:rPr>
  </w:style>
  <w:style w:type="paragraph" w:styleId="9">
    <w:name w:val="heading 6"/>
    <w:basedOn w:val="1"/>
    <w:next w:val="7"/>
    <w:link w:val="68"/>
    <w:qFormat/>
    <w:uiPriority w:val="0"/>
    <w:pPr>
      <w:keepNext/>
      <w:keepLines/>
      <w:spacing w:before="240" w:after="64" w:line="320" w:lineRule="auto"/>
      <w:outlineLvl w:val="5"/>
    </w:pPr>
    <w:rPr>
      <w:rFonts w:ascii="Arial" w:hAnsi="Arial" w:eastAsia="黑体" w:cs="Times New Roman"/>
      <w:b/>
      <w:sz w:val="24"/>
      <w:szCs w:val="20"/>
    </w:rPr>
  </w:style>
  <w:style w:type="paragraph" w:styleId="10">
    <w:name w:val="heading 7"/>
    <w:basedOn w:val="1"/>
    <w:next w:val="7"/>
    <w:link w:val="69"/>
    <w:qFormat/>
    <w:uiPriority w:val="0"/>
    <w:pPr>
      <w:keepNext/>
      <w:keepLines/>
      <w:spacing w:before="240" w:after="64" w:line="320" w:lineRule="auto"/>
      <w:outlineLvl w:val="6"/>
    </w:pPr>
    <w:rPr>
      <w:rFonts w:ascii="Times New Roman" w:hAnsi="Times New Roman" w:eastAsia="宋体" w:cs="Times New Roman"/>
      <w:b/>
      <w:sz w:val="24"/>
      <w:szCs w:val="20"/>
    </w:rPr>
  </w:style>
  <w:style w:type="paragraph" w:styleId="11">
    <w:name w:val="heading 8"/>
    <w:basedOn w:val="1"/>
    <w:next w:val="7"/>
    <w:link w:val="70"/>
    <w:qFormat/>
    <w:uiPriority w:val="0"/>
    <w:pPr>
      <w:keepNext/>
      <w:keepLines/>
      <w:spacing w:before="240" w:after="64" w:line="320" w:lineRule="auto"/>
      <w:outlineLvl w:val="7"/>
    </w:pPr>
    <w:rPr>
      <w:rFonts w:ascii="Arial" w:hAnsi="Arial" w:eastAsia="黑体" w:cs="Times New Roman"/>
      <w:sz w:val="24"/>
      <w:szCs w:val="20"/>
    </w:rPr>
  </w:style>
  <w:style w:type="paragraph" w:styleId="12">
    <w:name w:val="heading 9"/>
    <w:basedOn w:val="1"/>
    <w:next w:val="7"/>
    <w:link w:val="71"/>
    <w:qFormat/>
    <w:uiPriority w:val="0"/>
    <w:pPr>
      <w:keepNext/>
      <w:keepLines/>
      <w:spacing w:before="240" w:after="64" w:line="320" w:lineRule="auto"/>
      <w:outlineLvl w:val="8"/>
    </w:pPr>
    <w:rPr>
      <w:rFonts w:ascii="Arial" w:hAnsi="Arial" w:eastAsia="黑体" w:cs="Times New Roman"/>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8"/>
    <w:link w:val="92"/>
    <w:qFormat/>
    <w:uiPriority w:val="0"/>
    <w:pPr>
      <w:ind w:firstLine="420"/>
    </w:pPr>
    <w:rPr>
      <w:rFonts w:ascii="Times New Roman" w:hAnsi="Times New Roman" w:eastAsia="宋体" w:cs="Times New Roman"/>
      <w:szCs w:val="20"/>
    </w:rPr>
  </w:style>
  <w:style w:type="paragraph" w:customStyle="1" w:styleId="8">
    <w:name w:val="正文内容格式"/>
    <w:basedOn w:val="1"/>
    <w:qFormat/>
    <w:uiPriority w:val="0"/>
    <w:pPr>
      <w:adjustRightInd w:val="0"/>
      <w:snapToGrid w:val="0"/>
      <w:spacing w:line="300" w:lineRule="auto"/>
      <w:textAlignment w:val="baseline"/>
    </w:pPr>
    <w:rPr>
      <w:rFonts w:hint="eastAsia" w:ascii="宋体" w:hAnsi="宋体" w:eastAsia="宋体" w:cs="Times New Roman"/>
      <w:szCs w:val="21"/>
    </w:rPr>
  </w:style>
  <w:style w:type="paragraph" w:styleId="13">
    <w:name w:val="toc 7"/>
    <w:basedOn w:val="1"/>
    <w:next w:val="1"/>
    <w:semiHidden/>
    <w:qFormat/>
    <w:uiPriority w:val="0"/>
    <w:pPr>
      <w:ind w:left="1260"/>
      <w:jc w:val="left"/>
    </w:pPr>
    <w:rPr>
      <w:rFonts w:ascii="Times New Roman" w:hAnsi="Times New Roman" w:eastAsia="宋体" w:cs="Times New Roman"/>
      <w:szCs w:val="21"/>
    </w:rPr>
  </w:style>
  <w:style w:type="paragraph" w:styleId="14">
    <w:name w:val="caption"/>
    <w:basedOn w:val="1"/>
    <w:next w:val="1"/>
    <w:qFormat/>
    <w:uiPriority w:val="0"/>
    <w:pPr>
      <w:widowControl/>
      <w:spacing w:line="360" w:lineRule="auto"/>
      <w:ind w:firstLine="1940" w:firstLineChars="920"/>
      <w:jc w:val="left"/>
    </w:pPr>
    <w:rPr>
      <w:rFonts w:ascii="宋体" w:hAnsi="宋体" w:eastAsia="宋体" w:cs="Times New Roman"/>
      <w:b/>
      <w:bCs/>
      <w:kern w:val="0"/>
      <w:sz w:val="20"/>
      <w:szCs w:val="20"/>
    </w:rPr>
  </w:style>
  <w:style w:type="paragraph" w:styleId="15">
    <w:name w:val="List Bullet"/>
    <w:basedOn w:val="1"/>
    <w:qFormat/>
    <w:uiPriority w:val="0"/>
    <w:pPr>
      <w:numPr>
        <w:ilvl w:val="0"/>
        <w:numId w:val="1"/>
      </w:numPr>
    </w:pPr>
    <w:rPr>
      <w:rFonts w:ascii="Times New Roman" w:hAnsi="Times New Roman" w:eastAsia="宋体" w:cs="Times New Roman"/>
      <w:szCs w:val="20"/>
    </w:rPr>
  </w:style>
  <w:style w:type="paragraph" w:styleId="16">
    <w:name w:val="Document Map"/>
    <w:basedOn w:val="1"/>
    <w:link w:val="74"/>
    <w:semiHidden/>
    <w:qFormat/>
    <w:uiPriority w:val="0"/>
    <w:pPr>
      <w:shd w:val="clear" w:color="auto" w:fill="000080"/>
    </w:pPr>
    <w:rPr>
      <w:rFonts w:ascii="Times New Roman" w:hAnsi="Times New Roman" w:eastAsia="宋体" w:cs="Times New Roman"/>
      <w:szCs w:val="24"/>
    </w:rPr>
  </w:style>
  <w:style w:type="paragraph" w:styleId="17">
    <w:name w:val="annotation text"/>
    <w:basedOn w:val="1"/>
    <w:link w:val="75"/>
    <w:qFormat/>
    <w:uiPriority w:val="0"/>
    <w:pPr>
      <w:autoSpaceDE w:val="0"/>
      <w:autoSpaceDN w:val="0"/>
      <w:adjustRightInd w:val="0"/>
      <w:jc w:val="left"/>
      <w:textAlignment w:val="baseline"/>
    </w:pPr>
    <w:rPr>
      <w:rFonts w:ascii="宋体" w:hAnsi="Times New Roman" w:eastAsia="宋体" w:cs="Times New Roman"/>
      <w:kern w:val="0"/>
      <w:sz w:val="34"/>
      <w:szCs w:val="20"/>
    </w:rPr>
  </w:style>
  <w:style w:type="paragraph" w:styleId="18">
    <w:name w:val="Body Text 3"/>
    <w:basedOn w:val="1"/>
    <w:link w:val="76"/>
    <w:qFormat/>
    <w:uiPriority w:val="0"/>
    <w:pPr>
      <w:spacing w:after="120"/>
    </w:pPr>
    <w:rPr>
      <w:rFonts w:ascii="Times New Roman" w:hAnsi="Times New Roman" w:eastAsia="宋体" w:cs="Times New Roman"/>
      <w:sz w:val="16"/>
      <w:szCs w:val="16"/>
    </w:rPr>
  </w:style>
  <w:style w:type="paragraph" w:styleId="19">
    <w:name w:val="Body Text"/>
    <w:basedOn w:val="1"/>
    <w:next w:val="20"/>
    <w:link w:val="72"/>
    <w:unhideWhenUsed/>
    <w:qFormat/>
    <w:uiPriority w:val="0"/>
    <w:pPr>
      <w:spacing w:after="120"/>
    </w:pPr>
    <w:rPr>
      <w:rFonts w:ascii="Times New Roman" w:hAnsi="Times New Roman" w:eastAsia="宋体" w:cs="Times New Roman"/>
      <w:szCs w:val="24"/>
    </w:rPr>
  </w:style>
  <w:style w:type="paragraph" w:styleId="20">
    <w:name w:val="Body Text 2"/>
    <w:basedOn w:val="1"/>
    <w:link w:val="73"/>
    <w:qFormat/>
    <w:uiPriority w:val="0"/>
    <w:pPr>
      <w:spacing w:line="360" w:lineRule="auto"/>
    </w:pPr>
    <w:rPr>
      <w:rFonts w:ascii="Times New Roman" w:hAnsi="Times New Roman" w:eastAsia="宋体" w:cs="Times New Roman"/>
      <w:sz w:val="24"/>
      <w:szCs w:val="24"/>
    </w:rPr>
  </w:style>
  <w:style w:type="paragraph" w:styleId="21">
    <w:name w:val="Body Text Indent"/>
    <w:basedOn w:val="1"/>
    <w:link w:val="77"/>
    <w:qFormat/>
    <w:uiPriority w:val="0"/>
    <w:pPr>
      <w:spacing w:line="360" w:lineRule="auto"/>
      <w:ind w:firstLine="420" w:firstLineChars="200"/>
    </w:pPr>
    <w:rPr>
      <w:rFonts w:ascii="Times New Roman" w:hAnsi="Times New Roman" w:eastAsia="宋体" w:cs="Times New Roman"/>
      <w:szCs w:val="24"/>
    </w:rPr>
  </w:style>
  <w:style w:type="paragraph" w:styleId="22">
    <w:name w:val="toc 5"/>
    <w:basedOn w:val="1"/>
    <w:next w:val="1"/>
    <w:semiHidden/>
    <w:qFormat/>
    <w:uiPriority w:val="0"/>
    <w:pPr>
      <w:ind w:left="840"/>
      <w:jc w:val="left"/>
    </w:pPr>
    <w:rPr>
      <w:rFonts w:ascii="Times New Roman" w:hAnsi="Times New Roman" w:eastAsia="宋体" w:cs="Times New Roman"/>
      <w:szCs w:val="21"/>
    </w:rPr>
  </w:style>
  <w:style w:type="paragraph" w:styleId="23">
    <w:name w:val="toc 3"/>
    <w:basedOn w:val="1"/>
    <w:next w:val="1"/>
    <w:semiHidden/>
    <w:qFormat/>
    <w:uiPriority w:val="0"/>
    <w:pPr>
      <w:ind w:left="420"/>
      <w:jc w:val="left"/>
    </w:pPr>
    <w:rPr>
      <w:rFonts w:ascii="Times New Roman" w:hAnsi="Times New Roman" w:eastAsia="宋体" w:cs="Times New Roman"/>
      <w:i/>
      <w:iCs/>
      <w:szCs w:val="24"/>
    </w:rPr>
  </w:style>
  <w:style w:type="paragraph" w:styleId="24">
    <w:name w:val="Plain Text"/>
    <w:basedOn w:val="1"/>
    <w:link w:val="78"/>
    <w:qFormat/>
    <w:uiPriority w:val="0"/>
    <w:rPr>
      <w:rFonts w:ascii="宋体" w:hAnsi="Courier New" w:eastAsia="宋体" w:cs="Times New Roman"/>
      <w:szCs w:val="20"/>
    </w:rPr>
  </w:style>
  <w:style w:type="paragraph" w:styleId="25">
    <w:name w:val="toc 8"/>
    <w:basedOn w:val="1"/>
    <w:next w:val="1"/>
    <w:semiHidden/>
    <w:qFormat/>
    <w:uiPriority w:val="0"/>
    <w:pPr>
      <w:ind w:left="1470"/>
      <w:jc w:val="left"/>
    </w:pPr>
    <w:rPr>
      <w:rFonts w:ascii="Times New Roman" w:hAnsi="Times New Roman" w:eastAsia="宋体" w:cs="Times New Roman"/>
      <w:szCs w:val="21"/>
    </w:rPr>
  </w:style>
  <w:style w:type="paragraph" w:styleId="26">
    <w:name w:val="Date"/>
    <w:basedOn w:val="1"/>
    <w:next w:val="1"/>
    <w:link w:val="79"/>
    <w:qFormat/>
    <w:uiPriority w:val="0"/>
    <w:rPr>
      <w:rFonts w:ascii="宋体" w:hAnsi="Courier New" w:eastAsia="宋体" w:cs="Times New Roman"/>
      <w:sz w:val="32"/>
      <w:szCs w:val="20"/>
    </w:rPr>
  </w:style>
  <w:style w:type="paragraph" w:styleId="27">
    <w:name w:val="Body Text Indent 2"/>
    <w:basedOn w:val="1"/>
    <w:link w:val="80"/>
    <w:qFormat/>
    <w:uiPriority w:val="0"/>
    <w:pPr>
      <w:spacing w:beforeLines="50" w:afterLines="50" w:line="120" w:lineRule="auto"/>
      <w:ind w:firstLine="840" w:firstLineChars="400"/>
      <w:jc w:val="left"/>
    </w:pPr>
    <w:rPr>
      <w:rFonts w:ascii="宋体" w:hAnsi="宋体" w:eastAsia="宋体" w:cs="Times New Roman"/>
      <w:szCs w:val="24"/>
    </w:rPr>
  </w:style>
  <w:style w:type="paragraph" w:styleId="28">
    <w:name w:val="Balloon Text"/>
    <w:basedOn w:val="1"/>
    <w:link w:val="81"/>
    <w:semiHidden/>
    <w:qFormat/>
    <w:uiPriority w:val="99"/>
    <w:rPr>
      <w:rFonts w:ascii="Times New Roman" w:hAnsi="Times New Roman" w:eastAsia="宋体" w:cs="Times New Roman"/>
      <w:sz w:val="18"/>
      <w:szCs w:val="18"/>
    </w:rPr>
  </w:style>
  <w:style w:type="paragraph" w:styleId="29">
    <w:name w:val="footer"/>
    <w:basedOn w:val="1"/>
    <w:link w:val="82"/>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30">
    <w:name w:val="header"/>
    <w:basedOn w:val="1"/>
    <w:link w:val="83"/>
    <w:qFormat/>
    <w:uiPriority w:val="99"/>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31">
    <w:name w:val="toc 1"/>
    <w:basedOn w:val="1"/>
    <w:next w:val="1"/>
    <w:qFormat/>
    <w:uiPriority w:val="0"/>
    <w:pPr>
      <w:spacing w:before="120" w:after="120"/>
      <w:jc w:val="left"/>
    </w:pPr>
    <w:rPr>
      <w:rFonts w:ascii="Times New Roman" w:hAnsi="Times New Roman" w:eastAsia="宋体" w:cs="Times New Roman"/>
      <w:b/>
      <w:bCs/>
      <w:caps/>
      <w:szCs w:val="24"/>
    </w:rPr>
  </w:style>
  <w:style w:type="paragraph" w:styleId="32">
    <w:name w:val="toc 4"/>
    <w:basedOn w:val="1"/>
    <w:next w:val="1"/>
    <w:semiHidden/>
    <w:qFormat/>
    <w:uiPriority w:val="0"/>
    <w:pPr>
      <w:ind w:left="630"/>
      <w:jc w:val="left"/>
    </w:pPr>
    <w:rPr>
      <w:rFonts w:ascii="Times New Roman" w:hAnsi="Times New Roman" w:eastAsia="宋体" w:cs="Times New Roman"/>
      <w:szCs w:val="21"/>
    </w:rPr>
  </w:style>
  <w:style w:type="paragraph" w:styleId="33">
    <w:name w:val="Subtitle"/>
    <w:next w:val="1"/>
    <w:link w:val="84"/>
    <w:qFormat/>
    <w:uiPriority w:val="0"/>
    <w:pPr>
      <w:wordWrap w:val="0"/>
      <w:spacing w:after="60"/>
      <w:jc w:val="center"/>
    </w:pPr>
    <w:rPr>
      <w:rFonts w:ascii="Calibri" w:hAnsi="Calibri" w:eastAsia="宋体" w:cs="Times New Roman"/>
      <w:sz w:val="24"/>
      <w:lang w:val="en-US" w:eastAsia="zh-CN" w:bidi="ar-SA"/>
    </w:rPr>
  </w:style>
  <w:style w:type="paragraph" w:styleId="34">
    <w:name w:val="toc 6"/>
    <w:basedOn w:val="1"/>
    <w:next w:val="1"/>
    <w:semiHidden/>
    <w:qFormat/>
    <w:uiPriority w:val="0"/>
    <w:pPr>
      <w:ind w:left="1050"/>
      <w:jc w:val="left"/>
    </w:pPr>
    <w:rPr>
      <w:rFonts w:ascii="Times New Roman" w:hAnsi="Times New Roman" w:eastAsia="宋体" w:cs="Times New Roman"/>
      <w:szCs w:val="21"/>
    </w:rPr>
  </w:style>
  <w:style w:type="paragraph" w:styleId="35">
    <w:name w:val="Body Text Indent 3"/>
    <w:basedOn w:val="1"/>
    <w:link w:val="85"/>
    <w:qFormat/>
    <w:uiPriority w:val="0"/>
    <w:pPr>
      <w:spacing w:line="360" w:lineRule="auto"/>
      <w:ind w:firstLine="482" w:firstLineChars="200"/>
    </w:pPr>
    <w:rPr>
      <w:rFonts w:ascii="宋体" w:hAnsi="Times New Roman" w:eastAsia="宋体" w:cs="Times New Roman"/>
      <w:b/>
      <w:bCs/>
      <w:sz w:val="24"/>
      <w:szCs w:val="24"/>
    </w:rPr>
  </w:style>
  <w:style w:type="paragraph" w:styleId="36">
    <w:name w:val="toc 2"/>
    <w:basedOn w:val="1"/>
    <w:next w:val="1"/>
    <w:semiHidden/>
    <w:qFormat/>
    <w:uiPriority w:val="0"/>
    <w:pPr>
      <w:tabs>
        <w:tab w:val="right" w:leader="dot" w:pos="8296"/>
      </w:tabs>
      <w:ind w:left="210"/>
      <w:jc w:val="left"/>
    </w:pPr>
    <w:rPr>
      <w:rFonts w:ascii="Times New Roman" w:hAnsi="Times New Roman" w:eastAsia="宋体" w:cs="Times New Roman"/>
      <w:smallCaps/>
      <w:szCs w:val="24"/>
    </w:rPr>
  </w:style>
  <w:style w:type="paragraph" w:styleId="37">
    <w:name w:val="toc 9"/>
    <w:basedOn w:val="1"/>
    <w:next w:val="1"/>
    <w:semiHidden/>
    <w:qFormat/>
    <w:uiPriority w:val="0"/>
    <w:pPr>
      <w:ind w:left="1680"/>
      <w:jc w:val="left"/>
    </w:pPr>
    <w:rPr>
      <w:rFonts w:ascii="Times New Roman" w:hAnsi="Times New Roman" w:eastAsia="宋体" w:cs="Times New Roman"/>
      <w:szCs w:val="21"/>
    </w:rPr>
  </w:style>
  <w:style w:type="paragraph" w:styleId="38">
    <w:name w:val="HTML Preformatted"/>
    <w:basedOn w:val="1"/>
    <w:link w:val="8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s="Times New Roman"/>
      <w:color w:val="000000"/>
      <w:kern w:val="0"/>
      <w:sz w:val="20"/>
      <w:szCs w:val="20"/>
    </w:rPr>
  </w:style>
  <w:style w:type="paragraph" w:styleId="39">
    <w:name w:val="Normal (Web)"/>
    <w:basedOn w:val="1"/>
    <w:qFormat/>
    <w:uiPriority w:val="99"/>
    <w:pPr>
      <w:spacing w:beforeAutospacing="1" w:afterAutospacing="1"/>
      <w:jc w:val="left"/>
    </w:pPr>
    <w:rPr>
      <w:rFonts w:ascii="Times New Roman" w:hAnsi="Times New Roman" w:eastAsia="宋体" w:cs="Times New Roman"/>
      <w:kern w:val="0"/>
      <w:sz w:val="24"/>
      <w:szCs w:val="24"/>
    </w:rPr>
  </w:style>
  <w:style w:type="paragraph" w:styleId="40">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eastAsia="宋体" w:cs="Times New Roman"/>
      <w:sz w:val="24"/>
      <w:szCs w:val="24"/>
    </w:rPr>
  </w:style>
  <w:style w:type="paragraph" w:styleId="41">
    <w:name w:val="Title"/>
    <w:basedOn w:val="1"/>
    <w:next w:val="1"/>
    <w:link w:val="87"/>
    <w:qFormat/>
    <w:uiPriority w:val="0"/>
    <w:pPr>
      <w:spacing w:before="240" w:after="60"/>
      <w:jc w:val="center"/>
      <w:outlineLvl w:val="0"/>
    </w:pPr>
    <w:rPr>
      <w:rFonts w:ascii="Arial" w:hAnsi="Arial" w:eastAsia="隶书" w:cs="Arial"/>
      <w:b/>
      <w:bCs/>
      <w:sz w:val="32"/>
      <w:szCs w:val="32"/>
    </w:rPr>
  </w:style>
  <w:style w:type="paragraph" w:styleId="42">
    <w:name w:val="annotation subject"/>
    <w:basedOn w:val="17"/>
    <w:next w:val="17"/>
    <w:link w:val="88"/>
    <w:qFormat/>
    <w:uiPriority w:val="99"/>
    <w:pPr>
      <w:autoSpaceDE/>
      <w:autoSpaceDN/>
      <w:adjustRightInd/>
      <w:textAlignment w:val="auto"/>
    </w:pPr>
    <w:rPr>
      <w:rFonts w:ascii="Times New Roman"/>
      <w:b/>
      <w:bCs/>
      <w:kern w:val="2"/>
      <w:sz w:val="21"/>
      <w:szCs w:val="24"/>
    </w:rPr>
  </w:style>
  <w:style w:type="paragraph" w:styleId="43">
    <w:name w:val="Body Text First Indent"/>
    <w:basedOn w:val="19"/>
    <w:link w:val="89"/>
    <w:qFormat/>
    <w:uiPriority w:val="0"/>
    <w:pPr>
      <w:ind w:firstLine="420" w:firstLineChars="100"/>
    </w:pPr>
    <w:rPr>
      <w:b/>
      <w:bCs/>
    </w:rPr>
  </w:style>
  <w:style w:type="table" w:styleId="45">
    <w:name w:val="Table Grid"/>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46">
    <w:name w:val="Table Elegant"/>
    <w:basedOn w:val="44"/>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basedOn w:val="47"/>
    <w:qFormat/>
    <w:uiPriority w:val="0"/>
    <w:rPr>
      <w:b/>
      <w:bCs/>
      <w:sz w:val="20"/>
    </w:rPr>
  </w:style>
  <w:style w:type="character" w:styleId="52">
    <w:name w:val="HTML Definition"/>
    <w:basedOn w:val="47"/>
    <w:semiHidden/>
    <w:unhideWhenUsed/>
    <w:qFormat/>
    <w:uiPriority w:val="99"/>
  </w:style>
  <w:style w:type="character" w:styleId="53">
    <w:name w:val="HTML Typewriter"/>
    <w:basedOn w:val="47"/>
    <w:semiHidden/>
    <w:unhideWhenUsed/>
    <w:qFormat/>
    <w:uiPriority w:val="99"/>
    <w:rPr>
      <w:rFonts w:hint="default" w:ascii="Monospace" w:hAnsi="Monospace" w:eastAsia="Monospace" w:cs="Monospace"/>
      <w:sz w:val="20"/>
    </w:rPr>
  </w:style>
  <w:style w:type="character" w:styleId="54">
    <w:name w:val="HTML Acronym"/>
    <w:basedOn w:val="47"/>
    <w:semiHidden/>
    <w:unhideWhenUsed/>
    <w:qFormat/>
    <w:uiPriority w:val="99"/>
  </w:style>
  <w:style w:type="character" w:styleId="55">
    <w:name w:val="HTML Variable"/>
    <w:basedOn w:val="47"/>
    <w:semiHidden/>
    <w:unhideWhenUsed/>
    <w:qFormat/>
    <w:uiPriority w:val="99"/>
  </w:style>
  <w:style w:type="character" w:styleId="56">
    <w:name w:val="Hyperlink"/>
    <w:qFormat/>
    <w:uiPriority w:val="99"/>
    <w:rPr>
      <w:color w:val="0000FF"/>
      <w:u w:val="single"/>
    </w:rPr>
  </w:style>
  <w:style w:type="character" w:styleId="57">
    <w:name w:val="HTML Code"/>
    <w:basedOn w:val="47"/>
    <w:semiHidden/>
    <w:unhideWhenUsed/>
    <w:qFormat/>
    <w:uiPriority w:val="99"/>
    <w:rPr>
      <w:rFonts w:hint="default" w:ascii="Monospace" w:hAnsi="Monospace" w:eastAsia="Monospace" w:cs="Monospace"/>
      <w:sz w:val="20"/>
    </w:rPr>
  </w:style>
  <w:style w:type="character" w:styleId="58">
    <w:name w:val="annotation reference"/>
    <w:basedOn w:val="47"/>
    <w:qFormat/>
    <w:uiPriority w:val="99"/>
    <w:rPr>
      <w:sz w:val="21"/>
      <w:szCs w:val="21"/>
    </w:rPr>
  </w:style>
  <w:style w:type="character" w:styleId="59">
    <w:name w:val="HTML Cite"/>
    <w:basedOn w:val="47"/>
    <w:semiHidden/>
    <w:unhideWhenUsed/>
    <w:qFormat/>
    <w:uiPriority w:val="99"/>
  </w:style>
  <w:style w:type="character" w:styleId="60">
    <w:name w:val="HTML Keyboard"/>
    <w:basedOn w:val="47"/>
    <w:semiHidden/>
    <w:unhideWhenUsed/>
    <w:qFormat/>
    <w:uiPriority w:val="99"/>
    <w:rPr>
      <w:rFonts w:ascii="Monospace" w:hAnsi="Monospace" w:eastAsia="Monospace" w:cs="Monospace"/>
      <w:sz w:val="20"/>
    </w:rPr>
  </w:style>
  <w:style w:type="character" w:styleId="61">
    <w:name w:val="HTML Sample"/>
    <w:basedOn w:val="47"/>
    <w:semiHidden/>
    <w:unhideWhenUsed/>
    <w:qFormat/>
    <w:uiPriority w:val="99"/>
    <w:rPr>
      <w:rFonts w:hint="default" w:ascii="Monospace" w:hAnsi="Monospace" w:eastAsia="Monospace" w:cs="Monospace"/>
    </w:rPr>
  </w:style>
  <w:style w:type="paragraph" w:styleId="62">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63">
    <w:name w:val="标题 1 Char"/>
    <w:basedOn w:val="47"/>
    <w:link w:val="2"/>
    <w:qFormat/>
    <w:uiPriority w:val="0"/>
    <w:rPr>
      <w:rFonts w:ascii="宋体" w:hAnsi="宋体" w:eastAsia="黑体" w:cs="Times New Roman"/>
      <w:b/>
      <w:bCs/>
      <w:kern w:val="44"/>
      <w:sz w:val="28"/>
      <w:szCs w:val="44"/>
    </w:rPr>
  </w:style>
  <w:style w:type="character" w:customStyle="1" w:styleId="64">
    <w:name w:val="标题 2 Char"/>
    <w:basedOn w:val="47"/>
    <w:link w:val="5"/>
    <w:qFormat/>
    <w:uiPriority w:val="0"/>
    <w:rPr>
      <w:rFonts w:ascii="宋体" w:hAnsi="宋体" w:eastAsia="宋体" w:cs="Times New Roman"/>
      <w:b/>
      <w:bCs/>
      <w:kern w:val="0"/>
      <w:sz w:val="24"/>
      <w:szCs w:val="20"/>
    </w:rPr>
  </w:style>
  <w:style w:type="character" w:customStyle="1" w:styleId="65">
    <w:name w:val="标题 3 Char"/>
    <w:basedOn w:val="47"/>
    <w:qFormat/>
    <w:uiPriority w:val="0"/>
    <w:rPr>
      <w:b/>
      <w:bCs/>
      <w:sz w:val="32"/>
      <w:szCs w:val="32"/>
    </w:rPr>
  </w:style>
  <w:style w:type="character" w:customStyle="1" w:styleId="66">
    <w:name w:val="标题 4 Char"/>
    <w:basedOn w:val="47"/>
    <w:link w:val="4"/>
    <w:qFormat/>
    <w:uiPriority w:val="9"/>
    <w:rPr>
      <w:rFonts w:ascii="Arial" w:hAnsi="Arial" w:eastAsia="黑体" w:cs="Times New Roman"/>
      <w:b/>
      <w:bCs/>
      <w:sz w:val="28"/>
      <w:szCs w:val="28"/>
    </w:rPr>
  </w:style>
  <w:style w:type="character" w:customStyle="1" w:styleId="67">
    <w:name w:val="标题 5 Char"/>
    <w:basedOn w:val="47"/>
    <w:link w:val="6"/>
    <w:qFormat/>
    <w:uiPriority w:val="0"/>
    <w:rPr>
      <w:rFonts w:ascii="Times New Roman" w:hAnsi="Times New Roman" w:eastAsia="宋体" w:cs="Times New Roman"/>
      <w:b/>
      <w:sz w:val="28"/>
      <w:szCs w:val="20"/>
    </w:rPr>
  </w:style>
  <w:style w:type="character" w:customStyle="1" w:styleId="68">
    <w:name w:val="标题 6 Char"/>
    <w:basedOn w:val="47"/>
    <w:link w:val="9"/>
    <w:qFormat/>
    <w:uiPriority w:val="0"/>
    <w:rPr>
      <w:rFonts w:ascii="Arial" w:hAnsi="Arial" w:eastAsia="黑体" w:cs="Times New Roman"/>
      <w:b/>
      <w:sz w:val="24"/>
      <w:szCs w:val="20"/>
    </w:rPr>
  </w:style>
  <w:style w:type="character" w:customStyle="1" w:styleId="69">
    <w:name w:val="标题 7 Char"/>
    <w:basedOn w:val="47"/>
    <w:link w:val="10"/>
    <w:qFormat/>
    <w:uiPriority w:val="0"/>
    <w:rPr>
      <w:rFonts w:ascii="Times New Roman" w:hAnsi="Times New Roman" w:eastAsia="宋体" w:cs="Times New Roman"/>
      <w:b/>
      <w:sz w:val="24"/>
      <w:szCs w:val="20"/>
    </w:rPr>
  </w:style>
  <w:style w:type="character" w:customStyle="1" w:styleId="70">
    <w:name w:val="标题 8 Char"/>
    <w:basedOn w:val="47"/>
    <w:link w:val="11"/>
    <w:qFormat/>
    <w:uiPriority w:val="0"/>
    <w:rPr>
      <w:rFonts w:ascii="Arial" w:hAnsi="Arial" w:eastAsia="黑体" w:cs="Times New Roman"/>
      <w:sz w:val="24"/>
      <w:szCs w:val="20"/>
    </w:rPr>
  </w:style>
  <w:style w:type="character" w:customStyle="1" w:styleId="71">
    <w:name w:val="标题 9 Char"/>
    <w:basedOn w:val="47"/>
    <w:link w:val="12"/>
    <w:qFormat/>
    <w:uiPriority w:val="0"/>
    <w:rPr>
      <w:rFonts w:ascii="Arial" w:hAnsi="Arial" w:eastAsia="黑体" w:cs="Times New Roman"/>
      <w:szCs w:val="20"/>
    </w:rPr>
  </w:style>
  <w:style w:type="character" w:customStyle="1" w:styleId="72">
    <w:name w:val="正文文本 Char"/>
    <w:basedOn w:val="47"/>
    <w:link w:val="19"/>
    <w:qFormat/>
    <w:uiPriority w:val="0"/>
    <w:rPr>
      <w:rFonts w:ascii="Times New Roman" w:hAnsi="Times New Roman" w:eastAsia="宋体" w:cs="Times New Roman"/>
      <w:szCs w:val="24"/>
    </w:rPr>
  </w:style>
  <w:style w:type="character" w:customStyle="1" w:styleId="73">
    <w:name w:val="正文文本 2 Char"/>
    <w:basedOn w:val="47"/>
    <w:link w:val="20"/>
    <w:qFormat/>
    <w:uiPriority w:val="0"/>
    <w:rPr>
      <w:rFonts w:ascii="Times New Roman" w:hAnsi="Times New Roman" w:eastAsia="宋体" w:cs="Times New Roman"/>
      <w:sz w:val="24"/>
      <w:szCs w:val="24"/>
    </w:rPr>
  </w:style>
  <w:style w:type="character" w:customStyle="1" w:styleId="74">
    <w:name w:val="文档结构图 Char"/>
    <w:basedOn w:val="47"/>
    <w:link w:val="16"/>
    <w:semiHidden/>
    <w:qFormat/>
    <w:uiPriority w:val="0"/>
    <w:rPr>
      <w:rFonts w:ascii="Times New Roman" w:hAnsi="Times New Roman" w:eastAsia="宋体" w:cs="Times New Roman"/>
      <w:szCs w:val="24"/>
      <w:shd w:val="clear" w:color="auto" w:fill="000080"/>
    </w:rPr>
  </w:style>
  <w:style w:type="character" w:customStyle="1" w:styleId="75">
    <w:name w:val="批注文字 Char"/>
    <w:basedOn w:val="47"/>
    <w:link w:val="17"/>
    <w:qFormat/>
    <w:uiPriority w:val="0"/>
    <w:rPr>
      <w:rFonts w:ascii="宋体" w:hAnsi="Times New Roman" w:eastAsia="宋体" w:cs="Times New Roman"/>
      <w:kern w:val="0"/>
      <w:sz w:val="34"/>
      <w:szCs w:val="20"/>
    </w:rPr>
  </w:style>
  <w:style w:type="character" w:customStyle="1" w:styleId="76">
    <w:name w:val="正文文本 3 Char"/>
    <w:basedOn w:val="47"/>
    <w:link w:val="18"/>
    <w:qFormat/>
    <w:uiPriority w:val="0"/>
    <w:rPr>
      <w:rFonts w:ascii="Times New Roman" w:hAnsi="Times New Roman" w:eastAsia="宋体" w:cs="Times New Roman"/>
      <w:sz w:val="16"/>
      <w:szCs w:val="16"/>
    </w:rPr>
  </w:style>
  <w:style w:type="character" w:customStyle="1" w:styleId="77">
    <w:name w:val="正文文本缩进 Char"/>
    <w:basedOn w:val="47"/>
    <w:link w:val="21"/>
    <w:qFormat/>
    <w:uiPriority w:val="0"/>
    <w:rPr>
      <w:rFonts w:ascii="Times New Roman" w:hAnsi="Times New Roman" w:eastAsia="宋体" w:cs="Times New Roman"/>
      <w:szCs w:val="24"/>
    </w:rPr>
  </w:style>
  <w:style w:type="character" w:customStyle="1" w:styleId="78">
    <w:name w:val="纯文本 Char"/>
    <w:basedOn w:val="47"/>
    <w:link w:val="24"/>
    <w:qFormat/>
    <w:uiPriority w:val="0"/>
    <w:rPr>
      <w:rFonts w:ascii="宋体" w:hAnsi="Courier New" w:eastAsia="宋体" w:cs="Times New Roman"/>
      <w:szCs w:val="20"/>
    </w:rPr>
  </w:style>
  <w:style w:type="character" w:customStyle="1" w:styleId="79">
    <w:name w:val="日期 Char"/>
    <w:basedOn w:val="47"/>
    <w:link w:val="26"/>
    <w:qFormat/>
    <w:uiPriority w:val="0"/>
    <w:rPr>
      <w:rFonts w:ascii="宋体" w:hAnsi="Courier New" w:eastAsia="宋体" w:cs="Times New Roman"/>
      <w:sz w:val="32"/>
      <w:szCs w:val="20"/>
    </w:rPr>
  </w:style>
  <w:style w:type="character" w:customStyle="1" w:styleId="80">
    <w:name w:val="正文文本缩进 2 Char"/>
    <w:basedOn w:val="47"/>
    <w:link w:val="27"/>
    <w:qFormat/>
    <w:uiPriority w:val="0"/>
    <w:rPr>
      <w:rFonts w:ascii="宋体" w:hAnsi="宋体" w:eastAsia="宋体" w:cs="Times New Roman"/>
      <w:szCs w:val="24"/>
    </w:rPr>
  </w:style>
  <w:style w:type="character" w:customStyle="1" w:styleId="81">
    <w:name w:val="批注框文本 Char"/>
    <w:basedOn w:val="47"/>
    <w:link w:val="28"/>
    <w:semiHidden/>
    <w:qFormat/>
    <w:uiPriority w:val="99"/>
    <w:rPr>
      <w:rFonts w:ascii="Times New Roman" w:hAnsi="Times New Roman" w:eastAsia="宋体" w:cs="Times New Roman"/>
      <w:sz w:val="18"/>
      <w:szCs w:val="18"/>
    </w:rPr>
  </w:style>
  <w:style w:type="character" w:customStyle="1" w:styleId="82">
    <w:name w:val="页脚 Char"/>
    <w:basedOn w:val="47"/>
    <w:link w:val="29"/>
    <w:qFormat/>
    <w:uiPriority w:val="0"/>
    <w:rPr>
      <w:rFonts w:ascii="Times New Roman" w:hAnsi="Times New Roman" w:eastAsia="宋体" w:cs="Times New Roman"/>
      <w:sz w:val="18"/>
      <w:szCs w:val="18"/>
    </w:rPr>
  </w:style>
  <w:style w:type="character" w:customStyle="1" w:styleId="83">
    <w:name w:val="页眉 Char"/>
    <w:basedOn w:val="47"/>
    <w:link w:val="30"/>
    <w:qFormat/>
    <w:uiPriority w:val="99"/>
    <w:rPr>
      <w:rFonts w:ascii="Times New Roman" w:hAnsi="Times New Roman" w:eastAsia="宋体" w:cs="Times New Roman"/>
      <w:sz w:val="18"/>
      <w:szCs w:val="18"/>
    </w:rPr>
  </w:style>
  <w:style w:type="character" w:customStyle="1" w:styleId="84">
    <w:name w:val="副标题 Char"/>
    <w:basedOn w:val="47"/>
    <w:link w:val="33"/>
    <w:qFormat/>
    <w:uiPriority w:val="0"/>
    <w:rPr>
      <w:rFonts w:ascii="Calibri" w:hAnsi="Calibri" w:eastAsia="宋体" w:cs="Times New Roman"/>
      <w:kern w:val="0"/>
      <w:sz w:val="24"/>
      <w:szCs w:val="20"/>
    </w:rPr>
  </w:style>
  <w:style w:type="character" w:customStyle="1" w:styleId="85">
    <w:name w:val="正文文本缩进 3 Char"/>
    <w:basedOn w:val="47"/>
    <w:link w:val="35"/>
    <w:qFormat/>
    <w:uiPriority w:val="0"/>
    <w:rPr>
      <w:rFonts w:ascii="宋体" w:hAnsi="Times New Roman" w:eastAsia="宋体" w:cs="Times New Roman"/>
      <w:b/>
      <w:bCs/>
      <w:sz w:val="24"/>
      <w:szCs w:val="24"/>
    </w:rPr>
  </w:style>
  <w:style w:type="character" w:customStyle="1" w:styleId="86">
    <w:name w:val="HTML 预设格式 Char"/>
    <w:basedOn w:val="47"/>
    <w:link w:val="38"/>
    <w:qFormat/>
    <w:uiPriority w:val="0"/>
    <w:rPr>
      <w:rFonts w:ascii="Arial Unicode MS" w:hAnsi="Arial Unicode MS" w:eastAsia="Arial Unicode MS" w:cs="Times New Roman"/>
      <w:color w:val="000000"/>
      <w:kern w:val="0"/>
      <w:sz w:val="20"/>
      <w:szCs w:val="20"/>
    </w:rPr>
  </w:style>
  <w:style w:type="character" w:customStyle="1" w:styleId="87">
    <w:name w:val="标题 Char"/>
    <w:basedOn w:val="47"/>
    <w:link w:val="41"/>
    <w:qFormat/>
    <w:uiPriority w:val="0"/>
    <w:rPr>
      <w:rFonts w:ascii="Arial" w:hAnsi="Arial" w:eastAsia="隶书" w:cs="Arial"/>
      <w:b/>
      <w:bCs/>
      <w:sz w:val="32"/>
      <w:szCs w:val="32"/>
    </w:rPr>
  </w:style>
  <w:style w:type="character" w:customStyle="1" w:styleId="88">
    <w:name w:val="批注主题 Char"/>
    <w:basedOn w:val="75"/>
    <w:link w:val="42"/>
    <w:qFormat/>
    <w:uiPriority w:val="99"/>
    <w:rPr>
      <w:rFonts w:ascii="Times New Roman" w:hAnsi="Times New Roman" w:eastAsia="宋体" w:cs="Times New Roman"/>
      <w:b/>
      <w:bCs/>
      <w:kern w:val="0"/>
      <w:sz w:val="34"/>
      <w:szCs w:val="24"/>
    </w:rPr>
  </w:style>
  <w:style w:type="character" w:customStyle="1" w:styleId="89">
    <w:name w:val="正文首行缩进 Char"/>
    <w:basedOn w:val="72"/>
    <w:link w:val="43"/>
    <w:qFormat/>
    <w:uiPriority w:val="0"/>
    <w:rPr>
      <w:rFonts w:ascii="Times New Roman" w:hAnsi="Times New Roman" w:eastAsia="宋体" w:cs="Times New Roman"/>
      <w:b/>
      <w:bCs/>
      <w:szCs w:val="24"/>
    </w:rPr>
  </w:style>
  <w:style w:type="paragraph" w:customStyle="1" w:styleId="90">
    <w:name w:val="Char"/>
    <w:basedOn w:val="1"/>
    <w:qFormat/>
    <w:uiPriority w:val="0"/>
    <w:pPr>
      <w:widowControl/>
      <w:spacing w:after="160" w:line="240" w:lineRule="exact"/>
      <w:jc w:val="left"/>
    </w:pPr>
    <w:rPr>
      <w:rFonts w:ascii="Verdana" w:hAnsi="Verdana" w:eastAsia="仿宋_GB2312" w:cs="Times New Roman"/>
      <w:kern w:val="0"/>
      <w:sz w:val="24"/>
      <w:szCs w:val="20"/>
      <w:lang w:eastAsia="en-US"/>
    </w:rPr>
  </w:style>
  <w:style w:type="character" w:customStyle="1" w:styleId="91">
    <w:name w:val="标题 3 Char1"/>
    <w:link w:val="3"/>
    <w:qFormat/>
    <w:uiPriority w:val="9"/>
    <w:rPr>
      <w:rFonts w:ascii="宋体" w:hAnsi="宋体" w:eastAsia="宋体" w:cs="Times New Roman"/>
      <w:b/>
      <w:bCs/>
      <w:sz w:val="28"/>
      <w:szCs w:val="32"/>
    </w:rPr>
  </w:style>
  <w:style w:type="character" w:customStyle="1" w:styleId="92">
    <w:name w:val="正文缩进 Char"/>
    <w:link w:val="7"/>
    <w:qFormat/>
    <w:uiPriority w:val="0"/>
    <w:rPr>
      <w:rFonts w:ascii="Times New Roman" w:hAnsi="Times New Roman" w:eastAsia="宋体" w:cs="Times New Roman"/>
      <w:szCs w:val="20"/>
    </w:rPr>
  </w:style>
  <w:style w:type="paragraph" w:customStyle="1" w:styleId="93">
    <w:name w:val="样式41"/>
    <w:basedOn w:val="1"/>
    <w:qFormat/>
    <w:uiPriority w:val="0"/>
    <w:pPr>
      <w:numPr>
        <w:ilvl w:val="0"/>
        <w:numId w:val="2"/>
      </w:numPr>
      <w:tabs>
        <w:tab w:val="left" w:pos="945"/>
      </w:tabs>
      <w:spacing w:line="360" w:lineRule="auto"/>
    </w:pPr>
    <w:rPr>
      <w:rFonts w:ascii="Times New Roman" w:hAnsi="Times New Roman" w:eastAsia="宋体" w:cs="Times New Roman"/>
      <w:b/>
      <w:color w:val="000000"/>
      <w:sz w:val="24"/>
      <w:szCs w:val="20"/>
    </w:rPr>
  </w:style>
  <w:style w:type="paragraph" w:customStyle="1" w:styleId="94">
    <w:name w:val="图"/>
    <w:basedOn w:val="1"/>
    <w:qFormat/>
    <w:uiPriority w:val="0"/>
    <w:pPr>
      <w:keepNext/>
      <w:adjustRightInd w:val="0"/>
      <w:snapToGrid w:val="0"/>
      <w:spacing w:before="60" w:after="60" w:line="300" w:lineRule="auto"/>
      <w:jc w:val="center"/>
    </w:pPr>
    <w:rPr>
      <w:rFonts w:ascii="Times New Roman" w:hAnsi="Times New Roman" w:eastAsia="宋体" w:cs="Times New Roman"/>
      <w:spacing w:val="20"/>
      <w:kern w:val="0"/>
      <w:sz w:val="24"/>
      <w:szCs w:val="20"/>
    </w:rPr>
  </w:style>
  <w:style w:type="paragraph" w:customStyle="1" w:styleId="95">
    <w:name w:val="文档正文"/>
    <w:basedOn w:val="1"/>
    <w:qFormat/>
    <w:uiPriority w:val="0"/>
    <w:pPr>
      <w:adjustRightInd w:val="0"/>
      <w:spacing w:line="480" w:lineRule="atLeast"/>
      <w:ind w:firstLine="567" w:firstLineChars="200"/>
      <w:textAlignment w:val="baseline"/>
    </w:pPr>
    <w:rPr>
      <w:rFonts w:ascii="长城仿宋" w:hAnsi="Times New Roman" w:eastAsia="宋体" w:cs="Times New Roman"/>
      <w:kern w:val="0"/>
      <w:szCs w:val="20"/>
    </w:rPr>
  </w:style>
  <w:style w:type="paragraph" w:customStyle="1" w:styleId="96">
    <w:name w:val="Char Char Char Char"/>
    <w:basedOn w:val="1"/>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97">
    <w:name w:val="Char11"/>
    <w:basedOn w:val="1"/>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98">
    <w:name w:val="Char Char Char Char11"/>
    <w:basedOn w:val="1"/>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99">
    <w:name w:val="Table Contents"/>
    <w:basedOn w:val="1"/>
    <w:qFormat/>
    <w:uiPriority w:val="0"/>
    <w:pPr>
      <w:suppressAutoHyphens/>
      <w:autoSpaceDE w:val="0"/>
      <w:spacing w:after="120"/>
      <w:jc w:val="left"/>
    </w:pPr>
    <w:rPr>
      <w:rFonts w:ascii="Helvetica" w:hAnsi="Helvetica" w:eastAsia="宋体" w:cs="Times New Roman"/>
      <w:kern w:val="1"/>
      <w:sz w:val="20"/>
      <w:szCs w:val="20"/>
    </w:rPr>
  </w:style>
  <w:style w:type="paragraph" w:customStyle="1" w:styleId="100">
    <w:name w:val="自定义正文"/>
    <w:basedOn w:val="1"/>
    <w:qFormat/>
    <w:uiPriority w:val="0"/>
    <w:pPr>
      <w:spacing w:afterLines="50"/>
      <w:ind w:left="600" w:leftChars="600"/>
    </w:pPr>
    <w:rPr>
      <w:rFonts w:ascii="Times New Roman" w:hAnsi="Times New Roman" w:eastAsia="宋体" w:cs="Times New Roman"/>
      <w:szCs w:val="24"/>
    </w:rPr>
  </w:style>
  <w:style w:type="paragraph" w:customStyle="1" w:styleId="101">
    <w:name w:val="Char Char Char Char Char"/>
    <w:basedOn w:val="1"/>
    <w:qFormat/>
    <w:uiPriority w:val="0"/>
    <w:rPr>
      <w:rFonts w:ascii="Tahoma" w:hAnsi="Tahoma" w:eastAsia="宋体" w:cs="Times New Roman"/>
      <w:sz w:val="24"/>
      <w:szCs w:val="20"/>
    </w:rPr>
  </w:style>
  <w:style w:type="paragraph" w:customStyle="1" w:styleId="102">
    <w:name w:val="小标题 1"/>
    <w:basedOn w:val="1"/>
    <w:qFormat/>
    <w:uiPriority w:val="0"/>
    <w:pPr>
      <w:autoSpaceDE w:val="0"/>
      <w:autoSpaceDN w:val="0"/>
      <w:adjustRightInd w:val="0"/>
      <w:spacing w:line="360" w:lineRule="atLeast"/>
    </w:pPr>
    <w:rPr>
      <w:rFonts w:ascii="文鼎粗黑" w:hAnsi="Times New Roman" w:eastAsia="文鼎粗黑" w:cs="Times New Roman"/>
      <w:kern w:val="0"/>
      <w:sz w:val="22"/>
      <w:szCs w:val="20"/>
    </w:rPr>
  </w:style>
  <w:style w:type="paragraph" w:customStyle="1" w:styleId="103">
    <w:name w:val="Char Char"/>
    <w:basedOn w:val="1"/>
    <w:qFormat/>
    <w:uiPriority w:val="0"/>
    <w:rPr>
      <w:rFonts w:ascii="Tahoma" w:hAnsi="Tahoma" w:eastAsia="宋体" w:cs="Times New Roman"/>
      <w:sz w:val="24"/>
      <w:szCs w:val="20"/>
    </w:rPr>
  </w:style>
  <w:style w:type="paragraph" w:customStyle="1" w:styleId="104">
    <w:name w:val="È±Ê¡ÎÄ±¾"/>
    <w:basedOn w:val="1"/>
    <w:qFormat/>
    <w:uiPriority w:val="0"/>
    <w:pPr>
      <w:widowControl/>
      <w:overflowPunct w:val="0"/>
      <w:autoSpaceDE w:val="0"/>
      <w:autoSpaceDN w:val="0"/>
      <w:adjustRightInd w:val="0"/>
      <w:jc w:val="left"/>
      <w:textAlignment w:val="baseline"/>
    </w:pPr>
    <w:rPr>
      <w:rFonts w:ascii="Times New Roman" w:hAnsi="Times New Roman" w:eastAsia="宋体" w:cs="Times New Roman"/>
      <w:kern w:val="0"/>
      <w:sz w:val="24"/>
      <w:szCs w:val="20"/>
    </w:rPr>
  </w:style>
  <w:style w:type="paragraph" w:customStyle="1" w:styleId="105">
    <w:name w:val="Char Char Char Char Char Char1 Char"/>
    <w:basedOn w:val="1"/>
    <w:qFormat/>
    <w:uiPriority w:val="0"/>
    <w:pPr>
      <w:widowControl/>
      <w:spacing w:after="160" w:line="240" w:lineRule="exact"/>
      <w:jc w:val="left"/>
    </w:pPr>
    <w:rPr>
      <w:rFonts w:ascii="Verdana" w:hAnsi="Verdana" w:eastAsia="宋体" w:cs="Times New Roman"/>
      <w:kern w:val="0"/>
      <w:szCs w:val="20"/>
      <w:lang w:eastAsia="en-US"/>
    </w:rPr>
  </w:style>
  <w:style w:type="paragraph" w:styleId="106">
    <w:name w:val="List Paragraph"/>
    <w:basedOn w:val="1"/>
    <w:qFormat/>
    <w:uiPriority w:val="0"/>
    <w:pPr>
      <w:ind w:firstLine="420" w:firstLineChars="200"/>
    </w:pPr>
    <w:rPr>
      <w:rFonts w:ascii="Calibri" w:hAnsi="Calibri" w:eastAsia="宋体" w:cs="Times New Roman"/>
    </w:rPr>
  </w:style>
  <w:style w:type="paragraph" w:customStyle="1" w:styleId="107">
    <w:name w:val="USE 1"/>
    <w:basedOn w:val="1"/>
    <w:qFormat/>
    <w:uiPriority w:val="0"/>
    <w:pPr>
      <w:spacing w:line="200" w:lineRule="atLeast"/>
      <w:jc w:val="left"/>
    </w:pPr>
    <w:rPr>
      <w:rFonts w:ascii="宋体" w:hAnsi="宋体" w:eastAsia="宋体" w:cs="Times New Roman"/>
      <w:b/>
      <w:sz w:val="24"/>
      <w:szCs w:val="28"/>
    </w:rPr>
  </w:style>
  <w:style w:type="paragraph" w:customStyle="1" w:styleId="108">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eastAsia="宋体" w:cs="Times New Roman"/>
      <w:bCs/>
      <w:kern w:val="0"/>
      <w:sz w:val="24"/>
      <w:szCs w:val="24"/>
      <w:lang w:val="en-GB"/>
    </w:rPr>
  </w:style>
  <w:style w:type="paragraph" w:customStyle="1" w:styleId="109">
    <w:name w:val="正文文字缩进项目"/>
    <w:basedOn w:val="21"/>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110">
    <w:name w:val="样式 标题 2 + 段前: 13 磅 段后: 13 磅 行距: 单倍行距"/>
    <w:basedOn w:val="5"/>
    <w:qFormat/>
    <w:uiPriority w:val="0"/>
    <w:pPr>
      <w:adjustRightInd/>
      <w:spacing w:before="0" w:after="0"/>
      <w:jc w:val="both"/>
      <w:textAlignment w:val="auto"/>
    </w:pPr>
    <w:rPr>
      <w:rFonts w:ascii="Cambria" w:hAnsi="Cambria" w:cs="宋体"/>
      <w:kern w:val="2"/>
      <w:sz w:val="32"/>
    </w:rPr>
  </w:style>
  <w:style w:type="character" w:customStyle="1" w:styleId="111">
    <w:name w:val="H4 Char2"/>
    <w:qFormat/>
    <w:uiPriority w:val="0"/>
    <w:rPr>
      <w:rFonts w:ascii="Arial" w:hAnsi="Arial" w:eastAsia="黑体"/>
      <w:b/>
      <w:bCs/>
      <w:kern w:val="2"/>
      <w:sz w:val="28"/>
      <w:szCs w:val="28"/>
      <w:lang w:val="en-US" w:eastAsia="zh-CN" w:bidi="ar-SA"/>
    </w:rPr>
  </w:style>
  <w:style w:type="character" w:customStyle="1" w:styleId="112">
    <w:name w:val="第*章 Char"/>
    <w:qFormat/>
    <w:uiPriority w:val="0"/>
    <w:rPr>
      <w:rFonts w:ascii="Arial" w:hAnsi="Arial" w:eastAsia="黑体"/>
      <w:b/>
      <w:bCs/>
      <w:kern w:val="2"/>
      <w:sz w:val="32"/>
      <w:szCs w:val="32"/>
    </w:rPr>
  </w:style>
  <w:style w:type="character" w:customStyle="1" w:styleId="113">
    <w:name w:val="章标题1 Char"/>
    <w:qFormat/>
    <w:uiPriority w:val="0"/>
    <w:rPr>
      <w:rFonts w:eastAsia="宋体"/>
      <w:b/>
      <w:bCs/>
      <w:kern w:val="2"/>
      <w:sz w:val="32"/>
      <w:szCs w:val="32"/>
      <w:lang w:val="en-US" w:eastAsia="zh-CN" w:bidi="ar-SA"/>
    </w:rPr>
  </w:style>
  <w:style w:type="character" w:customStyle="1" w:styleId="114">
    <w:name w:val="正文文字首行缩进 Char"/>
    <w:qFormat/>
    <w:uiPriority w:val="0"/>
    <w:rPr>
      <w:kern w:val="2"/>
      <w:sz w:val="21"/>
      <w:szCs w:val="24"/>
    </w:rPr>
  </w:style>
  <w:style w:type="paragraph" w:customStyle="1" w:styleId="115">
    <w:name w:val="样式1"/>
    <w:basedOn w:val="41"/>
    <w:qFormat/>
    <w:uiPriority w:val="0"/>
    <w:pPr>
      <w:spacing w:before="120" w:after="120"/>
    </w:pPr>
    <w:rPr>
      <w:rFonts w:eastAsia="黑体"/>
      <w:b w:val="0"/>
      <w:sz w:val="30"/>
      <w:szCs w:val="21"/>
    </w:rPr>
  </w:style>
  <w:style w:type="paragraph" w:customStyle="1" w:styleId="116">
    <w:name w:val="样式2"/>
    <w:basedOn w:val="41"/>
    <w:next w:val="115"/>
    <w:qFormat/>
    <w:uiPriority w:val="0"/>
    <w:pPr>
      <w:spacing w:before="120" w:after="120"/>
    </w:pPr>
    <w:rPr>
      <w:rFonts w:eastAsia="黑体"/>
      <w:b w:val="0"/>
      <w:sz w:val="30"/>
      <w:szCs w:val="30"/>
    </w:rPr>
  </w:style>
  <w:style w:type="character" w:customStyle="1" w:styleId="117">
    <w:name w:val="标题 3 Char Char"/>
    <w:qFormat/>
    <w:uiPriority w:val="0"/>
    <w:rPr>
      <w:rFonts w:eastAsia="宋体"/>
      <w:b/>
      <w:bCs/>
      <w:kern w:val="2"/>
      <w:sz w:val="32"/>
      <w:szCs w:val="32"/>
      <w:lang w:val="en-US" w:eastAsia="zh-CN" w:bidi="ar-SA"/>
    </w:rPr>
  </w:style>
  <w:style w:type="paragraph" w:customStyle="1" w:styleId="118">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szCs w:val="24"/>
      <w:lang w:eastAsia="en-US"/>
    </w:rPr>
  </w:style>
  <w:style w:type="paragraph" w:customStyle="1" w:styleId="119">
    <w:name w:val="cont"/>
    <w:basedOn w:val="1"/>
    <w:qFormat/>
    <w:uiPriority w:val="0"/>
    <w:pPr>
      <w:adjustRightInd w:val="0"/>
      <w:spacing w:before="100" w:after="100" w:line="360" w:lineRule="auto"/>
      <w:ind w:firstLine="200" w:firstLineChars="200"/>
      <w:jc w:val="left"/>
      <w:textAlignment w:val="baseline"/>
    </w:pPr>
    <w:rPr>
      <w:rFonts w:ascii="Arial" w:hAnsi="Arial" w:eastAsia="宋体" w:cs="Times New Roman"/>
      <w:kern w:val="0"/>
      <w:sz w:val="24"/>
      <w:szCs w:val="20"/>
    </w:rPr>
  </w:style>
  <w:style w:type="paragraph" w:customStyle="1" w:styleId="120">
    <w:name w:val="--规划正文"/>
    <w:basedOn w:val="1"/>
    <w:qFormat/>
    <w:uiPriority w:val="0"/>
    <w:pPr>
      <w:spacing w:line="360" w:lineRule="auto"/>
      <w:ind w:firstLine="200" w:firstLineChars="200"/>
    </w:pPr>
    <w:rPr>
      <w:rFonts w:ascii="Times New Roman" w:hAnsi="Times New Roman" w:eastAsia="宋体" w:cs="Times New Roman"/>
      <w:szCs w:val="20"/>
    </w:rPr>
  </w:style>
  <w:style w:type="paragraph" w:customStyle="1" w:styleId="121">
    <w:name w:val="设计依据"/>
    <w:basedOn w:val="19"/>
    <w:qFormat/>
    <w:uiPriority w:val="0"/>
    <w:pPr>
      <w:numPr>
        <w:ilvl w:val="1"/>
        <w:numId w:val="4"/>
      </w:numPr>
      <w:tabs>
        <w:tab w:val="left" w:pos="1440"/>
        <w:tab w:val="clear" w:pos="840"/>
      </w:tabs>
      <w:adjustRightInd w:val="0"/>
      <w:spacing w:after="0" w:line="360" w:lineRule="auto"/>
      <w:ind w:left="1440"/>
      <w:textAlignment w:val="baseline"/>
    </w:pPr>
    <w:rPr>
      <w:rFonts w:ascii="宋体" w:hAnsi="宋体"/>
      <w:bCs/>
      <w:kern w:val="0"/>
      <w:sz w:val="28"/>
      <w:szCs w:val="18"/>
    </w:rPr>
  </w:style>
  <w:style w:type="paragraph" w:customStyle="1" w:styleId="122">
    <w:name w:val="方案要点"/>
    <w:basedOn w:val="1"/>
    <w:qFormat/>
    <w:uiPriority w:val="0"/>
    <w:pPr>
      <w:numPr>
        <w:ilvl w:val="0"/>
        <w:numId w:val="4"/>
      </w:numPr>
      <w:spacing w:line="360" w:lineRule="auto"/>
    </w:pPr>
    <w:rPr>
      <w:rFonts w:ascii="仿宋_GB2312" w:hAnsi="宋体" w:eastAsia="仿宋_GB2312" w:cs="Times New Roman"/>
      <w:color w:val="000000"/>
      <w:sz w:val="28"/>
      <w:szCs w:val="28"/>
    </w:rPr>
  </w:style>
  <w:style w:type="paragraph" w:customStyle="1" w:styleId="123">
    <w:name w:val="样式4"/>
    <w:basedOn w:val="1"/>
    <w:qFormat/>
    <w:uiPriority w:val="0"/>
    <w:pPr>
      <w:tabs>
        <w:tab w:val="left" w:pos="842"/>
      </w:tabs>
      <w:spacing w:line="360" w:lineRule="auto"/>
      <w:ind w:left="842" w:hanging="420"/>
    </w:pPr>
    <w:rPr>
      <w:rFonts w:ascii="Times New Roman" w:hAnsi="Times New Roman" w:eastAsia="宋体" w:cs="Times New Roman"/>
      <w:sz w:val="24"/>
      <w:szCs w:val="24"/>
    </w:rPr>
  </w:style>
  <w:style w:type="paragraph" w:customStyle="1" w:styleId="124">
    <w:name w:val="文字"/>
    <w:basedOn w:val="1"/>
    <w:qFormat/>
    <w:uiPriority w:val="0"/>
    <w:pPr>
      <w:tabs>
        <w:tab w:val="left" w:pos="8520"/>
      </w:tabs>
      <w:spacing w:line="312" w:lineRule="auto"/>
      <w:ind w:right="-210" w:firstLine="556"/>
    </w:pPr>
    <w:rPr>
      <w:rFonts w:ascii="宋体" w:hAnsi="Times New Roman" w:eastAsia="宋体" w:cs="Times New Roman"/>
      <w:sz w:val="28"/>
      <w:szCs w:val="20"/>
    </w:rPr>
  </w:style>
  <w:style w:type="paragraph" w:customStyle="1" w:styleId="125">
    <w:name w:val="--规划-表格-居左"/>
    <w:basedOn w:val="120"/>
    <w:qFormat/>
    <w:uiPriority w:val="0"/>
    <w:pPr>
      <w:spacing w:line="240" w:lineRule="auto"/>
      <w:ind w:firstLine="0" w:firstLineChars="0"/>
    </w:pPr>
    <w:rPr>
      <w:sz w:val="20"/>
    </w:rPr>
  </w:style>
  <w:style w:type="paragraph" w:customStyle="1" w:styleId="126">
    <w:name w:val="--规划-表格-居中"/>
    <w:basedOn w:val="120"/>
    <w:qFormat/>
    <w:uiPriority w:val="0"/>
    <w:pPr>
      <w:spacing w:line="240" w:lineRule="auto"/>
      <w:ind w:firstLine="0" w:firstLineChars="0"/>
      <w:jc w:val="center"/>
    </w:pPr>
    <w:rPr>
      <w:sz w:val="20"/>
    </w:rPr>
  </w:style>
  <w:style w:type="paragraph" w:customStyle="1" w:styleId="127">
    <w:name w:val="--编号内缩进"/>
    <w:basedOn w:val="1"/>
    <w:qFormat/>
    <w:uiPriority w:val="0"/>
    <w:pPr>
      <w:spacing w:line="360" w:lineRule="auto"/>
      <w:ind w:left="420" w:firstLine="200" w:firstLineChars="200"/>
    </w:pPr>
    <w:rPr>
      <w:rFonts w:ascii="Times New Roman" w:hAnsi="Times New Roman" w:eastAsia="宋体" w:cs="Times New Roman"/>
      <w:szCs w:val="21"/>
    </w:rPr>
  </w:style>
  <w:style w:type="paragraph" w:customStyle="1" w:styleId="128">
    <w:name w:val="--规划-题注"/>
    <w:basedOn w:val="1"/>
    <w:next w:val="120"/>
    <w:qFormat/>
    <w:uiPriority w:val="0"/>
    <w:pPr>
      <w:spacing w:line="360" w:lineRule="auto"/>
      <w:jc w:val="center"/>
    </w:pPr>
    <w:rPr>
      <w:rFonts w:ascii="Times New Roman" w:hAnsi="Times New Roman" w:eastAsia="黑体" w:cs="Times New Roman"/>
      <w:szCs w:val="24"/>
    </w:rPr>
  </w:style>
  <w:style w:type="paragraph" w:customStyle="1" w:styleId="129">
    <w:name w:val="--规划-图和表"/>
    <w:next w:val="120"/>
    <w:qFormat/>
    <w:uiPriority w:val="0"/>
    <w:pPr>
      <w:jc w:val="center"/>
    </w:pPr>
    <w:rPr>
      <w:rFonts w:ascii="Times New Roman" w:hAnsi="Times New Roman" w:eastAsia="宋体" w:cs="Times New Roman"/>
      <w:kern w:val="2"/>
      <w:sz w:val="21"/>
      <w:lang w:val="en-US" w:eastAsia="zh-CN" w:bidi="ar-SA"/>
    </w:rPr>
  </w:style>
  <w:style w:type="paragraph" w:customStyle="1" w:styleId="130">
    <w:name w:val="--规划-小标题"/>
    <w:basedOn w:val="1"/>
    <w:next w:val="120"/>
    <w:qFormat/>
    <w:uiPriority w:val="0"/>
    <w:pPr>
      <w:keepNext/>
      <w:keepLines/>
      <w:spacing w:line="360" w:lineRule="auto"/>
      <w:outlineLvl w:val="4"/>
    </w:pPr>
    <w:rPr>
      <w:rFonts w:ascii="Times New Roman" w:hAnsi="Times New Roman" w:eastAsia="黑体" w:cs="Times New Roman"/>
      <w:szCs w:val="24"/>
    </w:rPr>
  </w:style>
  <w:style w:type="paragraph" w:customStyle="1" w:styleId="131">
    <w:name w:val="--规划正文 Char"/>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132">
    <w:name w:val="缺省文本"/>
    <w:basedOn w:val="1"/>
    <w:qFormat/>
    <w:uiPriority w:val="0"/>
    <w:pPr>
      <w:autoSpaceDE w:val="0"/>
      <w:autoSpaceDN w:val="0"/>
      <w:adjustRightInd w:val="0"/>
      <w:jc w:val="left"/>
    </w:pPr>
    <w:rPr>
      <w:rFonts w:ascii="Times New Roman" w:hAnsi="Times New Roman" w:eastAsia="宋体" w:cs="Times New Roman"/>
      <w:kern w:val="0"/>
      <w:szCs w:val="24"/>
    </w:rPr>
  </w:style>
  <w:style w:type="paragraph" w:customStyle="1" w:styleId="133">
    <w:name w:val="封面文档标题"/>
    <w:basedOn w:val="1"/>
    <w:qFormat/>
    <w:uiPriority w:val="0"/>
    <w:pPr>
      <w:autoSpaceDE w:val="0"/>
      <w:autoSpaceDN w:val="0"/>
      <w:adjustRightInd w:val="0"/>
      <w:spacing w:line="360" w:lineRule="auto"/>
      <w:jc w:val="center"/>
    </w:pPr>
    <w:rPr>
      <w:rFonts w:ascii="Arial" w:hAnsi="Arial" w:eastAsia="宋体" w:cs="Times New Roman"/>
      <w:b/>
      <w:kern w:val="0"/>
      <w:sz w:val="56"/>
      <w:szCs w:val="24"/>
    </w:rPr>
  </w:style>
  <w:style w:type="character" w:customStyle="1" w:styleId="134">
    <w:name w:val="--规划正文 Char Char"/>
    <w:qFormat/>
    <w:uiPriority w:val="0"/>
    <w:rPr>
      <w:rFonts w:eastAsia="宋体"/>
      <w:kern w:val="2"/>
      <w:sz w:val="24"/>
      <w:szCs w:val="24"/>
      <w:lang w:val="en-US" w:eastAsia="zh-CN" w:bidi="ar-SA"/>
    </w:rPr>
  </w:style>
  <w:style w:type="paragraph" w:customStyle="1" w:styleId="135">
    <w:name w:val="样式3"/>
    <w:basedOn w:val="2"/>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36">
    <w:name w:val="--规划正文 Char1"/>
    <w:qFormat/>
    <w:uiPriority w:val="0"/>
    <w:rPr>
      <w:rFonts w:eastAsia="宋体"/>
      <w:kern w:val="2"/>
      <w:sz w:val="21"/>
      <w:lang w:val="en-US" w:eastAsia="zh-CN" w:bidi="ar-SA"/>
    </w:rPr>
  </w:style>
  <w:style w:type="paragraph" w:customStyle="1" w:styleId="137">
    <w:name w:val="word"/>
    <w:basedOn w:val="1"/>
    <w:qFormat/>
    <w:uiPriority w:val="0"/>
    <w:pPr>
      <w:widowControl/>
      <w:spacing w:before="100" w:beforeAutospacing="1" w:after="100" w:afterAutospacing="1" w:line="301" w:lineRule="atLeast"/>
      <w:jc w:val="left"/>
    </w:pPr>
    <w:rPr>
      <w:rFonts w:ascii="ˎ̥" w:hAnsi="ˎ̥" w:eastAsia="宋体" w:cs="Times New Roman"/>
      <w:color w:val="000000"/>
      <w:kern w:val="0"/>
      <w:sz w:val="20"/>
      <w:szCs w:val="20"/>
    </w:rPr>
  </w:style>
  <w:style w:type="paragraph" w:customStyle="1" w:styleId="138">
    <w:name w:val="列表项目"/>
    <w:basedOn w:val="1"/>
    <w:qFormat/>
    <w:uiPriority w:val="0"/>
    <w:pPr>
      <w:tabs>
        <w:tab w:val="left" w:pos="420"/>
        <w:tab w:val="left" w:pos="1080"/>
      </w:tabs>
      <w:spacing w:line="288" w:lineRule="auto"/>
      <w:ind w:left="1080" w:hanging="360"/>
    </w:pPr>
    <w:rPr>
      <w:rFonts w:ascii="Times New Roman" w:hAnsi="Times New Roman" w:eastAsia="宋体" w:cs="Times New Roman"/>
      <w:sz w:val="24"/>
      <w:szCs w:val="20"/>
    </w:rPr>
  </w:style>
  <w:style w:type="character" w:customStyle="1" w:styleId="139">
    <w:name w:val="content1"/>
    <w:qFormat/>
    <w:uiPriority w:val="0"/>
    <w:rPr>
      <w:rFonts w:hint="default" w:ascii="??" w:hAnsi="??"/>
      <w:sz w:val="16"/>
      <w:szCs w:val="16"/>
      <w:u w:val="none"/>
    </w:rPr>
  </w:style>
  <w:style w:type="character" w:customStyle="1" w:styleId="140">
    <w:name w:val="unnamed4"/>
    <w:basedOn w:val="47"/>
    <w:qFormat/>
    <w:uiPriority w:val="0"/>
  </w:style>
  <w:style w:type="character" w:customStyle="1" w:styleId="141">
    <w:name w:val="font2"/>
    <w:basedOn w:val="47"/>
    <w:qFormat/>
    <w:uiPriority w:val="0"/>
  </w:style>
  <w:style w:type="character" w:customStyle="1" w:styleId="142">
    <w:name w:val="font41"/>
    <w:qFormat/>
    <w:uiPriority w:val="0"/>
    <w:rPr>
      <w:color w:val="000000"/>
      <w:spacing w:val="260"/>
      <w:sz w:val="18"/>
      <w:szCs w:val="18"/>
      <w:u w:val="none"/>
    </w:rPr>
  </w:style>
  <w:style w:type="paragraph" w:customStyle="1" w:styleId="143">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44">
    <w:name w:val="xl72"/>
    <w:basedOn w:val="1"/>
    <w:qFormat/>
    <w:uiPriority w:val="0"/>
    <w:pPr>
      <w:widowControl/>
      <w:spacing w:before="100" w:beforeAutospacing="1" w:after="100" w:afterAutospacing="1"/>
      <w:jc w:val="left"/>
    </w:pPr>
    <w:rPr>
      <w:rFonts w:ascii="宋体" w:hAnsi="宋体" w:eastAsia="宋体" w:cs="Times New Roman"/>
      <w:b/>
      <w:bCs/>
      <w:kern w:val="0"/>
      <w:sz w:val="28"/>
      <w:szCs w:val="28"/>
    </w:rPr>
  </w:style>
  <w:style w:type="paragraph" w:customStyle="1" w:styleId="145">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46">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47">
    <w:name w:val="汉仪细等线简9BOLD"/>
    <w:basedOn w:val="1"/>
    <w:qFormat/>
    <w:uiPriority w:val="0"/>
    <w:pPr>
      <w:autoSpaceDE w:val="0"/>
      <w:autoSpaceDN w:val="0"/>
      <w:adjustRightInd w:val="0"/>
      <w:spacing w:line="240" w:lineRule="atLeast"/>
    </w:pPr>
    <w:rPr>
      <w:rFonts w:ascii="汉仪细等线简" w:hAnsi="Times New Roman" w:eastAsia="汉仪细等线简" w:cs="Times New Roman"/>
      <w:b/>
      <w:bCs/>
      <w:kern w:val="0"/>
      <w:sz w:val="18"/>
      <w:szCs w:val="18"/>
    </w:rPr>
  </w:style>
  <w:style w:type="character" w:customStyle="1" w:styleId="148">
    <w:name w:val="mode"/>
    <w:basedOn w:val="47"/>
    <w:qFormat/>
    <w:uiPriority w:val="0"/>
  </w:style>
  <w:style w:type="paragraph" w:customStyle="1" w:styleId="149">
    <w:name w:val="9"/>
    <w:basedOn w:val="1"/>
    <w:next w:val="7"/>
    <w:qFormat/>
    <w:uiPriority w:val="0"/>
    <w:pPr>
      <w:autoSpaceDE w:val="0"/>
      <w:autoSpaceDN w:val="0"/>
      <w:adjustRightInd w:val="0"/>
      <w:ind w:firstLine="420"/>
      <w:jc w:val="left"/>
      <w:textAlignment w:val="baseline"/>
    </w:pPr>
    <w:rPr>
      <w:rFonts w:ascii="宋体" w:hAnsi="Times New Roman" w:eastAsia="宋体" w:cs="Times New Roman"/>
      <w:kern w:val="0"/>
      <w:sz w:val="34"/>
      <w:szCs w:val="20"/>
    </w:rPr>
  </w:style>
  <w:style w:type="character" w:customStyle="1" w:styleId="150">
    <w:name w:val="unnamed3"/>
    <w:basedOn w:val="47"/>
    <w:qFormat/>
    <w:uiPriority w:val="0"/>
  </w:style>
  <w:style w:type="paragraph" w:customStyle="1" w:styleId="151">
    <w:name w:val="8"/>
    <w:basedOn w:val="1"/>
    <w:next w:val="21"/>
    <w:qFormat/>
    <w:uiPriority w:val="0"/>
    <w:pPr>
      <w:spacing w:after="120"/>
      <w:ind w:left="420" w:leftChars="200"/>
    </w:pPr>
    <w:rPr>
      <w:rFonts w:ascii="Times New Roman" w:hAnsi="Times New Roman" w:eastAsia="宋体" w:cs="Times New Roman"/>
      <w:szCs w:val="24"/>
    </w:rPr>
  </w:style>
  <w:style w:type="paragraph" w:customStyle="1" w:styleId="152">
    <w:name w:val="7"/>
    <w:basedOn w:val="1"/>
    <w:qFormat/>
    <w:uiPriority w:val="0"/>
    <w:pPr>
      <w:autoSpaceDE w:val="0"/>
      <w:autoSpaceDN w:val="0"/>
      <w:adjustRightInd w:val="0"/>
      <w:spacing w:line="270" w:lineRule="atLeast"/>
      <w:jc w:val="left"/>
    </w:pPr>
    <w:rPr>
      <w:rFonts w:ascii="宋体" w:hAnsi="Times New Roman" w:eastAsia="宋体" w:cs="Times New Roman"/>
      <w:kern w:val="0"/>
      <w:sz w:val="18"/>
      <w:szCs w:val="18"/>
    </w:rPr>
  </w:style>
  <w:style w:type="paragraph" w:customStyle="1" w:styleId="153">
    <w:name w:val="00"/>
    <w:basedOn w:val="1"/>
    <w:qFormat/>
    <w:uiPriority w:val="0"/>
    <w:pPr>
      <w:autoSpaceDE w:val="0"/>
      <w:autoSpaceDN w:val="0"/>
      <w:adjustRightInd w:val="0"/>
      <w:jc w:val="left"/>
    </w:pPr>
    <w:rPr>
      <w:rFonts w:ascii="黑体" w:hAnsi="Times New Roman" w:eastAsia="黑体" w:cs="Times New Roman"/>
      <w:b/>
      <w:bCs/>
      <w:kern w:val="0"/>
      <w:sz w:val="20"/>
      <w:szCs w:val="20"/>
    </w:rPr>
  </w:style>
  <w:style w:type="paragraph" w:customStyle="1" w:styleId="154">
    <w:name w:val="5"/>
    <w:basedOn w:val="1"/>
    <w:qFormat/>
    <w:uiPriority w:val="0"/>
    <w:pPr>
      <w:autoSpaceDE w:val="0"/>
      <w:autoSpaceDN w:val="0"/>
      <w:adjustRightInd w:val="0"/>
      <w:jc w:val="left"/>
    </w:pPr>
    <w:rPr>
      <w:rFonts w:ascii="宋体" w:hAnsi="Times New Roman" w:eastAsia="宋体" w:cs="Times New Roman"/>
      <w:b/>
      <w:bCs/>
      <w:kern w:val="0"/>
      <w:sz w:val="18"/>
      <w:szCs w:val="18"/>
    </w:rPr>
  </w:style>
  <w:style w:type="paragraph" w:customStyle="1" w:styleId="155">
    <w:name w:val="6"/>
    <w:basedOn w:val="154"/>
    <w:qFormat/>
    <w:uiPriority w:val="0"/>
    <w:pPr>
      <w:spacing w:line="270" w:lineRule="atLeast"/>
      <w:jc w:val="both"/>
    </w:pPr>
    <w:rPr>
      <w:b w:val="0"/>
      <w:bCs w:val="0"/>
    </w:rPr>
  </w:style>
  <w:style w:type="paragraph" w:customStyle="1" w:styleId="156">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57">
    <w:name w:val="姜文清定义的正文"/>
    <w:basedOn w:val="1"/>
    <w:qFormat/>
    <w:uiPriority w:val="0"/>
    <w:pPr>
      <w:spacing w:line="240" w:lineRule="atLeast"/>
      <w:ind w:firstLine="567"/>
    </w:pPr>
    <w:rPr>
      <w:rFonts w:ascii="Times New Roman" w:hAnsi="Times New Roman" w:eastAsia="宋体" w:cs="Times New Roman"/>
      <w:szCs w:val="20"/>
    </w:rPr>
  </w:style>
  <w:style w:type="paragraph" w:customStyle="1" w:styleId="158">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9">
    <w:name w:val="CM2"/>
    <w:basedOn w:val="158"/>
    <w:next w:val="158"/>
    <w:qFormat/>
    <w:uiPriority w:val="0"/>
    <w:pPr>
      <w:spacing w:line="200" w:lineRule="atLeast"/>
    </w:pPr>
    <w:rPr>
      <w:rFonts w:ascii="Arial" w:hAnsi="Arial" w:eastAsia="宋体" w:cs="Times New Roman"/>
      <w:color w:val="auto"/>
    </w:rPr>
  </w:style>
  <w:style w:type="paragraph" w:customStyle="1" w:styleId="160">
    <w:name w:val="Normal Paragraph"/>
    <w:basedOn w:val="1"/>
    <w:qFormat/>
    <w:uiPriority w:val="0"/>
    <w:pPr>
      <w:widowControl/>
      <w:spacing w:before="120" w:line="360" w:lineRule="auto"/>
      <w:ind w:firstLine="425"/>
    </w:pPr>
    <w:rPr>
      <w:rFonts w:ascii="Times New Roman" w:hAnsi="Times New Roman" w:eastAsia="宋体" w:cs="Times New Roman"/>
      <w:kern w:val="0"/>
      <w:sz w:val="24"/>
      <w:szCs w:val="24"/>
    </w:rPr>
  </w:style>
  <w:style w:type="character" w:customStyle="1" w:styleId="161">
    <w:name w:val="blue"/>
    <w:basedOn w:val="47"/>
    <w:qFormat/>
    <w:uiPriority w:val="0"/>
  </w:style>
  <w:style w:type="paragraph" w:customStyle="1" w:styleId="162">
    <w:name w:val="blue1"/>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63">
    <w:name w:val="font"/>
    <w:basedOn w:val="47"/>
    <w:qFormat/>
    <w:uiPriority w:val="0"/>
  </w:style>
  <w:style w:type="character" w:customStyle="1" w:styleId="164">
    <w:name w:val="font11"/>
    <w:qFormat/>
    <w:uiPriority w:val="0"/>
    <w:rPr>
      <w:rFonts w:hint="default" w:ascii="ˎ̥" w:hAnsi="ˎ̥"/>
    </w:rPr>
  </w:style>
  <w:style w:type="paragraph" w:customStyle="1" w:styleId="165">
    <w:name w:val="a14"/>
    <w:basedOn w:val="1"/>
    <w:qFormat/>
    <w:uiPriority w:val="0"/>
    <w:pPr>
      <w:widowControl/>
      <w:spacing w:before="100" w:beforeAutospacing="1" w:after="100" w:afterAutospacing="1" w:line="300" w:lineRule="atLeast"/>
      <w:ind w:firstLine="375"/>
      <w:jc w:val="left"/>
    </w:pPr>
    <w:rPr>
      <w:rFonts w:ascii="宋体" w:hAnsi="宋体" w:eastAsia="宋体" w:cs="宋体"/>
      <w:kern w:val="0"/>
      <w:szCs w:val="21"/>
    </w:rPr>
  </w:style>
  <w:style w:type="character" w:customStyle="1" w:styleId="166">
    <w:name w:val="proddescription"/>
    <w:basedOn w:val="47"/>
    <w:qFormat/>
    <w:uiPriority w:val="0"/>
  </w:style>
  <w:style w:type="character" w:customStyle="1" w:styleId="167">
    <w:name w:val="prodheadlines"/>
    <w:basedOn w:val="47"/>
    <w:qFormat/>
    <w:uiPriority w:val="0"/>
  </w:style>
  <w:style w:type="character" w:customStyle="1" w:styleId="168">
    <w:name w:val="text"/>
    <w:basedOn w:val="47"/>
    <w:qFormat/>
    <w:uiPriority w:val="0"/>
  </w:style>
  <w:style w:type="paragraph" w:customStyle="1" w:styleId="169">
    <w:name w:val="text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0">
    <w:name w:val="z-窗体顶端1"/>
    <w:basedOn w:val="1"/>
    <w:next w:val="1"/>
    <w:hidden/>
    <w:qFormat/>
    <w:uiPriority w:val="0"/>
    <w:pPr>
      <w:widowControl/>
      <w:pBdr>
        <w:bottom w:val="single" w:color="auto" w:sz="6" w:space="1"/>
      </w:pBdr>
      <w:jc w:val="center"/>
    </w:pPr>
    <w:rPr>
      <w:rFonts w:ascii="Arial" w:hAnsi="Arial" w:eastAsia="宋体" w:cs="Arial"/>
      <w:vanish/>
      <w:kern w:val="0"/>
      <w:sz w:val="16"/>
      <w:szCs w:val="16"/>
    </w:rPr>
  </w:style>
  <w:style w:type="paragraph" w:customStyle="1" w:styleId="171">
    <w:name w:val="z-窗体底端1"/>
    <w:basedOn w:val="1"/>
    <w:next w:val="1"/>
    <w:hidden/>
    <w:qFormat/>
    <w:uiPriority w:val="0"/>
    <w:pPr>
      <w:widowControl/>
      <w:pBdr>
        <w:top w:val="single" w:color="auto" w:sz="6" w:space="1"/>
      </w:pBdr>
      <w:jc w:val="center"/>
    </w:pPr>
    <w:rPr>
      <w:rFonts w:ascii="Arial" w:hAnsi="Arial" w:eastAsia="宋体" w:cs="Arial"/>
      <w:vanish/>
      <w:kern w:val="0"/>
      <w:sz w:val="16"/>
      <w:szCs w:val="16"/>
    </w:rPr>
  </w:style>
  <w:style w:type="paragraph" w:customStyle="1" w:styleId="172">
    <w:name w:val="正文样式"/>
    <w:basedOn w:val="1"/>
    <w:qFormat/>
    <w:uiPriority w:val="0"/>
    <w:pPr>
      <w:adjustRightInd w:val="0"/>
      <w:spacing w:line="400" w:lineRule="atLeast"/>
      <w:ind w:firstLine="570" w:firstLineChars="203"/>
      <w:textAlignment w:val="baseline"/>
    </w:pPr>
    <w:rPr>
      <w:rFonts w:ascii="Times New Roman" w:hAnsi="Times New Roman" w:eastAsia="仿宋_GB2312" w:cs="Times New Roman"/>
      <w:kern w:val="0"/>
      <w:sz w:val="28"/>
      <w:szCs w:val="20"/>
    </w:rPr>
  </w:style>
  <w:style w:type="paragraph" w:customStyle="1" w:styleId="173">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eastAsia="宋体" w:cs="Times New Roman"/>
      <w:kern w:val="0"/>
      <w:sz w:val="24"/>
      <w:szCs w:val="24"/>
    </w:rPr>
  </w:style>
  <w:style w:type="paragraph" w:customStyle="1" w:styleId="174">
    <w:name w:val="段落正文"/>
    <w:basedOn w:val="24"/>
    <w:qFormat/>
    <w:uiPriority w:val="0"/>
    <w:pPr>
      <w:ind w:firstLine="560" w:firstLineChars="200"/>
    </w:pPr>
    <w:rPr>
      <w:sz w:val="28"/>
    </w:rPr>
  </w:style>
  <w:style w:type="character" w:customStyle="1" w:styleId="175">
    <w:name w:val="gray6"/>
    <w:basedOn w:val="47"/>
    <w:qFormat/>
    <w:uiPriority w:val="0"/>
  </w:style>
  <w:style w:type="character" w:customStyle="1" w:styleId="176">
    <w:name w:val="style9"/>
    <w:basedOn w:val="47"/>
    <w:qFormat/>
    <w:uiPriority w:val="0"/>
  </w:style>
  <w:style w:type="paragraph" w:customStyle="1" w:styleId="177">
    <w:name w:val="2册标题4"/>
    <w:basedOn w:val="1"/>
    <w:next w:val="1"/>
    <w:qFormat/>
    <w:uiPriority w:val="0"/>
    <w:pPr>
      <w:spacing w:beforeLines="50" w:afterLines="50" w:line="300" w:lineRule="auto"/>
      <w:ind w:left="420" w:leftChars="200"/>
      <w:outlineLvl w:val="3"/>
    </w:pPr>
    <w:rPr>
      <w:rFonts w:ascii="Arial" w:hAnsi="Arial" w:eastAsia="幼圆" w:cs="Arial"/>
      <w:b/>
      <w:sz w:val="24"/>
      <w:szCs w:val="24"/>
    </w:rPr>
  </w:style>
  <w:style w:type="character" w:customStyle="1" w:styleId="178">
    <w:name w:val="grame"/>
    <w:basedOn w:val="47"/>
    <w:qFormat/>
    <w:uiPriority w:val="0"/>
  </w:style>
  <w:style w:type="paragraph" w:customStyle="1" w:styleId="179">
    <w:name w:val="style2"/>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180">
    <w:name w:val="Char1"/>
    <w:basedOn w:val="1"/>
    <w:qFormat/>
    <w:uiPriority w:val="0"/>
    <w:pPr>
      <w:jc w:val="left"/>
    </w:pPr>
    <w:rPr>
      <w:rFonts w:ascii="Tahoma" w:hAnsi="Tahoma" w:eastAsia="宋体" w:cs="Times New Roman"/>
      <w:sz w:val="24"/>
      <w:szCs w:val="20"/>
    </w:rPr>
  </w:style>
  <w:style w:type="paragraph" w:customStyle="1" w:styleId="181">
    <w:name w:val="编号1"/>
    <w:basedOn w:val="1"/>
    <w:qFormat/>
    <w:uiPriority w:val="0"/>
    <w:pPr>
      <w:numPr>
        <w:ilvl w:val="0"/>
        <w:numId w:val="6"/>
      </w:numPr>
      <w:adjustRightInd w:val="0"/>
      <w:spacing w:line="300" w:lineRule="auto"/>
      <w:ind w:right="210"/>
      <w:textAlignment w:val="center"/>
    </w:pPr>
    <w:rPr>
      <w:rFonts w:ascii="宋体" w:hAnsi="宋体" w:eastAsia="宋体" w:cs="Times New Roman"/>
      <w:snapToGrid w:val="0"/>
      <w:spacing w:val="10"/>
      <w:kern w:val="24"/>
      <w:szCs w:val="24"/>
    </w:rPr>
  </w:style>
  <w:style w:type="paragraph" w:customStyle="1" w:styleId="182">
    <w:name w:val="Char Char Char Char Char Char Char Char Char Char Char Char Char Char Char Char Char Char Char Char Char Char"/>
    <w:basedOn w:val="1"/>
    <w:qFormat/>
    <w:uiPriority w:val="0"/>
    <w:pPr>
      <w:widowControl/>
      <w:spacing w:line="400" w:lineRule="exact"/>
      <w:jc w:val="center"/>
    </w:pPr>
    <w:rPr>
      <w:rFonts w:ascii="Verdana" w:hAnsi="Verdana" w:eastAsia="宋体" w:cs="Times New Roman"/>
      <w:kern w:val="0"/>
      <w:szCs w:val="20"/>
      <w:lang w:eastAsia="en-US"/>
    </w:rPr>
  </w:style>
  <w:style w:type="paragraph" w:customStyle="1" w:styleId="183">
    <w:name w:val="font0"/>
    <w:basedOn w:val="1"/>
    <w:qFormat/>
    <w:uiPriority w:val="0"/>
    <w:pPr>
      <w:widowControl/>
      <w:spacing w:before="100" w:beforeAutospacing="1" w:after="100" w:afterAutospacing="1"/>
      <w:jc w:val="left"/>
    </w:pPr>
    <w:rPr>
      <w:rFonts w:hint="eastAsia" w:ascii="宋体" w:hAnsi="宋体" w:eastAsia="宋体" w:cs="Times New Roman"/>
      <w:kern w:val="0"/>
      <w:sz w:val="24"/>
      <w:szCs w:val="24"/>
    </w:rPr>
  </w:style>
  <w:style w:type="paragraph" w:customStyle="1" w:styleId="184">
    <w:name w:val="font5"/>
    <w:basedOn w:val="1"/>
    <w:qFormat/>
    <w:uiPriority w:val="0"/>
    <w:pPr>
      <w:widowControl/>
      <w:spacing w:before="100" w:beforeAutospacing="1" w:after="100" w:afterAutospacing="1"/>
      <w:jc w:val="left"/>
    </w:pPr>
    <w:rPr>
      <w:rFonts w:hint="eastAsia" w:ascii="宋体" w:hAnsi="宋体" w:eastAsia="宋体" w:cs="Times New Roman"/>
      <w:kern w:val="0"/>
      <w:sz w:val="18"/>
      <w:szCs w:val="18"/>
    </w:rPr>
  </w:style>
  <w:style w:type="paragraph" w:customStyle="1" w:styleId="185">
    <w:name w:val="font6"/>
    <w:basedOn w:val="1"/>
    <w:qFormat/>
    <w:uiPriority w:val="0"/>
    <w:pPr>
      <w:widowControl/>
      <w:spacing w:before="100" w:beforeAutospacing="1" w:after="100" w:afterAutospacing="1"/>
      <w:jc w:val="left"/>
    </w:pPr>
    <w:rPr>
      <w:rFonts w:ascii="Times New Roman" w:hAnsi="Times New Roman" w:eastAsia="宋体" w:cs="Times New Roman"/>
      <w:kern w:val="0"/>
      <w:sz w:val="24"/>
      <w:szCs w:val="24"/>
    </w:rPr>
  </w:style>
  <w:style w:type="paragraph" w:customStyle="1" w:styleId="18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kern w:val="0"/>
      <w:sz w:val="24"/>
      <w:szCs w:val="24"/>
    </w:rPr>
  </w:style>
  <w:style w:type="paragraph" w:customStyle="1" w:styleId="187">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kern w:val="0"/>
      <w:sz w:val="24"/>
      <w:szCs w:val="24"/>
    </w:rPr>
  </w:style>
  <w:style w:type="paragraph" w:customStyle="1" w:styleId="188">
    <w:name w:val="表格字"/>
    <w:basedOn w:val="1"/>
    <w:qFormat/>
    <w:uiPriority w:val="0"/>
    <w:pPr>
      <w:adjustRightInd w:val="0"/>
      <w:jc w:val="center"/>
    </w:pPr>
    <w:rPr>
      <w:rFonts w:ascii="宋体" w:hAnsi="Times New Roman" w:eastAsia="宋体" w:cs="Times New Roman"/>
      <w:sz w:val="24"/>
      <w:szCs w:val="20"/>
    </w:rPr>
  </w:style>
  <w:style w:type="character" w:customStyle="1" w:styleId="189">
    <w:name w:val="样式 小三 加粗"/>
    <w:qFormat/>
    <w:uiPriority w:val="0"/>
    <w:rPr>
      <w:rFonts w:eastAsia="宋体"/>
      <w:b/>
      <w:bCs/>
      <w:sz w:val="32"/>
    </w:rPr>
  </w:style>
  <w:style w:type="paragraph" w:customStyle="1" w:styleId="19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91">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92">
    <w:name w:val="Char Char Char"/>
    <w:basedOn w:val="1"/>
    <w:qFormat/>
    <w:uiPriority w:val="0"/>
    <w:rPr>
      <w:rFonts w:ascii="Tahoma" w:hAnsi="Tahoma" w:eastAsia="宋体" w:cs="Times New Roman"/>
      <w:sz w:val="24"/>
      <w:szCs w:val="20"/>
    </w:rPr>
  </w:style>
  <w:style w:type="paragraph" w:customStyle="1" w:styleId="193">
    <w:name w:val="Char2"/>
    <w:basedOn w:val="1"/>
    <w:qFormat/>
    <w:uiPriority w:val="0"/>
    <w:pPr>
      <w:widowControl/>
      <w:spacing w:after="160" w:line="240" w:lineRule="exact"/>
      <w:jc w:val="left"/>
    </w:pPr>
    <w:rPr>
      <w:rFonts w:ascii="Verdana" w:hAnsi="Verdana" w:eastAsia="仿宋_GB2312" w:cs="Times New Roman"/>
      <w:kern w:val="0"/>
      <w:sz w:val="24"/>
      <w:szCs w:val="20"/>
      <w:lang w:eastAsia="en-US"/>
    </w:rPr>
  </w:style>
  <w:style w:type="character" w:customStyle="1" w:styleId="194">
    <w:name w:val="info4"/>
    <w:basedOn w:val="47"/>
    <w:qFormat/>
    <w:uiPriority w:val="0"/>
  </w:style>
  <w:style w:type="paragraph" w:customStyle="1" w:styleId="195">
    <w:name w:val="缩进正文"/>
    <w:basedOn w:val="1"/>
    <w:link w:val="196"/>
    <w:qFormat/>
    <w:uiPriority w:val="0"/>
    <w:pPr>
      <w:ind w:firstLine="560" w:firstLineChars="200"/>
    </w:pPr>
    <w:rPr>
      <w:rFonts w:ascii="Times New Roman" w:hAnsi="Times New Roman" w:eastAsia="仿宋_GB2312" w:cs="宋体"/>
      <w:sz w:val="28"/>
      <w:szCs w:val="20"/>
    </w:rPr>
  </w:style>
  <w:style w:type="character" w:customStyle="1" w:styleId="196">
    <w:name w:val="缩进正文 Char"/>
    <w:link w:val="195"/>
    <w:qFormat/>
    <w:uiPriority w:val="0"/>
    <w:rPr>
      <w:rFonts w:ascii="Times New Roman" w:hAnsi="Times New Roman" w:eastAsia="仿宋_GB2312" w:cs="宋体"/>
      <w:sz w:val="28"/>
      <w:szCs w:val="20"/>
    </w:rPr>
  </w:style>
  <w:style w:type="paragraph" w:customStyle="1" w:styleId="197">
    <w:name w:val="列出段落1"/>
    <w:basedOn w:val="1"/>
    <w:qFormat/>
    <w:uiPriority w:val="0"/>
    <w:pPr>
      <w:ind w:firstLine="420" w:firstLineChars="200"/>
    </w:pPr>
    <w:rPr>
      <w:rFonts w:ascii="Calibri" w:hAnsi="Calibri" w:eastAsia="宋体" w:cs="Calibri"/>
      <w:szCs w:val="21"/>
    </w:rPr>
  </w:style>
  <w:style w:type="paragraph" w:customStyle="1" w:styleId="198">
    <w:name w:val="评价"/>
    <w:basedOn w:val="1"/>
    <w:qFormat/>
    <w:uiPriority w:val="0"/>
    <w:pPr>
      <w:spacing w:afterLines="20"/>
      <w:ind w:firstLine="1446" w:firstLineChars="200"/>
    </w:pPr>
    <w:rPr>
      <w:rFonts w:ascii="Calibri" w:hAnsi="Calibri" w:eastAsia="宋体" w:cs="Times New Roman"/>
      <w:sz w:val="24"/>
      <w:szCs w:val="24"/>
    </w:rPr>
  </w:style>
  <w:style w:type="paragraph" w:customStyle="1" w:styleId="199">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200">
    <w:name w:val="alt-edited1"/>
    <w:qFormat/>
    <w:uiPriority w:val="0"/>
    <w:rPr>
      <w:color w:val="4D90F0"/>
    </w:rPr>
  </w:style>
  <w:style w:type="paragraph" w:customStyle="1" w:styleId="201">
    <w:name w:val="toc 14"/>
    <w:next w:val="1"/>
    <w:qFormat/>
    <w:uiPriority w:val="0"/>
    <w:pPr>
      <w:wordWrap w:val="0"/>
      <w:jc w:val="both"/>
    </w:pPr>
    <w:rPr>
      <w:rFonts w:ascii="Calibri" w:hAnsi="Calibri" w:eastAsia="宋体" w:cs="Times New Roman"/>
      <w:sz w:val="21"/>
      <w:lang w:val="en-US" w:eastAsia="zh-CN" w:bidi="ar-SA"/>
    </w:rPr>
  </w:style>
  <w:style w:type="character" w:customStyle="1" w:styleId="202">
    <w:name w:val="文档结构图 Char1"/>
    <w:semiHidden/>
    <w:qFormat/>
    <w:uiPriority w:val="0"/>
    <w:rPr>
      <w:sz w:val="20"/>
    </w:rPr>
  </w:style>
  <w:style w:type="character" w:customStyle="1" w:styleId="203">
    <w:name w:val="short_text"/>
    <w:basedOn w:val="47"/>
    <w:qFormat/>
    <w:uiPriority w:val="0"/>
    <w:rPr>
      <w:sz w:val="20"/>
    </w:rPr>
  </w:style>
  <w:style w:type="character" w:customStyle="1" w:styleId="204">
    <w:name w:val="标题 Char1"/>
    <w:qFormat/>
    <w:uiPriority w:val="0"/>
    <w:rPr>
      <w:b/>
      <w:sz w:val="20"/>
    </w:rPr>
  </w:style>
  <w:style w:type="character" w:customStyle="1" w:styleId="205">
    <w:name w:val="正文文本缩进 3 Char1"/>
    <w:semiHidden/>
    <w:qFormat/>
    <w:uiPriority w:val="0"/>
    <w:rPr>
      <w:sz w:val="20"/>
    </w:rPr>
  </w:style>
  <w:style w:type="character" w:customStyle="1" w:styleId="206">
    <w:name w:val="font21"/>
    <w:qFormat/>
    <w:uiPriority w:val="0"/>
    <w:rPr>
      <w:color w:val="FF0000"/>
      <w:sz w:val="20"/>
      <w:u w:val="none"/>
    </w:rPr>
  </w:style>
  <w:style w:type="character" w:customStyle="1" w:styleId="207">
    <w:name w:val="不明显强调1"/>
    <w:qFormat/>
    <w:uiPriority w:val="0"/>
    <w:rPr>
      <w:i/>
      <w:sz w:val="20"/>
    </w:rPr>
  </w:style>
  <w:style w:type="character" w:customStyle="1" w:styleId="208">
    <w:name w:val="font71"/>
    <w:qFormat/>
    <w:uiPriority w:val="0"/>
    <w:rPr>
      <w:sz w:val="20"/>
      <w:u w:val="none"/>
    </w:rPr>
  </w:style>
  <w:style w:type="character" w:customStyle="1" w:styleId="209">
    <w:name w:val="页眉 Char1"/>
    <w:semiHidden/>
    <w:qFormat/>
    <w:uiPriority w:val="0"/>
    <w:rPr>
      <w:sz w:val="20"/>
    </w:rPr>
  </w:style>
  <w:style w:type="character" w:customStyle="1" w:styleId="210">
    <w:name w:val="正文文本缩进 2 Char1"/>
    <w:semiHidden/>
    <w:qFormat/>
    <w:uiPriority w:val="0"/>
    <w:rPr>
      <w:sz w:val="20"/>
    </w:rPr>
  </w:style>
  <w:style w:type="character" w:customStyle="1" w:styleId="211">
    <w:name w:val="font61"/>
    <w:qFormat/>
    <w:uiPriority w:val="0"/>
    <w:rPr>
      <w:sz w:val="20"/>
      <w:u w:val="none"/>
    </w:rPr>
  </w:style>
  <w:style w:type="character" w:customStyle="1" w:styleId="212">
    <w:name w:val="纯文本 Char1"/>
    <w:semiHidden/>
    <w:qFormat/>
    <w:uiPriority w:val="0"/>
    <w:rPr>
      <w:sz w:val="20"/>
    </w:rPr>
  </w:style>
  <w:style w:type="character" w:customStyle="1" w:styleId="213">
    <w:name w:val="正文文本 3 Char1"/>
    <w:semiHidden/>
    <w:qFormat/>
    <w:uiPriority w:val="0"/>
    <w:rPr>
      <w:sz w:val="20"/>
    </w:rPr>
  </w:style>
  <w:style w:type="character" w:customStyle="1" w:styleId="214">
    <w:name w:val="正文文本缩进 Char1"/>
    <w:semiHidden/>
    <w:qFormat/>
    <w:uiPriority w:val="0"/>
    <w:rPr>
      <w:sz w:val="20"/>
    </w:rPr>
  </w:style>
  <w:style w:type="character" w:customStyle="1" w:styleId="215">
    <w:name w:val="明显参考1"/>
    <w:qFormat/>
    <w:uiPriority w:val="0"/>
    <w:rPr>
      <w:b/>
      <w:sz w:val="20"/>
    </w:rPr>
  </w:style>
  <w:style w:type="character" w:customStyle="1" w:styleId="216">
    <w:name w:val="apple-converted-space"/>
    <w:qFormat/>
    <w:uiPriority w:val="0"/>
    <w:rPr>
      <w:sz w:val="20"/>
    </w:rPr>
  </w:style>
  <w:style w:type="character" w:customStyle="1" w:styleId="217">
    <w:name w:val="书籍标题1"/>
    <w:qFormat/>
    <w:uiPriority w:val="0"/>
    <w:rPr>
      <w:b/>
      <w:i/>
      <w:sz w:val="20"/>
    </w:rPr>
  </w:style>
  <w:style w:type="character" w:customStyle="1" w:styleId="218">
    <w:name w:val="long_text"/>
    <w:qFormat/>
    <w:uiPriority w:val="0"/>
    <w:rPr>
      <w:sz w:val="20"/>
    </w:rPr>
  </w:style>
  <w:style w:type="character" w:customStyle="1" w:styleId="219">
    <w:name w:val="日期 Char1"/>
    <w:semiHidden/>
    <w:qFormat/>
    <w:uiPriority w:val="0"/>
    <w:rPr>
      <w:sz w:val="20"/>
    </w:rPr>
  </w:style>
  <w:style w:type="character" w:customStyle="1" w:styleId="220">
    <w:name w:val="批注文字 Char1"/>
    <w:semiHidden/>
    <w:qFormat/>
    <w:uiPriority w:val="0"/>
    <w:rPr>
      <w:sz w:val="20"/>
    </w:rPr>
  </w:style>
  <w:style w:type="character" w:customStyle="1" w:styleId="221">
    <w:name w:val="明显强调1"/>
    <w:qFormat/>
    <w:uiPriority w:val="0"/>
    <w:rPr>
      <w:i/>
      <w:sz w:val="20"/>
    </w:rPr>
  </w:style>
  <w:style w:type="character" w:customStyle="1" w:styleId="222">
    <w:name w:val="16"/>
    <w:qFormat/>
    <w:uiPriority w:val="0"/>
    <w:rPr>
      <w:b/>
      <w:color w:val="FF0356"/>
      <w:sz w:val="20"/>
    </w:rPr>
  </w:style>
  <w:style w:type="character" w:customStyle="1" w:styleId="223">
    <w:name w:val="批注主题 Char1"/>
    <w:semiHidden/>
    <w:qFormat/>
    <w:uiPriority w:val="0"/>
    <w:rPr>
      <w:b/>
      <w:sz w:val="20"/>
    </w:rPr>
  </w:style>
  <w:style w:type="character" w:customStyle="1" w:styleId="224">
    <w:name w:val="正文文本 2 Char1"/>
    <w:semiHidden/>
    <w:qFormat/>
    <w:uiPriority w:val="0"/>
    <w:rPr>
      <w:sz w:val="20"/>
    </w:rPr>
  </w:style>
  <w:style w:type="character" w:customStyle="1" w:styleId="225">
    <w:name w:val="font31"/>
    <w:qFormat/>
    <w:uiPriority w:val="0"/>
    <w:rPr>
      <w:color w:val="FF0000"/>
      <w:sz w:val="20"/>
      <w:u w:val="none"/>
      <w:vertAlign w:val="superscript"/>
    </w:rPr>
  </w:style>
  <w:style w:type="character" w:customStyle="1" w:styleId="226">
    <w:name w:val="不明显参考1"/>
    <w:qFormat/>
    <w:uiPriority w:val="0"/>
    <w:rPr>
      <w:sz w:val="20"/>
    </w:rPr>
  </w:style>
  <w:style w:type="character" w:customStyle="1" w:styleId="227">
    <w:name w:val="HTML 预设格式 Char1"/>
    <w:semiHidden/>
    <w:qFormat/>
    <w:uiPriority w:val="0"/>
    <w:rPr>
      <w:sz w:val="20"/>
    </w:rPr>
  </w:style>
  <w:style w:type="character" w:customStyle="1" w:styleId="228">
    <w:name w:val="font01"/>
    <w:basedOn w:val="47"/>
    <w:qFormat/>
    <w:uiPriority w:val="0"/>
    <w:rPr>
      <w:color w:val="FF0000"/>
      <w:sz w:val="20"/>
      <w:u w:val="none"/>
      <w:vertAlign w:val="superscript"/>
    </w:rPr>
  </w:style>
  <w:style w:type="character" w:customStyle="1" w:styleId="229">
    <w:name w:val="页脚 Char1"/>
    <w:semiHidden/>
    <w:qFormat/>
    <w:uiPriority w:val="0"/>
    <w:rPr>
      <w:sz w:val="20"/>
    </w:rPr>
  </w:style>
  <w:style w:type="character" w:customStyle="1" w:styleId="230">
    <w:name w:val="批注框文本 Char1"/>
    <w:semiHidden/>
    <w:qFormat/>
    <w:uiPriority w:val="0"/>
    <w:rPr>
      <w:sz w:val="20"/>
    </w:rPr>
  </w:style>
  <w:style w:type="paragraph" w:customStyle="1" w:styleId="231">
    <w:name w:val="列出段落2"/>
    <w:basedOn w:val="1"/>
    <w:next w:val="232"/>
    <w:qFormat/>
    <w:uiPriority w:val="0"/>
    <w:pPr>
      <w:ind w:firstLine="420"/>
    </w:pPr>
    <w:rPr>
      <w:rFonts w:ascii="Times New Roman" w:hAnsi="Calibri" w:eastAsia="宋体" w:cs="Times New Roman"/>
      <w:kern w:val="0"/>
      <w:szCs w:val="20"/>
    </w:rPr>
  </w:style>
  <w:style w:type="paragraph" w:customStyle="1" w:styleId="232">
    <w:name w:val="toc 814"/>
    <w:next w:val="1"/>
    <w:qFormat/>
    <w:uiPriority w:val="0"/>
    <w:pPr>
      <w:wordWrap w:val="0"/>
      <w:ind w:left="2975"/>
      <w:jc w:val="both"/>
    </w:pPr>
    <w:rPr>
      <w:rFonts w:ascii="Calibri" w:hAnsi="Calibri" w:eastAsia="宋体" w:cs="Times New Roman"/>
      <w:sz w:val="21"/>
      <w:lang w:val="en-US" w:eastAsia="zh-CN" w:bidi="ar-SA"/>
    </w:rPr>
  </w:style>
  <w:style w:type="paragraph" w:customStyle="1" w:styleId="233">
    <w:name w:val="toc 62"/>
    <w:next w:val="1"/>
    <w:qFormat/>
    <w:uiPriority w:val="0"/>
    <w:pPr>
      <w:wordWrap w:val="0"/>
      <w:ind w:left="2125"/>
      <w:jc w:val="both"/>
    </w:pPr>
    <w:rPr>
      <w:rFonts w:ascii="Calibri" w:hAnsi="Calibri" w:eastAsia="宋体" w:cs="Times New Roman"/>
      <w:sz w:val="21"/>
      <w:lang w:val="en-US" w:eastAsia="zh-CN" w:bidi="ar-SA"/>
    </w:rPr>
  </w:style>
  <w:style w:type="paragraph" w:customStyle="1" w:styleId="234">
    <w:name w:val="toc 414"/>
    <w:next w:val="1"/>
    <w:qFormat/>
    <w:uiPriority w:val="0"/>
    <w:pPr>
      <w:wordWrap w:val="0"/>
      <w:ind w:left="1275"/>
      <w:jc w:val="both"/>
    </w:pPr>
    <w:rPr>
      <w:rFonts w:ascii="Calibri" w:hAnsi="Calibri" w:eastAsia="宋体" w:cs="Times New Roman"/>
      <w:sz w:val="21"/>
      <w:lang w:val="en-US" w:eastAsia="zh-CN" w:bidi="ar-SA"/>
    </w:rPr>
  </w:style>
  <w:style w:type="paragraph" w:customStyle="1" w:styleId="235">
    <w:name w:val="toc 411"/>
    <w:next w:val="1"/>
    <w:qFormat/>
    <w:uiPriority w:val="0"/>
    <w:pPr>
      <w:wordWrap w:val="0"/>
      <w:ind w:left="1275"/>
      <w:jc w:val="both"/>
    </w:pPr>
    <w:rPr>
      <w:rFonts w:ascii="Calibri" w:hAnsi="Calibri" w:eastAsia="宋体" w:cs="Times New Roman"/>
      <w:sz w:val="21"/>
      <w:lang w:val="en-US" w:eastAsia="zh-CN" w:bidi="ar-SA"/>
    </w:rPr>
  </w:style>
  <w:style w:type="paragraph" w:customStyle="1" w:styleId="236">
    <w:name w:val="xl86"/>
    <w:basedOn w:val="1"/>
    <w:next w:val="237"/>
    <w:qFormat/>
    <w:uiPriority w:val="0"/>
    <w:pPr>
      <w:widowControl/>
      <w:shd w:val="clear" w:color="000000" w:fill="FFFFFF"/>
      <w:spacing w:before="280" w:after="280"/>
      <w:jc w:val="center"/>
    </w:pPr>
    <w:rPr>
      <w:rFonts w:ascii="宋体" w:hAnsi="Calibri" w:eastAsia="宋体" w:cs="Times New Roman"/>
      <w:kern w:val="0"/>
      <w:sz w:val="20"/>
      <w:szCs w:val="20"/>
    </w:rPr>
  </w:style>
  <w:style w:type="paragraph" w:customStyle="1" w:styleId="237">
    <w:name w:val="toc 515"/>
    <w:next w:val="1"/>
    <w:qFormat/>
    <w:uiPriority w:val="0"/>
    <w:pPr>
      <w:wordWrap w:val="0"/>
      <w:ind w:left="1700"/>
      <w:jc w:val="both"/>
    </w:pPr>
    <w:rPr>
      <w:rFonts w:ascii="Calibri" w:hAnsi="Calibri" w:eastAsia="宋体" w:cs="Times New Roman"/>
      <w:sz w:val="21"/>
      <w:lang w:val="en-US" w:eastAsia="zh-CN" w:bidi="ar-SA"/>
    </w:rPr>
  </w:style>
  <w:style w:type="paragraph" w:customStyle="1" w:styleId="238">
    <w:name w:val="TOC Heading4"/>
    <w:next w:val="1"/>
    <w:qFormat/>
    <w:uiPriority w:val="0"/>
    <w:pPr>
      <w:wordWrap w:val="0"/>
    </w:pPr>
    <w:rPr>
      <w:rFonts w:ascii="Calibri" w:hAnsi="Calibri" w:eastAsia="宋体" w:cs="Times New Roman"/>
      <w:sz w:val="32"/>
      <w:lang w:val="en-US" w:eastAsia="zh-CN" w:bidi="ar-SA"/>
    </w:rPr>
  </w:style>
  <w:style w:type="paragraph" w:customStyle="1" w:styleId="239">
    <w:name w:val="toc 15"/>
    <w:next w:val="1"/>
    <w:qFormat/>
    <w:uiPriority w:val="0"/>
    <w:pPr>
      <w:wordWrap w:val="0"/>
      <w:jc w:val="both"/>
    </w:pPr>
    <w:rPr>
      <w:rFonts w:ascii="Calibri" w:hAnsi="Calibri" w:eastAsia="宋体" w:cs="Times New Roman"/>
      <w:sz w:val="21"/>
      <w:lang w:val="en-US" w:eastAsia="zh-CN" w:bidi="ar-SA"/>
    </w:rPr>
  </w:style>
  <w:style w:type="paragraph" w:customStyle="1" w:styleId="240">
    <w:name w:val="TOC Heading2"/>
    <w:next w:val="1"/>
    <w:qFormat/>
    <w:uiPriority w:val="0"/>
    <w:pPr>
      <w:wordWrap w:val="0"/>
    </w:pPr>
    <w:rPr>
      <w:rFonts w:ascii="Calibri" w:hAnsi="Calibri" w:eastAsia="宋体" w:cs="Times New Roman"/>
      <w:sz w:val="32"/>
      <w:lang w:val="en-US" w:eastAsia="zh-CN" w:bidi="ar-SA"/>
    </w:rPr>
  </w:style>
  <w:style w:type="paragraph" w:customStyle="1" w:styleId="241">
    <w:name w:val="TOC Heading1"/>
    <w:next w:val="1"/>
    <w:qFormat/>
    <w:uiPriority w:val="0"/>
    <w:pPr>
      <w:wordWrap w:val="0"/>
    </w:pPr>
    <w:rPr>
      <w:rFonts w:ascii="Calibri" w:hAnsi="Calibri" w:eastAsia="宋体" w:cs="Times New Roman"/>
      <w:sz w:val="32"/>
      <w:lang w:val="en-US" w:eastAsia="zh-CN" w:bidi="ar-SA"/>
    </w:rPr>
  </w:style>
  <w:style w:type="paragraph" w:customStyle="1" w:styleId="242">
    <w:name w:val="toc 73"/>
    <w:next w:val="1"/>
    <w:qFormat/>
    <w:uiPriority w:val="0"/>
    <w:pPr>
      <w:wordWrap w:val="0"/>
      <w:ind w:left="2550"/>
      <w:jc w:val="both"/>
    </w:pPr>
    <w:rPr>
      <w:rFonts w:ascii="Calibri" w:hAnsi="Calibri" w:eastAsia="宋体" w:cs="Times New Roman"/>
      <w:sz w:val="21"/>
      <w:lang w:val="en-US" w:eastAsia="zh-CN" w:bidi="ar-SA"/>
    </w:rPr>
  </w:style>
  <w:style w:type="paragraph" w:customStyle="1" w:styleId="243">
    <w:name w:val="font7"/>
    <w:basedOn w:val="1"/>
    <w:next w:val="244"/>
    <w:qFormat/>
    <w:uiPriority w:val="0"/>
    <w:pPr>
      <w:widowControl/>
      <w:spacing w:before="280" w:after="280"/>
    </w:pPr>
    <w:rPr>
      <w:rFonts w:ascii="Arial" w:hAnsi="Calibri" w:eastAsia="宋体" w:cs="Times New Roman"/>
      <w:kern w:val="0"/>
      <w:sz w:val="18"/>
      <w:szCs w:val="20"/>
    </w:rPr>
  </w:style>
  <w:style w:type="paragraph" w:customStyle="1" w:styleId="244">
    <w:name w:val="toc 810"/>
    <w:next w:val="1"/>
    <w:qFormat/>
    <w:uiPriority w:val="0"/>
    <w:pPr>
      <w:wordWrap w:val="0"/>
      <w:ind w:left="2975"/>
      <w:jc w:val="both"/>
    </w:pPr>
    <w:rPr>
      <w:rFonts w:ascii="Calibri" w:hAnsi="Calibri" w:eastAsia="宋体" w:cs="Times New Roman"/>
      <w:sz w:val="21"/>
      <w:lang w:val="en-US" w:eastAsia="zh-CN" w:bidi="ar-SA"/>
    </w:rPr>
  </w:style>
  <w:style w:type="paragraph" w:customStyle="1" w:styleId="245">
    <w:name w:val="xl113"/>
    <w:basedOn w:val="1"/>
    <w:next w:val="246"/>
    <w:qFormat/>
    <w:uiPriority w:val="0"/>
    <w:pPr>
      <w:widowControl/>
      <w:shd w:val="clear" w:color="000000" w:fill="FFFFFF"/>
      <w:spacing w:before="280" w:after="280"/>
      <w:jc w:val="center"/>
    </w:pPr>
    <w:rPr>
      <w:rFonts w:ascii="宋体" w:hAnsi="Calibri" w:eastAsia="宋体" w:cs="Times New Roman"/>
      <w:b/>
      <w:kern w:val="0"/>
      <w:sz w:val="20"/>
      <w:szCs w:val="20"/>
    </w:rPr>
  </w:style>
  <w:style w:type="paragraph" w:customStyle="1" w:styleId="246">
    <w:name w:val="TOC Heading10"/>
    <w:next w:val="1"/>
    <w:qFormat/>
    <w:uiPriority w:val="0"/>
    <w:pPr>
      <w:wordWrap w:val="0"/>
    </w:pPr>
    <w:rPr>
      <w:rFonts w:ascii="Calibri" w:hAnsi="Calibri" w:eastAsia="宋体" w:cs="Times New Roman"/>
      <w:sz w:val="32"/>
      <w:lang w:val="en-US" w:eastAsia="zh-CN" w:bidi="ar-SA"/>
    </w:rPr>
  </w:style>
  <w:style w:type="paragraph" w:customStyle="1" w:styleId="247">
    <w:name w:val="toc 89"/>
    <w:next w:val="1"/>
    <w:qFormat/>
    <w:uiPriority w:val="0"/>
    <w:pPr>
      <w:wordWrap w:val="0"/>
      <w:ind w:left="2975"/>
      <w:jc w:val="both"/>
    </w:pPr>
    <w:rPr>
      <w:rFonts w:ascii="Calibri" w:hAnsi="Calibri" w:eastAsia="宋体" w:cs="Times New Roman"/>
      <w:sz w:val="21"/>
      <w:lang w:val="en-US" w:eastAsia="zh-CN" w:bidi="ar-SA"/>
    </w:rPr>
  </w:style>
  <w:style w:type="paragraph" w:customStyle="1" w:styleId="248">
    <w:name w:val="xl73"/>
    <w:basedOn w:val="1"/>
    <w:next w:val="249"/>
    <w:qFormat/>
    <w:uiPriority w:val="0"/>
    <w:pPr>
      <w:widowControl/>
      <w:shd w:val="clear" w:color="000000" w:fill="FFFFFF"/>
      <w:spacing w:before="280" w:after="280"/>
      <w:jc w:val="center"/>
    </w:pPr>
    <w:rPr>
      <w:rFonts w:ascii="宋体" w:hAnsi="Calibri" w:eastAsia="宋体" w:cs="Times New Roman"/>
      <w:kern w:val="0"/>
      <w:sz w:val="20"/>
      <w:szCs w:val="20"/>
    </w:rPr>
  </w:style>
  <w:style w:type="paragraph" w:customStyle="1" w:styleId="249">
    <w:name w:val="toc 613"/>
    <w:next w:val="1"/>
    <w:qFormat/>
    <w:uiPriority w:val="0"/>
    <w:pPr>
      <w:wordWrap w:val="0"/>
      <w:ind w:left="2125"/>
      <w:jc w:val="both"/>
    </w:pPr>
    <w:rPr>
      <w:rFonts w:ascii="Calibri" w:hAnsi="Calibri" w:eastAsia="宋体" w:cs="Times New Roman"/>
      <w:sz w:val="21"/>
      <w:lang w:val="en-US" w:eastAsia="zh-CN" w:bidi="ar-SA"/>
    </w:rPr>
  </w:style>
  <w:style w:type="paragraph" w:customStyle="1" w:styleId="250">
    <w:name w:val="xl79"/>
    <w:basedOn w:val="1"/>
    <w:next w:val="251"/>
    <w:qFormat/>
    <w:uiPriority w:val="0"/>
    <w:pPr>
      <w:widowControl/>
      <w:shd w:val="clear" w:color="000000" w:fill="FFFFFF"/>
      <w:spacing w:before="280" w:after="280"/>
    </w:pPr>
    <w:rPr>
      <w:rFonts w:ascii="宋体" w:hAnsi="Calibri" w:eastAsia="宋体" w:cs="Times New Roman"/>
      <w:b/>
      <w:kern w:val="0"/>
      <w:sz w:val="20"/>
      <w:szCs w:val="20"/>
    </w:rPr>
  </w:style>
  <w:style w:type="paragraph" w:customStyle="1" w:styleId="251">
    <w:name w:val="toc 87"/>
    <w:next w:val="1"/>
    <w:qFormat/>
    <w:uiPriority w:val="0"/>
    <w:pPr>
      <w:wordWrap w:val="0"/>
      <w:ind w:left="2975"/>
      <w:jc w:val="both"/>
    </w:pPr>
    <w:rPr>
      <w:rFonts w:ascii="Calibri" w:hAnsi="Calibri" w:eastAsia="宋体" w:cs="Times New Roman"/>
      <w:sz w:val="21"/>
      <w:lang w:val="en-US" w:eastAsia="zh-CN" w:bidi="ar-SA"/>
    </w:rPr>
  </w:style>
  <w:style w:type="paragraph" w:customStyle="1" w:styleId="252">
    <w:name w:val="toc 11"/>
    <w:next w:val="1"/>
    <w:qFormat/>
    <w:uiPriority w:val="0"/>
    <w:pPr>
      <w:wordWrap w:val="0"/>
      <w:jc w:val="both"/>
    </w:pPr>
    <w:rPr>
      <w:rFonts w:ascii="Calibri" w:hAnsi="Calibri" w:eastAsia="宋体" w:cs="Times New Roman"/>
      <w:sz w:val="21"/>
      <w:lang w:val="en-US" w:eastAsia="zh-CN" w:bidi="ar-SA"/>
    </w:rPr>
  </w:style>
  <w:style w:type="paragraph" w:customStyle="1" w:styleId="253">
    <w:name w:val="toc 410"/>
    <w:next w:val="1"/>
    <w:qFormat/>
    <w:uiPriority w:val="0"/>
    <w:pPr>
      <w:wordWrap w:val="0"/>
      <w:ind w:left="1275"/>
      <w:jc w:val="both"/>
    </w:pPr>
    <w:rPr>
      <w:rFonts w:ascii="Calibri" w:hAnsi="Calibri" w:eastAsia="宋体" w:cs="Times New Roman"/>
      <w:sz w:val="21"/>
      <w:lang w:val="en-US" w:eastAsia="zh-CN" w:bidi="ar-SA"/>
    </w:rPr>
  </w:style>
  <w:style w:type="paragraph" w:customStyle="1" w:styleId="254">
    <w:name w:val="toc 611"/>
    <w:next w:val="1"/>
    <w:qFormat/>
    <w:uiPriority w:val="0"/>
    <w:pPr>
      <w:wordWrap w:val="0"/>
      <w:ind w:left="2125"/>
      <w:jc w:val="both"/>
    </w:pPr>
    <w:rPr>
      <w:rFonts w:ascii="Calibri" w:hAnsi="Calibri" w:eastAsia="宋体" w:cs="Times New Roman"/>
      <w:sz w:val="21"/>
      <w:lang w:val="en-US" w:eastAsia="zh-CN" w:bidi="ar-SA"/>
    </w:rPr>
  </w:style>
  <w:style w:type="paragraph" w:customStyle="1" w:styleId="255">
    <w:name w:val="xl112"/>
    <w:basedOn w:val="1"/>
    <w:next w:val="254"/>
    <w:qFormat/>
    <w:uiPriority w:val="0"/>
    <w:pPr>
      <w:widowControl/>
      <w:shd w:val="clear" w:color="000000" w:fill="FFFFFF"/>
      <w:spacing w:before="280" w:after="280"/>
      <w:jc w:val="center"/>
    </w:pPr>
    <w:rPr>
      <w:rFonts w:ascii="宋体" w:hAnsi="Calibri" w:eastAsia="宋体" w:cs="Times New Roman"/>
      <w:b/>
      <w:kern w:val="0"/>
      <w:sz w:val="20"/>
      <w:szCs w:val="20"/>
    </w:rPr>
  </w:style>
  <w:style w:type="paragraph" w:customStyle="1" w:styleId="256">
    <w:name w:val="toc 514"/>
    <w:next w:val="1"/>
    <w:qFormat/>
    <w:uiPriority w:val="0"/>
    <w:pPr>
      <w:wordWrap w:val="0"/>
      <w:ind w:left="1700"/>
      <w:jc w:val="both"/>
    </w:pPr>
    <w:rPr>
      <w:rFonts w:ascii="Calibri" w:hAnsi="Calibri" w:eastAsia="宋体" w:cs="Times New Roman"/>
      <w:sz w:val="21"/>
      <w:lang w:val="en-US" w:eastAsia="zh-CN" w:bidi="ar-SA"/>
    </w:rPr>
  </w:style>
  <w:style w:type="paragraph" w:customStyle="1" w:styleId="257">
    <w:name w:val="toc 44"/>
    <w:next w:val="1"/>
    <w:qFormat/>
    <w:uiPriority w:val="0"/>
    <w:pPr>
      <w:wordWrap w:val="0"/>
      <w:ind w:left="1275"/>
      <w:jc w:val="both"/>
    </w:pPr>
    <w:rPr>
      <w:rFonts w:ascii="Calibri" w:hAnsi="Calibri" w:eastAsia="宋体" w:cs="Times New Roman"/>
      <w:sz w:val="21"/>
      <w:lang w:val="en-US" w:eastAsia="zh-CN" w:bidi="ar-SA"/>
    </w:rPr>
  </w:style>
  <w:style w:type="paragraph" w:customStyle="1" w:styleId="258">
    <w:name w:val="toc 412"/>
    <w:next w:val="1"/>
    <w:qFormat/>
    <w:uiPriority w:val="0"/>
    <w:pPr>
      <w:wordWrap w:val="0"/>
      <w:ind w:left="1275"/>
      <w:jc w:val="both"/>
    </w:pPr>
    <w:rPr>
      <w:rFonts w:ascii="Calibri" w:hAnsi="Calibri" w:eastAsia="宋体" w:cs="Times New Roman"/>
      <w:sz w:val="21"/>
      <w:lang w:val="en-US" w:eastAsia="zh-CN" w:bidi="ar-SA"/>
    </w:rPr>
  </w:style>
  <w:style w:type="paragraph" w:customStyle="1" w:styleId="259">
    <w:name w:val="xl74"/>
    <w:basedOn w:val="1"/>
    <w:next w:val="260"/>
    <w:qFormat/>
    <w:uiPriority w:val="0"/>
    <w:pPr>
      <w:widowControl/>
      <w:shd w:val="clear" w:color="000000" w:fill="FFFFFF"/>
      <w:spacing w:before="280" w:after="280"/>
    </w:pPr>
    <w:rPr>
      <w:rFonts w:ascii="宋体" w:hAnsi="Calibri" w:eastAsia="宋体" w:cs="Times New Roman"/>
      <w:kern w:val="0"/>
      <w:sz w:val="20"/>
      <w:szCs w:val="20"/>
    </w:rPr>
  </w:style>
  <w:style w:type="paragraph" w:customStyle="1" w:styleId="260">
    <w:name w:val="toc 57"/>
    <w:next w:val="1"/>
    <w:qFormat/>
    <w:uiPriority w:val="0"/>
    <w:pPr>
      <w:wordWrap w:val="0"/>
      <w:ind w:left="1700"/>
      <w:jc w:val="both"/>
    </w:pPr>
    <w:rPr>
      <w:rFonts w:ascii="Calibri" w:hAnsi="Calibri" w:eastAsia="宋体" w:cs="Times New Roman"/>
      <w:sz w:val="21"/>
      <w:lang w:val="en-US" w:eastAsia="zh-CN" w:bidi="ar-SA"/>
    </w:rPr>
  </w:style>
  <w:style w:type="paragraph" w:customStyle="1" w:styleId="261">
    <w:name w:val="toc 912"/>
    <w:next w:val="1"/>
    <w:qFormat/>
    <w:uiPriority w:val="0"/>
    <w:pPr>
      <w:wordWrap w:val="0"/>
      <w:ind w:left="3400"/>
      <w:jc w:val="both"/>
    </w:pPr>
    <w:rPr>
      <w:rFonts w:ascii="Calibri" w:hAnsi="Calibri" w:eastAsia="宋体" w:cs="Times New Roman"/>
      <w:sz w:val="21"/>
      <w:lang w:val="en-US" w:eastAsia="zh-CN" w:bidi="ar-SA"/>
    </w:rPr>
  </w:style>
  <w:style w:type="paragraph" w:customStyle="1" w:styleId="262">
    <w:name w:val="toc 91"/>
    <w:next w:val="1"/>
    <w:qFormat/>
    <w:uiPriority w:val="0"/>
    <w:pPr>
      <w:wordWrap w:val="0"/>
      <w:ind w:left="3400"/>
      <w:jc w:val="both"/>
    </w:pPr>
    <w:rPr>
      <w:rFonts w:ascii="Calibri" w:hAnsi="Calibri" w:eastAsia="宋体" w:cs="Times New Roman"/>
      <w:sz w:val="21"/>
      <w:lang w:val="en-US" w:eastAsia="zh-CN" w:bidi="ar-SA"/>
    </w:rPr>
  </w:style>
  <w:style w:type="paragraph" w:customStyle="1" w:styleId="263">
    <w:name w:val="toc 38"/>
    <w:next w:val="1"/>
    <w:qFormat/>
    <w:uiPriority w:val="0"/>
    <w:pPr>
      <w:wordWrap w:val="0"/>
      <w:ind w:left="850"/>
      <w:jc w:val="both"/>
    </w:pPr>
    <w:rPr>
      <w:rFonts w:ascii="Calibri" w:hAnsi="Calibri" w:eastAsia="宋体" w:cs="Times New Roman"/>
      <w:sz w:val="21"/>
      <w:lang w:val="en-US" w:eastAsia="zh-CN" w:bidi="ar-SA"/>
    </w:rPr>
  </w:style>
  <w:style w:type="paragraph" w:customStyle="1" w:styleId="264">
    <w:name w:val="toc 95"/>
    <w:next w:val="1"/>
    <w:qFormat/>
    <w:uiPriority w:val="0"/>
    <w:pPr>
      <w:wordWrap w:val="0"/>
      <w:ind w:left="3400"/>
      <w:jc w:val="both"/>
    </w:pPr>
    <w:rPr>
      <w:rFonts w:ascii="Calibri" w:hAnsi="Calibri" w:eastAsia="宋体" w:cs="Times New Roman"/>
      <w:sz w:val="21"/>
      <w:lang w:val="en-US" w:eastAsia="zh-CN" w:bidi="ar-SA"/>
    </w:rPr>
  </w:style>
  <w:style w:type="paragraph" w:customStyle="1" w:styleId="265">
    <w:name w:val="列出段落5"/>
    <w:basedOn w:val="1"/>
    <w:next w:val="266"/>
    <w:qFormat/>
    <w:uiPriority w:val="0"/>
    <w:pPr>
      <w:ind w:firstLine="420"/>
    </w:pPr>
    <w:rPr>
      <w:rFonts w:ascii="Times New Roman" w:hAnsi="Calibri" w:eastAsia="宋体" w:cs="Times New Roman"/>
      <w:kern w:val="0"/>
      <w:szCs w:val="20"/>
    </w:rPr>
  </w:style>
  <w:style w:type="paragraph" w:customStyle="1" w:styleId="266">
    <w:name w:val="toc 312"/>
    <w:next w:val="1"/>
    <w:qFormat/>
    <w:uiPriority w:val="0"/>
    <w:pPr>
      <w:wordWrap w:val="0"/>
      <w:ind w:left="850"/>
      <w:jc w:val="both"/>
    </w:pPr>
    <w:rPr>
      <w:rFonts w:ascii="Calibri" w:hAnsi="Calibri" w:eastAsia="宋体" w:cs="Times New Roman"/>
      <w:sz w:val="21"/>
      <w:lang w:val="en-US" w:eastAsia="zh-CN" w:bidi="ar-SA"/>
    </w:rPr>
  </w:style>
  <w:style w:type="paragraph" w:customStyle="1" w:styleId="267">
    <w:name w:val="xl66"/>
    <w:basedOn w:val="1"/>
    <w:next w:val="268"/>
    <w:qFormat/>
    <w:uiPriority w:val="0"/>
    <w:pPr>
      <w:widowControl/>
      <w:shd w:val="clear" w:color="000000" w:fill="FFFFFF"/>
      <w:spacing w:before="280" w:after="280"/>
    </w:pPr>
    <w:rPr>
      <w:rFonts w:ascii="宋体" w:hAnsi="Calibri" w:eastAsia="宋体" w:cs="Times New Roman"/>
      <w:kern w:val="0"/>
      <w:sz w:val="20"/>
      <w:szCs w:val="20"/>
    </w:rPr>
  </w:style>
  <w:style w:type="paragraph" w:customStyle="1" w:styleId="268">
    <w:name w:val="toc 56"/>
    <w:next w:val="1"/>
    <w:qFormat/>
    <w:uiPriority w:val="0"/>
    <w:pPr>
      <w:wordWrap w:val="0"/>
      <w:ind w:left="1700"/>
      <w:jc w:val="both"/>
    </w:pPr>
    <w:rPr>
      <w:rFonts w:ascii="Calibri" w:hAnsi="Calibri" w:eastAsia="宋体" w:cs="Times New Roman"/>
      <w:sz w:val="21"/>
      <w:lang w:val="en-US" w:eastAsia="zh-CN" w:bidi="ar-SA"/>
    </w:rPr>
  </w:style>
  <w:style w:type="paragraph" w:customStyle="1" w:styleId="269">
    <w:name w:val="TOC Heading3"/>
    <w:next w:val="1"/>
    <w:qFormat/>
    <w:uiPriority w:val="0"/>
    <w:pPr>
      <w:wordWrap w:val="0"/>
    </w:pPr>
    <w:rPr>
      <w:rFonts w:ascii="Calibri" w:hAnsi="Calibri" w:eastAsia="宋体" w:cs="Times New Roman"/>
      <w:sz w:val="32"/>
      <w:lang w:val="en-US" w:eastAsia="zh-CN" w:bidi="ar-SA"/>
    </w:rPr>
  </w:style>
  <w:style w:type="paragraph" w:customStyle="1" w:styleId="270">
    <w:name w:val="toc 65"/>
    <w:next w:val="1"/>
    <w:qFormat/>
    <w:uiPriority w:val="0"/>
    <w:pPr>
      <w:wordWrap w:val="0"/>
      <w:ind w:left="2125"/>
      <w:jc w:val="both"/>
    </w:pPr>
    <w:rPr>
      <w:rFonts w:ascii="Calibri" w:hAnsi="Calibri" w:eastAsia="宋体" w:cs="Times New Roman"/>
      <w:sz w:val="21"/>
      <w:lang w:val="en-US" w:eastAsia="zh-CN" w:bidi="ar-SA"/>
    </w:rPr>
  </w:style>
  <w:style w:type="paragraph" w:customStyle="1" w:styleId="271">
    <w:name w:val="toc 25"/>
    <w:next w:val="1"/>
    <w:qFormat/>
    <w:uiPriority w:val="0"/>
    <w:pPr>
      <w:wordWrap w:val="0"/>
      <w:ind w:left="425"/>
      <w:jc w:val="both"/>
    </w:pPr>
    <w:rPr>
      <w:rFonts w:ascii="Calibri" w:hAnsi="Calibri" w:eastAsia="宋体" w:cs="Times New Roman"/>
      <w:sz w:val="21"/>
      <w:lang w:val="en-US" w:eastAsia="zh-CN" w:bidi="ar-SA"/>
    </w:rPr>
  </w:style>
  <w:style w:type="paragraph" w:customStyle="1" w:styleId="272">
    <w:name w:val="xl84"/>
    <w:basedOn w:val="1"/>
    <w:next w:val="273"/>
    <w:qFormat/>
    <w:uiPriority w:val="0"/>
    <w:pPr>
      <w:widowControl/>
      <w:shd w:val="clear" w:color="000000" w:fill="FFFFFF"/>
      <w:spacing w:before="280" w:after="280"/>
      <w:jc w:val="center"/>
    </w:pPr>
    <w:rPr>
      <w:rFonts w:ascii="宋体" w:hAnsi="Calibri" w:eastAsia="宋体" w:cs="Times New Roman"/>
      <w:kern w:val="0"/>
      <w:sz w:val="20"/>
      <w:szCs w:val="20"/>
    </w:rPr>
  </w:style>
  <w:style w:type="paragraph" w:customStyle="1" w:styleId="273">
    <w:name w:val="toc 99"/>
    <w:next w:val="1"/>
    <w:qFormat/>
    <w:uiPriority w:val="0"/>
    <w:pPr>
      <w:wordWrap w:val="0"/>
      <w:ind w:left="3400"/>
      <w:jc w:val="both"/>
    </w:pPr>
    <w:rPr>
      <w:rFonts w:ascii="Calibri" w:hAnsi="Calibri" w:eastAsia="宋体" w:cs="Times New Roman"/>
      <w:sz w:val="21"/>
      <w:lang w:val="en-US" w:eastAsia="zh-CN" w:bidi="ar-SA"/>
    </w:rPr>
  </w:style>
  <w:style w:type="paragraph" w:customStyle="1" w:styleId="274">
    <w:name w:val="xl81"/>
    <w:basedOn w:val="1"/>
    <w:next w:val="275"/>
    <w:qFormat/>
    <w:uiPriority w:val="0"/>
    <w:pPr>
      <w:widowControl/>
      <w:shd w:val="clear" w:color="000000" w:fill="FFFFFF"/>
      <w:spacing w:before="280" w:after="280"/>
    </w:pPr>
    <w:rPr>
      <w:rFonts w:ascii="宋体" w:hAnsi="Calibri" w:eastAsia="宋体" w:cs="Times New Roman"/>
      <w:kern w:val="0"/>
      <w:sz w:val="20"/>
      <w:szCs w:val="20"/>
    </w:rPr>
  </w:style>
  <w:style w:type="paragraph" w:customStyle="1" w:styleId="275">
    <w:name w:val="toc 59"/>
    <w:next w:val="1"/>
    <w:qFormat/>
    <w:uiPriority w:val="0"/>
    <w:pPr>
      <w:wordWrap w:val="0"/>
      <w:ind w:left="1700"/>
      <w:jc w:val="both"/>
    </w:pPr>
    <w:rPr>
      <w:rFonts w:ascii="Calibri" w:hAnsi="Calibri" w:eastAsia="宋体" w:cs="Times New Roman"/>
      <w:sz w:val="21"/>
      <w:lang w:val="en-US" w:eastAsia="zh-CN" w:bidi="ar-SA"/>
    </w:rPr>
  </w:style>
  <w:style w:type="paragraph" w:customStyle="1" w:styleId="276">
    <w:name w:val="目录 11"/>
    <w:next w:val="1"/>
    <w:qFormat/>
    <w:uiPriority w:val="0"/>
    <w:pPr>
      <w:wordWrap w:val="0"/>
      <w:jc w:val="both"/>
    </w:pPr>
    <w:rPr>
      <w:rFonts w:ascii="Calibri" w:hAnsi="Calibri" w:eastAsia="宋体" w:cs="Times New Roman"/>
      <w:sz w:val="21"/>
      <w:lang w:val="en-US" w:eastAsia="zh-CN" w:bidi="ar-SA"/>
    </w:rPr>
  </w:style>
  <w:style w:type="paragraph" w:customStyle="1" w:styleId="277">
    <w:name w:val="toc 513"/>
    <w:next w:val="1"/>
    <w:qFormat/>
    <w:uiPriority w:val="0"/>
    <w:pPr>
      <w:wordWrap w:val="0"/>
      <w:ind w:left="1700"/>
      <w:jc w:val="both"/>
    </w:pPr>
    <w:rPr>
      <w:rFonts w:ascii="Calibri" w:hAnsi="Calibri" w:eastAsia="宋体" w:cs="Times New Roman"/>
      <w:sz w:val="21"/>
      <w:lang w:val="en-US" w:eastAsia="zh-CN" w:bidi="ar-SA"/>
    </w:rPr>
  </w:style>
  <w:style w:type="paragraph" w:customStyle="1" w:styleId="278">
    <w:name w:val="TOC Heading12"/>
    <w:next w:val="1"/>
    <w:qFormat/>
    <w:uiPriority w:val="0"/>
    <w:pPr>
      <w:wordWrap w:val="0"/>
    </w:pPr>
    <w:rPr>
      <w:rFonts w:ascii="Calibri" w:hAnsi="Calibri" w:eastAsia="宋体" w:cs="Times New Roman"/>
      <w:sz w:val="32"/>
      <w:lang w:val="en-US" w:eastAsia="zh-CN" w:bidi="ar-SA"/>
    </w:rPr>
  </w:style>
  <w:style w:type="paragraph" w:customStyle="1" w:styleId="279">
    <w:name w:val="TOC Heading8"/>
    <w:next w:val="1"/>
    <w:qFormat/>
    <w:uiPriority w:val="0"/>
    <w:pPr>
      <w:wordWrap w:val="0"/>
    </w:pPr>
    <w:rPr>
      <w:rFonts w:ascii="Calibri" w:hAnsi="Calibri" w:eastAsia="宋体" w:cs="Times New Roman"/>
      <w:sz w:val="32"/>
      <w:lang w:val="en-US" w:eastAsia="zh-CN" w:bidi="ar-SA"/>
    </w:rPr>
  </w:style>
  <w:style w:type="paragraph" w:customStyle="1" w:styleId="280">
    <w:name w:val="toc 711"/>
    <w:next w:val="1"/>
    <w:qFormat/>
    <w:uiPriority w:val="0"/>
    <w:pPr>
      <w:wordWrap w:val="0"/>
      <w:ind w:left="2550"/>
      <w:jc w:val="both"/>
    </w:pPr>
    <w:rPr>
      <w:rFonts w:ascii="Calibri" w:hAnsi="Calibri" w:eastAsia="宋体" w:cs="Times New Roman"/>
      <w:sz w:val="21"/>
      <w:lang w:val="en-US" w:eastAsia="zh-CN" w:bidi="ar-SA"/>
    </w:rPr>
  </w:style>
  <w:style w:type="paragraph" w:customStyle="1" w:styleId="281">
    <w:name w:val="toc 212"/>
    <w:next w:val="1"/>
    <w:qFormat/>
    <w:uiPriority w:val="0"/>
    <w:pPr>
      <w:wordWrap w:val="0"/>
      <w:ind w:left="425"/>
      <w:jc w:val="both"/>
    </w:pPr>
    <w:rPr>
      <w:rFonts w:ascii="Calibri" w:hAnsi="Calibri" w:eastAsia="宋体" w:cs="Times New Roman"/>
      <w:sz w:val="21"/>
      <w:lang w:val="en-US" w:eastAsia="zh-CN" w:bidi="ar-SA"/>
    </w:rPr>
  </w:style>
  <w:style w:type="paragraph" w:customStyle="1" w:styleId="282">
    <w:name w:val="目录 21"/>
    <w:next w:val="1"/>
    <w:qFormat/>
    <w:uiPriority w:val="0"/>
    <w:pPr>
      <w:wordWrap w:val="0"/>
      <w:ind w:left="425"/>
      <w:jc w:val="both"/>
    </w:pPr>
    <w:rPr>
      <w:rFonts w:ascii="Calibri" w:hAnsi="Calibri" w:eastAsia="宋体" w:cs="Times New Roman"/>
      <w:sz w:val="21"/>
      <w:lang w:val="en-US" w:eastAsia="zh-CN" w:bidi="ar-SA"/>
    </w:rPr>
  </w:style>
  <w:style w:type="paragraph" w:customStyle="1" w:styleId="283">
    <w:name w:val="toc 45"/>
    <w:next w:val="1"/>
    <w:qFormat/>
    <w:uiPriority w:val="0"/>
    <w:pPr>
      <w:wordWrap w:val="0"/>
      <w:ind w:left="1275"/>
      <w:jc w:val="both"/>
    </w:pPr>
    <w:rPr>
      <w:rFonts w:ascii="Calibri" w:hAnsi="Calibri" w:eastAsia="宋体" w:cs="Times New Roman"/>
      <w:sz w:val="21"/>
      <w:lang w:val="en-US" w:eastAsia="zh-CN" w:bidi="ar-SA"/>
    </w:rPr>
  </w:style>
  <w:style w:type="paragraph" w:customStyle="1" w:styleId="284">
    <w:name w:val="xl116"/>
    <w:basedOn w:val="1"/>
    <w:next w:val="285"/>
    <w:qFormat/>
    <w:uiPriority w:val="0"/>
    <w:pPr>
      <w:widowControl/>
      <w:shd w:val="clear" w:color="000000" w:fill="FFFFFF"/>
      <w:spacing w:before="280" w:after="280"/>
      <w:jc w:val="center"/>
    </w:pPr>
    <w:rPr>
      <w:rFonts w:ascii="Arial Narrow" w:hAnsi="Calibri" w:eastAsia="宋体" w:cs="Times New Roman"/>
      <w:kern w:val="0"/>
      <w:sz w:val="20"/>
      <w:szCs w:val="20"/>
    </w:rPr>
  </w:style>
  <w:style w:type="paragraph" w:customStyle="1" w:styleId="285">
    <w:name w:val="toc 78"/>
    <w:next w:val="1"/>
    <w:qFormat/>
    <w:uiPriority w:val="0"/>
    <w:pPr>
      <w:wordWrap w:val="0"/>
      <w:ind w:left="2550"/>
      <w:jc w:val="both"/>
    </w:pPr>
    <w:rPr>
      <w:rFonts w:ascii="Calibri" w:hAnsi="Calibri" w:eastAsia="宋体" w:cs="Times New Roman"/>
      <w:sz w:val="21"/>
      <w:lang w:val="en-US" w:eastAsia="zh-CN" w:bidi="ar-SA"/>
    </w:rPr>
  </w:style>
  <w:style w:type="paragraph" w:customStyle="1" w:styleId="286">
    <w:name w:val="font8"/>
    <w:basedOn w:val="1"/>
    <w:next w:val="287"/>
    <w:qFormat/>
    <w:uiPriority w:val="0"/>
    <w:pPr>
      <w:widowControl/>
      <w:spacing w:before="280" w:after="280"/>
    </w:pPr>
    <w:rPr>
      <w:rFonts w:ascii="Arial" w:hAnsi="Calibri" w:eastAsia="宋体" w:cs="Times New Roman"/>
      <w:kern w:val="0"/>
      <w:sz w:val="20"/>
      <w:szCs w:val="20"/>
    </w:rPr>
  </w:style>
  <w:style w:type="paragraph" w:customStyle="1" w:styleId="287">
    <w:name w:val="TOC Heading11"/>
    <w:next w:val="1"/>
    <w:qFormat/>
    <w:uiPriority w:val="0"/>
    <w:pPr>
      <w:wordWrap w:val="0"/>
    </w:pPr>
    <w:rPr>
      <w:rFonts w:ascii="Calibri" w:hAnsi="Calibri" w:eastAsia="宋体" w:cs="Times New Roman"/>
      <w:sz w:val="32"/>
      <w:lang w:val="en-US" w:eastAsia="zh-CN" w:bidi="ar-SA"/>
    </w:rPr>
  </w:style>
  <w:style w:type="paragraph" w:customStyle="1" w:styleId="288">
    <w:name w:val="xl69"/>
    <w:basedOn w:val="1"/>
    <w:next w:val="289"/>
    <w:qFormat/>
    <w:uiPriority w:val="0"/>
    <w:pPr>
      <w:widowControl/>
      <w:shd w:val="clear" w:color="000000" w:fill="FFFFFF"/>
      <w:spacing w:before="280" w:after="280"/>
    </w:pPr>
    <w:rPr>
      <w:rFonts w:ascii="宋体" w:hAnsi="Calibri" w:eastAsia="宋体" w:cs="Times New Roman"/>
      <w:b/>
      <w:kern w:val="0"/>
      <w:sz w:val="20"/>
      <w:szCs w:val="20"/>
    </w:rPr>
  </w:style>
  <w:style w:type="paragraph" w:customStyle="1" w:styleId="289">
    <w:name w:val="toc 48"/>
    <w:next w:val="1"/>
    <w:qFormat/>
    <w:uiPriority w:val="0"/>
    <w:pPr>
      <w:wordWrap w:val="0"/>
      <w:ind w:left="1275"/>
      <w:jc w:val="both"/>
    </w:pPr>
    <w:rPr>
      <w:rFonts w:ascii="Calibri" w:hAnsi="Calibri" w:eastAsia="宋体" w:cs="Times New Roman"/>
      <w:sz w:val="21"/>
      <w:lang w:val="en-US" w:eastAsia="zh-CN" w:bidi="ar-SA"/>
    </w:rPr>
  </w:style>
  <w:style w:type="paragraph" w:customStyle="1" w:styleId="290">
    <w:name w:val="toc 813"/>
    <w:next w:val="1"/>
    <w:qFormat/>
    <w:uiPriority w:val="0"/>
    <w:pPr>
      <w:wordWrap w:val="0"/>
      <w:ind w:left="2975"/>
      <w:jc w:val="both"/>
    </w:pPr>
    <w:rPr>
      <w:rFonts w:ascii="Calibri" w:hAnsi="Calibri" w:eastAsia="宋体" w:cs="Times New Roman"/>
      <w:sz w:val="21"/>
      <w:lang w:val="en-US" w:eastAsia="zh-CN" w:bidi="ar-SA"/>
    </w:rPr>
  </w:style>
  <w:style w:type="paragraph" w:customStyle="1" w:styleId="291">
    <w:name w:val="目录 91"/>
    <w:next w:val="1"/>
    <w:qFormat/>
    <w:uiPriority w:val="0"/>
    <w:pPr>
      <w:wordWrap w:val="0"/>
      <w:ind w:left="3400"/>
      <w:jc w:val="both"/>
    </w:pPr>
    <w:rPr>
      <w:rFonts w:ascii="Calibri" w:hAnsi="Calibri" w:eastAsia="宋体" w:cs="Times New Roman"/>
      <w:sz w:val="21"/>
      <w:lang w:val="en-US" w:eastAsia="zh-CN" w:bidi="ar-SA"/>
    </w:rPr>
  </w:style>
  <w:style w:type="paragraph" w:customStyle="1" w:styleId="292">
    <w:name w:val="列出段落3"/>
    <w:basedOn w:val="1"/>
    <w:next w:val="293"/>
    <w:qFormat/>
    <w:uiPriority w:val="0"/>
    <w:pPr>
      <w:ind w:firstLine="420"/>
    </w:pPr>
    <w:rPr>
      <w:rFonts w:ascii="Times New Roman" w:hAnsi="Calibri" w:eastAsia="宋体" w:cs="Times New Roman"/>
      <w:kern w:val="0"/>
      <w:szCs w:val="20"/>
    </w:rPr>
  </w:style>
  <w:style w:type="paragraph" w:customStyle="1" w:styleId="293">
    <w:name w:val="toc 213"/>
    <w:next w:val="1"/>
    <w:qFormat/>
    <w:uiPriority w:val="0"/>
    <w:pPr>
      <w:wordWrap w:val="0"/>
      <w:ind w:left="425"/>
      <w:jc w:val="both"/>
    </w:pPr>
    <w:rPr>
      <w:rFonts w:ascii="Calibri" w:hAnsi="Calibri" w:eastAsia="宋体" w:cs="Times New Roman"/>
      <w:sz w:val="21"/>
      <w:lang w:val="en-US" w:eastAsia="zh-CN" w:bidi="ar-SA"/>
    </w:rPr>
  </w:style>
  <w:style w:type="paragraph" w:customStyle="1" w:styleId="294">
    <w:name w:val="TOC 标题1"/>
    <w:next w:val="1"/>
    <w:qFormat/>
    <w:uiPriority w:val="0"/>
    <w:pPr>
      <w:wordWrap w:val="0"/>
    </w:pPr>
    <w:rPr>
      <w:rFonts w:ascii="Calibri" w:hAnsi="Calibri" w:eastAsia="宋体" w:cs="Times New Roman"/>
      <w:sz w:val="32"/>
      <w:lang w:val="en-US" w:eastAsia="zh-CN" w:bidi="ar-SA"/>
    </w:rPr>
  </w:style>
  <w:style w:type="paragraph" w:customStyle="1" w:styleId="295">
    <w:name w:val="TOC Heading5"/>
    <w:next w:val="1"/>
    <w:qFormat/>
    <w:uiPriority w:val="0"/>
    <w:pPr>
      <w:wordWrap w:val="0"/>
    </w:pPr>
    <w:rPr>
      <w:rFonts w:ascii="Calibri" w:hAnsi="Calibri" w:eastAsia="宋体" w:cs="Times New Roman"/>
      <w:sz w:val="32"/>
      <w:lang w:val="en-US" w:eastAsia="zh-CN" w:bidi="ar-SA"/>
    </w:rPr>
  </w:style>
  <w:style w:type="paragraph" w:customStyle="1" w:styleId="296">
    <w:name w:val="toc 313"/>
    <w:next w:val="1"/>
    <w:qFormat/>
    <w:uiPriority w:val="0"/>
    <w:pPr>
      <w:wordWrap w:val="0"/>
      <w:ind w:left="850"/>
      <w:jc w:val="both"/>
    </w:pPr>
    <w:rPr>
      <w:rFonts w:ascii="Calibri" w:hAnsi="Calibri" w:eastAsia="宋体" w:cs="Times New Roman"/>
      <w:sz w:val="21"/>
      <w:lang w:val="en-US" w:eastAsia="zh-CN" w:bidi="ar-SA"/>
    </w:rPr>
  </w:style>
  <w:style w:type="paragraph" w:customStyle="1" w:styleId="297">
    <w:name w:val="toc 716"/>
    <w:next w:val="1"/>
    <w:qFormat/>
    <w:uiPriority w:val="0"/>
    <w:pPr>
      <w:wordWrap w:val="0"/>
      <w:ind w:left="2550"/>
      <w:jc w:val="both"/>
    </w:pPr>
    <w:rPr>
      <w:rFonts w:ascii="Calibri" w:hAnsi="Calibri" w:eastAsia="宋体" w:cs="Times New Roman"/>
      <w:sz w:val="21"/>
      <w:lang w:val="en-US" w:eastAsia="zh-CN" w:bidi="ar-SA"/>
    </w:rPr>
  </w:style>
  <w:style w:type="paragraph" w:customStyle="1" w:styleId="298">
    <w:name w:val="xl115"/>
    <w:basedOn w:val="1"/>
    <w:next w:val="299"/>
    <w:qFormat/>
    <w:uiPriority w:val="0"/>
    <w:pPr>
      <w:widowControl/>
      <w:shd w:val="clear" w:color="000000" w:fill="FFFFFF"/>
      <w:spacing w:before="280" w:after="280"/>
      <w:jc w:val="center"/>
    </w:pPr>
    <w:rPr>
      <w:rFonts w:ascii="宋体" w:hAnsi="Calibri" w:eastAsia="宋体" w:cs="Times New Roman"/>
      <w:b/>
      <w:kern w:val="0"/>
      <w:sz w:val="20"/>
      <w:szCs w:val="20"/>
    </w:rPr>
  </w:style>
  <w:style w:type="paragraph" w:customStyle="1" w:styleId="299">
    <w:name w:val="toc 712"/>
    <w:next w:val="1"/>
    <w:qFormat/>
    <w:uiPriority w:val="0"/>
    <w:pPr>
      <w:wordWrap w:val="0"/>
      <w:ind w:left="2550"/>
      <w:jc w:val="both"/>
    </w:pPr>
    <w:rPr>
      <w:rFonts w:ascii="Calibri" w:hAnsi="Calibri" w:eastAsia="宋体" w:cs="Times New Roman"/>
      <w:sz w:val="21"/>
      <w:lang w:val="en-US" w:eastAsia="zh-CN" w:bidi="ar-SA"/>
    </w:rPr>
  </w:style>
  <w:style w:type="paragraph" w:customStyle="1" w:styleId="300">
    <w:name w:val="toc 64"/>
    <w:next w:val="1"/>
    <w:qFormat/>
    <w:uiPriority w:val="0"/>
    <w:pPr>
      <w:wordWrap w:val="0"/>
      <w:ind w:left="2125"/>
      <w:jc w:val="both"/>
    </w:pPr>
    <w:rPr>
      <w:rFonts w:ascii="Calibri" w:hAnsi="Calibri" w:eastAsia="宋体" w:cs="Times New Roman"/>
      <w:sz w:val="21"/>
      <w:lang w:val="en-US" w:eastAsia="zh-CN" w:bidi="ar-SA"/>
    </w:rPr>
  </w:style>
  <w:style w:type="paragraph" w:customStyle="1" w:styleId="301">
    <w:name w:val="toc 24"/>
    <w:next w:val="1"/>
    <w:qFormat/>
    <w:uiPriority w:val="0"/>
    <w:pPr>
      <w:wordWrap w:val="0"/>
      <w:ind w:left="425"/>
      <w:jc w:val="both"/>
    </w:pPr>
    <w:rPr>
      <w:rFonts w:ascii="Calibri" w:hAnsi="Calibri" w:eastAsia="宋体" w:cs="Times New Roman"/>
      <w:sz w:val="21"/>
      <w:lang w:val="en-US" w:eastAsia="zh-CN" w:bidi="ar-SA"/>
    </w:rPr>
  </w:style>
  <w:style w:type="paragraph" w:customStyle="1" w:styleId="302">
    <w:name w:val="toc 54"/>
    <w:next w:val="1"/>
    <w:qFormat/>
    <w:uiPriority w:val="0"/>
    <w:pPr>
      <w:wordWrap w:val="0"/>
      <w:ind w:left="1700"/>
      <w:jc w:val="both"/>
    </w:pPr>
    <w:rPr>
      <w:rFonts w:ascii="Calibri" w:hAnsi="Calibri" w:eastAsia="宋体" w:cs="Times New Roman"/>
      <w:sz w:val="21"/>
      <w:lang w:val="en-US" w:eastAsia="zh-CN" w:bidi="ar-SA"/>
    </w:rPr>
  </w:style>
  <w:style w:type="paragraph" w:customStyle="1" w:styleId="303">
    <w:name w:val="xl93"/>
    <w:basedOn w:val="1"/>
    <w:next w:val="304"/>
    <w:qFormat/>
    <w:uiPriority w:val="0"/>
    <w:pPr>
      <w:widowControl/>
      <w:shd w:val="clear" w:color="000000" w:fill="FFFFFF"/>
      <w:spacing w:before="280" w:after="280"/>
      <w:jc w:val="center"/>
    </w:pPr>
    <w:rPr>
      <w:rFonts w:ascii="宋体" w:hAnsi="Calibri" w:eastAsia="宋体" w:cs="Times New Roman"/>
      <w:kern w:val="0"/>
      <w:sz w:val="20"/>
      <w:szCs w:val="20"/>
    </w:rPr>
  </w:style>
  <w:style w:type="paragraph" w:customStyle="1" w:styleId="304">
    <w:name w:val="toc 112"/>
    <w:next w:val="1"/>
    <w:qFormat/>
    <w:uiPriority w:val="0"/>
    <w:pPr>
      <w:wordWrap w:val="0"/>
      <w:jc w:val="both"/>
    </w:pPr>
    <w:rPr>
      <w:rFonts w:ascii="Calibri" w:hAnsi="Calibri" w:eastAsia="宋体" w:cs="Times New Roman"/>
      <w:sz w:val="21"/>
      <w:lang w:val="en-US" w:eastAsia="zh-CN" w:bidi="ar-SA"/>
    </w:rPr>
  </w:style>
  <w:style w:type="paragraph" w:customStyle="1" w:styleId="305">
    <w:name w:val="xl96"/>
    <w:basedOn w:val="1"/>
    <w:next w:val="256"/>
    <w:qFormat/>
    <w:uiPriority w:val="0"/>
    <w:pPr>
      <w:widowControl/>
      <w:shd w:val="clear" w:color="000000" w:fill="FFFFFF"/>
      <w:spacing w:before="280" w:after="280"/>
      <w:jc w:val="center"/>
    </w:pPr>
    <w:rPr>
      <w:rFonts w:ascii="宋体" w:hAnsi="Calibri" w:eastAsia="宋体" w:cs="Times New Roman"/>
      <w:kern w:val="0"/>
      <w:sz w:val="20"/>
      <w:szCs w:val="20"/>
    </w:rPr>
  </w:style>
  <w:style w:type="paragraph" w:customStyle="1" w:styleId="306">
    <w:name w:val="xl106"/>
    <w:basedOn w:val="1"/>
    <w:next w:val="290"/>
    <w:qFormat/>
    <w:uiPriority w:val="0"/>
    <w:pPr>
      <w:widowControl/>
      <w:shd w:val="clear" w:color="000000" w:fill="FFFFFF"/>
      <w:spacing w:before="280" w:after="280"/>
    </w:pPr>
    <w:rPr>
      <w:rFonts w:ascii="宋体" w:hAnsi="Calibri" w:eastAsia="宋体" w:cs="Times New Roman"/>
      <w:kern w:val="0"/>
      <w:sz w:val="20"/>
      <w:szCs w:val="20"/>
    </w:rPr>
  </w:style>
  <w:style w:type="paragraph" w:customStyle="1" w:styleId="307">
    <w:name w:val="toc 35"/>
    <w:next w:val="1"/>
    <w:qFormat/>
    <w:uiPriority w:val="0"/>
    <w:pPr>
      <w:wordWrap w:val="0"/>
      <w:ind w:left="850"/>
      <w:jc w:val="both"/>
    </w:pPr>
    <w:rPr>
      <w:rFonts w:ascii="Calibri" w:hAnsi="Calibri" w:eastAsia="宋体" w:cs="Times New Roman"/>
      <w:sz w:val="21"/>
      <w:lang w:val="en-US" w:eastAsia="zh-CN" w:bidi="ar-SA"/>
    </w:rPr>
  </w:style>
  <w:style w:type="paragraph" w:customStyle="1" w:styleId="308">
    <w:name w:val="TOC Heading14"/>
    <w:next w:val="1"/>
    <w:qFormat/>
    <w:uiPriority w:val="0"/>
    <w:pPr>
      <w:wordWrap w:val="0"/>
    </w:pPr>
    <w:rPr>
      <w:rFonts w:ascii="Calibri" w:hAnsi="Calibri" w:eastAsia="宋体" w:cs="Times New Roman"/>
      <w:sz w:val="32"/>
      <w:lang w:val="en-US" w:eastAsia="zh-CN" w:bidi="ar-SA"/>
    </w:rPr>
  </w:style>
  <w:style w:type="paragraph" w:customStyle="1" w:styleId="309">
    <w:name w:val="Char Char Char Char Char Char Char1"/>
    <w:basedOn w:val="1"/>
    <w:next w:val="310"/>
    <w:qFormat/>
    <w:uiPriority w:val="0"/>
    <w:pPr>
      <w:widowControl/>
      <w:spacing w:after="160" w:line="240" w:lineRule="exact"/>
    </w:pPr>
    <w:rPr>
      <w:rFonts w:ascii="Times New Roman" w:hAnsi="Calibri" w:eastAsia="宋体" w:cs="Times New Roman"/>
      <w:kern w:val="0"/>
      <w:szCs w:val="20"/>
    </w:rPr>
  </w:style>
  <w:style w:type="paragraph" w:customStyle="1" w:styleId="310">
    <w:name w:val="toc 67"/>
    <w:next w:val="1"/>
    <w:qFormat/>
    <w:uiPriority w:val="0"/>
    <w:pPr>
      <w:wordWrap w:val="0"/>
      <w:ind w:left="2125"/>
      <w:jc w:val="both"/>
    </w:pPr>
    <w:rPr>
      <w:rFonts w:ascii="Calibri" w:hAnsi="Calibri" w:eastAsia="宋体" w:cs="Times New Roman"/>
      <w:sz w:val="21"/>
      <w:lang w:val="en-US" w:eastAsia="zh-CN" w:bidi="ar-SA"/>
    </w:rPr>
  </w:style>
  <w:style w:type="paragraph" w:customStyle="1" w:styleId="311">
    <w:name w:val="列出段落4"/>
    <w:basedOn w:val="1"/>
    <w:next w:val="312"/>
    <w:qFormat/>
    <w:uiPriority w:val="0"/>
    <w:pPr>
      <w:ind w:firstLine="420"/>
    </w:pPr>
    <w:rPr>
      <w:rFonts w:ascii="Times New Roman" w:hAnsi="Calibri" w:eastAsia="宋体" w:cs="Times New Roman"/>
      <w:kern w:val="0"/>
      <w:szCs w:val="20"/>
    </w:rPr>
  </w:style>
  <w:style w:type="paragraph" w:customStyle="1" w:styleId="312">
    <w:name w:val="TOC Heading9"/>
    <w:next w:val="1"/>
    <w:qFormat/>
    <w:uiPriority w:val="0"/>
    <w:pPr>
      <w:wordWrap w:val="0"/>
    </w:pPr>
    <w:rPr>
      <w:rFonts w:ascii="Calibri" w:hAnsi="Calibri" w:eastAsia="宋体" w:cs="Times New Roman"/>
      <w:sz w:val="32"/>
      <w:lang w:val="en-US" w:eastAsia="zh-CN" w:bidi="ar-SA"/>
    </w:rPr>
  </w:style>
  <w:style w:type="paragraph" w:customStyle="1" w:styleId="313">
    <w:name w:val="xl71"/>
    <w:basedOn w:val="1"/>
    <w:next w:val="314"/>
    <w:qFormat/>
    <w:uiPriority w:val="0"/>
    <w:pPr>
      <w:widowControl/>
      <w:shd w:val="clear" w:color="000000" w:fill="FFFFFF"/>
      <w:spacing w:before="280" w:after="280"/>
    </w:pPr>
    <w:rPr>
      <w:rFonts w:ascii="宋体" w:hAnsi="Calibri" w:eastAsia="宋体" w:cs="Times New Roman"/>
      <w:kern w:val="0"/>
      <w:sz w:val="24"/>
      <w:szCs w:val="20"/>
    </w:rPr>
  </w:style>
  <w:style w:type="paragraph" w:customStyle="1" w:styleId="314">
    <w:name w:val="toc 115"/>
    <w:next w:val="1"/>
    <w:qFormat/>
    <w:uiPriority w:val="0"/>
    <w:pPr>
      <w:wordWrap w:val="0"/>
      <w:jc w:val="both"/>
    </w:pPr>
    <w:rPr>
      <w:rFonts w:ascii="Calibri" w:hAnsi="Calibri" w:eastAsia="宋体" w:cs="Times New Roman"/>
      <w:sz w:val="21"/>
      <w:lang w:val="en-US" w:eastAsia="zh-CN" w:bidi="ar-SA"/>
    </w:rPr>
  </w:style>
  <w:style w:type="paragraph" w:customStyle="1" w:styleId="315">
    <w:name w:val="toc 51"/>
    <w:next w:val="1"/>
    <w:qFormat/>
    <w:uiPriority w:val="0"/>
    <w:pPr>
      <w:wordWrap w:val="0"/>
      <w:ind w:left="1700"/>
      <w:jc w:val="both"/>
    </w:pPr>
    <w:rPr>
      <w:rFonts w:ascii="Calibri" w:hAnsi="Calibri" w:eastAsia="宋体" w:cs="Times New Roman"/>
      <w:sz w:val="21"/>
      <w:lang w:val="en-US" w:eastAsia="zh-CN" w:bidi="ar-SA"/>
    </w:rPr>
  </w:style>
  <w:style w:type="paragraph" w:customStyle="1" w:styleId="316">
    <w:name w:val="toc 47"/>
    <w:next w:val="1"/>
    <w:qFormat/>
    <w:uiPriority w:val="0"/>
    <w:pPr>
      <w:wordWrap w:val="0"/>
      <w:ind w:left="1275"/>
      <w:jc w:val="both"/>
    </w:pPr>
    <w:rPr>
      <w:rFonts w:ascii="Calibri" w:hAnsi="Calibri" w:eastAsia="宋体" w:cs="Times New Roman"/>
      <w:sz w:val="21"/>
      <w:lang w:val="en-US" w:eastAsia="zh-CN" w:bidi="ar-SA"/>
    </w:rPr>
  </w:style>
  <w:style w:type="paragraph" w:customStyle="1" w:styleId="317">
    <w:name w:val="xl108"/>
    <w:basedOn w:val="1"/>
    <w:next w:val="318"/>
    <w:qFormat/>
    <w:uiPriority w:val="0"/>
    <w:pPr>
      <w:widowControl/>
      <w:shd w:val="clear" w:color="000000" w:fill="FFFFFF"/>
      <w:spacing w:before="280" w:after="280"/>
    </w:pPr>
    <w:rPr>
      <w:rFonts w:ascii="宋体" w:hAnsi="Calibri" w:eastAsia="宋体" w:cs="Times New Roman"/>
      <w:kern w:val="0"/>
      <w:sz w:val="18"/>
      <w:szCs w:val="20"/>
    </w:rPr>
  </w:style>
  <w:style w:type="paragraph" w:customStyle="1" w:styleId="318">
    <w:name w:val="toc 18"/>
    <w:next w:val="1"/>
    <w:qFormat/>
    <w:uiPriority w:val="0"/>
    <w:pPr>
      <w:wordWrap w:val="0"/>
      <w:jc w:val="both"/>
    </w:pPr>
    <w:rPr>
      <w:rFonts w:ascii="Calibri" w:hAnsi="Calibri" w:eastAsia="宋体" w:cs="Times New Roman"/>
      <w:sz w:val="21"/>
      <w:lang w:val="en-US" w:eastAsia="zh-CN" w:bidi="ar-SA"/>
    </w:rPr>
  </w:style>
  <w:style w:type="paragraph" w:customStyle="1" w:styleId="319">
    <w:name w:val="TOC Heading7"/>
    <w:next w:val="1"/>
    <w:qFormat/>
    <w:uiPriority w:val="0"/>
    <w:pPr>
      <w:wordWrap w:val="0"/>
    </w:pPr>
    <w:rPr>
      <w:rFonts w:ascii="Calibri" w:hAnsi="Calibri" w:eastAsia="宋体" w:cs="Times New Roman"/>
      <w:sz w:val="32"/>
      <w:lang w:val="en-US" w:eastAsia="zh-CN" w:bidi="ar-SA"/>
    </w:rPr>
  </w:style>
  <w:style w:type="paragraph" w:customStyle="1" w:styleId="320">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321">
    <w:name w:val="toc 413"/>
    <w:next w:val="1"/>
    <w:qFormat/>
    <w:uiPriority w:val="0"/>
    <w:pPr>
      <w:wordWrap w:val="0"/>
      <w:ind w:left="1275"/>
      <w:jc w:val="both"/>
    </w:pPr>
    <w:rPr>
      <w:rFonts w:ascii="Calibri" w:hAnsi="Calibri" w:eastAsia="宋体" w:cs="Times New Roman"/>
      <w:sz w:val="21"/>
      <w:lang w:val="en-US" w:eastAsia="zh-CN" w:bidi="ar-SA"/>
    </w:rPr>
  </w:style>
  <w:style w:type="paragraph" w:customStyle="1" w:styleId="322">
    <w:name w:val="toc 85"/>
    <w:next w:val="1"/>
    <w:qFormat/>
    <w:uiPriority w:val="0"/>
    <w:pPr>
      <w:wordWrap w:val="0"/>
      <w:ind w:left="2975"/>
      <w:jc w:val="both"/>
    </w:pPr>
    <w:rPr>
      <w:rFonts w:ascii="Calibri" w:hAnsi="Calibri" w:eastAsia="宋体" w:cs="Times New Roman"/>
      <w:sz w:val="21"/>
      <w:lang w:val="en-US" w:eastAsia="zh-CN" w:bidi="ar-SA"/>
    </w:rPr>
  </w:style>
  <w:style w:type="paragraph" w:customStyle="1" w:styleId="323">
    <w:name w:val="列出段落6"/>
    <w:basedOn w:val="1"/>
    <w:next w:val="324"/>
    <w:qFormat/>
    <w:uiPriority w:val="0"/>
    <w:pPr>
      <w:ind w:firstLine="420"/>
    </w:pPr>
    <w:rPr>
      <w:rFonts w:ascii="Times New Roman" w:hAnsi="Calibri" w:eastAsia="宋体" w:cs="Times New Roman"/>
      <w:kern w:val="0"/>
      <w:szCs w:val="20"/>
    </w:rPr>
  </w:style>
  <w:style w:type="paragraph" w:customStyle="1" w:styleId="324">
    <w:name w:val="toc 86"/>
    <w:next w:val="1"/>
    <w:qFormat/>
    <w:uiPriority w:val="0"/>
    <w:pPr>
      <w:wordWrap w:val="0"/>
      <w:ind w:left="2975"/>
      <w:jc w:val="both"/>
    </w:pPr>
    <w:rPr>
      <w:rFonts w:ascii="Calibri" w:hAnsi="Calibri" w:eastAsia="宋体" w:cs="Times New Roman"/>
      <w:sz w:val="21"/>
      <w:lang w:val="en-US" w:eastAsia="zh-CN" w:bidi="ar-SA"/>
    </w:rPr>
  </w:style>
  <w:style w:type="paragraph" w:customStyle="1" w:styleId="325">
    <w:name w:val="xl80"/>
    <w:basedOn w:val="1"/>
    <w:next w:val="326"/>
    <w:qFormat/>
    <w:uiPriority w:val="0"/>
    <w:pPr>
      <w:widowControl/>
      <w:shd w:val="clear" w:color="000000" w:fill="FFFFFF"/>
      <w:spacing w:before="280" w:after="280"/>
      <w:jc w:val="center"/>
    </w:pPr>
    <w:rPr>
      <w:rFonts w:ascii="宋体" w:hAnsi="Calibri" w:eastAsia="宋体" w:cs="Times New Roman"/>
      <w:b/>
      <w:kern w:val="0"/>
      <w:sz w:val="20"/>
      <w:szCs w:val="20"/>
    </w:rPr>
  </w:style>
  <w:style w:type="paragraph" w:customStyle="1" w:styleId="326">
    <w:name w:val="toc 49"/>
    <w:next w:val="1"/>
    <w:qFormat/>
    <w:uiPriority w:val="0"/>
    <w:pPr>
      <w:wordWrap w:val="0"/>
      <w:ind w:left="1275"/>
      <w:jc w:val="both"/>
    </w:pPr>
    <w:rPr>
      <w:rFonts w:ascii="Calibri" w:hAnsi="Calibri" w:eastAsia="宋体" w:cs="Times New Roman"/>
      <w:sz w:val="21"/>
      <w:lang w:val="en-US" w:eastAsia="zh-CN" w:bidi="ar-SA"/>
    </w:rPr>
  </w:style>
  <w:style w:type="paragraph" w:customStyle="1" w:styleId="327">
    <w:name w:val="Char Char Char Char1"/>
    <w:basedOn w:val="1"/>
    <w:next w:val="328"/>
    <w:qFormat/>
    <w:uiPriority w:val="0"/>
    <w:pPr>
      <w:widowControl/>
      <w:spacing w:after="160" w:line="240" w:lineRule="exact"/>
    </w:pPr>
    <w:rPr>
      <w:rFonts w:ascii="Verdana" w:hAnsi="Calibri" w:eastAsia="仿宋_GB2312" w:cs="Times New Roman"/>
      <w:kern w:val="0"/>
      <w:sz w:val="24"/>
      <w:szCs w:val="20"/>
    </w:rPr>
  </w:style>
  <w:style w:type="paragraph" w:customStyle="1" w:styleId="328">
    <w:name w:val="toc 713"/>
    <w:next w:val="1"/>
    <w:qFormat/>
    <w:uiPriority w:val="0"/>
    <w:pPr>
      <w:wordWrap w:val="0"/>
      <w:ind w:left="2550"/>
      <w:jc w:val="both"/>
    </w:pPr>
    <w:rPr>
      <w:rFonts w:ascii="Calibri" w:hAnsi="Calibri" w:eastAsia="宋体" w:cs="Times New Roman"/>
      <w:sz w:val="21"/>
      <w:lang w:val="en-US" w:eastAsia="zh-CN" w:bidi="ar-SA"/>
    </w:rPr>
  </w:style>
  <w:style w:type="paragraph" w:customStyle="1" w:styleId="329">
    <w:name w:val="xl102"/>
    <w:basedOn w:val="1"/>
    <w:next w:val="330"/>
    <w:qFormat/>
    <w:uiPriority w:val="0"/>
    <w:pPr>
      <w:widowControl/>
      <w:shd w:val="clear" w:color="000000" w:fill="FFFFFF"/>
      <w:spacing w:before="280" w:after="280"/>
      <w:jc w:val="right"/>
    </w:pPr>
    <w:rPr>
      <w:rFonts w:ascii="宋体" w:hAnsi="Calibri" w:eastAsia="宋体" w:cs="Times New Roman"/>
      <w:kern w:val="0"/>
      <w:sz w:val="20"/>
      <w:szCs w:val="20"/>
    </w:rPr>
  </w:style>
  <w:style w:type="paragraph" w:customStyle="1" w:styleId="330">
    <w:name w:val="toc 17"/>
    <w:next w:val="1"/>
    <w:qFormat/>
    <w:uiPriority w:val="0"/>
    <w:pPr>
      <w:wordWrap w:val="0"/>
      <w:jc w:val="both"/>
    </w:pPr>
    <w:rPr>
      <w:rFonts w:ascii="Calibri" w:hAnsi="Calibri" w:eastAsia="宋体" w:cs="Times New Roman"/>
      <w:sz w:val="21"/>
      <w:lang w:val="en-US" w:eastAsia="zh-CN" w:bidi="ar-SA"/>
    </w:rPr>
  </w:style>
  <w:style w:type="paragraph" w:customStyle="1" w:styleId="331">
    <w:name w:val="toc 46"/>
    <w:next w:val="1"/>
    <w:qFormat/>
    <w:uiPriority w:val="0"/>
    <w:pPr>
      <w:wordWrap w:val="0"/>
      <w:ind w:left="1275"/>
      <w:jc w:val="both"/>
    </w:pPr>
    <w:rPr>
      <w:rFonts w:ascii="Calibri" w:hAnsi="Calibri" w:eastAsia="宋体" w:cs="Times New Roman"/>
      <w:sz w:val="21"/>
      <w:lang w:val="en-US" w:eastAsia="zh-CN" w:bidi="ar-SA"/>
    </w:rPr>
  </w:style>
  <w:style w:type="paragraph" w:customStyle="1" w:styleId="332">
    <w:name w:val="toc 311"/>
    <w:next w:val="1"/>
    <w:qFormat/>
    <w:uiPriority w:val="0"/>
    <w:pPr>
      <w:wordWrap w:val="0"/>
      <w:ind w:left="850"/>
      <w:jc w:val="both"/>
    </w:pPr>
    <w:rPr>
      <w:rFonts w:ascii="Calibri" w:hAnsi="Calibri" w:eastAsia="宋体" w:cs="Times New Roman"/>
      <w:sz w:val="21"/>
      <w:lang w:val="en-US" w:eastAsia="zh-CN" w:bidi="ar-SA"/>
    </w:rPr>
  </w:style>
  <w:style w:type="paragraph" w:customStyle="1" w:styleId="333">
    <w:name w:val="xl65"/>
    <w:basedOn w:val="1"/>
    <w:next w:val="235"/>
    <w:qFormat/>
    <w:uiPriority w:val="0"/>
    <w:pPr>
      <w:widowControl/>
      <w:shd w:val="clear" w:color="000000" w:fill="FFFFFF"/>
      <w:spacing w:before="280" w:after="280"/>
      <w:jc w:val="center"/>
    </w:pPr>
    <w:rPr>
      <w:rFonts w:ascii="宋体" w:hAnsi="Calibri" w:eastAsia="宋体" w:cs="Times New Roman"/>
      <w:kern w:val="0"/>
      <w:sz w:val="20"/>
      <w:szCs w:val="20"/>
    </w:rPr>
  </w:style>
  <w:style w:type="paragraph" w:customStyle="1" w:styleId="334">
    <w:name w:val="toc 94"/>
    <w:next w:val="1"/>
    <w:qFormat/>
    <w:uiPriority w:val="0"/>
    <w:pPr>
      <w:wordWrap w:val="0"/>
      <w:ind w:left="3400"/>
      <w:jc w:val="both"/>
    </w:pPr>
    <w:rPr>
      <w:rFonts w:ascii="Calibri" w:hAnsi="Calibri" w:eastAsia="宋体" w:cs="Times New Roman"/>
      <w:sz w:val="21"/>
      <w:lang w:val="en-US" w:eastAsia="zh-CN" w:bidi="ar-SA"/>
    </w:rPr>
  </w:style>
  <w:style w:type="paragraph" w:customStyle="1" w:styleId="335">
    <w:name w:val="toc 55"/>
    <w:next w:val="1"/>
    <w:qFormat/>
    <w:uiPriority w:val="0"/>
    <w:pPr>
      <w:wordWrap w:val="0"/>
      <w:ind w:left="1700"/>
      <w:jc w:val="both"/>
    </w:pPr>
    <w:rPr>
      <w:rFonts w:ascii="Calibri" w:hAnsi="Calibri" w:eastAsia="宋体" w:cs="Times New Roman"/>
      <w:sz w:val="21"/>
      <w:lang w:val="en-US" w:eastAsia="zh-CN" w:bidi="ar-SA"/>
    </w:rPr>
  </w:style>
  <w:style w:type="paragraph" w:customStyle="1" w:styleId="336">
    <w:name w:val="toc 812"/>
    <w:next w:val="1"/>
    <w:qFormat/>
    <w:uiPriority w:val="0"/>
    <w:pPr>
      <w:wordWrap w:val="0"/>
      <w:ind w:left="2975"/>
      <w:jc w:val="both"/>
    </w:pPr>
    <w:rPr>
      <w:rFonts w:ascii="Calibri" w:hAnsi="Calibri" w:eastAsia="宋体" w:cs="Times New Roman"/>
      <w:sz w:val="21"/>
      <w:lang w:val="en-US" w:eastAsia="zh-CN" w:bidi="ar-SA"/>
    </w:rPr>
  </w:style>
  <w:style w:type="paragraph" w:customStyle="1" w:styleId="337">
    <w:name w:val="xl75"/>
    <w:basedOn w:val="1"/>
    <w:next w:val="338"/>
    <w:qFormat/>
    <w:uiPriority w:val="0"/>
    <w:pPr>
      <w:widowControl/>
      <w:shd w:val="clear" w:color="000000" w:fill="FFFFFF"/>
      <w:spacing w:before="280" w:after="280"/>
    </w:pPr>
    <w:rPr>
      <w:rFonts w:ascii="宋体" w:hAnsi="Calibri" w:eastAsia="宋体" w:cs="Times New Roman"/>
      <w:kern w:val="0"/>
      <w:sz w:val="20"/>
      <w:szCs w:val="20"/>
    </w:rPr>
  </w:style>
  <w:style w:type="paragraph" w:customStyle="1" w:styleId="338">
    <w:name w:val="toc 914"/>
    <w:next w:val="1"/>
    <w:qFormat/>
    <w:uiPriority w:val="0"/>
    <w:pPr>
      <w:wordWrap w:val="0"/>
      <w:ind w:left="3400"/>
      <w:jc w:val="both"/>
    </w:pPr>
    <w:rPr>
      <w:rFonts w:ascii="Calibri" w:hAnsi="Calibri" w:eastAsia="宋体" w:cs="Times New Roman"/>
      <w:sz w:val="21"/>
      <w:lang w:val="en-US" w:eastAsia="zh-CN" w:bidi="ar-SA"/>
    </w:rPr>
  </w:style>
  <w:style w:type="paragraph" w:customStyle="1" w:styleId="339">
    <w:name w:val="toc 19"/>
    <w:next w:val="1"/>
    <w:qFormat/>
    <w:uiPriority w:val="0"/>
    <w:pPr>
      <w:wordWrap w:val="0"/>
      <w:jc w:val="both"/>
    </w:pPr>
    <w:rPr>
      <w:rFonts w:ascii="Calibri" w:hAnsi="Calibri" w:eastAsia="宋体" w:cs="Times New Roman"/>
      <w:sz w:val="21"/>
      <w:lang w:val="en-US" w:eastAsia="zh-CN" w:bidi="ar-SA"/>
    </w:rPr>
  </w:style>
  <w:style w:type="paragraph" w:customStyle="1" w:styleId="340">
    <w:name w:val="TOC Heading6"/>
    <w:next w:val="1"/>
    <w:qFormat/>
    <w:uiPriority w:val="0"/>
    <w:pPr>
      <w:wordWrap w:val="0"/>
    </w:pPr>
    <w:rPr>
      <w:rFonts w:ascii="Calibri" w:hAnsi="Calibri" w:eastAsia="宋体" w:cs="Times New Roman"/>
      <w:sz w:val="32"/>
      <w:lang w:val="en-US" w:eastAsia="zh-CN" w:bidi="ar-SA"/>
    </w:rPr>
  </w:style>
  <w:style w:type="paragraph" w:customStyle="1" w:styleId="341">
    <w:name w:val="toc 52"/>
    <w:next w:val="1"/>
    <w:qFormat/>
    <w:uiPriority w:val="0"/>
    <w:pPr>
      <w:wordWrap w:val="0"/>
      <w:ind w:left="1700"/>
      <w:jc w:val="both"/>
    </w:pPr>
    <w:rPr>
      <w:rFonts w:ascii="Calibri" w:hAnsi="Calibri" w:eastAsia="宋体" w:cs="Times New Roman"/>
      <w:sz w:val="21"/>
      <w:lang w:val="en-US" w:eastAsia="zh-CN" w:bidi="ar-SA"/>
    </w:rPr>
  </w:style>
  <w:style w:type="paragraph" w:customStyle="1" w:styleId="342">
    <w:name w:val="toc 36"/>
    <w:next w:val="1"/>
    <w:qFormat/>
    <w:uiPriority w:val="0"/>
    <w:pPr>
      <w:wordWrap w:val="0"/>
      <w:ind w:left="850"/>
      <w:jc w:val="both"/>
    </w:pPr>
    <w:rPr>
      <w:rFonts w:ascii="Calibri" w:hAnsi="Calibri" w:eastAsia="宋体" w:cs="Times New Roman"/>
      <w:sz w:val="21"/>
      <w:lang w:val="en-US" w:eastAsia="zh-CN" w:bidi="ar-SA"/>
    </w:rPr>
  </w:style>
  <w:style w:type="paragraph" w:customStyle="1" w:styleId="343">
    <w:name w:val="toc 82"/>
    <w:next w:val="1"/>
    <w:qFormat/>
    <w:uiPriority w:val="0"/>
    <w:pPr>
      <w:wordWrap w:val="0"/>
      <w:ind w:left="2975"/>
      <w:jc w:val="both"/>
    </w:pPr>
    <w:rPr>
      <w:rFonts w:ascii="Calibri" w:hAnsi="Calibri" w:eastAsia="宋体" w:cs="Times New Roman"/>
      <w:sz w:val="21"/>
      <w:lang w:val="en-US" w:eastAsia="zh-CN" w:bidi="ar-SA"/>
    </w:rPr>
  </w:style>
  <w:style w:type="paragraph" w:customStyle="1" w:styleId="344">
    <w:name w:val="xl104"/>
    <w:basedOn w:val="1"/>
    <w:next w:val="345"/>
    <w:qFormat/>
    <w:uiPriority w:val="0"/>
    <w:pPr>
      <w:widowControl/>
      <w:shd w:val="clear" w:color="000000" w:fill="FFFFFF"/>
      <w:spacing w:before="280" w:after="280"/>
      <w:jc w:val="center"/>
    </w:pPr>
    <w:rPr>
      <w:rFonts w:ascii="宋体" w:hAnsi="Calibri" w:eastAsia="宋体" w:cs="Times New Roman"/>
      <w:kern w:val="0"/>
      <w:sz w:val="20"/>
      <w:szCs w:val="20"/>
    </w:rPr>
  </w:style>
  <w:style w:type="paragraph" w:customStyle="1" w:styleId="345">
    <w:name w:val="toc 210"/>
    <w:next w:val="1"/>
    <w:qFormat/>
    <w:uiPriority w:val="0"/>
    <w:pPr>
      <w:wordWrap w:val="0"/>
      <w:ind w:left="425"/>
      <w:jc w:val="both"/>
    </w:pPr>
    <w:rPr>
      <w:rFonts w:ascii="Calibri" w:hAnsi="Calibri" w:eastAsia="宋体" w:cs="Times New Roman"/>
      <w:sz w:val="21"/>
      <w:lang w:val="en-US" w:eastAsia="zh-CN" w:bidi="ar-SA"/>
    </w:rPr>
  </w:style>
  <w:style w:type="paragraph" w:customStyle="1" w:styleId="346">
    <w:name w:val="toc 110"/>
    <w:next w:val="1"/>
    <w:qFormat/>
    <w:uiPriority w:val="0"/>
    <w:pPr>
      <w:wordWrap w:val="0"/>
      <w:jc w:val="both"/>
    </w:pPr>
    <w:rPr>
      <w:rFonts w:ascii="Calibri" w:hAnsi="Calibri" w:eastAsia="宋体" w:cs="Times New Roman"/>
      <w:sz w:val="21"/>
      <w:lang w:val="en-US" w:eastAsia="zh-CN" w:bidi="ar-SA"/>
    </w:rPr>
  </w:style>
  <w:style w:type="paragraph" w:customStyle="1" w:styleId="347">
    <w:name w:val="toc 66"/>
    <w:next w:val="1"/>
    <w:qFormat/>
    <w:uiPriority w:val="0"/>
    <w:pPr>
      <w:wordWrap w:val="0"/>
      <w:ind w:left="2125"/>
      <w:jc w:val="both"/>
    </w:pPr>
    <w:rPr>
      <w:rFonts w:ascii="Calibri" w:hAnsi="Calibri" w:eastAsia="宋体" w:cs="Times New Roman"/>
      <w:sz w:val="21"/>
      <w:lang w:val="en-US" w:eastAsia="zh-CN" w:bidi="ar-SA"/>
    </w:rPr>
  </w:style>
  <w:style w:type="paragraph" w:customStyle="1" w:styleId="348">
    <w:name w:val="toc 31"/>
    <w:next w:val="1"/>
    <w:qFormat/>
    <w:uiPriority w:val="0"/>
    <w:pPr>
      <w:wordWrap w:val="0"/>
      <w:ind w:left="850"/>
      <w:jc w:val="both"/>
    </w:pPr>
    <w:rPr>
      <w:rFonts w:ascii="Calibri" w:hAnsi="Calibri" w:eastAsia="宋体" w:cs="Times New Roman"/>
      <w:sz w:val="21"/>
      <w:lang w:val="en-US" w:eastAsia="zh-CN" w:bidi="ar-SA"/>
    </w:rPr>
  </w:style>
  <w:style w:type="paragraph" w:customStyle="1" w:styleId="349">
    <w:name w:val="toc 93"/>
    <w:next w:val="1"/>
    <w:qFormat/>
    <w:uiPriority w:val="0"/>
    <w:pPr>
      <w:wordWrap w:val="0"/>
      <w:ind w:left="3400"/>
      <w:jc w:val="both"/>
    </w:pPr>
    <w:rPr>
      <w:rFonts w:ascii="Calibri" w:hAnsi="Calibri" w:eastAsia="宋体" w:cs="Times New Roman"/>
      <w:sz w:val="21"/>
      <w:lang w:val="en-US" w:eastAsia="zh-CN" w:bidi="ar-SA"/>
    </w:rPr>
  </w:style>
  <w:style w:type="paragraph" w:customStyle="1" w:styleId="350">
    <w:name w:val="toc 614"/>
    <w:next w:val="1"/>
    <w:qFormat/>
    <w:uiPriority w:val="0"/>
    <w:pPr>
      <w:wordWrap w:val="0"/>
      <w:ind w:left="2125"/>
      <w:jc w:val="both"/>
    </w:pPr>
    <w:rPr>
      <w:rFonts w:ascii="Calibri" w:hAnsi="Calibri" w:eastAsia="宋体" w:cs="Times New Roman"/>
      <w:sz w:val="21"/>
      <w:lang w:val="en-US" w:eastAsia="zh-CN" w:bidi="ar-SA"/>
    </w:rPr>
  </w:style>
  <w:style w:type="paragraph" w:customStyle="1" w:styleId="351">
    <w:name w:val="无间隔1"/>
    <w:next w:val="346"/>
    <w:qFormat/>
    <w:uiPriority w:val="0"/>
    <w:pPr>
      <w:widowControl w:val="0"/>
      <w:jc w:val="both"/>
    </w:pPr>
    <w:rPr>
      <w:rFonts w:ascii="Calibri" w:hAnsi="Calibri" w:eastAsia="宋体" w:cs="Times New Roman"/>
      <w:sz w:val="22"/>
      <w:lang w:val="en-US" w:eastAsia="zh-CN" w:bidi="ar-SA"/>
    </w:rPr>
  </w:style>
  <w:style w:type="paragraph" w:customStyle="1" w:styleId="352">
    <w:name w:val="目录 41"/>
    <w:next w:val="1"/>
    <w:qFormat/>
    <w:uiPriority w:val="0"/>
    <w:pPr>
      <w:wordWrap w:val="0"/>
      <w:ind w:left="1275"/>
      <w:jc w:val="both"/>
    </w:pPr>
    <w:rPr>
      <w:rFonts w:ascii="Calibri" w:hAnsi="Calibri" w:eastAsia="宋体" w:cs="Times New Roman"/>
      <w:sz w:val="21"/>
      <w:lang w:val="en-US" w:eastAsia="zh-CN" w:bidi="ar-SA"/>
    </w:rPr>
  </w:style>
  <w:style w:type="paragraph" w:customStyle="1" w:styleId="353">
    <w:name w:val="xl105"/>
    <w:basedOn w:val="1"/>
    <w:next w:val="354"/>
    <w:qFormat/>
    <w:uiPriority w:val="0"/>
    <w:pPr>
      <w:widowControl/>
      <w:shd w:val="clear" w:color="000000" w:fill="FFFFFF"/>
      <w:spacing w:before="280" w:after="280"/>
    </w:pPr>
    <w:rPr>
      <w:rFonts w:ascii="宋体" w:hAnsi="Calibri" w:eastAsia="宋体" w:cs="Times New Roman"/>
      <w:kern w:val="0"/>
      <w:sz w:val="18"/>
      <w:szCs w:val="20"/>
    </w:rPr>
  </w:style>
  <w:style w:type="paragraph" w:customStyle="1" w:styleId="354">
    <w:name w:val="toc 615"/>
    <w:next w:val="1"/>
    <w:qFormat/>
    <w:uiPriority w:val="0"/>
    <w:pPr>
      <w:wordWrap w:val="0"/>
      <w:ind w:left="2125"/>
      <w:jc w:val="both"/>
    </w:pPr>
    <w:rPr>
      <w:rFonts w:ascii="Calibri" w:hAnsi="Calibri" w:eastAsia="宋体" w:cs="Times New Roman"/>
      <w:sz w:val="21"/>
      <w:lang w:val="en-US" w:eastAsia="zh-CN" w:bidi="ar-SA"/>
    </w:rPr>
  </w:style>
  <w:style w:type="paragraph" w:customStyle="1" w:styleId="355">
    <w:name w:val="toc 41"/>
    <w:next w:val="1"/>
    <w:qFormat/>
    <w:uiPriority w:val="0"/>
    <w:pPr>
      <w:wordWrap w:val="0"/>
      <w:ind w:left="1275"/>
      <w:jc w:val="both"/>
    </w:pPr>
    <w:rPr>
      <w:rFonts w:ascii="Calibri" w:hAnsi="Calibri" w:eastAsia="宋体" w:cs="Times New Roman"/>
      <w:sz w:val="21"/>
      <w:lang w:val="en-US" w:eastAsia="zh-CN" w:bidi="ar-SA"/>
    </w:rPr>
  </w:style>
  <w:style w:type="paragraph" w:customStyle="1" w:styleId="356">
    <w:name w:val="toc 81"/>
    <w:next w:val="1"/>
    <w:qFormat/>
    <w:uiPriority w:val="0"/>
    <w:pPr>
      <w:wordWrap w:val="0"/>
      <w:ind w:left="2975"/>
      <w:jc w:val="both"/>
    </w:pPr>
    <w:rPr>
      <w:rFonts w:ascii="Calibri" w:hAnsi="Calibri" w:eastAsia="宋体" w:cs="Times New Roman"/>
      <w:sz w:val="21"/>
      <w:lang w:val="en-US" w:eastAsia="zh-CN" w:bidi="ar-SA"/>
    </w:rPr>
  </w:style>
  <w:style w:type="paragraph" w:customStyle="1" w:styleId="357">
    <w:name w:val="xl111"/>
    <w:basedOn w:val="1"/>
    <w:next w:val="358"/>
    <w:qFormat/>
    <w:uiPriority w:val="0"/>
    <w:pPr>
      <w:widowControl/>
      <w:shd w:val="clear" w:color="000000" w:fill="FFFFFF"/>
      <w:spacing w:before="280" w:after="280"/>
      <w:jc w:val="center"/>
    </w:pPr>
    <w:rPr>
      <w:rFonts w:ascii="宋体" w:hAnsi="Calibri" w:eastAsia="宋体" w:cs="Times New Roman"/>
      <w:b/>
      <w:kern w:val="0"/>
      <w:sz w:val="20"/>
      <w:szCs w:val="20"/>
    </w:rPr>
  </w:style>
  <w:style w:type="paragraph" w:customStyle="1" w:styleId="358">
    <w:name w:val="toc 88"/>
    <w:next w:val="1"/>
    <w:qFormat/>
    <w:uiPriority w:val="0"/>
    <w:pPr>
      <w:wordWrap w:val="0"/>
      <w:ind w:left="2975"/>
      <w:jc w:val="both"/>
    </w:pPr>
    <w:rPr>
      <w:rFonts w:ascii="Calibri" w:hAnsi="Calibri" w:eastAsia="宋体" w:cs="Times New Roman"/>
      <w:sz w:val="21"/>
      <w:lang w:val="en-US" w:eastAsia="zh-CN" w:bidi="ar-SA"/>
    </w:rPr>
  </w:style>
  <w:style w:type="paragraph" w:customStyle="1" w:styleId="359">
    <w:name w:val="toc 84"/>
    <w:next w:val="1"/>
    <w:qFormat/>
    <w:uiPriority w:val="0"/>
    <w:pPr>
      <w:wordWrap w:val="0"/>
      <w:ind w:left="2975"/>
      <w:jc w:val="both"/>
    </w:pPr>
    <w:rPr>
      <w:rFonts w:ascii="Calibri" w:hAnsi="Calibri" w:eastAsia="宋体" w:cs="Times New Roman"/>
      <w:sz w:val="21"/>
      <w:lang w:val="en-US" w:eastAsia="zh-CN" w:bidi="ar-SA"/>
    </w:rPr>
  </w:style>
  <w:style w:type="paragraph" w:customStyle="1" w:styleId="360">
    <w:name w:val="p0"/>
    <w:basedOn w:val="1"/>
    <w:next w:val="361"/>
    <w:qFormat/>
    <w:uiPriority w:val="0"/>
    <w:pPr>
      <w:widowControl/>
      <w:spacing w:before="280" w:after="280"/>
    </w:pPr>
    <w:rPr>
      <w:rFonts w:ascii="宋体" w:hAnsi="Calibri" w:eastAsia="宋体" w:cs="Times New Roman"/>
      <w:kern w:val="0"/>
      <w:sz w:val="24"/>
      <w:szCs w:val="20"/>
    </w:rPr>
  </w:style>
  <w:style w:type="paragraph" w:customStyle="1" w:styleId="361">
    <w:name w:val="toc 69"/>
    <w:next w:val="1"/>
    <w:qFormat/>
    <w:uiPriority w:val="0"/>
    <w:pPr>
      <w:wordWrap w:val="0"/>
      <w:ind w:left="2125"/>
      <w:jc w:val="both"/>
    </w:pPr>
    <w:rPr>
      <w:rFonts w:ascii="Calibri" w:hAnsi="Calibri" w:eastAsia="宋体" w:cs="Times New Roman"/>
      <w:sz w:val="21"/>
      <w:lang w:val="en-US" w:eastAsia="zh-CN" w:bidi="ar-SA"/>
    </w:rPr>
  </w:style>
  <w:style w:type="paragraph" w:customStyle="1" w:styleId="362">
    <w:name w:val="列出段落11"/>
    <w:basedOn w:val="1"/>
    <w:next w:val="363"/>
    <w:qFormat/>
    <w:uiPriority w:val="0"/>
    <w:pPr>
      <w:widowControl/>
      <w:spacing w:line="360" w:lineRule="auto"/>
      <w:ind w:firstLine="420"/>
    </w:pPr>
    <w:rPr>
      <w:rFonts w:ascii="Times New Roman" w:hAnsi="Calibri" w:eastAsia="微软雅黑" w:cs="Times New Roman"/>
      <w:kern w:val="0"/>
      <w:sz w:val="24"/>
      <w:szCs w:val="20"/>
    </w:rPr>
  </w:style>
  <w:style w:type="paragraph" w:customStyle="1" w:styleId="363">
    <w:name w:val="toc 214"/>
    <w:next w:val="1"/>
    <w:qFormat/>
    <w:uiPriority w:val="0"/>
    <w:pPr>
      <w:wordWrap w:val="0"/>
      <w:ind w:left="425"/>
      <w:jc w:val="both"/>
    </w:pPr>
    <w:rPr>
      <w:rFonts w:ascii="Calibri" w:hAnsi="Calibri" w:eastAsia="宋体" w:cs="Times New Roman"/>
      <w:sz w:val="21"/>
      <w:lang w:val="en-US" w:eastAsia="zh-CN" w:bidi="ar-SA"/>
    </w:rPr>
  </w:style>
  <w:style w:type="paragraph" w:customStyle="1" w:styleId="364">
    <w:name w:val="toc 63"/>
    <w:next w:val="1"/>
    <w:qFormat/>
    <w:uiPriority w:val="0"/>
    <w:pPr>
      <w:wordWrap w:val="0"/>
      <w:ind w:left="2125"/>
      <w:jc w:val="both"/>
    </w:pPr>
    <w:rPr>
      <w:rFonts w:ascii="Calibri" w:hAnsi="Calibri" w:eastAsia="宋体" w:cs="Times New Roman"/>
      <w:sz w:val="21"/>
      <w:lang w:val="en-US" w:eastAsia="zh-CN" w:bidi="ar-SA"/>
    </w:rPr>
  </w:style>
  <w:style w:type="paragraph" w:customStyle="1" w:styleId="365">
    <w:name w:val="xl91"/>
    <w:basedOn w:val="1"/>
    <w:next w:val="263"/>
    <w:qFormat/>
    <w:uiPriority w:val="0"/>
    <w:pPr>
      <w:widowControl/>
      <w:shd w:val="clear" w:color="000000" w:fill="FFFFFF"/>
      <w:spacing w:before="280" w:after="280"/>
    </w:pPr>
    <w:rPr>
      <w:rFonts w:ascii="宋体" w:hAnsi="Calibri" w:eastAsia="宋体" w:cs="Times New Roman"/>
      <w:kern w:val="0"/>
      <w:sz w:val="20"/>
      <w:szCs w:val="20"/>
    </w:rPr>
  </w:style>
  <w:style w:type="paragraph" w:customStyle="1" w:styleId="366">
    <w:name w:val="toc 316"/>
    <w:next w:val="1"/>
    <w:qFormat/>
    <w:uiPriority w:val="0"/>
    <w:pPr>
      <w:wordWrap w:val="0"/>
      <w:ind w:left="850"/>
      <w:jc w:val="both"/>
    </w:pPr>
    <w:rPr>
      <w:rFonts w:ascii="Calibri" w:hAnsi="Calibri" w:eastAsia="宋体" w:cs="Times New Roman"/>
      <w:sz w:val="21"/>
      <w:lang w:val="en-US" w:eastAsia="zh-CN" w:bidi="ar-SA"/>
    </w:rPr>
  </w:style>
  <w:style w:type="paragraph" w:customStyle="1" w:styleId="367">
    <w:name w:val="_Style 1"/>
    <w:basedOn w:val="1"/>
    <w:next w:val="368"/>
    <w:qFormat/>
    <w:uiPriority w:val="0"/>
    <w:pPr>
      <w:ind w:firstLine="420"/>
    </w:pPr>
    <w:rPr>
      <w:rFonts w:ascii="Times New Roman" w:hAnsi="Calibri" w:eastAsia="宋体" w:cs="Times New Roman"/>
      <w:kern w:val="0"/>
      <w:szCs w:val="20"/>
    </w:rPr>
  </w:style>
  <w:style w:type="paragraph" w:customStyle="1" w:styleId="368">
    <w:name w:val="TOC Heading13"/>
    <w:next w:val="1"/>
    <w:qFormat/>
    <w:uiPriority w:val="0"/>
    <w:pPr>
      <w:wordWrap w:val="0"/>
    </w:pPr>
    <w:rPr>
      <w:rFonts w:ascii="Calibri" w:hAnsi="Calibri" w:eastAsia="宋体" w:cs="Times New Roman"/>
      <w:sz w:val="32"/>
      <w:lang w:val="en-US" w:eastAsia="zh-CN" w:bidi="ar-SA"/>
    </w:rPr>
  </w:style>
  <w:style w:type="paragraph" w:customStyle="1" w:styleId="369">
    <w:name w:val="toc 116"/>
    <w:next w:val="1"/>
    <w:qFormat/>
    <w:uiPriority w:val="0"/>
    <w:pPr>
      <w:wordWrap w:val="0"/>
      <w:jc w:val="both"/>
    </w:pPr>
    <w:rPr>
      <w:rFonts w:ascii="Calibri" w:hAnsi="Calibri" w:eastAsia="宋体" w:cs="Times New Roman"/>
      <w:sz w:val="21"/>
      <w:lang w:val="en-US" w:eastAsia="zh-CN" w:bidi="ar-SA"/>
    </w:rPr>
  </w:style>
  <w:style w:type="paragraph" w:customStyle="1" w:styleId="370">
    <w:name w:val="toc 72"/>
    <w:next w:val="1"/>
    <w:qFormat/>
    <w:uiPriority w:val="0"/>
    <w:pPr>
      <w:wordWrap w:val="0"/>
      <w:ind w:left="2550"/>
      <w:jc w:val="both"/>
    </w:pPr>
    <w:rPr>
      <w:rFonts w:ascii="Calibri" w:hAnsi="Calibri" w:eastAsia="宋体" w:cs="Times New Roman"/>
      <w:sz w:val="21"/>
      <w:lang w:val="en-US" w:eastAsia="zh-CN" w:bidi="ar-SA"/>
    </w:rPr>
  </w:style>
  <w:style w:type="paragraph" w:customStyle="1" w:styleId="371">
    <w:name w:val="x_msonormal"/>
    <w:basedOn w:val="1"/>
    <w:next w:val="321"/>
    <w:qFormat/>
    <w:uiPriority w:val="0"/>
    <w:pPr>
      <w:widowControl/>
      <w:spacing w:before="280" w:after="280"/>
    </w:pPr>
    <w:rPr>
      <w:rFonts w:ascii="PMingLiU" w:hAnsi="Calibri" w:eastAsia="PMingLiU" w:cs="Times New Roman"/>
      <w:kern w:val="0"/>
      <w:sz w:val="24"/>
      <w:szCs w:val="20"/>
    </w:rPr>
  </w:style>
  <w:style w:type="paragraph" w:customStyle="1" w:styleId="372">
    <w:name w:val="toc 310"/>
    <w:next w:val="1"/>
    <w:qFormat/>
    <w:uiPriority w:val="0"/>
    <w:pPr>
      <w:wordWrap w:val="0"/>
      <w:ind w:left="850"/>
      <w:jc w:val="both"/>
    </w:pPr>
    <w:rPr>
      <w:rFonts w:ascii="Calibri" w:hAnsi="Calibri" w:eastAsia="宋体" w:cs="Times New Roman"/>
      <w:sz w:val="21"/>
      <w:lang w:val="en-US" w:eastAsia="zh-CN" w:bidi="ar-SA"/>
    </w:rPr>
  </w:style>
  <w:style w:type="paragraph" w:customStyle="1" w:styleId="373">
    <w:name w:val="toc 83"/>
    <w:next w:val="1"/>
    <w:qFormat/>
    <w:uiPriority w:val="0"/>
    <w:pPr>
      <w:wordWrap w:val="0"/>
      <w:ind w:left="2975"/>
      <w:jc w:val="both"/>
    </w:pPr>
    <w:rPr>
      <w:rFonts w:ascii="Calibri" w:hAnsi="Calibri" w:eastAsia="宋体" w:cs="Times New Roman"/>
      <w:sz w:val="21"/>
      <w:lang w:val="en-US" w:eastAsia="zh-CN" w:bidi="ar-SA"/>
    </w:rPr>
  </w:style>
  <w:style w:type="paragraph" w:customStyle="1" w:styleId="374">
    <w:name w:val="TOC Heading17"/>
    <w:next w:val="1"/>
    <w:qFormat/>
    <w:uiPriority w:val="0"/>
    <w:pPr>
      <w:wordWrap w:val="0"/>
    </w:pPr>
    <w:rPr>
      <w:rFonts w:ascii="Calibri" w:hAnsi="Calibri" w:eastAsia="宋体" w:cs="Times New Roman"/>
      <w:sz w:val="32"/>
      <w:lang w:val="en-US" w:eastAsia="zh-CN" w:bidi="ar-SA"/>
    </w:rPr>
  </w:style>
  <w:style w:type="paragraph" w:customStyle="1" w:styleId="375">
    <w:name w:val="toc 911"/>
    <w:next w:val="1"/>
    <w:qFormat/>
    <w:uiPriority w:val="0"/>
    <w:pPr>
      <w:wordWrap w:val="0"/>
      <w:ind w:left="3400"/>
      <w:jc w:val="both"/>
    </w:pPr>
    <w:rPr>
      <w:rFonts w:ascii="Calibri" w:hAnsi="Calibri" w:eastAsia="宋体" w:cs="Times New Roman"/>
      <w:sz w:val="21"/>
      <w:lang w:val="en-US" w:eastAsia="zh-CN" w:bidi="ar-SA"/>
    </w:rPr>
  </w:style>
  <w:style w:type="paragraph" w:customStyle="1" w:styleId="376">
    <w:name w:val="toc 811"/>
    <w:next w:val="1"/>
    <w:qFormat/>
    <w:uiPriority w:val="0"/>
    <w:pPr>
      <w:wordWrap w:val="0"/>
      <w:ind w:left="2975"/>
      <w:jc w:val="both"/>
    </w:pPr>
    <w:rPr>
      <w:rFonts w:ascii="Calibri" w:hAnsi="Calibri" w:eastAsia="宋体" w:cs="Times New Roman"/>
      <w:sz w:val="21"/>
      <w:lang w:val="en-US" w:eastAsia="zh-CN" w:bidi="ar-SA"/>
    </w:rPr>
  </w:style>
  <w:style w:type="paragraph" w:customStyle="1" w:styleId="377">
    <w:name w:val="目录 31"/>
    <w:next w:val="1"/>
    <w:qFormat/>
    <w:uiPriority w:val="0"/>
    <w:pPr>
      <w:wordWrap w:val="0"/>
      <w:ind w:left="850"/>
      <w:jc w:val="both"/>
    </w:pPr>
    <w:rPr>
      <w:rFonts w:ascii="Calibri" w:hAnsi="Calibri" w:eastAsia="宋体" w:cs="Times New Roman"/>
      <w:sz w:val="21"/>
      <w:lang w:val="en-US" w:eastAsia="zh-CN" w:bidi="ar-SA"/>
    </w:rPr>
  </w:style>
  <w:style w:type="paragraph" w:customStyle="1" w:styleId="378">
    <w:name w:val="xl118"/>
    <w:basedOn w:val="1"/>
    <w:next w:val="253"/>
    <w:qFormat/>
    <w:uiPriority w:val="0"/>
    <w:pPr>
      <w:widowControl/>
      <w:shd w:val="clear" w:color="000000" w:fill="FFFFFF"/>
      <w:spacing w:before="280" w:after="280"/>
      <w:jc w:val="center"/>
    </w:pPr>
    <w:rPr>
      <w:rFonts w:ascii="宋体" w:hAnsi="Calibri" w:eastAsia="宋体" w:cs="Times New Roman"/>
      <w:b/>
      <w:kern w:val="0"/>
      <w:sz w:val="20"/>
      <w:szCs w:val="20"/>
    </w:rPr>
  </w:style>
  <w:style w:type="paragraph" w:customStyle="1" w:styleId="379">
    <w:name w:val="xl83"/>
    <w:basedOn w:val="1"/>
    <w:next w:val="308"/>
    <w:qFormat/>
    <w:uiPriority w:val="0"/>
    <w:pPr>
      <w:widowControl/>
      <w:shd w:val="clear" w:color="000000" w:fill="FFFFFF"/>
      <w:spacing w:before="280" w:after="280"/>
    </w:pPr>
    <w:rPr>
      <w:rFonts w:ascii="宋体" w:hAnsi="Calibri" w:eastAsia="宋体" w:cs="Times New Roman"/>
      <w:kern w:val="0"/>
      <w:sz w:val="20"/>
      <w:szCs w:val="20"/>
    </w:rPr>
  </w:style>
  <w:style w:type="paragraph" w:customStyle="1" w:styleId="380">
    <w:name w:val="xl103"/>
    <w:basedOn w:val="1"/>
    <w:next w:val="381"/>
    <w:qFormat/>
    <w:uiPriority w:val="0"/>
    <w:pPr>
      <w:widowControl/>
      <w:shd w:val="clear" w:color="000000" w:fill="FFFFFF"/>
      <w:spacing w:before="280" w:after="280"/>
    </w:pPr>
    <w:rPr>
      <w:rFonts w:ascii="宋体" w:hAnsi="Calibri" w:eastAsia="宋体" w:cs="Times New Roman"/>
      <w:kern w:val="0"/>
      <w:sz w:val="20"/>
      <w:szCs w:val="20"/>
    </w:rPr>
  </w:style>
  <w:style w:type="paragraph" w:customStyle="1" w:styleId="381">
    <w:name w:val="toc 111"/>
    <w:next w:val="1"/>
    <w:qFormat/>
    <w:uiPriority w:val="0"/>
    <w:pPr>
      <w:wordWrap w:val="0"/>
      <w:jc w:val="both"/>
    </w:pPr>
    <w:rPr>
      <w:rFonts w:ascii="Calibri" w:hAnsi="Calibri" w:eastAsia="宋体" w:cs="Times New Roman"/>
      <w:sz w:val="21"/>
      <w:lang w:val="en-US" w:eastAsia="zh-CN" w:bidi="ar-SA"/>
    </w:rPr>
  </w:style>
  <w:style w:type="paragraph" w:customStyle="1" w:styleId="382">
    <w:name w:val="xl68"/>
    <w:basedOn w:val="1"/>
    <w:next w:val="383"/>
    <w:qFormat/>
    <w:uiPriority w:val="0"/>
    <w:pPr>
      <w:widowControl/>
      <w:shd w:val="clear" w:color="000000" w:fill="FFFFFF"/>
      <w:spacing w:before="280" w:after="280"/>
    </w:pPr>
    <w:rPr>
      <w:rFonts w:ascii="宋体" w:hAnsi="Calibri" w:eastAsia="宋体" w:cs="Times New Roman"/>
      <w:b/>
      <w:kern w:val="0"/>
      <w:sz w:val="20"/>
      <w:szCs w:val="20"/>
    </w:rPr>
  </w:style>
  <w:style w:type="paragraph" w:customStyle="1" w:styleId="383">
    <w:name w:val="TOC Heading16"/>
    <w:next w:val="1"/>
    <w:qFormat/>
    <w:uiPriority w:val="0"/>
    <w:pPr>
      <w:wordWrap w:val="0"/>
    </w:pPr>
    <w:rPr>
      <w:rFonts w:ascii="Calibri" w:hAnsi="Calibri" w:eastAsia="宋体" w:cs="Times New Roman"/>
      <w:sz w:val="32"/>
      <w:lang w:val="en-US" w:eastAsia="zh-CN" w:bidi="ar-SA"/>
    </w:rPr>
  </w:style>
  <w:style w:type="paragraph" w:customStyle="1" w:styleId="384">
    <w:name w:val="toc 113"/>
    <w:next w:val="1"/>
    <w:qFormat/>
    <w:uiPriority w:val="0"/>
    <w:pPr>
      <w:wordWrap w:val="0"/>
      <w:jc w:val="both"/>
    </w:pPr>
    <w:rPr>
      <w:rFonts w:ascii="Calibri" w:hAnsi="Calibri" w:eastAsia="宋体" w:cs="Times New Roman"/>
      <w:sz w:val="21"/>
      <w:lang w:val="en-US" w:eastAsia="zh-CN" w:bidi="ar-SA"/>
    </w:rPr>
  </w:style>
  <w:style w:type="paragraph" w:customStyle="1" w:styleId="385">
    <w:name w:val="xl94"/>
    <w:basedOn w:val="1"/>
    <w:next w:val="277"/>
    <w:qFormat/>
    <w:uiPriority w:val="0"/>
    <w:pPr>
      <w:widowControl/>
      <w:shd w:val="clear" w:color="000000" w:fill="FFFFFF"/>
      <w:spacing w:before="280" w:after="280"/>
      <w:jc w:val="center"/>
    </w:pPr>
    <w:rPr>
      <w:rFonts w:ascii="宋体" w:hAnsi="Calibri" w:eastAsia="宋体" w:cs="Times New Roman"/>
      <w:kern w:val="0"/>
      <w:sz w:val="20"/>
      <w:szCs w:val="20"/>
    </w:rPr>
  </w:style>
  <w:style w:type="paragraph" w:customStyle="1" w:styleId="386">
    <w:name w:val="toc 53"/>
    <w:next w:val="1"/>
    <w:qFormat/>
    <w:uiPriority w:val="0"/>
    <w:pPr>
      <w:wordWrap w:val="0"/>
      <w:ind w:left="1700"/>
      <w:jc w:val="both"/>
    </w:pPr>
    <w:rPr>
      <w:rFonts w:ascii="Calibri" w:hAnsi="Calibri" w:eastAsia="宋体" w:cs="Times New Roman"/>
      <w:sz w:val="21"/>
      <w:lang w:val="en-US" w:eastAsia="zh-CN" w:bidi="ar-SA"/>
    </w:rPr>
  </w:style>
  <w:style w:type="paragraph" w:customStyle="1" w:styleId="387">
    <w:name w:val="xl92"/>
    <w:basedOn w:val="1"/>
    <w:next w:val="388"/>
    <w:qFormat/>
    <w:uiPriority w:val="0"/>
    <w:pPr>
      <w:widowControl/>
      <w:shd w:val="clear" w:color="000000" w:fill="FFFFFF"/>
      <w:spacing w:before="280" w:after="280"/>
    </w:pPr>
    <w:rPr>
      <w:rFonts w:ascii="宋体" w:hAnsi="Calibri" w:eastAsia="宋体" w:cs="Times New Roman"/>
      <w:kern w:val="0"/>
      <w:sz w:val="20"/>
      <w:szCs w:val="20"/>
    </w:rPr>
  </w:style>
  <w:style w:type="paragraph" w:customStyle="1" w:styleId="388">
    <w:name w:val="toc 913"/>
    <w:next w:val="1"/>
    <w:qFormat/>
    <w:uiPriority w:val="0"/>
    <w:pPr>
      <w:wordWrap w:val="0"/>
      <w:ind w:left="3400"/>
      <w:jc w:val="both"/>
    </w:pPr>
    <w:rPr>
      <w:rFonts w:ascii="Calibri" w:hAnsi="Calibri" w:eastAsia="宋体" w:cs="Times New Roman"/>
      <w:sz w:val="21"/>
      <w:lang w:val="en-US" w:eastAsia="zh-CN" w:bidi="ar-SA"/>
    </w:rPr>
  </w:style>
  <w:style w:type="paragraph" w:customStyle="1" w:styleId="389">
    <w:name w:val="toc 512"/>
    <w:next w:val="1"/>
    <w:qFormat/>
    <w:uiPriority w:val="0"/>
    <w:pPr>
      <w:wordWrap w:val="0"/>
      <w:ind w:left="1700"/>
      <w:jc w:val="both"/>
    </w:pPr>
    <w:rPr>
      <w:rFonts w:ascii="Calibri" w:hAnsi="Calibri" w:eastAsia="宋体" w:cs="Times New Roman"/>
      <w:sz w:val="21"/>
      <w:lang w:val="en-US" w:eastAsia="zh-CN" w:bidi="ar-SA"/>
    </w:rPr>
  </w:style>
  <w:style w:type="paragraph" w:customStyle="1" w:styleId="390">
    <w:name w:val="目录 81"/>
    <w:next w:val="1"/>
    <w:qFormat/>
    <w:uiPriority w:val="0"/>
    <w:pPr>
      <w:wordWrap w:val="0"/>
      <w:ind w:left="2975"/>
      <w:jc w:val="both"/>
    </w:pPr>
    <w:rPr>
      <w:rFonts w:ascii="Calibri" w:hAnsi="Calibri" w:eastAsia="宋体" w:cs="Times New Roman"/>
      <w:sz w:val="21"/>
      <w:lang w:val="en-US" w:eastAsia="zh-CN" w:bidi="ar-SA"/>
    </w:rPr>
  </w:style>
  <w:style w:type="paragraph" w:customStyle="1" w:styleId="391">
    <w:name w:val="正文表标题"/>
    <w:next w:val="1"/>
    <w:qFormat/>
    <w:uiPriority w:val="0"/>
    <w:pPr>
      <w:ind w:left="630"/>
      <w:jc w:val="center"/>
    </w:pPr>
    <w:rPr>
      <w:rFonts w:ascii="黑体" w:hAnsi="Calibri" w:eastAsia="黑体" w:cs="Times New Roman"/>
      <w:sz w:val="21"/>
      <w:lang w:val="en-US" w:eastAsia="zh-CN" w:bidi="ar-SA"/>
    </w:rPr>
  </w:style>
  <w:style w:type="paragraph" w:customStyle="1" w:styleId="392">
    <w:name w:val="toc 28"/>
    <w:next w:val="1"/>
    <w:qFormat/>
    <w:uiPriority w:val="0"/>
    <w:pPr>
      <w:wordWrap w:val="0"/>
      <w:ind w:left="425"/>
      <w:jc w:val="both"/>
    </w:pPr>
    <w:rPr>
      <w:rFonts w:ascii="Calibri" w:hAnsi="Calibri" w:eastAsia="宋体" w:cs="Times New Roman"/>
      <w:sz w:val="21"/>
      <w:lang w:val="en-US" w:eastAsia="zh-CN" w:bidi="ar-SA"/>
    </w:rPr>
  </w:style>
  <w:style w:type="paragraph" w:customStyle="1" w:styleId="393">
    <w:name w:val="toc 79"/>
    <w:next w:val="1"/>
    <w:qFormat/>
    <w:uiPriority w:val="0"/>
    <w:pPr>
      <w:wordWrap w:val="0"/>
      <w:ind w:left="2550"/>
      <w:jc w:val="both"/>
    </w:pPr>
    <w:rPr>
      <w:rFonts w:ascii="Calibri" w:hAnsi="Calibri" w:eastAsia="宋体" w:cs="Times New Roman"/>
      <w:sz w:val="21"/>
      <w:lang w:val="en-US" w:eastAsia="zh-CN" w:bidi="ar-SA"/>
    </w:rPr>
  </w:style>
  <w:style w:type="paragraph" w:customStyle="1" w:styleId="394">
    <w:name w:val="xl110"/>
    <w:basedOn w:val="1"/>
    <w:next w:val="350"/>
    <w:qFormat/>
    <w:uiPriority w:val="0"/>
    <w:pPr>
      <w:widowControl/>
      <w:shd w:val="clear" w:color="000000" w:fill="FFFFFF"/>
      <w:spacing w:before="280" w:after="280"/>
      <w:jc w:val="center"/>
    </w:pPr>
    <w:rPr>
      <w:rFonts w:ascii="宋体" w:hAnsi="Calibri" w:eastAsia="宋体" w:cs="Times New Roman"/>
      <w:kern w:val="0"/>
      <w:sz w:val="20"/>
      <w:szCs w:val="20"/>
    </w:rPr>
  </w:style>
  <w:style w:type="paragraph" w:customStyle="1" w:styleId="395">
    <w:name w:val="toc 511"/>
    <w:next w:val="1"/>
    <w:qFormat/>
    <w:uiPriority w:val="0"/>
    <w:pPr>
      <w:wordWrap w:val="0"/>
      <w:ind w:left="1700"/>
      <w:jc w:val="both"/>
    </w:pPr>
    <w:rPr>
      <w:rFonts w:ascii="Calibri" w:hAnsi="Calibri" w:eastAsia="宋体" w:cs="Times New Roman"/>
      <w:sz w:val="21"/>
      <w:lang w:val="en-US" w:eastAsia="zh-CN" w:bidi="ar-SA"/>
    </w:rPr>
  </w:style>
  <w:style w:type="paragraph" w:customStyle="1" w:styleId="396">
    <w:name w:val="toc 416"/>
    <w:next w:val="1"/>
    <w:qFormat/>
    <w:uiPriority w:val="0"/>
    <w:pPr>
      <w:wordWrap w:val="0"/>
      <w:ind w:left="1275"/>
      <w:jc w:val="both"/>
    </w:pPr>
    <w:rPr>
      <w:rFonts w:ascii="Calibri" w:hAnsi="Calibri" w:eastAsia="宋体" w:cs="Times New Roman"/>
      <w:sz w:val="21"/>
      <w:lang w:val="en-US" w:eastAsia="zh-CN" w:bidi="ar-SA"/>
    </w:rPr>
  </w:style>
  <w:style w:type="paragraph" w:customStyle="1" w:styleId="397">
    <w:name w:val="xl85"/>
    <w:basedOn w:val="1"/>
    <w:next w:val="398"/>
    <w:qFormat/>
    <w:uiPriority w:val="0"/>
    <w:pPr>
      <w:widowControl/>
      <w:shd w:val="clear" w:color="000000" w:fill="FFFFFF"/>
      <w:spacing w:before="280" w:after="280"/>
      <w:jc w:val="center"/>
    </w:pPr>
    <w:rPr>
      <w:rFonts w:ascii="宋体" w:hAnsi="Calibri" w:eastAsia="宋体" w:cs="Times New Roman"/>
      <w:kern w:val="0"/>
      <w:sz w:val="20"/>
      <w:szCs w:val="20"/>
    </w:rPr>
  </w:style>
  <w:style w:type="paragraph" w:customStyle="1" w:styleId="398">
    <w:name w:val="toc 76"/>
    <w:next w:val="1"/>
    <w:qFormat/>
    <w:uiPriority w:val="0"/>
    <w:pPr>
      <w:wordWrap w:val="0"/>
      <w:ind w:left="2550"/>
      <w:jc w:val="both"/>
    </w:pPr>
    <w:rPr>
      <w:rFonts w:ascii="Calibri" w:hAnsi="Calibri" w:eastAsia="宋体" w:cs="Times New Roman"/>
      <w:sz w:val="21"/>
      <w:lang w:val="en-US" w:eastAsia="zh-CN" w:bidi="ar-SA"/>
    </w:rPr>
  </w:style>
  <w:style w:type="paragraph" w:customStyle="1" w:styleId="399">
    <w:name w:val="toc 27"/>
    <w:next w:val="1"/>
    <w:qFormat/>
    <w:uiPriority w:val="0"/>
    <w:pPr>
      <w:wordWrap w:val="0"/>
      <w:ind w:left="425"/>
      <w:jc w:val="both"/>
    </w:pPr>
    <w:rPr>
      <w:rFonts w:ascii="Calibri" w:hAnsi="Calibri" w:eastAsia="宋体" w:cs="Times New Roman"/>
      <w:sz w:val="21"/>
      <w:lang w:val="en-US" w:eastAsia="zh-CN" w:bidi="ar-SA"/>
    </w:rPr>
  </w:style>
  <w:style w:type="paragraph" w:customStyle="1" w:styleId="400">
    <w:name w:val="toc 916"/>
    <w:next w:val="1"/>
    <w:qFormat/>
    <w:uiPriority w:val="0"/>
    <w:pPr>
      <w:wordWrap w:val="0"/>
      <w:ind w:left="3400"/>
      <w:jc w:val="both"/>
    </w:pPr>
    <w:rPr>
      <w:rFonts w:ascii="Calibri" w:hAnsi="Calibri" w:eastAsia="宋体" w:cs="Times New Roman"/>
      <w:sz w:val="21"/>
      <w:lang w:val="en-US" w:eastAsia="zh-CN" w:bidi="ar-SA"/>
    </w:rPr>
  </w:style>
  <w:style w:type="paragraph" w:customStyle="1" w:styleId="401">
    <w:name w:val="toc 77"/>
    <w:next w:val="1"/>
    <w:qFormat/>
    <w:uiPriority w:val="0"/>
    <w:pPr>
      <w:wordWrap w:val="0"/>
      <w:ind w:left="2550"/>
      <w:jc w:val="both"/>
    </w:pPr>
    <w:rPr>
      <w:rFonts w:ascii="Calibri" w:hAnsi="Calibri" w:eastAsia="宋体" w:cs="Times New Roman"/>
      <w:sz w:val="21"/>
      <w:lang w:val="en-US" w:eastAsia="zh-CN" w:bidi="ar-SA"/>
    </w:rPr>
  </w:style>
  <w:style w:type="paragraph" w:customStyle="1" w:styleId="402">
    <w:name w:val="toc 211"/>
    <w:next w:val="1"/>
    <w:qFormat/>
    <w:uiPriority w:val="0"/>
    <w:pPr>
      <w:wordWrap w:val="0"/>
      <w:ind w:left="425"/>
      <w:jc w:val="both"/>
    </w:pPr>
    <w:rPr>
      <w:rFonts w:ascii="Calibri" w:hAnsi="Calibri" w:eastAsia="宋体" w:cs="Times New Roman"/>
      <w:sz w:val="21"/>
      <w:lang w:val="en-US" w:eastAsia="zh-CN" w:bidi="ar-SA"/>
    </w:rPr>
  </w:style>
  <w:style w:type="paragraph" w:customStyle="1" w:styleId="403">
    <w:name w:val="toc 815"/>
    <w:next w:val="1"/>
    <w:qFormat/>
    <w:uiPriority w:val="0"/>
    <w:pPr>
      <w:wordWrap w:val="0"/>
      <w:ind w:left="2975"/>
      <w:jc w:val="both"/>
    </w:pPr>
    <w:rPr>
      <w:rFonts w:ascii="Calibri" w:hAnsi="Calibri" w:eastAsia="宋体" w:cs="Times New Roman"/>
      <w:sz w:val="21"/>
      <w:lang w:val="en-US" w:eastAsia="zh-CN" w:bidi="ar-SA"/>
    </w:rPr>
  </w:style>
  <w:style w:type="paragraph" w:customStyle="1" w:styleId="404">
    <w:name w:val="xl99"/>
    <w:basedOn w:val="1"/>
    <w:next w:val="389"/>
    <w:qFormat/>
    <w:uiPriority w:val="0"/>
    <w:pPr>
      <w:widowControl/>
      <w:shd w:val="clear" w:color="000000" w:fill="FFFFFF"/>
      <w:spacing w:before="280" w:after="280"/>
    </w:pPr>
    <w:rPr>
      <w:rFonts w:ascii="宋体" w:hAnsi="Calibri" w:eastAsia="宋体" w:cs="Times New Roman"/>
      <w:kern w:val="0"/>
      <w:sz w:val="18"/>
      <w:szCs w:val="20"/>
    </w:rPr>
  </w:style>
  <w:style w:type="paragraph" w:customStyle="1" w:styleId="405">
    <w:name w:val="xl97"/>
    <w:basedOn w:val="1"/>
    <w:next w:val="278"/>
    <w:qFormat/>
    <w:uiPriority w:val="0"/>
    <w:pPr>
      <w:widowControl/>
      <w:shd w:val="clear" w:color="000000" w:fill="FFFFFF"/>
      <w:spacing w:before="280" w:after="280"/>
      <w:jc w:val="center"/>
    </w:pPr>
    <w:rPr>
      <w:rFonts w:ascii="宋体" w:hAnsi="Calibri" w:eastAsia="宋体" w:cs="Times New Roman"/>
      <w:kern w:val="0"/>
      <w:sz w:val="20"/>
      <w:szCs w:val="20"/>
    </w:rPr>
  </w:style>
  <w:style w:type="paragraph" w:customStyle="1" w:styleId="406">
    <w:name w:val="toc 612"/>
    <w:next w:val="1"/>
    <w:qFormat/>
    <w:uiPriority w:val="0"/>
    <w:pPr>
      <w:wordWrap w:val="0"/>
      <w:ind w:left="2125"/>
      <w:jc w:val="both"/>
    </w:pPr>
    <w:rPr>
      <w:rFonts w:ascii="Calibri" w:hAnsi="Calibri" w:eastAsia="宋体" w:cs="Times New Roman"/>
      <w:sz w:val="21"/>
      <w:lang w:val="en-US" w:eastAsia="zh-CN" w:bidi="ar-SA"/>
    </w:rPr>
  </w:style>
  <w:style w:type="paragraph" w:customStyle="1" w:styleId="407">
    <w:name w:val="toc 315"/>
    <w:next w:val="1"/>
    <w:qFormat/>
    <w:uiPriority w:val="0"/>
    <w:pPr>
      <w:wordWrap w:val="0"/>
      <w:ind w:left="850"/>
      <w:jc w:val="both"/>
    </w:pPr>
    <w:rPr>
      <w:rFonts w:ascii="Calibri" w:hAnsi="Calibri" w:eastAsia="宋体" w:cs="Times New Roman"/>
      <w:sz w:val="21"/>
      <w:lang w:val="en-US" w:eastAsia="zh-CN" w:bidi="ar-SA"/>
    </w:rPr>
  </w:style>
  <w:style w:type="paragraph" w:customStyle="1" w:styleId="408">
    <w:name w:val="TOC Heading15"/>
    <w:next w:val="1"/>
    <w:qFormat/>
    <w:uiPriority w:val="0"/>
    <w:pPr>
      <w:wordWrap w:val="0"/>
    </w:pPr>
    <w:rPr>
      <w:rFonts w:ascii="Calibri" w:hAnsi="Calibri" w:eastAsia="宋体" w:cs="Times New Roman"/>
      <w:sz w:val="32"/>
      <w:lang w:val="en-US" w:eastAsia="zh-CN" w:bidi="ar-SA"/>
    </w:rPr>
  </w:style>
  <w:style w:type="paragraph" w:customStyle="1" w:styleId="409">
    <w:name w:val="toc 915"/>
    <w:next w:val="1"/>
    <w:qFormat/>
    <w:uiPriority w:val="0"/>
    <w:pPr>
      <w:wordWrap w:val="0"/>
      <w:ind w:left="3400"/>
      <w:jc w:val="both"/>
    </w:pPr>
    <w:rPr>
      <w:rFonts w:ascii="Calibri" w:hAnsi="Calibri" w:eastAsia="宋体" w:cs="Times New Roman"/>
      <w:sz w:val="21"/>
      <w:lang w:val="en-US" w:eastAsia="zh-CN" w:bidi="ar-SA"/>
    </w:rPr>
  </w:style>
  <w:style w:type="paragraph" w:customStyle="1" w:styleId="410">
    <w:name w:val="toc 39"/>
    <w:next w:val="1"/>
    <w:qFormat/>
    <w:uiPriority w:val="0"/>
    <w:pPr>
      <w:wordWrap w:val="0"/>
      <w:ind w:left="850"/>
      <w:jc w:val="both"/>
    </w:pPr>
    <w:rPr>
      <w:rFonts w:ascii="Calibri" w:hAnsi="Calibri" w:eastAsia="宋体" w:cs="Times New Roman"/>
      <w:sz w:val="21"/>
      <w:lang w:val="en-US" w:eastAsia="zh-CN" w:bidi="ar-SA"/>
    </w:rPr>
  </w:style>
  <w:style w:type="paragraph" w:customStyle="1" w:styleId="411">
    <w:name w:val="toc 710"/>
    <w:next w:val="1"/>
    <w:qFormat/>
    <w:uiPriority w:val="0"/>
    <w:pPr>
      <w:wordWrap w:val="0"/>
      <w:ind w:left="2550"/>
      <w:jc w:val="both"/>
    </w:pPr>
    <w:rPr>
      <w:rFonts w:ascii="Calibri" w:hAnsi="Calibri" w:eastAsia="宋体" w:cs="Times New Roman"/>
      <w:sz w:val="21"/>
      <w:lang w:val="en-US" w:eastAsia="zh-CN" w:bidi="ar-SA"/>
    </w:rPr>
  </w:style>
  <w:style w:type="paragraph" w:customStyle="1" w:styleId="412">
    <w:name w:val="toc 12"/>
    <w:next w:val="1"/>
    <w:qFormat/>
    <w:uiPriority w:val="0"/>
    <w:pPr>
      <w:wordWrap w:val="0"/>
      <w:jc w:val="both"/>
    </w:pPr>
    <w:rPr>
      <w:rFonts w:ascii="Calibri" w:hAnsi="Calibri" w:eastAsia="宋体" w:cs="Times New Roman"/>
      <w:sz w:val="21"/>
      <w:lang w:val="en-US" w:eastAsia="zh-CN" w:bidi="ar-SA"/>
    </w:rPr>
  </w:style>
  <w:style w:type="paragraph" w:customStyle="1" w:styleId="413">
    <w:name w:val="xl95"/>
    <w:basedOn w:val="1"/>
    <w:next w:val="414"/>
    <w:qFormat/>
    <w:uiPriority w:val="0"/>
    <w:pPr>
      <w:widowControl/>
      <w:shd w:val="clear" w:color="000000" w:fill="FFFFFF"/>
      <w:spacing w:before="280" w:after="280"/>
    </w:pPr>
    <w:rPr>
      <w:rFonts w:ascii="宋体" w:hAnsi="Calibri" w:eastAsia="宋体" w:cs="Times New Roman"/>
      <w:kern w:val="0"/>
      <w:sz w:val="20"/>
      <w:szCs w:val="20"/>
    </w:rPr>
  </w:style>
  <w:style w:type="paragraph" w:customStyle="1" w:styleId="414">
    <w:name w:val="toc 415"/>
    <w:next w:val="1"/>
    <w:qFormat/>
    <w:uiPriority w:val="0"/>
    <w:pPr>
      <w:wordWrap w:val="0"/>
      <w:ind w:left="1275"/>
      <w:jc w:val="both"/>
    </w:pPr>
    <w:rPr>
      <w:rFonts w:ascii="Calibri" w:hAnsi="Calibri" w:eastAsia="宋体" w:cs="Times New Roman"/>
      <w:sz w:val="21"/>
      <w:lang w:val="en-US" w:eastAsia="zh-CN" w:bidi="ar-SA"/>
    </w:rPr>
  </w:style>
  <w:style w:type="paragraph" w:customStyle="1" w:styleId="415">
    <w:name w:val="toc 29"/>
    <w:next w:val="1"/>
    <w:qFormat/>
    <w:uiPriority w:val="0"/>
    <w:pPr>
      <w:wordWrap w:val="0"/>
      <w:ind w:left="425"/>
      <w:jc w:val="both"/>
    </w:pPr>
    <w:rPr>
      <w:rFonts w:ascii="Calibri" w:hAnsi="Calibri" w:eastAsia="宋体" w:cs="Times New Roman"/>
      <w:sz w:val="21"/>
      <w:lang w:val="en-US" w:eastAsia="zh-CN" w:bidi="ar-SA"/>
    </w:rPr>
  </w:style>
  <w:style w:type="paragraph" w:customStyle="1" w:styleId="416">
    <w:name w:val="xl67"/>
    <w:basedOn w:val="1"/>
    <w:next w:val="417"/>
    <w:qFormat/>
    <w:uiPriority w:val="0"/>
    <w:pPr>
      <w:widowControl/>
      <w:shd w:val="clear" w:color="000000" w:fill="FFFFFF"/>
      <w:spacing w:before="280" w:after="280"/>
      <w:jc w:val="center"/>
    </w:pPr>
    <w:rPr>
      <w:rFonts w:ascii="宋体" w:hAnsi="Calibri" w:eastAsia="宋体" w:cs="Times New Roman"/>
      <w:b/>
      <w:kern w:val="0"/>
      <w:sz w:val="20"/>
      <w:szCs w:val="20"/>
    </w:rPr>
  </w:style>
  <w:style w:type="paragraph" w:customStyle="1" w:styleId="417">
    <w:name w:val="toc 714"/>
    <w:next w:val="1"/>
    <w:qFormat/>
    <w:uiPriority w:val="0"/>
    <w:pPr>
      <w:wordWrap w:val="0"/>
      <w:ind w:left="2550"/>
      <w:jc w:val="both"/>
    </w:pPr>
    <w:rPr>
      <w:rFonts w:ascii="Calibri" w:hAnsi="Calibri" w:eastAsia="宋体" w:cs="Times New Roman"/>
      <w:sz w:val="21"/>
      <w:lang w:val="en-US" w:eastAsia="zh-CN" w:bidi="ar-SA"/>
    </w:rPr>
  </w:style>
  <w:style w:type="paragraph" w:customStyle="1" w:styleId="418">
    <w:name w:val="toc 21"/>
    <w:next w:val="1"/>
    <w:qFormat/>
    <w:uiPriority w:val="0"/>
    <w:pPr>
      <w:wordWrap w:val="0"/>
      <w:ind w:left="425"/>
      <w:jc w:val="both"/>
    </w:pPr>
    <w:rPr>
      <w:rFonts w:ascii="Calibri" w:hAnsi="Calibri" w:eastAsia="宋体" w:cs="Times New Roman"/>
      <w:sz w:val="21"/>
      <w:lang w:val="en-US" w:eastAsia="zh-CN" w:bidi="ar-SA"/>
    </w:rPr>
  </w:style>
  <w:style w:type="paragraph" w:customStyle="1" w:styleId="419">
    <w:name w:val="正文 A"/>
    <w:next w:val="336"/>
    <w:qFormat/>
    <w:uiPriority w:val="0"/>
    <w:rPr>
      <w:rFonts w:ascii="Arial" w:hAnsi="Calibri" w:eastAsia="Arial Unicode MS" w:cs="Times New Roman"/>
      <w:color w:val="000000"/>
      <w:sz w:val="21"/>
      <w:lang w:val="en-US" w:eastAsia="zh-CN" w:bidi="ar-SA"/>
    </w:rPr>
  </w:style>
  <w:style w:type="paragraph" w:customStyle="1" w:styleId="420">
    <w:name w:val="toc 68"/>
    <w:next w:val="1"/>
    <w:qFormat/>
    <w:uiPriority w:val="0"/>
    <w:pPr>
      <w:wordWrap w:val="0"/>
      <w:ind w:left="2125"/>
      <w:jc w:val="both"/>
    </w:pPr>
    <w:rPr>
      <w:rFonts w:ascii="Calibri" w:hAnsi="Calibri" w:eastAsia="宋体" w:cs="Times New Roman"/>
      <w:sz w:val="21"/>
      <w:lang w:val="en-US" w:eastAsia="zh-CN" w:bidi="ar-SA"/>
    </w:rPr>
  </w:style>
  <w:style w:type="paragraph" w:customStyle="1" w:styleId="421">
    <w:name w:val="toc 58"/>
    <w:next w:val="1"/>
    <w:qFormat/>
    <w:uiPriority w:val="0"/>
    <w:pPr>
      <w:wordWrap w:val="0"/>
      <w:ind w:left="1700"/>
      <w:jc w:val="both"/>
    </w:pPr>
    <w:rPr>
      <w:rFonts w:ascii="Calibri" w:hAnsi="Calibri" w:eastAsia="宋体" w:cs="Times New Roman"/>
      <w:sz w:val="21"/>
      <w:lang w:val="en-US" w:eastAsia="zh-CN" w:bidi="ar-SA"/>
    </w:rPr>
  </w:style>
  <w:style w:type="paragraph" w:customStyle="1" w:styleId="422">
    <w:name w:val="xl88"/>
    <w:basedOn w:val="1"/>
    <w:next w:val="408"/>
    <w:qFormat/>
    <w:uiPriority w:val="0"/>
    <w:pPr>
      <w:widowControl/>
      <w:shd w:val="clear" w:color="000000" w:fill="FFFFFF"/>
      <w:spacing w:before="280" w:after="280"/>
      <w:jc w:val="center"/>
    </w:pPr>
    <w:rPr>
      <w:rFonts w:ascii="宋体" w:hAnsi="Calibri" w:eastAsia="宋体" w:cs="Times New Roman"/>
      <w:kern w:val="0"/>
      <w:sz w:val="20"/>
      <w:szCs w:val="20"/>
    </w:rPr>
  </w:style>
  <w:style w:type="paragraph" w:customStyle="1" w:styleId="423">
    <w:name w:val="toc 71"/>
    <w:next w:val="1"/>
    <w:qFormat/>
    <w:uiPriority w:val="0"/>
    <w:pPr>
      <w:wordWrap w:val="0"/>
      <w:ind w:left="2550"/>
      <w:jc w:val="both"/>
    </w:pPr>
    <w:rPr>
      <w:rFonts w:ascii="Calibri" w:hAnsi="Calibri" w:eastAsia="宋体" w:cs="Times New Roman"/>
      <w:sz w:val="21"/>
      <w:lang w:val="en-US" w:eastAsia="zh-CN" w:bidi="ar-SA"/>
    </w:rPr>
  </w:style>
  <w:style w:type="paragraph" w:customStyle="1" w:styleId="424">
    <w:name w:val="xl100"/>
    <w:basedOn w:val="1"/>
    <w:next w:val="425"/>
    <w:qFormat/>
    <w:uiPriority w:val="0"/>
    <w:pPr>
      <w:widowControl/>
      <w:shd w:val="clear" w:color="000000" w:fill="FFFFFF"/>
      <w:spacing w:before="280" w:after="280"/>
    </w:pPr>
    <w:rPr>
      <w:rFonts w:ascii="宋体" w:hAnsi="Calibri" w:eastAsia="宋体" w:cs="Times New Roman"/>
      <w:kern w:val="0"/>
      <w:sz w:val="20"/>
      <w:szCs w:val="20"/>
    </w:rPr>
  </w:style>
  <w:style w:type="paragraph" w:customStyle="1" w:styleId="425">
    <w:name w:val="toc 510"/>
    <w:next w:val="1"/>
    <w:qFormat/>
    <w:uiPriority w:val="0"/>
    <w:pPr>
      <w:wordWrap w:val="0"/>
      <w:ind w:left="1700"/>
      <w:jc w:val="both"/>
    </w:pPr>
    <w:rPr>
      <w:rFonts w:ascii="Calibri" w:hAnsi="Calibri" w:eastAsia="宋体" w:cs="Times New Roman"/>
      <w:sz w:val="21"/>
      <w:lang w:val="en-US" w:eastAsia="zh-CN" w:bidi="ar-SA"/>
    </w:rPr>
  </w:style>
  <w:style w:type="paragraph" w:customStyle="1" w:styleId="426">
    <w:name w:val="toc 314"/>
    <w:next w:val="1"/>
    <w:qFormat/>
    <w:uiPriority w:val="0"/>
    <w:pPr>
      <w:wordWrap w:val="0"/>
      <w:ind w:left="850"/>
      <w:jc w:val="both"/>
    </w:pPr>
    <w:rPr>
      <w:rFonts w:ascii="Calibri" w:hAnsi="Calibri" w:eastAsia="宋体" w:cs="Times New Roman"/>
      <w:sz w:val="21"/>
      <w:lang w:val="en-US" w:eastAsia="zh-CN" w:bidi="ar-SA"/>
    </w:rPr>
  </w:style>
  <w:style w:type="paragraph" w:customStyle="1" w:styleId="427">
    <w:name w:val="xl114"/>
    <w:basedOn w:val="1"/>
    <w:next w:val="280"/>
    <w:qFormat/>
    <w:uiPriority w:val="0"/>
    <w:pPr>
      <w:widowControl/>
      <w:shd w:val="clear" w:color="000000" w:fill="FFFFFF"/>
      <w:spacing w:before="280" w:after="280"/>
      <w:jc w:val="center"/>
    </w:pPr>
    <w:rPr>
      <w:rFonts w:ascii="宋体" w:hAnsi="Calibri" w:eastAsia="宋体" w:cs="Times New Roman"/>
      <w:b/>
      <w:kern w:val="0"/>
      <w:sz w:val="20"/>
      <w:szCs w:val="20"/>
    </w:rPr>
  </w:style>
  <w:style w:type="paragraph" w:customStyle="1" w:styleId="428">
    <w:name w:val="xl107"/>
    <w:basedOn w:val="1"/>
    <w:next w:val="429"/>
    <w:qFormat/>
    <w:uiPriority w:val="0"/>
    <w:pPr>
      <w:widowControl/>
      <w:shd w:val="clear" w:color="000000" w:fill="FFFFFF"/>
      <w:spacing w:before="280" w:after="280"/>
    </w:pPr>
    <w:rPr>
      <w:rFonts w:ascii="宋体" w:hAnsi="Calibri" w:eastAsia="宋体" w:cs="Times New Roman"/>
      <w:kern w:val="0"/>
      <w:sz w:val="20"/>
      <w:szCs w:val="20"/>
    </w:rPr>
  </w:style>
  <w:style w:type="paragraph" w:customStyle="1" w:styleId="429">
    <w:name w:val="toc 610"/>
    <w:next w:val="1"/>
    <w:qFormat/>
    <w:uiPriority w:val="0"/>
    <w:pPr>
      <w:wordWrap w:val="0"/>
      <w:ind w:left="2125"/>
      <w:jc w:val="both"/>
    </w:pPr>
    <w:rPr>
      <w:rFonts w:ascii="Calibri" w:hAnsi="Calibri" w:eastAsia="宋体" w:cs="Times New Roman"/>
      <w:sz w:val="21"/>
      <w:lang w:val="en-US" w:eastAsia="zh-CN" w:bidi="ar-SA"/>
    </w:rPr>
  </w:style>
  <w:style w:type="paragraph" w:customStyle="1" w:styleId="430">
    <w:name w:val="toc 22"/>
    <w:next w:val="1"/>
    <w:qFormat/>
    <w:uiPriority w:val="0"/>
    <w:pPr>
      <w:wordWrap w:val="0"/>
      <w:ind w:left="425"/>
      <w:jc w:val="both"/>
    </w:pPr>
    <w:rPr>
      <w:rFonts w:ascii="Calibri" w:hAnsi="Calibri" w:eastAsia="宋体" w:cs="Times New Roman"/>
      <w:sz w:val="21"/>
      <w:lang w:val="en-US" w:eastAsia="zh-CN" w:bidi="ar-SA"/>
    </w:rPr>
  </w:style>
  <w:style w:type="paragraph" w:customStyle="1" w:styleId="431">
    <w:name w:val="xl90"/>
    <w:basedOn w:val="1"/>
    <w:next w:val="234"/>
    <w:qFormat/>
    <w:uiPriority w:val="0"/>
    <w:pPr>
      <w:widowControl/>
      <w:shd w:val="clear" w:color="000000" w:fill="FFFFFF"/>
      <w:spacing w:before="280" w:after="280"/>
    </w:pPr>
    <w:rPr>
      <w:rFonts w:ascii="宋体" w:hAnsi="Calibri" w:eastAsia="宋体" w:cs="Times New Roman"/>
      <w:kern w:val="0"/>
      <w:sz w:val="18"/>
      <w:szCs w:val="20"/>
    </w:rPr>
  </w:style>
  <w:style w:type="paragraph" w:customStyle="1" w:styleId="432">
    <w:name w:val="toc 616"/>
    <w:next w:val="1"/>
    <w:qFormat/>
    <w:uiPriority w:val="0"/>
    <w:pPr>
      <w:wordWrap w:val="0"/>
      <w:ind w:left="2125"/>
      <w:jc w:val="both"/>
    </w:pPr>
    <w:rPr>
      <w:rFonts w:ascii="Calibri" w:hAnsi="Calibri" w:eastAsia="宋体" w:cs="Times New Roman"/>
      <w:sz w:val="21"/>
      <w:lang w:val="en-US" w:eastAsia="zh-CN" w:bidi="ar-SA"/>
    </w:rPr>
  </w:style>
  <w:style w:type="paragraph" w:customStyle="1" w:styleId="433">
    <w:name w:val="toc 96"/>
    <w:next w:val="1"/>
    <w:qFormat/>
    <w:uiPriority w:val="0"/>
    <w:pPr>
      <w:wordWrap w:val="0"/>
      <w:ind w:left="3400"/>
      <w:jc w:val="both"/>
    </w:pPr>
    <w:rPr>
      <w:rFonts w:ascii="Calibri" w:hAnsi="Calibri" w:eastAsia="宋体" w:cs="Times New Roman"/>
      <w:sz w:val="21"/>
      <w:lang w:val="en-US" w:eastAsia="zh-CN" w:bidi="ar-SA"/>
    </w:rPr>
  </w:style>
  <w:style w:type="paragraph" w:customStyle="1" w:styleId="434">
    <w:name w:val="toc 42"/>
    <w:next w:val="1"/>
    <w:qFormat/>
    <w:uiPriority w:val="0"/>
    <w:pPr>
      <w:wordWrap w:val="0"/>
      <w:ind w:left="1275"/>
      <w:jc w:val="both"/>
    </w:pPr>
    <w:rPr>
      <w:rFonts w:ascii="Calibri" w:hAnsi="Calibri" w:eastAsia="宋体" w:cs="Times New Roman"/>
      <w:sz w:val="21"/>
      <w:lang w:val="en-US" w:eastAsia="zh-CN" w:bidi="ar-SA"/>
    </w:rPr>
  </w:style>
  <w:style w:type="paragraph" w:customStyle="1" w:styleId="435">
    <w:name w:val="xl117"/>
    <w:basedOn w:val="1"/>
    <w:next w:val="332"/>
    <w:qFormat/>
    <w:uiPriority w:val="0"/>
    <w:pPr>
      <w:widowControl/>
      <w:shd w:val="clear" w:color="000000" w:fill="FFFFFF"/>
      <w:spacing w:before="280" w:after="280"/>
      <w:jc w:val="center"/>
    </w:pPr>
    <w:rPr>
      <w:rFonts w:ascii="Arial Narrow" w:hAnsi="Calibri" w:eastAsia="宋体" w:cs="Times New Roman"/>
      <w:kern w:val="0"/>
      <w:sz w:val="24"/>
      <w:szCs w:val="20"/>
    </w:rPr>
  </w:style>
  <w:style w:type="paragraph" w:customStyle="1" w:styleId="436">
    <w:name w:val="p15"/>
    <w:basedOn w:val="1"/>
    <w:next w:val="258"/>
    <w:qFormat/>
    <w:uiPriority w:val="0"/>
    <w:pPr>
      <w:widowControl/>
      <w:ind w:firstLine="420"/>
    </w:pPr>
    <w:rPr>
      <w:rFonts w:ascii="Times New Roman" w:hAnsi="Calibri" w:eastAsia="宋体" w:cs="Times New Roman"/>
      <w:kern w:val="0"/>
      <w:szCs w:val="20"/>
    </w:rPr>
  </w:style>
  <w:style w:type="paragraph" w:customStyle="1" w:styleId="437">
    <w:name w:val="xl87"/>
    <w:basedOn w:val="1"/>
    <w:next w:val="438"/>
    <w:qFormat/>
    <w:uiPriority w:val="0"/>
    <w:pPr>
      <w:widowControl/>
      <w:shd w:val="clear" w:color="000000" w:fill="FFFFFF"/>
      <w:spacing w:before="280" w:after="280"/>
    </w:pPr>
    <w:rPr>
      <w:rFonts w:ascii="Arial" w:hAnsi="Calibri" w:eastAsia="宋体" w:cs="Times New Roman"/>
      <w:kern w:val="0"/>
      <w:sz w:val="18"/>
      <w:szCs w:val="20"/>
    </w:rPr>
  </w:style>
  <w:style w:type="paragraph" w:customStyle="1" w:styleId="438">
    <w:name w:val="toc 98"/>
    <w:next w:val="1"/>
    <w:qFormat/>
    <w:uiPriority w:val="0"/>
    <w:pPr>
      <w:wordWrap w:val="0"/>
      <w:ind w:left="3400"/>
      <w:jc w:val="both"/>
    </w:pPr>
    <w:rPr>
      <w:rFonts w:ascii="Calibri" w:hAnsi="Calibri" w:eastAsia="宋体" w:cs="Times New Roman"/>
      <w:sz w:val="21"/>
      <w:lang w:val="en-US" w:eastAsia="zh-CN" w:bidi="ar-SA"/>
    </w:rPr>
  </w:style>
  <w:style w:type="paragraph" w:customStyle="1" w:styleId="439">
    <w:name w:val="列出段落7"/>
    <w:basedOn w:val="1"/>
    <w:next w:val="421"/>
    <w:qFormat/>
    <w:uiPriority w:val="0"/>
    <w:pPr>
      <w:ind w:firstLine="420"/>
    </w:pPr>
    <w:rPr>
      <w:rFonts w:ascii="Times New Roman" w:hAnsi="Calibri" w:eastAsia="宋体" w:cs="Times New Roman"/>
      <w:kern w:val="0"/>
      <w:szCs w:val="20"/>
    </w:rPr>
  </w:style>
  <w:style w:type="paragraph" w:customStyle="1" w:styleId="440">
    <w:name w:val="xl78"/>
    <w:basedOn w:val="1"/>
    <w:next w:val="411"/>
    <w:qFormat/>
    <w:uiPriority w:val="0"/>
    <w:pPr>
      <w:widowControl/>
      <w:shd w:val="clear" w:color="000000" w:fill="FFFFFF"/>
      <w:spacing w:before="280" w:after="280"/>
    </w:pPr>
    <w:rPr>
      <w:rFonts w:ascii="宋体" w:hAnsi="Calibri" w:eastAsia="宋体" w:cs="Times New Roman"/>
      <w:b/>
      <w:kern w:val="0"/>
      <w:sz w:val="20"/>
      <w:szCs w:val="20"/>
    </w:rPr>
  </w:style>
  <w:style w:type="paragraph" w:customStyle="1" w:styleId="441">
    <w:name w:val="toc 516"/>
    <w:next w:val="1"/>
    <w:qFormat/>
    <w:uiPriority w:val="0"/>
    <w:pPr>
      <w:wordWrap w:val="0"/>
      <w:ind w:left="1700"/>
      <w:jc w:val="both"/>
    </w:pPr>
    <w:rPr>
      <w:rFonts w:ascii="Calibri" w:hAnsi="Calibri" w:eastAsia="宋体" w:cs="Times New Roman"/>
      <w:sz w:val="21"/>
      <w:lang w:val="en-US" w:eastAsia="zh-CN" w:bidi="ar-SA"/>
    </w:rPr>
  </w:style>
  <w:style w:type="paragraph" w:customStyle="1" w:styleId="442">
    <w:name w:val="xl89"/>
    <w:basedOn w:val="1"/>
    <w:next w:val="376"/>
    <w:qFormat/>
    <w:uiPriority w:val="0"/>
    <w:pPr>
      <w:widowControl/>
      <w:shd w:val="clear" w:color="000000" w:fill="FFFFFF"/>
      <w:spacing w:before="280" w:after="280"/>
    </w:pPr>
    <w:rPr>
      <w:rFonts w:ascii="宋体" w:hAnsi="Calibri" w:eastAsia="宋体" w:cs="Times New Roman"/>
      <w:kern w:val="0"/>
      <w:sz w:val="20"/>
      <w:szCs w:val="20"/>
    </w:rPr>
  </w:style>
  <w:style w:type="paragraph" w:customStyle="1" w:styleId="443">
    <w:name w:val="toc 910"/>
    <w:next w:val="1"/>
    <w:qFormat/>
    <w:uiPriority w:val="0"/>
    <w:pPr>
      <w:wordWrap w:val="0"/>
      <w:ind w:left="3400"/>
      <w:jc w:val="both"/>
    </w:pPr>
    <w:rPr>
      <w:rFonts w:ascii="Calibri" w:hAnsi="Calibri" w:eastAsia="宋体" w:cs="Times New Roman"/>
      <w:sz w:val="21"/>
      <w:lang w:val="en-US" w:eastAsia="zh-CN" w:bidi="ar-SA"/>
    </w:rPr>
  </w:style>
  <w:style w:type="paragraph" w:customStyle="1" w:styleId="444">
    <w:name w:val="toc 34"/>
    <w:next w:val="1"/>
    <w:qFormat/>
    <w:uiPriority w:val="0"/>
    <w:pPr>
      <w:wordWrap w:val="0"/>
      <w:ind w:left="850"/>
      <w:jc w:val="both"/>
    </w:pPr>
    <w:rPr>
      <w:rFonts w:ascii="Calibri" w:hAnsi="Calibri" w:eastAsia="宋体" w:cs="Times New Roman"/>
      <w:sz w:val="21"/>
      <w:lang w:val="en-US" w:eastAsia="zh-CN" w:bidi="ar-SA"/>
    </w:rPr>
  </w:style>
  <w:style w:type="paragraph" w:customStyle="1" w:styleId="445">
    <w:name w:val="toc 816"/>
    <w:next w:val="1"/>
    <w:qFormat/>
    <w:uiPriority w:val="0"/>
    <w:pPr>
      <w:wordWrap w:val="0"/>
      <w:ind w:left="2975"/>
      <w:jc w:val="both"/>
    </w:pPr>
    <w:rPr>
      <w:rFonts w:ascii="Calibri" w:hAnsi="Calibri" w:eastAsia="宋体" w:cs="Times New Roman"/>
      <w:sz w:val="21"/>
      <w:lang w:val="en-US" w:eastAsia="zh-CN" w:bidi="ar-SA"/>
    </w:rPr>
  </w:style>
  <w:style w:type="paragraph" w:customStyle="1" w:styleId="446">
    <w:name w:val="toc 43"/>
    <w:next w:val="1"/>
    <w:qFormat/>
    <w:uiPriority w:val="0"/>
    <w:pPr>
      <w:wordWrap w:val="0"/>
      <w:ind w:left="1275"/>
      <w:jc w:val="both"/>
    </w:pPr>
    <w:rPr>
      <w:rFonts w:ascii="Calibri" w:hAnsi="Calibri" w:eastAsia="宋体" w:cs="Times New Roman"/>
      <w:sz w:val="21"/>
      <w:lang w:val="en-US" w:eastAsia="zh-CN" w:bidi="ar-SA"/>
    </w:rPr>
  </w:style>
  <w:style w:type="paragraph" w:customStyle="1" w:styleId="447">
    <w:name w:val="toc 16"/>
    <w:next w:val="1"/>
    <w:qFormat/>
    <w:uiPriority w:val="0"/>
    <w:pPr>
      <w:wordWrap w:val="0"/>
      <w:jc w:val="both"/>
    </w:pPr>
    <w:rPr>
      <w:rFonts w:ascii="Calibri" w:hAnsi="Calibri" w:eastAsia="宋体" w:cs="Times New Roman"/>
      <w:sz w:val="21"/>
      <w:lang w:val="en-US" w:eastAsia="zh-CN" w:bidi="ar-SA"/>
    </w:rPr>
  </w:style>
  <w:style w:type="paragraph" w:styleId="448">
    <w:name w:val="Quote"/>
    <w:next w:val="1"/>
    <w:link w:val="449"/>
    <w:qFormat/>
    <w:uiPriority w:val="0"/>
    <w:pPr>
      <w:wordWrap w:val="0"/>
      <w:spacing w:before="200" w:after="160"/>
      <w:ind w:left="864" w:right="864"/>
      <w:jc w:val="center"/>
    </w:pPr>
    <w:rPr>
      <w:rFonts w:ascii="Calibri" w:hAnsi="Calibri" w:eastAsia="宋体" w:cs="Times New Roman"/>
      <w:i/>
      <w:sz w:val="21"/>
      <w:lang w:val="en-US" w:eastAsia="zh-CN" w:bidi="ar-SA"/>
    </w:rPr>
  </w:style>
  <w:style w:type="character" w:customStyle="1" w:styleId="449">
    <w:name w:val="引用 Char"/>
    <w:basedOn w:val="47"/>
    <w:link w:val="448"/>
    <w:qFormat/>
    <w:uiPriority w:val="0"/>
    <w:rPr>
      <w:rFonts w:ascii="Calibri" w:hAnsi="Calibri" w:eastAsia="宋体" w:cs="Times New Roman"/>
      <w:i/>
      <w:kern w:val="0"/>
      <w:szCs w:val="20"/>
    </w:rPr>
  </w:style>
  <w:style w:type="paragraph" w:customStyle="1" w:styleId="450">
    <w:name w:val="toc 114"/>
    <w:next w:val="1"/>
    <w:qFormat/>
    <w:uiPriority w:val="0"/>
    <w:pPr>
      <w:wordWrap w:val="0"/>
      <w:jc w:val="both"/>
    </w:pPr>
    <w:rPr>
      <w:rFonts w:ascii="Calibri" w:hAnsi="Calibri" w:eastAsia="宋体" w:cs="Times New Roman"/>
      <w:sz w:val="21"/>
      <w:lang w:val="en-US" w:eastAsia="zh-CN" w:bidi="ar-SA"/>
    </w:rPr>
  </w:style>
  <w:style w:type="paragraph" w:customStyle="1" w:styleId="451">
    <w:name w:val="xl119"/>
    <w:basedOn w:val="1"/>
    <w:next w:val="426"/>
    <w:qFormat/>
    <w:uiPriority w:val="0"/>
    <w:pPr>
      <w:widowControl/>
      <w:shd w:val="clear" w:color="000000" w:fill="FFFFFF"/>
      <w:spacing w:before="280" w:after="280"/>
      <w:jc w:val="center"/>
    </w:pPr>
    <w:rPr>
      <w:rFonts w:ascii="宋体" w:hAnsi="Calibri" w:eastAsia="宋体" w:cs="Times New Roman"/>
      <w:b/>
      <w:kern w:val="0"/>
      <w:sz w:val="20"/>
      <w:szCs w:val="20"/>
    </w:rPr>
  </w:style>
  <w:style w:type="paragraph" w:customStyle="1" w:styleId="452">
    <w:name w:val="toc 37"/>
    <w:next w:val="1"/>
    <w:qFormat/>
    <w:uiPriority w:val="0"/>
    <w:pPr>
      <w:wordWrap w:val="0"/>
      <w:ind w:left="850"/>
      <w:jc w:val="both"/>
    </w:pPr>
    <w:rPr>
      <w:rFonts w:ascii="Calibri" w:hAnsi="Calibri" w:eastAsia="宋体" w:cs="Times New Roman"/>
      <w:sz w:val="21"/>
      <w:lang w:val="en-US" w:eastAsia="zh-CN" w:bidi="ar-SA"/>
    </w:rPr>
  </w:style>
  <w:style w:type="paragraph" w:customStyle="1" w:styleId="453">
    <w:name w:val="xl109"/>
    <w:basedOn w:val="1"/>
    <w:next w:val="399"/>
    <w:qFormat/>
    <w:uiPriority w:val="0"/>
    <w:pPr>
      <w:widowControl/>
      <w:shd w:val="clear" w:color="000000" w:fill="FFFFFF"/>
      <w:spacing w:before="280" w:after="280"/>
    </w:pPr>
    <w:rPr>
      <w:rFonts w:ascii="宋体" w:hAnsi="Calibri" w:eastAsia="宋体" w:cs="Times New Roman"/>
      <w:kern w:val="0"/>
      <w:sz w:val="20"/>
      <w:szCs w:val="20"/>
    </w:rPr>
  </w:style>
  <w:style w:type="paragraph" w:customStyle="1" w:styleId="454">
    <w:name w:val="toc 215"/>
    <w:next w:val="1"/>
    <w:qFormat/>
    <w:uiPriority w:val="0"/>
    <w:pPr>
      <w:wordWrap w:val="0"/>
      <w:ind w:left="425"/>
      <w:jc w:val="both"/>
    </w:pPr>
    <w:rPr>
      <w:rFonts w:ascii="Calibri" w:hAnsi="Calibri" w:eastAsia="宋体" w:cs="Times New Roman"/>
      <w:sz w:val="21"/>
      <w:lang w:val="en-US" w:eastAsia="zh-CN" w:bidi="ar-SA"/>
    </w:rPr>
  </w:style>
  <w:style w:type="paragraph" w:customStyle="1" w:styleId="455">
    <w:name w:val="xl76"/>
    <w:basedOn w:val="1"/>
    <w:next w:val="407"/>
    <w:qFormat/>
    <w:uiPriority w:val="0"/>
    <w:pPr>
      <w:widowControl/>
      <w:shd w:val="clear" w:color="000000" w:fill="FFFFFF"/>
      <w:spacing w:before="280" w:after="280"/>
      <w:jc w:val="center"/>
    </w:pPr>
    <w:rPr>
      <w:rFonts w:ascii="宋体" w:hAnsi="Calibri" w:eastAsia="宋体" w:cs="Times New Roman"/>
      <w:b/>
      <w:kern w:val="0"/>
      <w:sz w:val="20"/>
      <w:szCs w:val="20"/>
    </w:rPr>
  </w:style>
  <w:style w:type="paragraph" w:customStyle="1" w:styleId="456">
    <w:name w:val="toc 92"/>
    <w:next w:val="1"/>
    <w:qFormat/>
    <w:uiPriority w:val="0"/>
    <w:pPr>
      <w:wordWrap w:val="0"/>
      <w:ind w:left="3400"/>
      <w:jc w:val="both"/>
    </w:pPr>
    <w:rPr>
      <w:rFonts w:ascii="Calibri" w:hAnsi="Calibri" w:eastAsia="宋体" w:cs="Times New Roman"/>
      <w:sz w:val="21"/>
      <w:lang w:val="en-US" w:eastAsia="zh-CN" w:bidi="ar-SA"/>
    </w:rPr>
  </w:style>
  <w:style w:type="paragraph" w:customStyle="1" w:styleId="457">
    <w:name w:val="toc 216"/>
    <w:next w:val="1"/>
    <w:qFormat/>
    <w:uiPriority w:val="0"/>
    <w:pPr>
      <w:wordWrap w:val="0"/>
      <w:ind w:left="425"/>
      <w:jc w:val="both"/>
    </w:pPr>
    <w:rPr>
      <w:rFonts w:ascii="Calibri" w:hAnsi="Calibri" w:eastAsia="宋体" w:cs="Times New Roman"/>
      <w:sz w:val="21"/>
      <w:lang w:val="en-US" w:eastAsia="zh-CN" w:bidi="ar-SA"/>
    </w:rPr>
  </w:style>
  <w:style w:type="paragraph" w:customStyle="1" w:styleId="458">
    <w:name w:val="xl70"/>
    <w:basedOn w:val="1"/>
    <w:next w:val="384"/>
    <w:qFormat/>
    <w:uiPriority w:val="0"/>
    <w:pPr>
      <w:widowControl/>
      <w:shd w:val="clear" w:color="000000" w:fill="FFFFFF"/>
      <w:spacing w:before="280" w:after="280"/>
    </w:pPr>
    <w:rPr>
      <w:rFonts w:ascii="宋体" w:hAnsi="Calibri" w:eastAsia="宋体" w:cs="Times New Roman"/>
      <w:kern w:val="0"/>
      <w:sz w:val="20"/>
      <w:szCs w:val="20"/>
    </w:rPr>
  </w:style>
  <w:style w:type="paragraph" w:customStyle="1" w:styleId="459">
    <w:name w:val="toc 33"/>
    <w:next w:val="1"/>
    <w:qFormat/>
    <w:uiPriority w:val="0"/>
    <w:pPr>
      <w:wordWrap w:val="0"/>
      <w:ind w:left="850"/>
      <w:jc w:val="both"/>
    </w:pPr>
    <w:rPr>
      <w:rFonts w:ascii="Calibri" w:hAnsi="Calibri" w:eastAsia="宋体" w:cs="Times New Roman"/>
      <w:sz w:val="21"/>
      <w:lang w:val="en-US" w:eastAsia="zh-CN" w:bidi="ar-SA"/>
    </w:rPr>
  </w:style>
  <w:style w:type="paragraph" w:customStyle="1" w:styleId="460">
    <w:name w:val="toc 61"/>
    <w:next w:val="1"/>
    <w:qFormat/>
    <w:uiPriority w:val="0"/>
    <w:pPr>
      <w:wordWrap w:val="0"/>
      <w:ind w:left="2125"/>
      <w:jc w:val="both"/>
    </w:pPr>
    <w:rPr>
      <w:rFonts w:ascii="Calibri" w:hAnsi="Calibri" w:eastAsia="宋体" w:cs="Times New Roman"/>
      <w:sz w:val="21"/>
      <w:lang w:val="en-US" w:eastAsia="zh-CN" w:bidi="ar-SA"/>
    </w:rPr>
  </w:style>
  <w:style w:type="paragraph" w:customStyle="1" w:styleId="461">
    <w:name w:val="xl98"/>
    <w:basedOn w:val="1"/>
    <w:next w:val="402"/>
    <w:qFormat/>
    <w:uiPriority w:val="0"/>
    <w:pPr>
      <w:widowControl/>
      <w:shd w:val="clear" w:color="000000" w:fill="FFFFFF"/>
      <w:spacing w:before="280" w:after="280"/>
      <w:jc w:val="center"/>
    </w:pPr>
    <w:rPr>
      <w:rFonts w:ascii="宋体" w:hAnsi="Calibri" w:eastAsia="宋体" w:cs="Times New Roman"/>
      <w:kern w:val="0"/>
      <w:sz w:val="20"/>
      <w:szCs w:val="20"/>
    </w:rPr>
  </w:style>
  <w:style w:type="paragraph" w:customStyle="1" w:styleId="462">
    <w:name w:val="toc 26"/>
    <w:next w:val="1"/>
    <w:qFormat/>
    <w:uiPriority w:val="0"/>
    <w:pPr>
      <w:wordWrap w:val="0"/>
      <w:ind w:left="425"/>
      <w:jc w:val="both"/>
    </w:pPr>
    <w:rPr>
      <w:rFonts w:ascii="Calibri" w:hAnsi="Calibri" w:eastAsia="宋体" w:cs="Times New Roman"/>
      <w:sz w:val="21"/>
      <w:lang w:val="en-US" w:eastAsia="zh-CN" w:bidi="ar-SA"/>
    </w:rPr>
  </w:style>
  <w:style w:type="paragraph" w:customStyle="1" w:styleId="463">
    <w:name w:val="toc 13"/>
    <w:next w:val="1"/>
    <w:qFormat/>
    <w:uiPriority w:val="0"/>
    <w:pPr>
      <w:wordWrap w:val="0"/>
      <w:jc w:val="both"/>
    </w:pPr>
    <w:rPr>
      <w:rFonts w:ascii="Calibri" w:hAnsi="Calibri" w:eastAsia="宋体" w:cs="Times New Roman"/>
      <w:sz w:val="21"/>
      <w:lang w:val="en-US" w:eastAsia="zh-CN" w:bidi="ar-SA"/>
    </w:rPr>
  </w:style>
  <w:style w:type="paragraph" w:customStyle="1" w:styleId="464">
    <w:name w:val="目录 51"/>
    <w:next w:val="1"/>
    <w:qFormat/>
    <w:uiPriority w:val="0"/>
    <w:pPr>
      <w:wordWrap w:val="0"/>
      <w:ind w:left="1700"/>
      <w:jc w:val="both"/>
    </w:pPr>
    <w:rPr>
      <w:rFonts w:ascii="Calibri" w:hAnsi="Calibri" w:eastAsia="宋体" w:cs="Times New Roman"/>
      <w:sz w:val="21"/>
      <w:lang w:val="en-US" w:eastAsia="zh-CN" w:bidi="ar-SA"/>
    </w:rPr>
  </w:style>
  <w:style w:type="paragraph" w:customStyle="1" w:styleId="465">
    <w:name w:val="xl101"/>
    <w:basedOn w:val="1"/>
    <w:next w:val="433"/>
    <w:qFormat/>
    <w:uiPriority w:val="0"/>
    <w:pPr>
      <w:widowControl/>
      <w:spacing w:before="280" w:after="280"/>
    </w:pPr>
    <w:rPr>
      <w:rFonts w:ascii="宋体" w:hAnsi="Calibri" w:eastAsia="宋体" w:cs="Times New Roman"/>
      <w:kern w:val="0"/>
      <w:sz w:val="20"/>
      <w:szCs w:val="20"/>
    </w:rPr>
  </w:style>
  <w:style w:type="paragraph" w:customStyle="1" w:styleId="466">
    <w:name w:val="toc 75"/>
    <w:next w:val="1"/>
    <w:qFormat/>
    <w:uiPriority w:val="0"/>
    <w:pPr>
      <w:wordWrap w:val="0"/>
      <w:ind w:left="2550"/>
      <w:jc w:val="both"/>
    </w:pPr>
    <w:rPr>
      <w:rFonts w:ascii="Calibri" w:hAnsi="Calibri" w:eastAsia="宋体" w:cs="Times New Roman"/>
      <w:sz w:val="21"/>
      <w:lang w:val="en-US" w:eastAsia="zh-CN" w:bidi="ar-SA"/>
    </w:rPr>
  </w:style>
  <w:style w:type="paragraph" w:customStyle="1" w:styleId="467">
    <w:name w:val="toc 715"/>
    <w:next w:val="1"/>
    <w:qFormat/>
    <w:uiPriority w:val="0"/>
    <w:pPr>
      <w:wordWrap w:val="0"/>
      <w:ind w:left="2550"/>
      <w:jc w:val="both"/>
    </w:pPr>
    <w:rPr>
      <w:rFonts w:ascii="Calibri" w:hAnsi="Calibri" w:eastAsia="宋体" w:cs="Times New Roman"/>
      <w:sz w:val="21"/>
      <w:lang w:val="en-US" w:eastAsia="zh-CN" w:bidi="ar-SA"/>
    </w:rPr>
  </w:style>
  <w:style w:type="paragraph" w:styleId="468">
    <w:name w:val="Intense Quote"/>
    <w:next w:val="1"/>
    <w:link w:val="469"/>
    <w:qFormat/>
    <w:uiPriority w:val="0"/>
    <w:pPr>
      <w:wordWrap w:val="0"/>
      <w:spacing w:before="360" w:after="360"/>
      <w:ind w:left="950" w:right="950"/>
      <w:jc w:val="center"/>
    </w:pPr>
    <w:rPr>
      <w:rFonts w:ascii="Calibri" w:hAnsi="Calibri" w:eastAsia="宋体" w:cs="Times New Roman"/>
      <w:i/>
      <w:sz w:val="21"/>
      <w:lang w:val="en-US" w:eastAsia="zh-CN" w:bidi="ar-SA"/>
    </w:rPr>
  </w:style>
  <w:style w:type="character" w:customStyle="1" w:styleId="469">
    <w:name w:val="明显引用 Char"/>
    <w:basedOn w:val="47"/>
    <w:link w:val="468"/>
    <w:qFormat/>
    <w:uiPriority w:val="0"/>
    <w:rPr>
      <w:rFonts w:ascii="Calibri" w:hAnsi="Calibri" w:eastAsia="宋体" w:cs="Times New Roman"/>
      <w:i/>
      <w:kern w:val="0"/>
      <w:szCs w:val="20"/>
    </w:rPr>
  </w:style>
  <w:style w:type="paragraph" w:customStyle="1" w:styleId="470">
    <w:name w:val="Char Char Char Char Char Char Char"/>
    <w:basedOn w:val="1"/>
    <w:next w:val="454"/>
    <w:qFormat/>
    <w:uiPriority w:val="0"/>
    <w:pPr>
      <w:widowControl/>
      <w:spacing w:after="160" w:line="240" w:lineRule="exact"/>
    </w:pPr>
    <w:rPr>
      <w:rFonts w:ascii="Times New Roman" w:hAnsi="Calibri" w:eastAsia="宋体" w:cs="Times New Roman"/>
      <w:kern w:val="0"/>
      <w:szCs w:val="20"/>
    </w:rPr>
  </w:style>
  <w:style w:type="paragraph" w:customStyle="1" w:styleId="471">
    <w:name w:val="toc 23"/>
    <w:next w:val="1"/>
    <w:qFormat/>
    <w:uiPriority w:val="0"/>
    <w:pPr>
      <w:wordWrap w:val="0"/>
      <w:ind w:left="425"/>
      <w:jc w:val="both"/>
    </w:pPr>
    <w:rPr>
      <w:rFonts w:ascii="Calibri" w:hAnsi="Calibri" w:eastAsia="宋体" w:cs="Times New Roman"/>
      <w:sz w:val="21"/>
      <w:lang w:val="en-US" w:eastAsia="zh-CN" w:bidi="ar-SA"/>
    </w:rPr>
  </w:style>
  <w:style w:type="paragraph" w:customStyle="1" w:styleId="472">
    <w:name w:val="目录 61"/>
    <w:next w:val="1"/>
    <w:qFormat/>
    <w:uiPriority w:val="0"/>
    <w:pPr>
      <w:wordWrap w:val="0"/>
      <w:ind w:left="2125"/>
      <w:jc w:val="both"/>
    </w:pPr>
    <w:rPr>
      <w:rFonts w:ascii="Calibri" w:hAnsi="Calibri" w:eastAsia="宋体" w:cs="Times New Roman"/>
      <w:sz w:val="21"/>
      <w:lang w:val="en-US" w:eastAsia="zh-CN" w:bidi="ar-SA"/>
    </w:rPr>
  </w:style>
  <w:style w:type="paragraph" w:customStyle="1" w:styleId="473">
    <w:name w:val="toc 97"/>
    <w:next w:val="1"/>
    <w:qFormat/>
    <w:uiPriority w:val="0"/>
    <w:pPr>
      <w:wordWrap w:val="0"/>
      <w:ind w:left="3400"/>
      <w:jc w:val="both"/>
    </w:pPr>
    <w:rPr>
      <w:rFonts w:ascii="Calibri" w:hAnsi="Calibri" w:eastAsia="宋体" w:cs="Times New Roman"/>
      <w:sz w:val="21"/>
      <w:lang w:val="en-US" w:eastAsia="zh-CN" w:bidi="ar-SA"/>
    </w:rPr>
  </w:style>
  <w:style w:type="paragraph" w:customStyle="1" w:styleId="474">
    <w:name w:val="toc 74"/>
    <w:next w:val="1"/>
    <w:qFormat/>
    <w:uiPriority w:val="0"/>
    <w:pPr>
      <w:wordWrap w:val="0"/>
      <w:ind w:left="2550"/>
      <w:jc w:val="both"/>
    </w:pPr>
    <w:rPr>
      <w:rFonts w:ascii="Calibri" w:hAnsi="Calibri" w:eastAsia="宋体" w:cs="Times New Roman"/>
      <w:sz w:val="21"/>
      <w:lang w:val="en-US" w:eastAsia="zh-CN" w:bidi="ar-SA"/>
    </w:rPr>
  </w:style>
  <w:style w:type="paragraph" w:customStyle="1" w:styleId="475">
    <w:name w:val="xl64"/>
    <w:basedOn w:val="1"/>
    <w:next w:val="450"/>
    <w:qFormat/>
    <w:uiPriority w:val="0"/>
    <w:pPr>
      <w:widowControl/>
      <w:shd w:val="clear" w:color="000000" w:fill="FFFFFF"/>
      <w:spacing w:before="280" w:after="280"/>
    </w:pPr>
    <w:rPr>
      <w:rFonts w:ascii="宋体" w:hAnsi="Calibri" w:eastAsia="宋体" w:cs="Times New Roman"/>
      <w:kern w:val="0"/>
      <w:sz w:val="20"/>
      <w:szCs w:val="20"/>
    </w:rPr>
  </w:style>
  <w:style w:type="paragraph" w:customStyle="1" w:styleId="476">
    <w:name w:val="xl82"/>
    <w:basedOn w:val="1"/>
    <w:next w:val="296"/>
    <w:qFormat/>
    <w:uiPriority w:val="0"/>
    <w:pPr>
      <w:widowControl/>
      <w:shd w:val="clear" w:color="000000" w:fill="FFFFFF"/>
      <w:spacing w:before="280" w:after="280"/>
    </w:pPr>
    <w:rPr>
      <w:rFonts w:ascii="宋体" w:hAnsi="Calibri" w:eastAsia="宋体" w:cs="Times New Roman"/>
      <w:kern w:val="0"/>
      <w:sz w:val="20"/>
      <w:szCs w:val="20"/>
    </w:rPr>
  </w:style>
  <w:style w:type="paragraph" w:customStyle="1" w:styleId="477">
    <w:name w:val="toc 32"/>
    <w:next w:val="1"/>
    <w:qFormat/>
    <w:uiPriority w:val="0"/>
    <w:pPr>
      <w:wordWrap w:val="0"/>
      <w:ind w:left="850"/>
      <w:jc w:val="both"/>
    </w:pPr>
    <w:rPr>
      <w:rFonts w:ascii="Calibri" w:hAnsi="Calibri" w:eastAsia="宋体" w:cs="Times New Roman"/>
      <w:sz w:val="21"/>
      <w:lang w:val="en-US" w:eastAsia="zh-CN" w:bidi="ar-SA"/>
    </w:rPr>
  </w:style>
  <w:style w:type="paragraph" w:customStyle="1" w:styleId="478">
    <w:name w:val="xl77"/>
    <w:basedOn w:val="1"/>
    <w:next w:val="443"/>
    <w:qFormat/>
    <w:uiPriority w:val="0"/>
    <w:pPr>
      <w:widowControl/>
      <w:shd w:val="clear" w:color="000000" w:fill="FFFFFF"/>
      <w:spacing w:before="280" w:after="280"/>
      <w:jc w:val="center"/>
    </w:pPr>
    <w:rPr>
      <w:rFonts w:ascii="宋体" w:hAnsi="Calibri" w:eastAsia="宋体" w:cs="Times New Roman"/>
      <w:kern w:val="0"/>
      <w:sz w:val="20"/>
      <w:szCs w:val="20"/>
    </w:rPr>
  </w:style>
  <w:style w:type="character" w:customStyle="1" w:styleId="479">
    <w:name w:val="正文缩进 Char1"/>
    <w:qFormat/>
    <w:uiPriority w:val="0"/>
    <w:rPr>
      <w:rFonts w:eastAsia="宋体"/>
      <w:kern w:val="2"/>
      <w:sz w:val="21"/>
      <w:lang w:val="en-US" w:eastAsia="zh-CN" w:bidi="ar-SA"/>
    </w:rPr>
  </w:style>
  <w:style w:type="character" w:customStyle="1" w:styleId="480">
    <w:name w:val="fielderror"/>
    <w:basedOn w:val="47"/>
    <w:qFormat/>
    <w:uiPriority w:val="0"/>
    <w:rPr>
      <w:color w:val="800000"/>
    </w:rPr>
  </w:style>
  <w:style w:type="character" w:customStyle="1" w:styleId="481">
    <w:name w:val="hilite6"/>
    <w:basedOn w:val="47"/>
    <w:qFormat/>
    <w:uiPriority w:val="0"/>
    <w:rPr>
      <w:color w:val="000000"/>
    </w:rPr>
  </w:style>
  <w:style w:type="character" w:customStyle="1" w:styleId="482">
    <w:name w:val="active6"/>
    <w:basedOn w:val="47"/>
    <w:qFormat/>
    <w:uiPriority w:val="0"/>
    <w:rPr>
      <w:color w:val="FFFFFF"/>
    </w:rPr>
  </w:style>
  <w:style w:type="character" w:customStyle="1" w:styleId="483">
    <w:name w:val="inline-help"/>
    <w:basedOn w:val="47"/>
    <w:qFormat/>
    <w:uiPriority w:val="0"/>
  </w:style>
  <w:style w:type="character" w:customStyle="1" w:styleId="484">
    <w:name w:val="active"/>
    <w:basedOn w:val="47"/>
    <w:qFormat/>
    <w:uiPriority w:val="0"/>
    <w:rPr>
      <w:color w:val="FFFFFF"/>
    </w:rPr>
  </w:style>
  <w:style w:type="character" w:customStyle="1" w:styleId="485">
    <w:name w:val="未处理的提及1"/>
    <w:basedOn w:val="47"/>
    <w:semiHidden/>
    <w:unhideWhenUsed/>
    <w:qFormat/>
    <w:uiPriority w:val="99"/>
    <w:rPr>
      <w:color w:val="605E5C"/>
      <w:shd w:val="clear" w:color="auto" w:fill="E1DFDD"/>
    </w:rPr>
  </w:style>
  <w:style w:type="paragraph" w:customStyle="1" w:styleId="486">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487">
    <w:name w:val="修订3"/>
    <w:hidden/>
    <w:unhideWhenUsed/>
    <w:qFormat/>
    <w:uiPriority w:val="99"/>
    <w:rPr>
      <w:rFonts w:ascii="Times New Roman" w:hAnsi="Times New Roman" w:eastAsia="宋体" w:cs="Times New Roman"/>
      <w:kern w:val="2"/>
      <w:sz w:val="21"/>
      <w:szCs w:val="24"/>
      <w:lang w:val="en-US" w:eastAsia="zh-CN" w:bidi="ar-SA"/>
    </w:rPr>
  </w:style>
  <w:style w:type="table" w:customStyle="1" w:styleId="488">
    <w:name w:val="网格型1"/>
    <w:basedOn w:val="4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89">
    <w:name w:val="网格型11"/>
    <w:basedOn w:val="4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90">
    <w:name w:val="修订4"/>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491">
    <w:name w:val="Table Text"/>
    <w:basedOn w:val="1"/>
    <w:semiHidden/>
    <w:qFormat/>
    <w:uiPriority w:val="0"/>
    <w:rPr>
      <w:rFonts w:ascii="宋体" w:hAnsi="宋体" w:eastAsia="宋体" w:cs="宋体"/>
      <w:sz w:val="21"/>
      <w:szCs w:val="21"/>
      <w:lang w:val="en-US" w:eastAsia="en-US" w:bidi="ar-SA"/>
    </w:rPr>
  </w:style>
  <w:style w:type="table" w:customStyle="1" w:styleId="492">
    <w:name w:val="Table Normal"/>
    <w:semiHidden/>
    <w:unhideWhenUsed/>
    <w:qFormat/>
    <w:uiPriority w:val="0"/>
    <w:tblPr>
      <w:tblCellMar>
        <w:top w:w="0" w:type="dxa"/>
        <w:left w:w="0" w:type="dxa"/>
        <w:bottom w:w="0" w:type="dxa"/>
        <w:right w:w="0" w:type="dxa"/>
      </w:tblCellMar>
    </w:tblPr>
  </w:style>
  <w:style w:type="character" w:customStyle="1" w:styleId="493">
    <w:name w:val="hover"/>
    <w:basedOn w:val="47"/>
    <w:uiPriority w:val="0"/>
    <w:rPr>
      <w:color w:val="2590EB"/>
    </w:rPr>
  </w:style>
  <w:style w:type="character" w:customStyle="1" w:styleId="494">
    <w:name w:val="hover1"/>
    <w:basedOn w:val="47"/>
    <w:uiPriority w:val="0"/>
    <w:rPr>
      <w:color w:val="2590EB"/>
    </w:rPr>
  </w:style>
  <w:style w:type="character" w:customStyle="1" w:styleId="495">
    <w:name w:val="hover2"/>
    <w:basedOn w:val="47"/>
    <w:uiPriority w:val="0"/>
  </w:style>
  <w:style w:type="character" w:customStyle="1" w:styleId="496">
    <w:name w:val="hover3"/>
    <w:basedOn w:val="47"/>
    <w:uiPriority w:val="0"/>
    <w:rPr>
      <w:color w:val="2590EB"/>
      <w:shd w:val="clear" w:fill="E9F4FD"/>
    </w:rPr>
  </w:style>
  <w:style w:type="character" w:customStyle="1" w:styleId="497">
    <w:name w:val="hover4"/>
    <w:basedOn w:val="47"/>
    <w:uiPriority w:val="0"/>
    <w:rPr>
      <w:color w:val="28BFA6"/>
      <w:shd w:val="clear" w:fill="EAF9F6"/>
    </w:rPr>
  </w:style>
  <w:style w:type="character" w:customStyle="1" w:styleId="498">
    <w:name w:val="mini-outputtext1"/>
    <w:basedOn w:val="47"/>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214</Pages>
  <Words>2048</Words>
  <Characters>2054</Characters>
  <Lines>496</Lines>
  <Paragraphs>139</Paragraphs>
  <TotalTime>19</TotalTime>
  <ScaleCrop>false</ScaleCrop>
  <LinksUpToDate>false</LinksUpToDate>
  <CharactersWithSpaces>2057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2024-01-31T11:56:00Z</dcterms:created>
  <dc:creator>沛镛</dc:creator>
  <cp:lastModifiedBy>75206</cp:lastModifiedBy>
  <dcterms:modified xsi:type="dcterms:W3CDTF">2026-07-28T09:32:59Z</dcterms:modified>
  <cp:revision>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737BAE2A2DF8423CB2F14D4358CC2632_13</vt:lpwstr>
  </property>
  <property fmtid="{D5CDD505-2E9C-101B-9397-08002B2CF9AE}" pid="4" name="KSOTemplateDocerSaveRecord">
    <vt:lpwstr>eyJoZGlkIjoiNjdhYmMzNWE1ZDA0YmNiOWRmMzVkZDQ1YmQ2YWQ4ODgiLCJ1c2VySWQiOiIxMjA2NDI2MTc1In0=</vt:lpwstr>
  </property>
</Properties>
</file>