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D0F890">
      <w:pPr>
        <w:jc w:val="center"/>
        <w:rPr>
          <w:rFonts w:ascii="宋体" w:hAnsi="宋体" w:eastAsia="黑体"/>
          <w:b/>
          <w:bCs/>
          <w:color w:val="FF0000"/>
          <w:kern w:val="44"/>
          <w:sz w:val="44"/>
          <w:szCs w:val="44"/>
        </w:rPr>
      </w:pPr>
      <w:bookmarkStart w:id="0" w:name="_Toc194467275"/>
    </w:p>
    <w:p w14:paraId="503B7F36">
      <w:pPr>
        <w:jc w:val="center"/>
        <w:rPr>
          <w:rFonts w:ascii="宋体" w:hAnsi="宋体" w:eastAsia="黑体"/>
          <w:b/>
          <w:bCs/>
          <w:color w:val="FF0000"/>
          <w:kern w:val="44"/>
          <w:sz w:val="32"/>
          <w:szCs w:val="32"/>
        </w:rPr>
      </w:pPr>
      <w:r>
        <w:rPr>
          <w:rFonts w:hint="eastAsia" w:ascii="宋体" w:hAnsi="宋体" w:eastAsia="黑体"/>
          <w:b/>
          <w:bCs/>
          <w:color w:val="FF0000"/>
          <w:kern w:val="44"/>
          <w:sz w:val="32"/>
          <w:szCs w:val="32"/>
        </w:rPr>
        <w:t>特别警示条款</w:t>
      </w:r>
    </w:p>
    <w:p w14:paraId="53BDBFF2">
      <w:pPr>
        <w:spacing w:after="240" w:afterLines="100" w:line="400" w:lineRule="exact"/>
        <w:ind w:firstLine="422" w:firstLineChars="200"/>
        <w:rPr>
          <w:rFonts w:hint="eastAsia" w:ascii="宋体" w:hAnsi="宋体" w:eastAsia="宋体" w:cs="宋体"/>
          <w:b/>
          <w:bCs/>
          <w:color w:val="FF0000"/>
          <w:sz w:val="21"/>
          <w:szCs w:val="21"/>
        </w:rPr>
      </w:pPr>
      <w:r>
        <w:rPr>
          <w:rFonts w:hint="eastAsia" w:ascii="宋体" w:hAnsi="宋体" w:eastAsia="宋体" w:cs="宋体"/>
          <w:b/>
          <w:bCs/>
          <w:color w:val="FF0000"/>
          <w:sz w:val="21"/>
          <w:szCs w:val="21"/>
        </w:rPr>
        <w:t>参与本项目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1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7711"/>
      </w:tblGrid>
      <w:tr w14:paraId="34985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vAlign w:val="center"/>
          </w:tcPr>
          <w:p w14:paraId="7F980A71">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序号</w:t>
            </w:r>
          </w:p>
        </w:tc>
        <w:tc>
          <w:tcPr>
            <w:tcW w:w="7711" w:type="dxa"/>
            <w:vAlign w:val="center"/>
          </w:tcPr>
          <w:p w14:paraId="07E2A81B">
            <w:pPr>
              <w:spacing w:line="400" w:lineRule="exact"/>
              <w:jc w:val="center"/>
              <w:rPr>
                <w:rFonts w:hint="eastAsia" w:ascii="宋体" w:hAnsi="宋体" w:eastAsia="宋体" w:cs="宋体"/>
                <w:color w:val="FF0000"/>
                <w:sz w:val="21"/>
                <w:szCs w:val="21"/>
              </w:rPr>
            </w:pPr>
            <w:r>
              <w:rPr>
                <w:rFonts w:hint="eastAsia" w:ascii="宋体" w:hAnsi="宋体" w:eastAsia="宋体" w:cs="宋体"/>
                <w:b/>
                <w:bCs/>
                <w:color w:val="FF0000"/>
                <w:sz w:val="21"/>
                <w:szCs w:val="21"/>
              </w:rPr>
              <w:t>供应商参与投标禁止情形</w:t>
            </w:r>
          </w:p>
        </w:tc>
      </w:tr>
      <w:tr w14:paraId="2775E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vAlign w:val="center"/>
          </w:tcPr>
          <w:p w14:paraId="11C77AF5">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1</w:t>
            </w:r>
          </w:p>
        </w:tc>
        <w:tc>
          <w:tcPr>
            <w:tcW w:w="7711" w:type="dxa"/>
            <w:vAlign w:val="center"/>
          </w:tcPr>
          <w:p w14:paraId="05446498">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与其他投标供应商的法定代表人、主要经营负责人、投标授权代表人、项目负责人、主要技术人员为同一人、属同一单位或者在同一单位缴纳社会保险。</w:t>
            </w:r>
          </w:p>
        </w:tc>
      </w:tr>
      <w:tr w14:paraId="6BFDB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vAlign w:val="center"/>
          </w:tcPr>
          <w:p w14:paraId="0715C3EA">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2</w:t>
            </w:r>
          </w:p>
        </w:tc>
        <w:tc>
          <w:tcPr>
            <w:tcW w:w="7711" w:type="dxa"/>
            <w:vAlign w:val="center"/>
          </w:tcPr>
          <w:p w14:paraId="73123C19">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参与本项目采购活动时，与其他投标供应商存在单位负责人为同一人或直接控股、管理关系。</w:t>
            </w:r>
          </w:p>
        </w:tc>
      </w:tr>
      <w:tr w14:paraId="4A0B1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vAlign w:val="center"/>
          </w:tcPr>
          <w:p w14:paraId="586EF2F2">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3</w:t>
            </w:r>
          </w:p>
        </w:tc>
        <w:tc>
          <w:tcPr>
            <w:tcW w:w="7711" w:type="dxa"/>
            <w:vAlign w:val="center"/>
          </w:tcPr>
          <w:p w14:paraId="7007B058">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与其他投标供应商的投标文件或部分投标文件相互混装或存在非正常一致。</w:t>
            </w:r>
          </w:p>
        </w:tc>
      </w:tr>
      <w:tr w14:paraId="2D4D2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811" w:type="dxa"/>
            <w:vAlign w:val="center"/>
          </w:tcPr>
          <w:p w14:paraId="5F8D812F">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4</w:t>
            </w:r>
          </w:p>
        </w:tc>
        <w:tc>
          <w:tcPr>
            <w:tcW w:w="7711" w:type="dxa"/>
            <w:vAlign w:val="center"/>
          </w:tcPr>
          <w:p w14:paraId="287A8F9D">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与其他投标供应商的投标文件由同一单位或者同一人编制，或者使用同一设备编制（“文件制作机器码”“文件创建标识码”一致）。</w:t>
            </w:r>
          </w:p>
        </w:tc>
      </w:tr>
      <w:tr w14:paraId="7DC38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811" w:type="dxa"/>
            <w:vAlign w:val="center"/>
          </w:tcPr>
          <w:p w14:paraId="12FAA5E0">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5</w:t>
            </w:r>
          </w:p>
        </w:tc>
        <w:tc>
          <w:tcPr>
            <w:tcW w:w="7711" w:type="dxa"/>
            <w:vAlign w:val="center"/>
          </w:tcPr>
          <w:p w14:paraId="540C3065">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提供未经出具机构核实的虚假的检验检测报告、业绩材料、社保缴纳证明、学历学位证书、职称认证证书等材料。</w:t>
            </w:r>
          </w:p>
        </w:tc>
      </w:tr>
      <w:tr w14:paraId="5F1FD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11" w:type="dxa"/>
            <w:vAlign w:val="center"/>
          </w:tcPr>
          <w:p w14:paraId="7CE7ADAD">
            <w:pPr>
              <w:spacing w:line="400" w:lineRule="exact"/>
              <w:jc w:val="center"/>
              <w:rPr>
                <w:rFonts w:hint="eastAsia" w:ascii="宋体" w:hAnsi="宋体" w:eastAsia="宋体" w:cs="宋体"/>
                <w:color w:val="FF0000"/>
                <w:sz w:val="21"/>
                <w:szCs w:val="21"/>
              </w:rPr>
            </w:pPr>
            <w:r>
              <w:rPr>
                <w:rFonts w:hint="eastAsia" w:ascii="宋体" w:hAnsi="宋体" w:eastAsia="宋体" w:cs="宋体"/>
                <w:color w:val="FF0000"/>
                <w:sz w:val="21"/>
                <w:szCs w:val="21"/>
              </w:rPr>
              <w:t>6</w:t>
            </w:r>
          </w:p>
        </w:tc>
        <w:tc>
          <w:tcPr>
            <w:tcW w:w="7711" w:type="dxa"/>
            <w:vAlign w:val="center"/>
          </w:tcPr>
          <w:p w14:paraId="00292CC1">
            <w:pPr>
              <w:spacing w:line="400" w:lineRule="exact"/>
              <w:jc w:val="left"/>
              <w:rPr>
                <w:rFonts w:hint="eastAsia" w:ascii="宋体" w:hAnsi="宋体" w:eastAsia="宋体" w:cs="宋体"/>
                <w:color w:val="FF0000"/>
                <w:sz w:val="21"/>
                <w:szCs w:val="21"/>
              </w:rPr>
            </w:pPr>
            <w:r>
              <w:rPr>
                <w:rFonts w:hint="eastAsia" w:ascii="宋体" w:hAnsi="宋体" w:eastAsia="宋体" w:cs="宋体"/>
                <w:color w:val="FF0000"/>
                <w:sz w:val="21"/>
                <w:szCs w:val="21"/>
              </w:rPr>
              <w:t>擅自将投标密钥或电子营业执照出借他人使用或未妥善保管。</w:t>
            </w:r>
          </w:p>
        </w:tc>
      </w:tr>
    </w:tbl>
    <w:p w14:paraId="04473C10">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一、</w:t>
      </w:r>
      <w:r>
        <w:rPr>
          <w:rFonts w:hint="eastAsia" w:ascii="宋体" w:hAnsi="宋体"/>
          <w:b/>
          <w:bCs/>
          <w:color w:val="FF0000"/>
          <w:sz w:val="20"/>
          <w:szCs w:val="20"/>
        </w:rPr>
        <w:t>《深圳经济特区政府采购条例》第五十七条</w:t>
      </w:r>
      <w:r>
        <w:rPr>
          <w:rFonts w:hint="eastAsia" w:ascii="宋体" w:hAnsi="宋体"/>
          <w:color w:val="FF0000"/>
          <w:sz w:val="20"/>
          <w:szCs w:val="20"/>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3EE4DAD4">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（一）在采购活动中应当回避而未回避的；</w:t>
      </w:r>
    </w:p>
    <w:p w14:paraId="2792D221">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（二）未按本条例规定签订、履行采购合同，造成严重后果的；</w:t>
      </w:r>
    </w:p>
    <w:p w14:paraId="1E6A82EC">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（三）隐瞒真实情况，提供虚假资料的；</w:t>
      </w:r>
    </w:p>
    <w:p w14:paraId="65FBD8E6">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（四）以非法手段排斥其他供应商参与竞争的；</w:t>
      </w:r>
    </w:p>
    <w:p w14:paraId="7C12489E">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（五）与其他采购参加人串通投标的；</w:t>
      </w:r>
    </w:p>
    <w:p w14:paraId="64241E2B">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（六）恶意投诉的；</w:t>
      </w:r>
    </w:p>
    <w:p w14:paraId="1876931B">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（七）向采购项目相关人行贿或者提供其他不当利益的；</w:t>
      </w:r>
    </w:p>
    <w:p w14:paraId="40C2824F">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（八）阻碍、抗拒主管部门监督检查的；</w:t>
      </w:r>
    </w:p>
    <w:p w14:paraId="4583D7AB">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（九）其他违反本条例规定的行为。</w:t>
      </w:r>
    </w:p>
    <w:p w14:paraId="00173746">
      <w:pPr>
        <w:pBdr>
          <w:top w:val="none" w:color="auto" w:sz="0" w:space="1"/>
          <w:left w:val="none" w:color="auto" w:sz="0" w:space="4"/>
          <w:bottom w:val="none" w:color="auto" w:sz="0" w:space="1"/>
          <w:right w:val="none" w:color="auto" w:sz="0" w:space="4"/>
        </w:pBdr>
        <w:ind w:firstLine="402" w:firstLineChars="200"/>
        <w:rPr>
          <w:rFonts w:ascii="宋体" w:hAnsi="宋体"/>
          <w:color w:val="FF0000"/>
          <w:sz w:val="20"/>
          <w:szCs w:val="20"/>
        </w:rPr>
      </w:pPr>
      <w:r>
        <w:rPr>
          <w:rFonts w:hint="eastAsia" w:ascii="宋体" w:hAnsi="宋体"/>
          <w:b/>
          <w:bCs/>
          <w:color w:val="FF0000"/>
          <w:sz w:val="20"/>
          <w:szCs w:val="20"/>
        </w:rPr>
        <w:t xml:space="preserve">二、《深圳经济特区政府采购条例实施细则》第七十五条 </w:t>
      </w:r>
      <w:r>
        <w:rPr>
          <w:rFonts w:hint="eastAsia" w:ascii="宋体" w:hAnsi="宋体"/>
          <w:color w:val="FF0000"/>
          <w:sz w:val="20"/>
          <w:szCs w:val="20"/>
        </w:rPr>
        <w:t>供应商有下列情形之一的，属于采购条例所称的串通投标行为，按照采购条例第五十七条有关规定处理：（一）投标供应商之间相互约定给予未中标的供应商利益补偿。（二）不同投标供应商的法定代表人、主要经营负责人、项目投标授权代表人、项目负责人、主要技术人员为同一人、属同一单位或者在同一单位缴纳社会保险。（三）不同投标供应商的投标文件由同一单位或者同一人编制，或者由同一人分阶段参与编制的。（四）不同投标供应商的投标文件或部分投标文件相互混装。（五）不同投标供应商的投标文件内容存在非正常一致。（六）由同一单位工作人员为两家以上（含两家）供应商进行同一项投标活动的。（七）主管部门依照法律、法规认定的其他情形。</w:t>
      </w:r>
    </w:p>
    <w:p w14:paraId="2B3558C8">
      <w:pPr>
        <w:pBdr>
          <w:top w:val="none" w:color="auto" w:sz="0" w:space="1"/>
          <w:left w:val="none" w:color="auto" w:sz="0" w:space="4"/>
          <w:bottom w:val="none" w:color="auto" w:sz="0" w:space="1"/>
          <w:right w:val="none" w:color="auto" w:sz="0" w:space="4"/>
        </w:pBdr>
        <w:ind w:firstLine="402" w:firstLineChars="200"/>
        <w:rPr>
          <w:rFonts w:ascii="宋体" w:hAnsi="宋体"/>
          <w:color w:val="FF0000"/>
          <w:sz w:val="20"/>
          <w:szCs w:val="20"/>
        </w:rPr>
      </w:pPr>
      <w:r>
        <w:rPr>
          <w:rFonts w:hint="eastAsia" w:ascii="宋体" w:hAnsi="宋体"/>
          <w:b/>
          <w:bCs/>
          <w:color w:val="FF0000"/>
          <w:sz w:val="20"/>
          <w:szCs w:val="20"/>
        </w:rPr>
        <w:t xml:space="preserve">三、《深圳经济特区政府采购条例实施细则》第七十七条 </w:t>
      </w:r>
      <w:r>
        <w:rPr>
          <w:rFonts w:hint="eastAsia" w:ascii="宋体" w:hAnsi="宋体"/>
          <w:color w:val="FF0000"/>
          <w:sz w:val="20"/>
          <w:szCs w:val="20"/>
        </w:rPr>
        <w:t>供应商有下列情形之一的，属于隐瞒真实情况，提供虚假资料，按照采购条例第五十七条的有关规定处理：（一）通过转让或者租借等方式从其他单位获取资格或者资质证书投标的。（二）由其他单位或者其他单位负责人在投标供应商编制的投标文件上加盖印章或者签字的。（三）项目负责人或者主要技术人员不是本单位人员的。（四）投标保证金不是从投标供应商基本账户转出的。（五）其他隐瞒真实情况、提供虚假资料的行为。</w:t>
      </w:r>
    </w:p>
    <w:p w14:paraId="457D103B">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投标供应商不能提供项目负责人或者主要技术人员的劳动合同、社会保险等劳动关系证明材料的，视为存在前款第（三）项规定的情形。</w:t>
      </w:r>
    </w:p>
    <w:p w14:paraId="2C33D936">
      <w:pPr>
        <w:keepNext w:val="0"/>
        <w:keepLines w:val="0"/>
        <w:pageBreakBefore w:val="0"/>
        <w:numPr>
          <w:ilvl w:val="0"/>
          <w:numId w:val="0"/>
        </w:numPr>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ind w:firstLine="400" w:firstLineChars="200"/>
        <w:textAlignment w:val="auto"/>
        <w:rPr>
          <w:rFonts w:hint="eastAsia"/>
          <w:b/>
          <w:color w:val="FF0000"/>
          <w:lang w:eastAsia="zh-CN"/>
        </w:rPr>
      </w:pPr>
      <w:r>
        <w:rPr>
          <w:rFonts w:hint="eastAsia"/>
          <w:bCs/>
          <w:color w:val="FF0000"/>
          <w:sz w:val="20"/>
          <w:szCs w:val="20"/>
        </w:rPr>
        <w:t>四、</w:t>
      </w:r>
      <w:r>
        <w:rPr>
          <w:rFonts w:hint="eastAsia"/>
          <w:b/>
          <w:color w:val="FF0000"/>
        </w:rPr>
        <w:t>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p>
    <w:p w14:paraId="42FA65C1">
      <w:pPr>
        <w:pBdr>
          <w:top w:val="none" w:color="auto" w:sz="0" w:space="1"/>
          <w:left w:val="none" w:color="auto" w:sz="0" w:space="4"/>
          <w:bottom w:val="none" w:color="auto" w:sz="0" w:space="1"/>
          <w:right w:val="none" w:color="auto" w:sz="0" w:space="4"/>
        </w:pBdr>
        <w:ind w:firstLine="400" w:firstLineChars="200"/>
        <w:rPr>
          <w:bCs/>
          <w:color w:val="FF0000"/>
          <w:sz w:val="20"/>
          <w:szCs w:val="20"/>
        </w:rPr>
      </w:pPr>
    </w:p>
    <w:p w14:paraId="000A08DA">
      <w:pPr>
        <w:pBdr>
          <w:top w:val="none" w:color="auto" w:sz="0" w:space="1"/>
          <w:left w:val="none" w:color="auto" w:sz="0" w:space="4"/>
          <w:bottom w:val="none" w:color="auto" w:sz="0" w:space="1"/>
          <w:right w:val="none" w:color="auto" w:sz="0" w:space="4"/>
        </w:pBdr>
        <w:ind w:firstLine="422" w:firstLineChars="200"/>
        <w:rPr>
          <w:b/>
          <w:color w:val="FF0000"/>
        </w:rPr>
      </w:pPr>
      <w:r>
        <w:rPr>
          <w:rFonts w:hint="eastAsia"/>
          <w:b/>
          <w:color w:val="FF0000"/>
        </w:rPr>
        <w:t>五、请投标供应商阅读《政府采购违法行为风险知悉确认书》（内容详见“</w:t>
      </w:r>
      <w:r>
        <w:rPr>
          <w:rFonts w:hint="eastAsia"/>
          <w:b/>
          <w:color w:val="FF0000"/>
          <w:lang w:val="en-US" w:eastAsia="zh-CN"/>
        </w:rPr>
        <w:t>第二册第一章</w:t>
      </w:r>
      <w:r>
        <w:rPr>
          <w:rFonts w:hint="eastAsia"/>
          <w:b/>
          <w:color w:val="FF0000"/>
        </w:rPr>
        <w:t>投标文件</w:t>
      </w:r>
      <w:r>
        <w:rPr>
          <w:rFonts w:hint="eastAsia"/>
          <w:b/>
          <w:color w:val="FF0000"/>
          <w:lang w:val="en-US" w:eastAsia="zh-CN"/>
        </w:rPr>
        <w:t>格式</w:t>
      </w:r>
      <w:r>
        <w:rPr>
          <w:rFonts w:hint="eastAsia"/>
          <w:b/>
          <w:color w:val="FF0000"/>
        </w:rPr>
        <w:t>”），并经各投标供应商负责人签字并加盖单位公章后，扫描上传至投标文件一并提交。</w:t>
      </w:r>
    </w:p>
    <w:p w14:paraId="3142C148">
      <w:pPr>
        <w:rPr>
          <w:rFonts w:ascii="Calibri" w:hAnsi="Calibri"/>
          <w:szCs w:val="22"/>
        </w:rPr>
      </w:pPr>
    </w:p>
    <w:p w14:paraId="1F8BBADB">
      <w:pPr>
        <w:pBdr>
          <w:top w:val="none" w:color="auto" w:sz="0" w:space="1"/>
          <w:left w:val="none" w:color="auto" w:sz="0" w:space="4"/>
          <w:bottom w:val="none" w:color="auto" w:sz="0" w:space="1"/>
          <w:right w:val="none" w:color="auto" w:sz="0" w:space="4"/>
        </w:pBdr>
        <w:ind w:firstLine="422" w:firstLineChars="200"/>
        <w:rPr>
          <w:b/>
          <w:color w:val="FF0000"/>
        </w:rPr>
      </w:pPr>
      <w:r>
        <w:rPr>
          <w:rFonts w:hint="eastAsia"/>
          <w:b/>
          <w:color w:val="FF0000"/>
        </w:rPr>
        <w:t>注：“特别警示条款”和《政府采购违法行为风险知悉确认书》用于对供应商违法行为的提醒，不作为供应商资格性审查及符合性审查条件。</w:t>
      </w:r>
    </w:p>
    <w:p w14:paraId="48B28916">
      <w:pPr>
        <w:widowControl/>
        <w:jc w:val="left"/>
      </w:pPr>
      <w:r>
        <w:br w:type="page"/>
      </w:r>
    </w:p>
    <w:p w14:paraId="10D08654">
      <w:pPr>
        <w:pStyle w:val="30"/>
        <w:jc w:val="center"/>
        <w:outlineLvl w:val="1"/>
        <w:rPr>
          <w:rFonts w:ascii="黑体" w:hAnsi="黑体" w:eastAsia="黑体"/>
          <w:sz w:val="40"/>
          <w:szCs w:val="40"/>
        </w:rPr>
      </w:pPr>
      <w:r>
        <w:rPr>
          <w:rFonts w:hint="eastAsia" w:ascii="黑体" w:hAnsi="黑体" w:eastAsia="黑体"/>
          <w:sz w:val="40"/>
          <w:szCs w:val="40"/>
        </w:rPr>
        <w:t>招标文件信息</w:t>
      </w:r>
    </w:p>
    <w:tbl>
      <w:tblPr>
        <w:tblStyle w:val="34"/>
        <w:tblW w:w="0" w:type="auto"/>
        <w:jc w:val="center"/>
        <w:tblCellSpacing w:w="0" w:type="dxa"/>
        <w:tblLayout w:type="fixed"/>
        <w:tblCellMar>
          <w:top w:w="45" w:type="dxa"/>
          <w:left w:w="45" w:type="dxa"/>
          <w:bottom w:w="45" w:type="dxa"/>
          <w:right w:w="45" w:type="dxa"/>
        </w:tblCellMar>
      </w:tblPr>
      <w:tblGrid>
        <w:gridCol w:w="2722"/>
        <w:gridCol w:w="5216"/>
      </w:tblGrid>
      <w:tr w14:paraId="7C715BFE">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3A32AFDC">
            <w:pPr>
              <w:jc w:val="right"/>
              <w:rPr>
                <w:rFonts w:ascii="宋体" w:hAnsi="宋体" w:cs="宋体"/>
                <w:sz w:val="30"/>
                <w:szCs w:val="30"/>
              </w:rPr>
            </w:pPr>
            <w:r>
              <w:rPr>
                <w:sz w:val="30"/>
                <w:szCs w:val="30"/>
              </w:rPr>
              <w:t>项目编号：</w:t>
            </w:r>
          </w:p>
        </w:tc>
        <w:tc>
          <w:tcPr>
            <w:tcW w:w="5216" w:type="dxa"/>
            <w:vAlign w:val="center"/>
          </w:tcPr>
          <w:p w14:paraId="2035F2F8">
            <w:pPr>
              <w:rPr>
                <w:rFonts w:ascii="宋体" w:hAnsi="宋体" w:cs="宋体"/>
                <w:sz w:val="30"/>
                <w:szCs w:val="30"/>
              </w:rPr>
            </w:pPr>
            <w:r>
              <w:rPr>
                <w:rFonts w:hint="eastAsia" w:ascii="宋体" w:hAnsi="宋体" w:cs="宋体"/>
                <w:sz w:val="30"/>
                <w:szCs w:val="30"/>
              </w:rPr>
              <w:t>LHZC2026070262</w:t>
            </w:r>
          </w:p>
        </w:tc>
      </w:tr>
      <w:tr w14:paraId="43A5F679">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2732476D">
            <w:pPr>
              <w:jc w:val="right"/>
              <w:rPr>
                <w:rFonts w:ascii="宋体" w:hAnsi="宋体" w:cs="宋体"/>
                <w:sz w:val="30"/>
                <w:szCs w:val="30"/>
              </w:rPr>
            </w:pPr>
            <w:r>
              <w:rPr>
                <w:sz w:val="30"/>
                <w:szCs w:val="30"/>
              </w:rPr>
              <w:t>项目名称：</w:t>
            </w:r>
          </w:p>
        </w:tc>
        <w:tc>
          <w:tcPr>
            <w:tcW w:w="5216" w:type="dxa"/>
            <w:vAlign w:val="center"/>
          </w:tcPr>
          <w:p w14:paraId="77B47A6A">
            <w:pPr>
              <w:rPr>
                <w:rFonts w:ascii="宋体" w:hAnsi="宋体" w:cs="宋体"/>
                <w:sz w:val="30"/>
                <w:szCs w:val="30"/>
              </w:rPr>
            </w:pPr>
            <w:r>
              <w:rPr>
                <w:rFonts w:hint="eastAsia" w:ascii="宋体" w:hAnsi="宋体" w:cs="宋体"/>
                <w:sz w:val="30"/>
                <w:szCs w:val="30"/>
              </w:rPr>
              <w:t>深圳市翠竹外国语实验学校新质教室采购项目</w:t>
            </w:r>
          </w:p>
        </w:tc>
      </w:tr>
      <w:tr w14:paraId="394225DD">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2E766CC9">
            <w:pPr>
              <w:jc w:val="right"/>
              <w:rPr>
                <w:rFonts w:ascii="宋体" w:hAnsi="宋体" w:cs="宋体"/>
                <w:sz w:val="30"/>
                <w:szCs w:val="30"/>
              </w:rPr>
            </w:pPr>
            <w:r>
              <w:rPr>
                <w:sz w:val="30"/>
                <w:szCs w:val="30"/>
              </w:rPr>
              <w:t>项目类型：</w:t>
            </w:r>
          </w:p>
        </w:tc>
        <w:tc>
          <w:tcPr>
            <w:tcW w:w="5216" w:type="dxa"/>
            <w:vAlign w:val="center"/>
          </w:tcPr>
          <w:p w14:paraId="0D3F12A6">
            <w:pPr>
              <w:rPr>
                <w:rFonts w:ascii="宋体" w:hAnsi="宋体" w:cs="宋体"/>
                <w:sz w:val="30"/>
                <w:szCs w:val="30"/>
              </w:rPr>
            </w:pPr>
            <w:r>
              <w:rPr>
                <w:sz w:val="30"/>
                <w:szCs w:val="30"/>
              </w:rPr>
              <w:t>货物类</w:t>
            </w:r>
          </w:p>
        </w:tc>
      </w:tr>
      <w:tr w14:paraId="4FC9D45F">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254F376A">
            <w:pPr>
              <w:jc w:val="right"/>
              <w:rPr>
                <w:sz w:val="30"/>
                <w:szCs w:val="30"/>
              </w:rPr>
            </w:pPr>
            <w:r>
              <w:rPr>
                <w:rFonts w:hint="eastAsia"/>
                <w:sz w:val="30"/>
                <w:szCs w:val="30"/>
                <w:lang w:val="en-US" w:eastAsia="zh-CN"/>
              </w:rPr>
              <w:t>采购方式：</w:t>
            </w:r>
          </w:p>
        </w:tc>
        <w:tc>
          <w:tcPr>
            <w:tcW w:w="5216" w:type="dxa"/>
            <w:vAlign w:val="center"/>
          </w:tcPr>
          <w:p w14:paraId="01310254">
            <w:pPr>
              <w:rPr>
                <w:sz w:val="30"/>
                <w:szCs w:val="30"/>
              </w:rPr>
            </w:pPr>
            <w:r>
              <w:rPr>
                <w:rFonts w:hint="eastAsia"/>
                <w:sz w:val="30"/>
                <w:szCs w:val="30"/>
              </w:rPr>
              <w:t>公开征集</w:t>
            </w:r>
          </w:p>
        </w:tc>
      </w:tr>
      <w:tr w14:paraId="15D5B3F9">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541A4C5C">
            <w:pPr>
              <w:jc w:val="right"/>
              <w:rPr>
                <w:rFonts w:ascii="宋体" w:hAnsi="宋体" w:cs="宋体"/>
                <w:sz w:val="30"/>
                <w:szCs w:val="30"/>
              </w:rPr>
            </w:pPr>
            <w:r>
              <w:rPr>
                <w:sz w:val="30"/>
                <w:szCs w:val="30"/>
              </w:rPr>
              <w:t>采购</w:t>
            </w:r>
            <w:r>
              <w:rPr>
                <w:rFonts w:hint="eastAsia"/>
                <w:sz w:val="30"/>
                <w:szCs w:val="30"/>
              </w:rPr>
              <w:t>类型</w:t>
            </w:r>
            <w:r>
              <w:rPr>
                <w:sz w:val="30"/>
                <w:szCs w:val="30"/>
              </w:rPr>
              <w:t>：</w:t>
            </w:r>
          </w:p>
        </w:tc>
        <w:tc>
          <w:tcPr>
            <w:tcW w:w="5216" w:type="dxa"/>
            <w:vAlign w:val="center"/>
          </w:tcPr>
          <w:p w14:paraId="40966D30">
            <w:pPr>
              <w:rPr>
                <w:rFonts w:ascii="宋体" w:hAnsi="宋体" w:cs="宋体"/>
                <w:sz w:val="30"/>
                <w:szCs w:val="30"/>
              </w:rPr>
            </w:pPr>
            <w:r>
              <w:rPr>
                <w:rFonts w:hint="eastAsia" w:ascii="宋体" w:hAnsi="宋体" w:cs="宋体"/>
                <w:sz w:val="30"/>
                <w:szCs w:val="30"/>
              </w:rPr>
              <w:t>自行采购</w:t>
            </w:r>
          </w:p>
        </w:tc>
      </w:tr>
      <w:tr w14:paraId="1B0E2B60">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481EC13B">
            <w:pPr>
              <w:jc w:val="right"/>
              <w:rPr>
                <w:rFonts w:ascii="宋体" w:hAnsi="宋体" w:cs="宋体"/>
                <w:sz w:val="30"/>
                <w:szCs w:val="30"/>
              </w:rPr>
            </w:pPr>
            <w:r>
              <w:rPr>
                <w:sz w:val="30"/>
                <w:szCs w:val="30"/>
              </w:rPr>
              <w:t>货币类型：</w:t>
            </w:r>
          </w:p>
        </w:tc>
        <w:tc>
          <w:tcPr>
            <w:tcW w:w="5216" w:type="dxa"/>
            <w:vAlign w:val="center"/>
          </w:tcPr>
          <w:p w14:paraId="2AC8350B">
            <w:pPr>
              <w:rPr>
                <w:rFonts w:ascii="宋体" w:hAnsi="宋体" w:cs="宋体"/>
                <w:sz w:val="30"/>
                <w:szCs w:val="30"/>
              </w:rPr>
            </w:pPr>
            <w:r>
              <w:rPr>
                <w:sz w:val="30"/>
                <w:szCs w:val="30"/>
              </w:rPr>
              <w:t>人民币</w:t>
            </w:r>
          </w:p>
        </w:tc>
      </w:tr>
      <w:tr w14:paraId="6A59C542">
        <w:tblPrEx>
          <w:tblCellMar>
            <w:top w:w="45" w:type="dxa"/>
            <w:left w:w="45" w:type="dxa"/>
            <w:bottom w:w="45" w:type="dxa"/>
            <w:right w:w="45" w:type="dxa"/>
          </w:tblCellMar>
        </w:tblPrEx>
        <w:trPr>
          <w:trHeight w:val="737" w:hRule="atLeast"/>
          <w:tblCellSpacing w:w="0" w:type="dxa"/>
          <w:jc w:val="center"/>
        </w:trPr>
        <w:tc>
          <w:tcPr>
            <w:tcW w:w="2722" w:type="dxa"/>
            <w:vAlign w:val="center"/>
          </w:tcPr>
          <w:p w14:paraId="4D2949A9">
            <w:pPr>
              <w:jc w:val="right"/>
              <w:rPr>
                <w:rFonts w:ascii="宋体" w:hAnsi="宋体" w:cs="宋体"/>
                <w:sz w:val="30"/>
                <w:szCs w:val="30"/>
              </w:rPr>
            </w:pPr>
            <w:r>
              <w:rPr>
                <w:sz w:val="30"/>
                <w:szCs w:val="30"/>
              </w:rPr>
              <w:t>评标方法：</w:t>
            </w:r>
          </w:p>
        </w:tc>
        <w:tc>
          <w:tcPr>
            <w:tcW w:w="5216" w:type="dxa"/>
            <w:vAlign w:val="center"/>
          </w:tcPr>
          <w:p w14:paraId="4E333756">
            <w:pPr>
              <w:rPr>
                <w:rFonts w:ascii="宋体" w:hAnsi="宋体" w:cs="宋体"/>
                <w:sz w:val="30"/>
                <w:szCs w:val="30"/>
              </w:rPr>
            </w:pPr>
            <w:r>
              <w:rPr>
                <w:sz w:val="30"/>
                <w:szCs w:val="30"/>
              </w:rPr>
              <w:t>综合评分法</w:t>
            </w:r>
          </w:p>
        </w:tc>
      </w:tr>
    </w:tbl>
    <w:p w14:paraId="68A2FDA8">
      <w:pPr>
        <w:pStyle w:val="30"/>
        <w:jc w:val="center"/>
        <w:outlineLvl w:val="1"/>
        <w:rPr>
          <w:rFonts w:ascii="黑体" w:hAnsi="黑体" w:eastAsia="黑体"/>
          <w:sz w:val="40"/>
          <w:szCs w:val="40"/>
        </w:rPr>
      </w:pPr>
      <w:r>
        <w:rPr>
          <w:rFonts w:hint="eastAsia" w:ascii="黑体" w:hAnsi="黑体" w:eastAsia="黑体"/>
          <w:sz w:val="40"/>
          <w:szCs w:val="40"/>
        </w:rPr>
        <w:t>资格性审查表</w:t>
      </w:r>
    </w:p>
    <w:tbl>
      <w:tblPr>
        <w:tblStyle w:val="34"/>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1BC795C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19CC29AD">
            <w:pPr>
              <w:jc w:val="center"/>
              <w:rPr>
                <w:rFonts w:ascii="宋体" w:hAnsi="宋体" w:cs="宋体"/>
                <w:sz w:val="28"/>
                <w:szCs w:val="28"/>
              </w:rPr>
            </w:pPr>
            <w:r>
              <w:rPr>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514C5D58">
            <w:pPr>
              <w:jc w:val="center"/>
              <w:rPr>
                <w:rFonts w:ascii="宋体" w:hAnsi="宋体" w:cs="宋体"/>
                <w:sz w:val="28"/>
                <w:szCs w:val="28"/>
              </w:rPr>
            </w:pPr>
            <w:r>
              <w:rPr>
                <w:sz w:val="28"/>
                <w:szCs w:val="28"/>
              </w:rPr>
              <w:t>内容</w:t>
            </w:r>
          </w:p>
        </w:tc>
      </w:tr>
      <w:tr w14:paraId="6B8A0E9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162D49FB">
            <w:pPr>
              <w:jc w:val="center"/>
              <w:rPr>
                <w:rFonts w:ascii="宋体" w:hAnsi="宋体" w:cs="宋体"/>
                <w:szCs w:val="21"/>
              </w:rPr>
            </w:pPr>
            <w:r>
              <w:rPr>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5C4C2A8B">
            <w:pPr>
              <w:rPr>
                <w:b/>
                <w:color w:val="FF0000"/>
                <w:highlight w:val="cyan"/>
              </w:rPr>
            </w:pPr>
            <w:r>
              <w:rPr>
                <w:rFonts w:hint="eastAsia"/>
              </w:rPr>
              <w:t>投标供应商不具备招标文件所列的资格要求，或未提交相应的资格证明资料（详见第一册第一章招标公告的投标供应商资格要求）。</w:t>
            </w:r>
          </w:p>
        </w:tc>
      </w:tr>
    </w:tbl>
    <w:p w14:paraId="39116A88">
      <w:pPr>
        <w:pStyle w:val="30"/>
        <w:spacing w:before="280" w:after="280" w:line="320" w:lineRule="exact"/>
        <w:jc w:val="center"/>
        <w:outlineLvl w:val="1"/>
        <w:rPr>
          <w:rFonts w:hint="eastAsia" w:ascii="黑体" w:hAnsi="黑体" w:eastAsia="黑体"/>
          <w:sz w:val="28"/>
          <w:szCs w:val="40"/>
          <w:lang w:val="en-US" w:eastAsia="zh-CN"/>
        </w:rPr>
      </w:pPr>
      <w:r>
        <w:rPr>
          <w:rFonts w:hint="eastAsia" w:ascii="黑体" w:hAnsi="黑体" w:eastAsia="黑体"/>
          <w:sz w:val="28"/>
          <w:szCs w:val="40"/>
          <w:lang w:val="en-US" w:eastAsia="zh-CN"/>
        </w:rPr>
        <w:t>相关</w:t>
      </w:r>
      <w:r>
        <w:rPr>
          <w:rFonts w:hint="eastAsia" w:ascii="黑体" w:hAnsi="黑体" w:eastAsia="黑体"/>
          <w:sz w:val="28"/>
          <w:szCs w:val="40"/>
        </w:rPr>
        <w:t>费</w:t>
      </w:r>
      <w:r>
        <w:rPr>
          <w:rFonts w:hint="eastAsia" w:ascii="黑体" w:hAnsi="黑体" w:eastAsia="黑体"/>
          <w:sz w:val="28"/>
          <w:szCs w:val="40"/>
          <w:lang w:val="en-US" w:eastAsia="zh-CN"/>
        </w:rPr>
        <w:t>用</w:t>
      </w:r>
    </w:p>
    <w:p w14:paraId="629C326F">
      <w:pPr>
        <w:ind w:firstLine="422" w:firstLineChars="200"/>
        <w:rPr>
          <w:rFonts w:hint="eastAsia"/>
          <w:b/>
          <w:lang w:val="en-US" w:eastAsia="zh-CN"/>
        </w:rPr>
      </w:pPr>
      <w:bookmarkStart w:id="1" w:name="OLE_LINK29"/>
      <w:r>
        <w:rPr>
          <w:rFonts w:hint="eastAsia"/>
          <w:b/>
          <w:lang w:val="en-US" w:eastAsia="zh-CN"/>
        </w:rPr>
        <w:t>1、采购代理服务费</w:t>
      </w:r>
    </w:p>
    <w:p w14:paraId="01F7A67B">
      <w:pPr>
        <w:ind w:firstLine="422" w:firstLineChars="200"/>
        <w:rPr>
          <w:b/>
        </w:rPr>
      </w:pPr>
      <w:r>
        <w:rPr>
          <w:rFonts w:hint="eastAsia"/>
          <w:b/>
        </w:rPr>
        <w:t>本项目为代理服务项目，将向中标（成交）供应商收取代理服务费。</w:t>
      </w:r>
    </w:p>
    <w:p w14:paraId="2DDB075F">
      <w:pPr>
        <w:ind w:firstLine="420" w:firstLineChars="200"/>
      </w:pPr>
      <w:r>
        <w:rPr>
          <w:rFonts w:hint="eastAsia"/>
        </w:rPr>
        <w:t>中标</w:t>
      </w:r>
      <w:bookmarkEnd w:id="1"/>
      <w:r>
        <w:rPr>
          <w:rFonts w:hint="eastAsia"/>
        </w:rPr>
        <w:t>（成交）供应商在领取《中标（成交）通知书》之前须向深圳公共资源交易中心（深圳交易集团有限公司罗湖分公司）交纳代理服务费。若因中标（成交）供应商交纳代理服务费所产生的时间影响到合同签订的，由中标（成交）供应商自行承担责任。代理服务费标准参照下列标准收取。</w:t>
      </w:r>
      <w:r>
        <w:rPr>
          <w:rFonts w:hint="eastAsia"/>
          <w:b/>
          <w:color w:val="FF0000"/>
        </w:rPr>
        <w:t>本项目类型为</w:t>
      </w:r>
      <w:r>
        <w:rPr>
          <w:rFonts w:hint="eastAsia"/>
          <w:b/>
          <w:color w:val="FF0000"/>
          <w:lang w:val="en-US" w:eastAsia="zh-CN"/>
        </w:rPr>
        <w:t>货物</w:t>
      </w:r>
      <w:r>
        <w:rPr>
          <w:rFonts w:hint="eastAsia"/>
          <w:b/>
          <w:color w:val="FF0000"/>
        </w:rPr>
        <w:t>采购：</w:t>
      </w:r>
    </w:p>
    <w:p w14:paraId="7DC9B15D">
      <w:pPr>
        <w:ind w:firstLine="420" w:firstLineChars="200"/>
      </w:pPr>
      <w:r>
        <w:rPr>
          <w:rFonts w:hint="eastAsia"/>
        </w:rPr>
        <w:t>（1）代理服务费以《中标（成交）通知书》确定的中标（成交）金额作为计算基数，按差额定率累进法计算。</w:t>
      </w:r>
    </w:p>
    <w:p w14:paraId="25CBEB0D">
      <w:pPr>
        <w:ind w:firstLine="420" w:firstLineChars="200"/>
      </w:pPr>
      <w:r>
        <w:rPr>
          <w:rFonts w:hint="eastAsia"/>
        </w:rPr>
        <w:t>（2）中标（成交）金额的各部分费率如下表：</w:t>
      </w:r>
    </w:p>
    <w:tbl>
      <w:tblPr>
        <w:tblStyle w:val="3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5"/>
        <w:gridCol w:w="1799"/>
        <w:gridCol w:w="1799"/>
        <w:gridCol w:w="1799"/>
      </w:tblGrid>
      <w:tr w14:paraId="29D84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3125" w:type="dxa"/>
            <w:vAlign w:val="center"/>
          </w:tcPr>
          <w:p w14:paraId="19987C09">
            <w:pPr>
              <w:widowControl/>
              <w:spacing w:line="360" w:lineRule="auto"/>
              <w:jc w:val="center"/>
            </w:pPr>
            <w:r>
              <w:rPr>
                <w:rFonts w:hint="eastAsia"/>
              </w:rPr>
              <w:t>中标（成交）金额</w:t>
            </w:r>
          </w:p>
        </w:tc>
        <w:tc>
          <w:tcPr>
            <w:tcW w:w="1799" w:type="dxa"/>
            <w:vAlign w:val="center"/>
          </w:tcPr>
          <w:p w14:paraId="38B5AEB1">
            <w:pPr>
              <w:widowControl/>
              <w:spacing w:line="360" w:lineRule="auto"/>
              <w:jc w:val="center"/>
            </w:pPr>
            <w:r>
              <w:rPr>
                <w:rFonts w:hint="eastAsia"/>
              </w:rPr>
              <w:t>货物采购</w:t>
            </w:r>
          </w:p>
        </w:tc>
        <w:tc>
          <w:tcPr>
            <w:tcW w:w="1799" w:type="dxa"/>
            <w:vAlign w:val="center"/>
          </w:tcPr>
          <w:p w14:paraId="558C1D0B">
            <w:pPr>
              <w:widowControl/>
              <w:spacing w:line="360" w:lineRule="auto"/>
              <w:jc w:val="center"/>
            </w:pPr>
            <w:r>
              <w:rPr>
                <w:rFonts w:hint="eastAsia"/>
              </w:rPr>
              <w:t>服务采购</w:t>
            </w:r>
          </w:p>
        </w:tc>
        <w:tc>
          <w:tcPr>
            <w:tcW w:w="1799" w:type="dxa"/>
            <w:vAlign w:val="center"/>
          </w:tcPr>
          <w:p w14:paraId="2E309D2E">
            <w:pPr>
              <w:widowControl/>
              <w:spacing w:line="360" w:lineRule="auto"/>
              <w:jc w:val="center"/>
            </w:pPr>
            <w:r>
              <w:rPr>
                <w:rFonts w:hint="eastAsia"/>
              </w:rPr>
              <w:t>工程采购</w:t>
            </w:r>
          </w:p>
        </w:tc>
      </w:tr>
      <w:tr w14:paraId="32369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68F210A7">
            <w:pPr>
              <w:widowControl/>
              <w:spacing w:line="360" w:lineRule="auto"/>
              <w:jc w:val="center"/>
            </w:pPr>
            <w:r>
              <w:rPr>
                <w:rFonts w:hint="eastAsia"/>
              </w:rPr>
              <w:t>100万元以下</w:t>
            </w:r>
          </w:p>
        </w:tc>
        <w:tc>
          <w:tcPr>
            <w:tcW w:w="1799" w:type="dxa"/>
            <w:vAlign w:val="center"/>
          </w:tcPr>
          <w:p w14:paraId="6644C53D">
            <w:pPr>
              <w:widowControl/>
              <w:spacing w:line="360" w:lineRule="auto"/>
              <w:jc w:val="center"/>
            </w:pPr>
            <w:r>
              <w:rPr>
                <w:rFonts w:hint="eastAsia"/>
              </w:rPr>
              <w:t>1.5%</w:t>
            </w:r>
          </w:p>
        </w:tc>
        <w:tc>
          <w:tcPr>
            <w:tcW w:w="1799" w:type="dxa"/>
            <w:vAlign w:val="center"/>
          </w:tcPr>
          <w:p w14:paraId="096C9D6C">
            <w:pPr>
              <w:widowControl/>
              <w:spacing w:line="360" w:lineRule="auto"/>
              <w:jc w:val="center"/>
            </w:pPr>
            <w:r>
              <w:rPr>
                <w:rFonts w:hint="eastAsia"/>
              </w:rPr>
              <w:t>1.5%</w:t>
            </w:r>
          </w:p>
        </w:tc>
        <w:tc>
          <w:tcPr>
            <w:tcW w:w="1799" w:type="dxa"/>
            <w:vAlign w:val="center"/>
          </w:tcPr>
          <w:p w14:paraId="7B50B764">
            <w:pPr>
              <w:widowControl/>
              <w:spacing w:line="360" w:lineRule="auto"/>
              <w:jc w:val="center"/>
            </w:pPr>
            <w:r>
              <w:rPr>
                <w:rFonts w:hint="eastAsia"/>
              </w:rPr>
              <w:t>1.0%</w:t>
            </w:r>
          </w:p>
        </w:tc>
      </w:tr>
      <w:tr w14:paraId="34E32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7E47D954">
            <w:pPr>
              <w:widowControl/>
              <w:spacing w:line="360" w:lineRule="auto"/>
              <w:jc w:val="center"/>
            </w:pPr>
            <w:r>
              <w:rPr>
                <w:rFonts w:hint="eastAsia"/>
              </w:rPr>
              <w:t>100万元（含）-500万元</w:t>
            </w:r>
          </w:p>
        </w:tc>
        <w:tc>
          <w:tcPr>
            <w:tcW w:w="1799" w:type="dxa"/>
            <w:vAlign w:val="center"/>
          </w:tcPr>
          <w:p w14:paraId="0FBD26C2">
            <w:pPr>
              <w:widowControl/>
              <w:spacing w:line="360" w:lineRule="auto"/>
              <w:jc w:val="center"/>
            </w:pPr>
            <w:r>
              <w:rPr>
                <w:rFonts w:hint="eastAsia"/>
              </w:rPr>
              <w:t>1.1%</w:t>
            </w:r>
          </w:p>
        </w:tc>
        <w:tc>
          <w:tcPr>
            <w:tcW w:w="1799" w:type="dxa"/>
            <w:vAlign w:val="center"/>
          </w:tcPr>
          <w:p w14:paraId="7C99E896">
            <w:pPr>
              <w:widowControl/>
              <w:spacing w:line="360" w:lineRule="auto"/>
              <w:jc w:val="center"/>
            </w:pPr>
            <w:r>
              <w:rPr>
                <w:rFonts w:hint="eastAsia"/>
              </w:rPr>
              <w:t>0.8%</w:t>
            </w:r>
          </w:p>
        </w:tc>
        <w:tc>
          <w:tcPr>
            <w:tcW w:w="1799" w:type="dxa"/>
            <w:vAlign w:val="center"/>
          </w:tcPr>
          <w:p w14:paraId="5B971752">
            <w:pPr>
              <w:widowControl/>
              <w:spacing w:line="360" w:lineRule="auto"/>
              <w:jc w:val="center"/>
            </w:pPr>
            <w:r>
              <w:rPr>
                <w:rFonts w:hint="eastAsia"/>
              </w:rPr>
              <w:t>0.7%</w:t>
            </w:r>
          </w:p>
        </w:tc>
      </w:tr>
      <w:tr w14:paraId="71375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29A60197">
            <w:pPr>
              <w:widowControl/>
              <w:spacing w:line="360" w:lineRule="auto"/>
              <w:jc w:val="center"/>
            </w:pPr>
            <w:r>
              <w:rPr>
                <w:rFonts w:hint="eastAsia"/>
              </w:rPr>
              <w:t>500万元（含）-1000万元</w:t>
            </w:r>
          </w:p>
        </w:tc>
        <w:tc>
          <w:tcPr>
            <w:tcW w:w="1799" w:type="dxa"/>
            <w:vAlign w:val="center"/>
          </w:tcPr>
          <w:p w14:paraId="283520AE">
            <w:pPr>
              <w:widowControl/>
              <w:spacing w:line="360" w:lineRule="auto"/>
              <w:jc w:val="center"/>
            </w:pPr>
            <w:r>
              <w:rPr>
                <w:rFonts w:hint="eastAsia"/>
              </w:rPr>
              <w:t>0.8%</w:t>
            </w:r>
          </w:p>
        </w:tc>
        <w:tc>
          <w:tcPr>
            <w:tcW w:w="1799" w:type="dxa"/>
            <w:vAlign w:val="center"/>
          </w:tcPr>
          <w:p w14:paraId="69EEAEE2">
            <w:pPr>
              <w:widowControl/>
              <w:spacing w:line="360" w:lineRule="auto"/>
              <w:jc w:val="center"/>
            </w:pPr>
            <w:r>
              <w:rPr>
                <w:rFonts w:hint="eastAsia"/>
              </w:rPr>
              <w:t>0.45%</w:t>
            </w:r>
          </w:p>
        </w:tc>
        <w:tc>
          <w:tcPr>
            <w:tcW w:w="1799" w:type="dxa"/>
            <w:vAlign w:val="center"/>
          </w:tcPr>
          <w:p w14:paraId="7263BEFC">
            <w:pPr>
              <w:widowControl/>
              <w:spacing w:line="360" w:lineRule="auto"/>
              <w:jc w:val="center"/>
            </w:pPr>
            <w:r>
              <w:rPr>
                <w:rFonts w:hint="eastAsia"/>
              </w:rPr>
              <w:t>0.55%</w:t>
            </w:r>
          </w:p>
        </w:tc>
      </w:tr>
      <w:tr w14:paraId="12822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460F5D6C">
            <w:pPr>
              <w:widowControl/>
              <w:spacing w:line="360" w:lineRule="auto"/>
              <w:jc w:val="center"/>
            </w:pPr>
            <w:r>
              <w:rPr>
                <w:rFonts w:hint="eastAsia"/>
              </w:rPr>
              <w:t>1000万元（含）-5000万元</w:t>
            </w:r>
          </w:p>
        </w:tc>
        <w:tc>
          <w:tcPr>
            <w:tcW w:w="1799" w:type="dxa"/>
            <w:vAlign w:val="center"/>
          </w:tcPr>
          <w:p w14:paraId="7949C00C">
            <w:pPr>
              <w:widowControl/>
              <w:spacing w:line="360" w:lineRule="auto"/>
              <w:jc w:val="center"/>
            </w:pPr>
            <w:r>
              <w:rPr>
                <w:rFonts w:hint="eastAsia"/>
              </w:rPr>
              <w:t>0.5%</w:t>
            </w:r>
          </w:p>
        </w:tc>
        <w:tc>
          <w:tcPr>
            <w:tcW w:w="1799" w:type="dxa"/>
            <w:vAlign w:val="center"/>
          </w:tcPr>
          <w:p w14:paraId="6AD6AF26">
            <w:pPr>
              <w:widowControl/>
              <w:spacing w:line="360" w:lineRule="auto"/>
              <w:jc w:val="center"/>
            </w:pPr>
            <w:r>
              <w:rPr>
                <w:rFonts w:hint="eastAsia"/>
              </w:rPr>
              <w:t>0.25%</w:t>
            </w:r>
          </w:p>
        </w:tc>
        <w:tc>
          <w:tcPr>
            <w:tcW w:w="1799" w:type="dxa"/>
            <w:vAlign w:val="center"/>
          </w:tcPr>
          <w:p w14:paraId="66A93734">
            <w:pPr>
              <w:widowControl/>
              <w:spacing w:line="360" w:lineRule="auto"/>
              <w:jc w:val="center"/>
            </w:pPr>
            <w:r>
              <w:rPr>
                <w:rFonts w:hint="eastAsia"/>
              </w:rPr>
              <w:t>0.35%</w:t>
            </w:r>
          </w:p>
        </w:tc>
      </w:tr>
      <w:tr w14:paraId="6A056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6F02C34F">
            <w:pPr>
              <w:widowControl/>
              <w:spacing w:line="360" w:lineRule="auto"/>
              <w:jc w:val="center"/>
            </w:pPr>
            <w:r>
              <w:rPr>
                <w:rFonts w:hint="eastAsia"/>
              </w:rPr>
              <w:t>5000万元（含）-1亿元</w:t>
            </w:r>
          </w:p>
        </w:tc>
        <w:tc>
          <w:tcPr>
            <w:tcW w:w="1799" w:type="dxa"/>
            <w:vAlign w:val="center"/>
          </w:tcPr>
          <w:p w14:paraId="15EFB124">
            <w:pPr>
              <w:widowControl/>
              <w:spacing w:line="360" w:lineRule="auto"/>
              <w:jc w:val="center"/>
            </w:pPr>
            <w:r>
              <w:rPr>
                <w:rFonts w:hint="eastAsia"/>
              </w:rPr>
              <w:t>0.25%</w:t>
            </w:r>
          </w:p>
        </w:tc>
        <w:tc>
          <w:tcPr>
            <w:tcW w:w="1799" w:type="dxa"/>
            <w:vAlign w:val="center"/>
          </w:tcPr>
          <w:p w14:paraId="0F32CEA9">
            <w:pPr>
              <w:widowControl/>
              <w:spacing w:line="360" w:lineRule="auto"/>
              <w:jc w:val="center"/>
            </w:pPr>
            <w:r>
              <w:rPr>
                <w:rFonts w:hint="eastAsia"/>
              </w:rPr>
              <w:t>0.1%</w:t>
            </w:r>
          </w:p>
        </w:tc>
        <w:tc>
          <w:tcPr>
            <w:tcW w:w="1799" w:type="dxa"/>
            <w:vAlign w:val="center"/>
          </w:tcPr>
          <w:p w14:paraId="39769930">
            <w:pPr>
              <w:widowControl/>
              <w:spacing w:line="360" w:lineRule="auto"/>
              <w:jc w:val="center"/>
            </w:pPr>
            <w:r>
              <w:rPr>
                <w:rFonts w:hint="eastAsia"/>
              </w:rPr>
              <w:t>0.2%</w:t>
            </w:r>
          </w:p>
        </w:tc>
      </w:tr>
      <w:tr w14:paraId="25660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388FAEB1">
            <w:pPr>
              <w:widowControl/>
              <w:spacing w:line="360" w:lineRule="auto"/>
              <w:jc w:val="center"/>
            </w:pPr>
            <w:r>
              <w:rPr>
                <w:rFonts w:hint="eastAsia"/>
              </w:rPr>
              <w:t>1亿元（含）-5亿元</w:t>
            </w:r>
          </w:p>
        </w:tc>
        <w:tc>
          <w:tcPr>
            <w:tcW w:w="1799" w:type="dxa"/>
            <w:vAlign w:val="center"/>
          </w:tcPr>
          <w:p w14:paraId="68A4792C">
            <w:pPr>
              <w:widowControl/>
              <w:spacing w:line="360" w:lineRule="auto"/>
              <w:jc w:val="center"/>
            </w:pPr>
            <w:r>
              <w:rPr>
                <w:rFonts w:hint="eastAsia"/>
              </w:rPr>
              <w:t>0.05%</w:t>
            </w:r>
          </w:p>
        </w:tc>
        <w:tc>
          <w:tcPr>
            <w:tcW w:w="1799" w:type="dxa"/>
            <w:vAlign w:val="center"/>
          </w:tcPr>
          <w:p w14:paraId="4D60719F">
            <w:pPr>
              <w:widowControl/>
              <w:spacing w:line="360" w:lineRule="auto"/>
              <w:jc w:val="center"/>
            </w:pPr>
            <w:r>
              <w:rPr>
                <w:rFonts w:hint="eastAsia"/>
              </w:rPr>
              <w:t>0.05%</w:t>
            </w:r>
          </w:p>
        </w:tc>
        <w:tc>
          <w:tcPr>
            <w:tcW w:w="1799" w:type="dxa"/>
            <w:vAlign w:val="center"/>
          </w:tcPr>
          <w:p w14:paraId="67B7BDF8">
            <w:pPr>
              <w:widowControl/>
              <w:spacing w:line="360" w:lineRule="auto"/>
              <w:jc w:val="center"/>
            </w:pPr>
            <w:r>
              <w:rPr>
                <w:rFonts w:hint="eastAsia"/>
              </w:rPr>
              <w:t>0.05%</w:t>
            </w:r>
          </w:p>
        </w:tc>
      </w:tr>
      <w:tr w14:paraId="72C34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744E739B">
            <w:pPr>
              <w:widowControl/>
              <w:spacing w:line="360" w:lineRule="auto"/>
              <w:jc w:val="center"/>
            </w:pPr>
            <w:r>
              <w:rPr>
                <w:rFonts w:hint="eastAsia"/>
              </w:rPr>
              <w:t>5亿元（含）-10亿元</w:t>
            </w:r>
          </w:p>
        </w:tc>
        <w:tc>
          <w:tcPr>
            <w:tcW w:w="1799" w:type="dxa"/>
            <w:vAlign w:val="center"/>
          </w:tcPr>
          <w:p w14:paraId="2E6EF44F">
            <w:pPr>
              <w:widowControl/>
              <w:spacing w:line="360" w:lineRule="auto"/>
              <w:jc w:val="center"/>
            </w:pPr>
            <w:r>
              <w:rPr>
                <w:rFonts w:hint="eastAsia"/>
              </w:rPr>
              <w:t>0.035%</w:t>
            </w:r>
          </w:p>
        </w:tc>
        <w:tc>
          <w:tcPr>
            <w:tcW w:w="1799" w:type="dxa"/>
            <w:vAlign w:val="center"/>
          </w:tcPr>
          <w:p w14:paraId="76A082F8">
            <w:pPr>
              <w:widowControl/>
              <w:spacing w:line="360" w:lineRule="auto"/>
              <w:jc w:val="center"/>
            </w:pPr>
            <w:r>
              <w:rPr>
                <w:rFonts w:hint="eastAsia"/>
              </w:rPr>
              <w:t>0.035%</w:t>
            </w:r>
          </w:p>
        </w:tc>
        <w:tc>
          <w:tcPr>
            <w:tcW w:w="1799" w:type="dxa"/>
            <w:vAlign w:val="center"/>
          </w:tcPr>
          <w:p w14:paraId="43D1772C">
            <w:pPr>
              <w:widowControl/>
              <w:spacing w:line="360" w:lineRule="auto"/>
              <w:jc w:val="center"/>
            </w:pPr>
            <w:r>
              <w:rPr>
                <w:rFonts w:hint="eastAsia"/>
              </w:rPr>
              <w:t>0.035%</w:t>
            </w:r>
          </w:p>
        </w:tc>
      </w:tr>
      <w:tr w14:paraId="3AD01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25" w:type="dxa"/>
            <w:vAlign w:val="center"/>
          </w:tcPr>
          <w:p w14:paraId="4E6FB913">
            <w:pPr>
              <w:widowControl/>
              <w:spacing w:line="360" w:lineRule="auto"/>
              <w:jc w:val="center"/>
            </w:pPr>
            <w:r>
              <w:rPr>
                <w:rFonts w:hint="eastAsia"/>
              </w:rPr>
              <w:t>10亿元（含）-50亿元</w:t>
            </w:r>
          </w:p>
        </w:tc>
        <w:tc>
          <w:tcPr>
            <w:tcW w:w="1799" w:type="dxa"/>
            <w:vAlign w:val="center"/>
          </w:tcPr>
          <w:p w14:paraId="593B35BD">
            <w:pPr>
              <w:widowControl/>
              <w:spacing w:line="360" w:lineRule="auto"/>
              <w:jc w:val="center"/>
            </w:pPr>
            <w:r>
              <w:rPr>
                <w:rFonts w:hint="eastAsia"/>
              </w:rPr>
              <w:t>0.008%</w:t>
            </w:r>
          </w:p>
        </w:tc>
        <w:tc>
          <w:tcPr>
            <w:tcW w:w="1799" w:type="dxa"/>
            <w:vAlign w:val="center"/>
          </w:tcPr>
          <w:p w14:paraId="7A87E9EA">
            <w:pPr>
              <w:widowControl/>
              <w:spacing w:line="360" w:lineRule="auto"/>
              <w:jc w:val="center"/>
            </w:pPr>
            <w:r>
              <w:rPr>
                <w:rFonts w:hint="eastAsia"/>
              </w:rPr>
              <w:t>0.008%</w:t>
            </w:r>
          </w:p>
        </w:tc>
        <w:tc>
          <w:tcPr>
            <w:tcW w:w="1799" w:type="dxa"/>
            <w:vAlign w:val="center"/>
          </w:tcPr>
          <w:p w14:paraId="06092504">
            <w:pPr>
              <w:widowControl/>
              <w:spacing w:line="360" w:lineRule="auto"/>
              <w:jc w:val="center"/>
            </w:pPr>
            <w:r>
              <w:rPr>
                <w:rFonts w:hint="eastAsia"/>
              </w:rPr>
              <w:t>0.008%</w:t>
            </w:r>
          </w:p>
        </w:tc>
      </w:tr>
      <w:tr w14:paraId="25DE2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1CFD617E">
            <w:pPr>
              <w:widowControl/>
              <w:spacing w:line="360" w:lineRule="auto"/>
              <w:jc w:val="center"/>
            </w:pPr>
            <w:r>
              <w:rPr>
                <w:rFonts w:hint="eastAsia"/>
              </w:rPr>
              <w:t>50亿元（含）-100亿元</w:t>
            </w:r>
          </w:p>
        </w:tc>
        <w:tc>
          <w:tcPr>
            <w:tcW w:w="1799" w:type="dxa"/>
            <w:vAlign w:val="center"/>
          </w:tcPr>
          <w:p w14:paraId="1C1AA90E">
            <w:pPr>
              <w:widowControl/>
              <w:spacing w:line="360" w:lineRule="auto"/>
              <w:jc w:val="center"/>
            </w:pPr>
            <w:r>
              <w:rPr>
                <w:rFonts w:hint="eastAsia"/>
              </w:rPr>
              <w:t>0.006%</w:t>
            </w:r>
          </w:p>
        </w:tc>
        <w:tc>
          <w:tcPr>
            <w:tcW w:w="1799" w:type="dxa"/>
            <w:vAlign w:val="center"/>
          </w:tcPr>
          <w:p w14:paraId="2D307F77">
            <w:pPr>
              <w:widowControl/>
              <w:spacing w:line="360" w:lineRule="auto"/>
              <w:jc w:val="center"/>
            </w:pPr>
            <w:r>
              <w:rPr>
                <w:rFonts w:hint="eastAsia"/>
              </w:rPr>
              <w:t>0.006%</w:t>
            </w:r>
          </w:p>
        </w:tc>
        <w:tc>
          <w:tcPr>
            <w:tcW w:w="1799" w:type="dxa"/>
            <w:vAlign w:val="center"/>
          </w:tcPr>
          <w:p w14:paraId="249E029C">
            <w:pPr>
              <w:widowControl/>
              <w:spacing w:line="360" w:lineRule="auto"/>
              <w:jc w:val="center"/>
            </w:pPr>
            <w:r>
              <w:rPr>
                <w:rFonts w:hint="eastAsia"/>
              </w:rPr>
              <w:t>0.006%</w:t>
            </w:r>
          </w:p>
        </w:tc>
      </w:tr>
      <w:tr w14:paraId="24068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42E0D40A">
            <w:pPr>
              <w:widowControl/>
              <w:spacing w:line="360" w:lineRule="auto"/>
              <w:jc w:val="center"/>
            </w:pPr>
            <w:r>
              <w:rPr>
                <w:rFonts w:hint="eastAsia"/>
              </w:rPr>
              <w:t>100亿元（含）以上</w:t>
            </w:r>
          </w:p>
        </w:tc>
        <w:tc>
          <w:tcPr>
            <w:tcW w:w="1799" w:type="dxa"/>
            <w:vAlign w:val="center"/>
          </w:tcPr>
          <w:p w14:paraId="508F5848">
            <w:pPr>
              <w:widowControl/>
              <w:spacing w:line="360" w:lineRule="auto"/>
              <w:jc w:val="center"/>
            </w:pPr>
            <w:r>
              <w:rPr>
                <w:rFonts w:hint="eastAsia"/>
              </w:rPr>
              <w:t>0.004%</w:t>
            </w:r>
          </w:p>
        </w:tc>
        <w:tc>
          <w:tcPr>
            <w:tcW w:w="1799" w:type="dxa"/>
            <w:vAlign w:val="center"/>
          </w:tcPr>
          <w:p w14:paraId="4BA28B0A">
            <w:pPr>
              <w:widowControl/>
              <w:spacing w:line="360" w:lineRule="auto"/>
              <w:jc w:val="center"/>
            </w:pPr>
            <w:r>
              <w:rPr>
                <w:rFonts w:hint="eastAsia"/>
              </w:rPr>
              <w:t>0.004%</w:t>
            </w:r>
          </w:p>
        </w:tc>
        <w:tc>
          <w:tcPr>
            <w:tcW w:w="1799" w:type="dxa"/>
            <w:vAlign w:val="center"/>
          </w:tcPr>
          <w:p w14:paraId="19016255">
            <w:pPr>
              <w:widowControl/>
              <w:spacing w:line="360" w:lineRule="auto"/>
              <w:jc w:val="center"/>
            </w:pPr>
            <w:r>
              <w:rPr>
                <w:rFonts w:hint="eastAsia"/>
              </w:rPr>
              <w:t>0.004%</w:t>
            </w:r>
          </w:p>
        </w:tc>
      </w:tr>
    </w:tbl>
    <w:p w14:paraId="2C89B371"/>
    <w:p w14:paraId="7D1A11EC">
      <w:pPr>
        <w:ind w:firstLine="420" w:firstLineChars="200"/>
      </w:pPr>
      <w:r>
        <w:rPr>
          <w:rFonts w:hint="eastAsia"/>
        </w:rPr>
        <w:t>备注：1.每宗交易代理服务费不低于 5000 元；</w:t>
      </w:r>
    </w:p>
    <w:p w14:paraId="6F40C01F">
      <w:pPr>
        <w:ind w:firstLine="420" w:firstLineChars="200"/>
      </w:pPr>
      <w:r>
        <w:rPr>
          <w:rFonts w:hint="eastAsia"/>
        </w:rPr>
        <w:t>2.对于报总价的采购类项目，中标（成交）价为中标（成交）金额；对于报单价、折扣或费率的采购类项目，中标（成交）价为预算上限金额或经委托方与代理方确定的支付上限金额；</w:t>
      </w:r>
    </w:p>
    <w:p w14:paraId="0B693784">
      <w:pPr>
        <w:ind w:firstLine="420" w:firstLineChars="200"/>
      </w:pPr>
    </w:p>
    <w:p w14:paraId="0041447B">
      <w:pPr>
        <w:ind w:firstLine="420" w:firstLineChars="200"/>
      </w:pPr>
      <w:r>
        <w:rPr>
          <w:rFonts w:hint="eastAsia"/>
        </w:rPr>
        <w:t>如某货物采购项目，中标（成交）金额为600万元，总共交纳的代理服务费的具体计算过程如下：</w:t>
      </w:r>
    </w:p>
    <w:p w14:paraId="5F9D7677">
      <w:pPr>
        <w:ind w:firstLine="420" w:firstLineChars="200"/>
      </w:pPr>
      <w:r>
        <w:rPr>
          <w:rFonts w:hint="eastAsia"/>
        </w:rPr>
        <w:t>标准代理服务费＝（100万以下部分的代理服务费）+（100万～500万部分的代理服务费）+（500万～600万部分的代理服务费）＝100万元×1.5%+（500-100）万元×1.1%+（600-500）万元×0.8%=1.5万元+4.4万元+0.8万元＝6.7万元</w:t>
      </w:r>
    </w:p>
    <w:p w14:paraId="2B6EB81B">
      <w:pPr>
        <w:ind w:firstLine="420" w:firstLineChars="200"/>
      </w:pPr>
      <w:r>
        <w:rPr>
          <w:rFonts w:hint="eastAsia"/>
        </w:rPr>
        <w:t>（3）中标（成交）供应商中标（成交）后，必须按规定采用银行对公转账方式向深圳交易集团有限公司直接交纳代理服务费，交纳信息及要求按照缴款（付款）通知书执行。</w:t>
      </w:r>
    </w:p>
    <w:p w14:paraId="51D72888">
      <w:pPr>
        <w:ind w:firstLine="422" w:firstLineChars="200"/>
        <w:rPr>
          <w:b/>
          <w:color w:val="FF0000"/>
        </w:rPr>
      </w:pPr>
      <w:r>
        <w:rPr>
          <w:rFonts w:hint="eastAsia"/>
          <w:b/>
          <w:color w:val="FF0000"/>
        </w:rPr>
        <w:t>基本户信息：</w:t>
      </w:r>
    </w:p>
    <w:p w14:paraId="0ECBA952">
      <w:pPr>
        <w:ind w:firstLine="420" w:firstLineChars="200"/>
        <w:rPr>
          <w:color w:val="FF0000"/>
        </w:rPr>
      </w:pPr>
      <w:r>
        <w:rPr>
          <w:rFonts w:hint="eastAsia"/>
          <w:color w:val="FF0000"/>
        </w:rPr>
        <w:t>账户名：深圳交易集团有限公司</w:t>
      </w:r>
    </w:p>
    <w:p w14:paraId="790B7340">
      <w:pPr>
        <w:ind w:firstLine="420" w:firstLineChars="200"/>
        <w:rPr>
          <w:color w:val="FF0000"/>
        </w:rPr>
      </w:pPr>
      <w:r>
        <w:rPr>
          <w:rFonts w:hint="eastAsia"/>
          <w:color w:val="FF0000"/>
        </w:rPr>
        <w:t>账号：</w:t>
      </w:r>
      <w:r>
        <w:rPr>
          <w:color w:val="FF0000"/>
        </w:rPr>
        <w:t>632766021</w:t>
      </w:r>
    </w:p>
    <w:p w14:paraId="37A41625">
      <w:pPr>
        <w:ind w:firstLine="420" w:firstLineChars="200"/>
        <w:rPr>
          <w:color w:val="FF0000"/>
        </w:rPr>
      </w:pPr>
      <w:r>
        <w:rPr>
          <w:rFonts w:hint="eastAsia"/>
          <w:color w:val="FF0000"/>
        </w:rPr>
        <w:t>开户行：民生银行深圳五洲支行</w:t>
      </w:r>
    </w:p>
    <w:p w14:paraId="143C63BF">
      <w:pPr>
        <w:ind w:firstLine="422" w:firstLineChars="200"/>
        <w:rPr>
          <w:b/>
          <w:color w:val="FF0000"/>
        </w:rPr>
      </w:pPr>
      <w:r>
        <w:rPr>
          <w:rFonts w:hint="eastAsia"/>
          <w:b/>
          <w:color w:val="FF0000"/>
        </w:rPr>
        <w:t>转账备注：</w:t>
      </w:r>
    </w:p>
    <w:p w14:paraId="22D6B696">
      <w:pPr>
        <w:ind w:firstLine="420" w:firstLineChars="200"/>
        <w:rPr>
          <w:rFonts w:hint="eastAsia"/>
          <w:color w:val="FF0000"/>
        </w:rPr>
      </w:pPr>
      <w:r>
        <w:rPr>
          <w:rFonts w:hint="eastAsia"/>
          <w:color w:val="FF0000"/>
        </w:rPr>
        <w:t>项目编号+项目名称+中标（成交）金额+中标（成交）供应商名称</w:t>
      </w:r>
    </w:p>
    <w:p w14:paraId="7BAB61A0">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b/>
          <w:lang w:val="en-US" w:eastAsia="zh-CN"/>
        </w:rPr>
      </w:pPr>
      <w:r>
        <w:rPr>
          <w:rFonts w:hint="eastAsia"/>
          <w:b/>
          <w:lang w:val="en-US" w:eastAsia="zh-CN"/>
        </w:rPr>
        <w:t>2、专家评审费</w:t>
      </w:r>
    </w:p>
    <w:p w14:paraId="13A5AD6B">
      <w:pPr>
        <w:pStyle w:val="33"/>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eastAsia="宋体" w:cs="Times New Roman"/>
          <w:b w:val="0"/>
          <w:bCs w:val="0"/>
          <w:kern w:val="2"/>
          <w:sz w:val="21"/>
          <w:szCs w:val="24"/>
          <w:lang w:val="en-US" w:eastAsia="zh-CN" w:bidi="ar-SA"/>
        </w:rPr>
      </w:pPr>
      <w:bookmarkStart w:id="2" w:name="OLE_LINK33"/>
      <w:r>
        <w:rPr>
          <w:rFonts w:hint="eastAsia" w:eastAsia="宋体" w:cs="Times New Roman"/>
          <w:b w:val="0"/>
          <w:bCs w:val="0"/>
          <w:kern w:val="2"/>
          <w:sz w:val="21"/>
          <w:szCs w:val="24"/>
          <w:lang w:val="en-US" w:eastAsia="zh-CN" w:bidi="ar-SA"/>
        </w:rPr>
        <w:t>本项目专家评审费由</w:t>
      </w:r>
      <w:r>
        <w:rPr>
          <w:rFonts w:hint="eastAsia"/>
        </w:rPr>
        <w:t>深圳公共资源交易中心（深圳交易集团有限公司罗湖分公司）</w:t>
      </w:r>
      <w:r>
        <w:rPr>
          <w:rFonts w:hint="eastAsia"/>
          <w:lang w:val="en-US" w:eastAsia="zh-CN"/>
        </w:rPr>
        <w:t>支付</w:t>
      </w:r>
      <w:r>
        <w:rPr>
          <w:rFonts w:hint="eastAsia" w:eastAsia="宋体" w:cs="Times New Roman"/>
          <w:b w:val="0"/>
          <w:bCs w:val="0"/>
          <w:kern w:val="2"/>
          <w:sz w:val="21"/>
          <w:szCs w:val="24"/>
          <w:lang w:val="en-US" w:eastAsia="zh-CN" w:bidi="ar-SA"/>
        </w:rPr>
        <w:t>，相关费用按照&lt;&lt;深圳市政府采购评审专家劳务报酬标准&gt;&gt;(深财购[2025]58号)执行。</w:t>
      </w:r>
      <w:bookmarkEnd w:id="2"/>
    </w:p>
    <w:p w14:paraId="1F37DD0C">
      <w:pPr>
        <w:pStyle w:val="33"/>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textAlignment w:val="auto"/>
        <w:rPr>
          <w:rFonts w:hint="eastAsia" w:eastAsia="宋体" w:cs="Times New Roman"/>
          <w:b w:val="0"/>
          <w:bCs w:val="0"/>
          <w:kern w:val="2"/>
          <w:sz w:val="21"/>
          <w:szCs w:val="24"/>
          <w:lang w:val="en-US" w:eastAsia="zh-CN" w:bidi="ar-SA"/>
        </w:rPr>
      </w:pPr>
    </w:p>
    <w:p w14:paraId="6383B38E">
      <w:pPr>
        <w:widowControl/>
        <w:jc w:val="center"/>
        <w:rPr>
          <w:rFonts w:ascii="黑体" w:hAnsi="黑体" w:eastAsia="黑体"/>
          <w:sz w:val="28"/>
          <w:szCs w:val="40"/>
        </w:rPr>
      </w:pPr>
      <w:r>
        <w:rPr>
          <w:rFonts w:hint="eastAsia" w:ascii="黑体" w:hAnsi="黑体" w:eastAsia="黑体"/>
          <w:sz w:val="28"/>
          <w:szCs w:val="40"/>
        </w:rPr>
        <w:t>订单融资情况</w:t>
      </w:r>
    </w:p>
    <w:p w14:paraId="63C8846D">
      <w:pPr>
        <w:widowControl/>
        <w:jc w:val="left"/>
        <w:rPr>
          <w:b/>
        </w:rPr>
      </w:pPr>
      <w:r>
        <w:rPr>
          <w:rFonts w:hint="eastAsia" w:ascii="宋体" w:hAnsi="宋体"/>
          <w:szCs w:val="21"/>
        </w:rPr>
        <w:t xml:space="preserve"> </w:t>
      </w:r>
      <w:r>
        <w:rPr>
          <w:rFonts w:hint="eastAsia"/>
          <w:b/>
        </w:rPr>
        <w:t xml:space="preserve">  </w:t>
      </w:r>
    </w:p>
    <w:p w14:paraId="436DFCF8">
      <w:pPr>
        <w:ind w:firstLine="422" w:firstLineChars="200"/>
        <w:rPr>
          <w:b/>
          <w:bCs/>
        </w:rPr>
      </w:pPr>
      <w:r>
        <w:rPr>
          <w:rFonts w:hint="eastAsia"/>
          <w:b/>
          <w:bCs/>
        </w:rPr>
        <w:t>关于政府采购订单融资政策</w:t>
      </w:r>
    </w:p>
    <w:p w14:paraId="0BCDD013">
      <w:pPr>
        <w:ind w:firstLine="420" w:firstLineChars="200"/>
        <w:rPr>
          <w:bCs/>
          <w:szCs w:val="21"/>
        </w:rPr>
      </w:pPr>
      <w:r>
        <w:rPr>
          <w:rFonts w:hint="eastAsia"/>
          <w:bCs/>
          <w:szCs w:val="21"/>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740D5EFF">
      <w:pPr>
        <w:ind w:firstLine="422" w:firstLineChars="200"/>
        <w:rPr>
          <w:rFonts w:ascii="宋体" w:hAnsi="宋体" w:cs="宋体"/>
          <w:b/>
          <w:bCs/>
        </w:rPr>
      </w:pPr>
      <w:r>
        <w:rPr>
          <w:rFonts w:hint="eastAsia" w:ascii="宋体" w:hAnsi="宋体" w:cs="宋体"/>
          <w:b/>
          <w:bCs/>
        </w:rPr>
        <w:t>供应商账户信息</w:t>
      </w:r>
    </w:p>
    <w:p w14:paraId="5C39D8D1">
      <w:pPr>
        <w:ind w:left="420" w:leftChars="200" w:firstLine="210" w:firstLineChars="100"/>
        <w:rPr>
          <w:szCs w:val="21"/>
        </w:rPr>
      </w:pPr>
      <w:r>
        <w:rPr>
          <w:rFonts w:hint="eastAsia"/>
          <w:szCs w:val="21"/>
        </w:rPr>
        <w:t>投标人（单位全称）：</w:t>
      </w:r>
      <w:r>
        <w:rPr>
          <w:rFonts w:hint="eastAsia"/>
          <w:szCs w:val="21"/>
          <w:u w:val="thick"/>
        </w:rPr>
        <w:t xml:space="preserve">                           </w:t>
      </w:r>
      <w:r>
        <w:rPr>
          <w:rFonts w:hint="eastAsia"/>
          <w:szCs w:val="21"/>
        </w:rPr>
        <w:t xml:space="preserve">；  </w:t>
      </w:r>
    </w:p>
    <w:p w14:paraId="28A8DDF7">
      <w:pPr>
        <w:ind w:left="420" w:leftChars="200" w:firstLine="210" w:firstLineChars="100"/>
        <w:rPr>
          <w:szCs w:val="21"/>
        </w:rPr>
      </w:pPr>
      <w:r>
        <w:rPr>
          <w:rFonts w:hint="eastAsia"/>
          <w:szCs w:val="21"/>
        </w:rPr>
        <w:t>投标人单位地址：</w:t>
      </w:r>
      <w:r>
        <w:rPr>
          <w:rFonts w:hint="eastAsia"/>
          <w:szCs w:val="21"/>
          <w:u w:val="thick"/>
        </w:rPr>
        <w:t xml:space="preserve">                    </w:t>
      </w:r>
      <w:r>
        <w:rPr>
          <w:rFonts w:hint="eastAsia"/>
          <w:szCs w:val="21"/>
        </w:rPr>
        <w:t>；</w:t>
      </w:r>
    </w:p>
    <w:p w14:paraId="15C6E17E">
      <w:pPr>
        <w:ind w:left="420" w:leftChars="200" w:firstLine="210" w:firstLineChars="100"/>
        <w:rPr>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055D4346">
      <w:pPr>
        <w:ind w:left="420" w:leftChars="200" w:firstLine="210" w:firstLineChars="100"/>
        <w:rPr>
          <w:szCs w:val="21"/>
          <w:u w:val="thick"/>
        </w:rPr>
      </w:pPr>
      <w:r>
        <w:rPr>
          <w:rFonts w:hint="eastAsia"/>
          <w:szCs w:val="21"/>
        </w:rPr>
        <w:t>联系电话：</w:t>
      </w:r>
      <w:r>
        <w:rPr>
          <w:rFonts w:hint="eastAsia"/>
          <w:szCs w:val="21"/>
          <w:u w:val="thick"/>
        </w:rPr>
        <w:t xml:space="preserve">                     </w:t>
      </w:r>
      <w:r>
        <w:rPr>
          <w:rFonts w:hint="eastAsia"/>
          <w:szCs w:val="21"/>
        </w:rPr>
        <w:t>；</w:t>
      </w:r>
    </w:p>
    <w:p w14:paraId="2FFC908B">
      <w:pPr>
        <w:ind w:left="420" w:leftChars="200" w:firstLine="210" w:firstLineChars="100"/>
        <w:rPr>
          <w:szCs w:val="21"/>
        </w:rPr>
      </w:pPr>
      <w:r>
        <w:rPr>
          <w:rFonts w:hint="eastAsia"/>
          <w:szCs w:val="21"/>
        </w:rPr>
        <w:t>开户银行名称：</w:t>
      </w:r>
      <w:r>
        <w:rPr>
          <w:rFonts w:hint="eastAsia"/>
          <w:szCs w:val="21"/>
          <w:u w:val="thick"/>
        </w:rPr>
        <w:t xml:space="preserve">                                                 </w:t>
      </w:r>
      <w:r>
        <w:rPr>
          <w:rFonts w:hint="eastAsia"/>
          <w:szCs w:val="21"/>
        </w:rPr>
        <w:t>；</w:t>
      </w:r>
    </w:p>
    <w:p w14:paraId="6C9EB5DF">
      <w:pPr>
        <w:ind w:left="420" w:leftChars="200" w:firstLine="210" w:firstLineChars="100"/>
        <w:rPr>
          <w:szCs w:val="21"/>
          <w:u w:val="thick"/>
        </w:rPr>
      </w:pPr>
      <w:r>
        <w:rPr>
          <w:rFonts w:hint="eastAsia"/>
          <w:szCs w:val="21"/>
        </w:rPr>
        <w:t>开户银行账号：</w:t>
      </w:r>
      <w:r>
        <w:rPr>
          <w:rFonts w:hint="eastAsia"/>
          <w:szCs w:val="21"/>
          <w:u w:val="thick"/>
        </w:rPr>
        <w:t xml:space="preserve">                                                  </w:t>
      </w:r>
      <w:r>
        <w:rPr>
          <w:rFonts w:hint="eastAsia"/>
          <w:szCs w:val="21"/>
        </w:rPr>
        <w:t>；</w:t>
      </w:r>
    </w:p>
    <w:p w14:paraId="2027CF9C">
      <w:pPr>
        <w:ind w:left="420" w:leftChars="200" w:firstLine="210" w:firstLineChars="100"/>
        <w:rPr>
          <w:szCs w:val="21"/>
        </w:rPr>
      </w:pPr>
      <w:r>
        <w:rPr>
          <w:rFonts w:hint="eastAsia"/>
          <w:szCs w:val="21"/>
        </w:rPr>
        <w:t>开户银行地址：</w:t>
      </w:r>
      <w:r>
        <w:rPr>
          <w:rFonts w:hint="eastAsia"/>
          <w:szCs w:val="21"/>
          <w:u w:val="thick"/>
        </w:rPr>
        <w:t xml:space="preserve">                                                  </w:t>
      </w:r>
      <w:r>
        <w:rPr>
          <w:rFonts w:hint="eastAsia"/>
          <w:szCs w:val="21"/>
        </w:rPr>
        <w:t>。</w:t>
      </w:r>
    </w:p>
    <w:p w14:paraId="221FC1F4">
      <w:pPr>
        <w:rPr>
          <w:szCs w:val="21"/>
        </w:rPr>
      </w:pPr>
      <w:r>
        <w:rPr>
          <w:rFonts w:hint="eastAsia" w:ascii="宋体" w:hAnsi="宋体"/>
          <w:b/>
          <w:bCs/>
          <w:color w:val="FF0000"/>
          <w:spacing w:val="-4"/>
          <w:kern w:val="0"/>
          <w:szCs w:val="21"/>
        </w:rPr>
        <w:t>注：本项填写内容作为订单融资开展的参考信息，不作为供应商资格性审查及符合性审查条件。</w:t>
      </w:r>
    </w:p>
    <w:p w14:paraId="0B0BBAB8">
      <w:pPr>
        <w:spacing w:after="120"/>
        <w:ind w:left="420" w:leftChars="200" w:firstLine="420" w:firstLineChars="200"/>
      </w:pPr>
    </w:p>
    <w:p w14:paraId="474129C2">
      <w:pPr>
        <w:pStyle w:val="30"/>
        <w:spacing w:before="280"/>
        <w:jc w:val="center"/>
        <w:outlineLvl w:val="1"/>
        <w:rPr>
          <w:rFonts w:ascii="黑体" w:hAnsi="黑体" w:eastAsia="黑体"/>
          <w:sz w:val="40"/>
          <w:szCs w:val="40"/>
        </w:rPr>
      </w:pPr>
      <w:r>
        <w:rPr>
          <w:rFonts w:hint="eastAsia" w:ascii="黑体" w:hAnsi="黑体" w:eastAsia="黑体"/>
          <w:sz w:val="40"/>
          <w:szCs w:val="40"/>
        </w:rPr>
        <w:t>符合性审查表</w:t>
      </w:r>
    </w:p>
    <w:tbl>
      <w:tblPr>
        <w:tblStyle w:val="34"/>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5E9588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7C6D73A9">
            <w:pPr>
              <w:jc w:val="center"/>
              <w:rPr>
                <w:rFonts w:ascii="宋体" w:hAnsi="宋体" w:cs="宋体"/>
                <w:sz w:val="28"/>
                <w:szCs w:val="28"/>
              </w:rPr>
            </w:pPr>
            <w:r>
              <w:rPr>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E7E9EAE">
            <w:pPr>
              <w:jc w:val="center"/>
              <w:rPr>
                <w:rFonts w:ascii="宋体" w:hAnsi="宋体" w:cs="宋体"/>
                <w:sz w:val="28"/>
                <w:szCs w:val="28"/>
              </w:rPr>
            </w:pPr>
            <w:r>
              <w:rPr>
                <w:sz w:val="28"/>
                <w:szCs w:val="28"/>
              </w:rPr>
              <w:t>内容</w:t>
            </w:r>
          </w:p>
        </w:tc>
      </w:tr>
      <w:tr w14:paraId="1527236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top"/>
          </w:tcPr>
          <w:p w14:paraId="283B35DC">
            <w:pPr>
              <w:jc w:val="center"/>
              <w:rPr>
                <w:rFonts w:ascii="宋体" w:hAnsi="宋体" w:cs="宋体"/>
                <w:szCs w:val="21"/>
              </w:rPr>
            </w:pPr>
            <w:r>
              <w:rPr>
                <w:szCs w:val="21"/>
              </w:rPr>
              <w:t>1</w:t>
            </w:r>
          </w:p>
        </w:tc>
        <w:tc>
          <w:tcPr>
            <w:tcW w:w="8278" w:type="dxa"/>
            <w:tcBorders>
              <w:top w:val="single" w:color="000000" w:sz="8" w:space="0"/>
              <w:left w:val="single" w:color="000000" w:sz="8" w:space="0"/>
              <w:bottom w:val="single" w:color="000000" w:sz="8" w:space="0"/>
              <w:right w:val="single" w:color="000000" w:sz="8" w:space="0"/>
            </w:tcBorders>
            <w:vAlign w:val="top"/>
          </w:tcPr>
          <w:p w14:paraId="48413533">
            <w:pPr>
              <w:rPr>
                <w:rFonts w:ascii="宋体" w:hAnsi="宋体" w:cs="宋体"/>
                <w:szCs w:val="21"/>
              </w:rPr>
            </w:pPr>
            <w:r>
              <w:rPr>
                <w:rFonts w:hint="eastAsia"/>
              </w:rPr>
              <w:t>不得将一个包的内容拆开投标；</w:t>
            </w:r>
          </w:p>
        </w:tc>
      </w:tr>
      <w:tr w14:paraId="3049C63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top"/>
          </w:tcPr>
          <w:p w14:paraId="6190919A">
            <w:pPr>
              <w:jc w:val="center"/>
              <w:rPr>
                <w:rFonts w:ascii="宋体" w:hAnsi="宋体" w:cs="宋体"/>
                <w:szCs w:val="21"/>
              </w:rPr>
            </w:pPr>
            <w:r>
              <w:rPr>
                <w:szCs w:val="21"/>
              </w:rPr>
              <w:t>2</w:t>
            </w:r>
          </w:p>
        </w:tc>
        <w:tc>
          <w:tcPr>
            <w:tcW w:w="8278" w:type="dxa"/>
            <w:tcBorders>
              <w:top w:val="single" w:color="000000" w:sz="8" w:space="0"/>
              <w:left w:val="single" w:color="000000" w:sz="8" w:space="0"/>
              <w:bottom w:val="single" w:color="000000" w:sz="8" w:space="0"/>
              <w:right w:val="single" w:color="000000" w:sz="8" w:space="0"/>
            </w:tcBorders>
            <w:vAlign w:val="top"/>
          </w:tcPr>
          <w:p w14:paraId="76D4ADF5">
            <w:pPr>
              <w:rPr>
                <w:rFonts w:ascii="宋体" w:hAnsi="宋体" w:cs="宋体"/>
                <w:szCs w:val="21"/>
              </w:rPr>
            </w:pPr>
            <w:r>
              <w:rPr>
                <w:rFonts w:hint="eastAsia"/>
              </w:rPr>
              <w:t>对同一项目投标时，不得提供两套以上的投标方案（招标文件另有规定的除外）；</w:t>
            </w:r>
          </w:p>
        </w:tc>
      </w:tr>
      <w:tr w14:paraId="59C1B75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top"/>
          </w:tcPr>
          <w:p w14:paraId="37FBA7DB">
            <w:pPr>
              <w:jc w:val="center"/>
              <w:rPr>
                <w:rFonts w:ascii="宋体" w:hAnsi="宋体" w:cs="宋体"/>
                <w:szCs w:val="21"/>
              </w:rPr>
            </w:pPr>
            <w:r>
              <w:rPr>
                <w:szCs w:val="21"/>
              </w:rPr>
              <w:t>3</w:t>
            </w:r>
          </w:p>
        </w:tc>
        <w:tc>
          <w:tcPr>
            <w:tcW w:w="8278" w:type="dxa"/>
            <w:tcBorders>
              <w:top w:val="single" w:color="000000" w:sz="8" w:space="0"/>
              <w:left w:val="single" w:color="000000" w:sz="8" w:space="0"/>
              <w:bottom w:val="single" w:color="000000" w:sz="8" w:space="0"/>
              <w:right w:val="single" w:color="000000" w:sz="8" w:space="0"/>
            </w:tcBorders>
            <w:vAlign w:val="top"/>
          </w:tcPr>
          <w:p w14:paraId="694784FC">
            <w:pPr>
              <w:rPr>
                <w:rFonts w:ascii="宋体" w:hAnsi="宋体" w:cs="宋体"/>
                <w:szCs w:val="21"/>
              </w:rPr>
            </w:pPr>
            <w:r>
              <w:rPr>
                <w:rFonts w:hint="eastAsia"/>
              </w:rPr>
              <w:t>分项报价或投标总价不得高于相应预算金额（或设定的预算金额下的最高限价）；</w:t>
            </w:r>
          </w:p>
        </w:tc>
      </w:tr>
      <w:tr w14:paraId="743AED4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top"/>
          </w:tcPr>
          <w:p w14:paraId="6F002BB9">
            <w:pPr>
              <w:jc w:val="center"/>
              <w:rPr>
                <w:rFonts w:ascii="宋体" w:hAnsi="宋体" w:cs="宋体"/>
                <w:szCs w:val="21"/>
              </w:rPr>
            </w:pPr>
            <w:r>
              <w:rPr>
                <w:szCs w:val="21"/>
              </w:rPr>
              <w:t>4</w:t>
            </w:r>
          </w:p>
        </w:tc>
        <w:tc>
          <w:tcPr>
            <w:tcW w:w="8278" w:type="dxa"/>
            <w:tcBorders>
              <w:top w:val="single" w:color="000000" w:sz="8" w:space="0"/>
              <w:left w:val="single" w:color="000000" w:sz="8" w:space="0"/>
              <w:bottom w:val="single" w:color="000000" w:sz="8" w:space="0"/>
              <w:right w:val="single" w:color="000000" w:sz="8" w:space="0"/>
            </w:tcBorders>
            <w:vAlign w:val="top"/>
          </w:tcPr>
          <w:p w14:paraId="07208677">
            <w:pPr>
              <w:rPr>
                <w:rFonts w:ascii="宋体" w:hAnsi="宋体" w:cs="宋体"/>
                <w:szCs w:val="21"/>
              </w:rPr>
            </w:pPr>
            <w:r>
              <w:rPr>
                <w:rFonts w:hint="eastAsia"/>
              </w:rPr>
              <w:t>评审委员会认为投标人的报价明显低于其他通过符合性审查投标人的报价，有可能影响产品质量或者不能诚信履约的，应当要求其在评审现场合理的时间内提供书面说明，必要时提交相关证明材料；在此情况下，投标人仍不能证明其报价合理性的（评审委员会成员对投标人提供的说明材料判断不一致的，按照“少数服从多数”的原则确定评审委员会的意见）；</w:t>
            </w:r>
          </w:p>
        </w:tc>
      </w:tr>
      <w:tr w14:paraId="1359A1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top"/>
          </w:tcPr>
          <w:p w14:paraId="19941FE0">
            <w:pPr>
              <w:jc w:val="center"/>
              <w:rPr>
                <w:rFonts w:ascii="宋体" w:hAnsi="宋体" w:cs="宋体"/>
                <w:szCs w:val="21"/>
              </w:rPr>
            </w:pPr>
            <w:r>
              <w:rPr>
                <w:szCs w:val="21"/>
              </w:rPr>
              <w:t>5</w:t>
            </w:r>
          </w:p>
        </w:tc>
        <w:tc>
          <w:tcPr>
            <w:tcW w:w="8278" w:type="dxa"/>
            <w:tcBorders>
              <w:top w:val="single" w:color="000000" w:sz="8" w:space="0"/>
              <w:left w:val="single" w:color="000000" w:sz="8" w:space="0"/>
              <w:bottom w:val="single" w:color="000000" w:sz="8" w:space="0"/>
              <w:right w:val="single" w:color="000000" w:sz="8" w:space="0"/>
            </w:tcBorders>
            <w:vAlign w:val="top"/>
          </w:tcPr>
          <w:p w14:paraId="4E6F4A40">
            <w:pPr>
              <w:rPr>
                <w:rFonts w:ascii="宋体" w:hAnsi="宋体" w:cs="宋体"/>
                <w:szCs w:val="21"/>
              </w:rPr>
            </w:pPr>
            <w:r>
              <w:rPr>
                <w:rFonts w:hint="eastAsia"/>
                <w:b w:val="0"/>
                <w:bCs w:val="0"/>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14:paraId="6C0633C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top"/>
          </w:tcPr>
          <w:p w14:paraId="761BFFDF">
            <w:pPr>
              <w:jc w:val="center"/>
              <w:rPr>
                <w:rFonts w:ascii="宋体" w:hAnsi="宋体" w:cs="宋体"/>
                <w:szCs w:val="21"/>
              </w:rPr>
            </w:pPr>
            <w:r>
              <w:rPr>
                <w:szCs w:val="21"/>
              </w:rPr>
              <w:t>6</w:t>
            </w:r>
          </w:p>
        </w:tc>
        <w:tc>
          <w:tcPr>
            <w:tcW w:w="8278" w:type="dxa"/>
            <w:tcBorders>
              <w:top w:val="single" w:color="000000" w:sz="8" w:space="0"/>
              <w:left w:val="single" w:color="000000" w:sz="8" w:space="0"/>
              <w:bottom w:val="single" w:color="000000" w:sz="8" w:space="0"/>
              <w:right w:val="single" w:color="000000" w:sz="8" w:space="0"/>
            </w:tcBorders>
            <w:vAlign w:val="top"/>
          </w:tcPr>
          <w:p w14:paraId="507B6FC9">
            <w:pPr>
              <w:rPr>
                <w:rFonts w:ascii="宋体" w:hAnsi="宋体" w:cs="宋体"/>
                <w:szCs w:val="21"/>
              </w:rPr>
            </w:pPr>
            <w:r>
              <w:rPr>
                <w:rFonts w:hint="eastAsia"/>
                <w:b w:val="0"/>
                <w:bCs w:val="0"/>
              </w:rPr>
              <w:t>未按招标文件所提供的《</w:t>
            </w:r>
            <w:r>
              <w:rPr>
                <w:rFonts w:hint="eastAsia"/>
                <w:b w:val="0"/>
                <w:bCs w:val="0"/>
                <w:lang w:eastAsia="zh-CN"/>
              </w:rPr>
              <w:t>政府采购投标及履约承诺函</w:t>
            </w:r>
            <w:r>
              <w:rPr>
                <w:rFonts w:hint="eastAsia"/>
                <w:b w:val="0"/>
                <w:bCs w:val="0"/>
              </w:rPr>
              <w:t>》进行承诺；未按招标文件对投标文件组成的要求提供投标文件；</w:t>
            </w:r>
          </w:p>
        </w:tc>
      </w:tr>
      <w:tr w14:paraId="7927F3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top"/>
          </w:tcPr>
          <w:p w14:paraId="7E6CF2C9">
            <w:pPr>
              <w:jc w:val="center"/>
              <w:rPr>
                <w:rFonts w:ascii="宋体" w:hAnsi="宋体" w:cs="宋体"/>
                <w:szCs w:val="21"/>
              </w:rPr>
            </w:pPr>
            <w:r>
              <w:rPr>
                <w:szCs w:val="21"/>
              </w:rPr>
              <w:t>7</w:t>
            </w:r>
          </w:p>
        </w:tc>
        <w:tc>
          <w:tcPr>
            <w:tcW w:w="8278" w:type="dxa"/>
            <w:tcBorders>
              <w:top w:val="single" w:color="000000" w:sz="8" w:space="0"/>
              <w:left w:val="single" w:color="000000" w:sz="8" w:space="0"/>
              <w:bottom w:val="single" w:color="000000" w:sz="8" w:space="0"/>
              <w:right w:val="single" w:color="000000" w:sz="8" w:space="0"/>
            </w:tcBorders>
            <w:vAlign w:val="top"/>
          </w:tcPr>
          <w:p w14:paraId="0F1BABC0">
            <w:pPr>
              <w:rPr>
                <w:rFonts w:ascii="宋体" w:hAnsi="宋体" w:cs="宋体"/>
                <w:szCs w:val="21"/>
              </w:rPr>
            </w:pPr>
            <w:r>
              <w:rPr>
                <w:rFonts w:hint="eastAsia"/>
                <w:b w:val="0"/>
                <w:bCs w:val="0"/>
              </w:rPr>
              <w:t>采购标的/服务清单/报价等任意一类有缺漏项或响应不全，或者对招标文件规定的项目需求内容或者需求数量进行修改</w:t>
            </w:r>
            <w:r>
              <w:rPr>
                <w:rFonts w:hint="eastAsia"/>
                <w:b w:val="0"/>
                <w:bCs w:val="0"/>
                <w:szCs w:val="21"/>
              </w:rPr>
              <w:t>，评审委员会判定投标响应不满足采购需求</w:t>
            </w:r>
            <w:r>
              <w:rPr>
                <w:rFonts w:hint="eastAsia"/>
                <w:b w:val="0"/>
                <w:bCs w:val="0"/>
              </w:rPr>
              <w:t>；</w:t>
            </w:r>
          </w:p>
        </w:tc>
      </w:tr>
      <w:tr w14:paraId="6E0A35D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top"/>
          </w:tcPr>
          <w:p w14:paraId="01CCFFA3">
            <w:pPr>
              <w:jc w:val="center"/>
              <w:rPr>
                <w:rFonts w:ascii="宋体" w:hAnsi="宋体" w:cs="宋体"/>
                <w:szCs w:val="21"/>
              </w:rPr>
            </w:pPr>
            <w:r>
              <w:rPr>
                <w:szCs w:val="21"/>
              </w:rPr>
              <w:t>8</w:t>
            </w:r>
          </w:p>
        </w:tc>
        <w:tc>
          <w:tcPr>
            <w:tcW w:w="8278" w:type="dxa"/>
            <w:tcBorders>
              <w:top w:val="single" w:color="000000" w:sz="8" w:space="0"/>
              <w:left w:val="single" w:color="000000" w:sz="8" w:space="0"/>
              <w:bottom w:val="single" w:color="000000" w:sz="8" w:space="0"/>
              <w:right w:val="single" w:color="000000" w:sz="8" w:space="0"/>
            </w:tcBorders>
            <w:vAlign w:val="top"/>
          </w:tcPr>
          <w:p w14:paraId="72BFF530">
            <w:pPr>
              <w:rPr>
                <w:rFonts w:ascii="宋体" w:hAnsi="宋体" w:cs="宋体"/>
                <w:szCs w:val="21"/>
              </w:rPr>
            </w:pPr>
            <w:r>
              <w:rPr>
                <w:rFonts w:hint="eastAsia"/>
              </w:rPr>
              <w:t>投标文件存在列放位置错误，导致属于信息公开情形的没有被公开；</w:t>
            </w:r>
          </w:p>
        </w:tc>
      </w:tr>
      <w:tr w14:paraId="0B8A0EA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top"/>
          </w:tcPr>
          <w:p w14:paraId="5BD4AD18">
            <w:pPr>
              <w:jc w:val="center"/>
              <w:rPr>
                <w:rFonts w:ascii="宋体" w:hAnsi="宋体" w:cs="宋体"/>
                <w:szCs w:val="21"/>
              </w:rPr>
            </w:pPr>
            <w:r>
              <w:rPr>
                <w:szCs w:val="21"/>
              </w:rPr>
              <w:t>9</w:t>
            </w:r>
          </w:p>
        </w:tc>
        <w:tc>
          <w:tcPr>
            <w:tcW w:w="8278" w:type="dxa"/>
            <w:tcBorders>
              <w:top w:val="single" w:color="000000" w:sz="8" w:space="0"/>
              <w:left w:val="single" w:color="000000" w:sz="8" w:space="0"/>
              <w:bottom w:val="single" w:color="000000" w:sz="8" w:space="0"/>
              <w:right w:val="single" w:color="000000" w:sz="8" w:space="0"/>
            </w:tcBorders>
            <w:vAlign w:val="top"/>
          </w:tcPr>
          <w:p w14:paraId="32533DCE">
            <w:pPr>
              <w:rPr>
                <w:rFonts w:ascii="宋体" w:hAnsi="宋体" w:cs="宋体"/>
                <w:szCs w:val="21"/>
              </w:rPr>
            </w:pPr>
            <w:r>
              <w:rPr>
                <w:rFonts w:hint="eastAsia"/>
              </w:rPr>
              <w:t>投标文件电子文档不得带病毒；</w:t>
            </w:r>
          </w:p>
        </w:tc>
      </w:tr>
      <w:tr w14:paraId="235C8F1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top"/>
          </w:tcPr>
          <w:p w14:paraId="3BAC9997">
            <w:pPr>
              <w:jc w:val="center"/>
              <w:rPr>
                <w:rFonts w:ascii="宋体" w:hAnsi="宋体" w:cs="宋体"/>
                <w:szCs w:val="21"/>
              </w:rPr>
            </w:pPr>
            <w:r>
              <w:rPr>
                <w:szCs w:val="21"/>
              </w:rPr>
              <w:t>10</w:t>
            </w:r>
          </w:p>
        </w:tc>
        <w:tc>
          <w:tcPr>
            <w:tcW w:w="8278" w:type="dxa"/>
            <w:tcBorders>
              <w:top w:val="single" w:color="000000" w:sz="8" w:space="0"/>
              <w:left w:val="single" w:color="000000" w:sz="8" w:space="0"/>
              <w:bottom w:val="single" w:color="000000" w:sz="8" w:space="0"/>
              <w:right w:val="single" w:color="000000" w:sz="8" w:space="0"/>
            </w:tcBorders>
            <w:vAlign w:val="top"/>
          </w:tcPr>
          <w:p w14:paraId="34C8A50A">
            <w:pPr>
              <w:rPr>
                <w:rFonts w:ascii="宋体" w:hAnsi="宋体" w:cs="宋体"/>
                <w:szCs w:val="21"/>
              </w:rPr>
            </w:pPr>
            <w:r>
              <w:rPr>
                <w:rFonts w:hint="eastAsia"/>
              </w:rPr>
              <w:t>投标文件</w:t>
            </w:r>
            <w:r>
              <w:rPr>
                <w:rFonts w:hint="eastAsia"/>
                <w:lang w:val="en-US" w:eastAsia="zh-CN"/>
              </w:rPr>
              <w:t>不得</w:t>
            </w:r>
            <w:r>
              <w:rPr>
                <w:rFonts w:hint="eastAsia"/>
              </w:rPr>
              <w:t>用不属于本公司的电子密钥或电子营业执照进行加密的；</w:t>
            </w:r>
          </w:p>
        </w:tc>
      </w:tr>
      <w:tr w14:paraId="1D9E34A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top"/>
          </w:tcPr>
          <w:p w14:paraId="0D4C9B7F">
            <w:pPr>
              <w:widowControl/>
              <w:jc w:val="center"/>
              <w:textAlignment w:val="top"/>
              <w:rPr>
                <w:rFonts w:ascii="宋体" w:hAnsi="宋体" w:cs="宋体"/>
                <w:szCs w:val="21"/>
              </w:rPr>
            </w:pPr>
            <w:r>
              <w:rPr>
                <w:rFonts w:hint="eastAsia"/>
              </w:rPr>
              <w:t>11</w:t>
            </w:r>
          </w:p>
        </w:tc>
        <w:tc>
          <w:tcPr>
            <w:tcW w:w="8278" w:type="dxa"/>
            <w:tcBorders>
              <w:top w:val="single" w:color="000000" w:sz="8" w:space="0"/>
              <w:left w:val="single" w:color="000000" w:sz="8" w:space="0"/>
              <w:bottom w:val="single" w:color="000000" w:sz="8" w:space="0"/>
              <w:right w:val="single" w:color="000000" w:sz="8" w:space="0"/>
            </w:tcBorders>
            <w:vAlign w:val="top"/>
          </w:tcPr>
          <w:p w14:paraId="67432F1B">
            <w:pPr>
              <w:widowControl/>
              <w:jc w:val="left"/>
              <w:textAlignment w:val="top"/>
            </w:pPr>
            <w:r>
              <w:rPr>
                <w:rFonts w:hint="eastAsia"/>
                <w:lang w:val="en-US" w:eastAsia="zh-CN"/>
              </w:rPr>
              <w:t>不得与其他</w:t>
            </w:r>
            <w:r>
              <w:rPr>
                <w:rFonts w:hint="eastAsia"/>
              </w:rPr>
              <w:t>投标供应商投标文件“文件制作机器码”一致；</w:t>
            </w:r>
          </w:p>
        </w:tc>
      </w:tr>
      <w:tr w14:paraId="0F4BD7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top"/>
          </w:tcPr>
          <w:p w14:paraId="728A1F49">
            <w:pPr>
              <w:widowControl/>
              <w:jc w:val="center"/>
              <w:textAlignment w:val="top"/>
              <w:rPr>
                <w:rFonts w:ascii="宋体" w:hAnsi="宋体" w:cs="宋体"/>
                <w:szCs w:val="21"/>
              </w:rPr>
            </w:pPr>
            <w:r>
              <w:rPr>
                <w:rFonts w:hint="eastAsia"/>
              </w:rPr>
              <w:t>12</w:t>
            </w:r>
          </w:p>
        </w:tc>
        <w:tc>
          <w:tcPr>
            <w:tcW w:w="8278" w:type="dxa"/>
            <w:tcBorders>
              <w:top w:val="single" w:color="000000" w:sz="8" w:space="0"/>
              <w:left w:val="single" w:color="000000" w:sz="8" w:space="0"/>
              <w:bottom w:val="single" w:color="000000" w:sz="8" w:space="0"/>
              <w:right w:val="single" w:color="000000" w:sz="8" w:space="0"/>
            </w:tcBorders>
            <w:vAlign w:val="top"/>
          </w:tcPr>
          <w:p w14:paraId="594D8AB9">
            <w:pPr>
              <w:widowControl/>
              <w:jc w:val="left"/>
              <w:textAlignment w:val="top"/>
            </w:pPr>
            <w:r>
              <w:rPr>
                <w:rFonts w:hint="eastAsia"/>
                <w:lang w:val="en-US" w:eastAsia="zh-CN"/>
              </w:rPr>
              <w:t>不得与其他</w:t>
            </w:r>
            <w:r>
              <w:rPr>
                <w:rFonts w:hint="eastAsia"/>
              </w:rPr>
              <w:t>投标供应商投标文件“文件创建标识码”一致；</w:t>
            </w:r>
          </w:p>
        </w:tc>
      </w:tr>
      <w:tr w14:paraId="53EF898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top"/>
          </w:tcPr>
          <w:p w14:paraId="473313B8">
            <w:pPr>
              <w:jc w:val="center"/>
              <w:rPr>
                <w:rFonts w:ascii="宋体" w:hAnsi="宋体" w:cs="宋体"/>
                <w:szCs w:val="21"/>
              </w:rPr>
            </w:pPr>
            <w:r>
              <w:rPr>
                <w:szCs w:val="21"/>
              </w:rPr>
              <w:t>1</w:t>
            </w:r>
            <w:r>
              <w:rPr>
                <w:rFonts w:hint="eastAsia"/>
                <w:szCs w:val="21"/>
              </w:rPr>
              <w:t>3</w:t>
            </w:r>
          </w:p>
        </w:tc>
        <w:tc>
          <w:tcPr>
            <w:tcW w:w="8278" w:type="dxa"/>
            <w:tcBorders>
              <w:top w:val="single" w:color="000000" w:sz="8" w:space="0"/>
              <w:left w:val="single" w:color="000000" w:sz="8" w:space="0"/>
              <w:bottom w:val="single" w:color="000000" w:sz="8" w:space="0"/>
              <w:right w:val="single" w:color="000000" w:sz="8" w:space="0"/>
            </w:tcBorders>
            <w:vAlign w:val="top"/>
          </w:tcPr>
          <w:p w14:paraId="5EF745EA">
            <w:pPr>
              <w:rPr>
                <w:rFonts w:ascii="宋体" w:hAnsi="宋体" w:cs="宋体"/>
                <w:szCs w:val="21"/>
              </w:rPr>
            </w:pPr>
            <w:r>
              <w:rPr>
                <w:rFonts w:hint="eastAsia"/>
              </w:rPr>
              <w:t>法律、法规、规章、规范性文件规定的其他情形。</w:t>
            </w:r>
          </w:p>
        </w:tc>
      </w:tr>
    </w:tbl>
    <w:p w14:paraId="55E9A17B">
      <w:pPr>
        <w:pStyle w:val="30"/>
        <w:jc w:val="center"/>
        <w:outlineLvl w:val="1"/>
        <w:rPr>
          <w:rFonts w:ascii="黑体" w:hAnsi="黑体" w:eastAsia="黑体"/>
          <w:sz w:val="40"/>
          <w:szCs w:val="40"/>
        </w:rPr>
      </w:pPr>
      <w:r>
        <w:rPr>
          <w:rFonts w:hint="eastAsia" w:ascii="黑体" w:hAnsi="黑体" w:eastAsia="黑体"/>
          <w:sz w:val="40"/>
          <w:szCs w:val="40"/>
        </w:rPr>
        <w:t>评标信息</w:t>
      </w:r>
    </w:p>
    <w:tbl>
      <w:tblPr>
        <w:tblStyle w:val="34"/>
        <w:tblW w:w="9113" w:type="dxa"/>
        <w:jc w:val="center"/>
        <w:tblCellSpacing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45" w:type="dxa"/>
          <w:left w:w="45" w:type="dxa"/>
          <w:bottom w:w="45" w:type="dxa"/>
          <w:right w:w="45" w:type="dxa"/>
        </w:tblCellMar>
      </w:tblPr>
      <w:tblGrid>
        <w:gridCol w:w="8873"/>
        <w:gridCol w:w="240"/>
      </w:tblGrid>
      <w:tr w14:paraId="6505F65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gridAfter w:val="1"/>
          <w:wAfter w:w="240" w:type="dxa"/>
          <w:tblCellSpacing w:w="0" w:type="dxa"/>
          <w:jc w:val="center"/>
        </w:trPr>
        <w:tc>
          <w:tcPr>
            <w:tcW w:w="8873" w:type="dxa"/>
            <w:shd w:val="clear" w:color="auto" w:fill="auto"/>
            <w:vAlign w:val="center"/>
          </w:tcPr>
          <w:p w14:paraId="4EF648ED">
            <w:pPr>
              <w:widowControl/>
              <w:jc w:val="left"/>
              <w:rPr>
                <w:b/>
                <w:bCs/>
                <w:sz w:val="24"/>
              </w:rPr>
            </w:pPr>
            <w:r>
              <w:rPr>
                <w:b/>
                <w:bCs/>
              </w:rPr>
              <w:t>评标方法：综合评分法</w:t>
            </w:r>
          </w:p>
        </w:tc>
      </w:tr>
      <w:tr w14:paraId="43EC661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9113" w:type="dxa"/>
            <w:gridSpan w:val="2"/>
            <w:shd w:val="clear" w:color="auto" w:fill="auto"/>
            <w:vAlign w:val="center"/>
          </w:tcPr>
          <w:p w14:paraId="0AB806BD">
            <w:pPr>
              <w:ind w:firstLine="420"/>
              <w:rPr>
                <w:szCs w:val="21"/>
              </w:rPr>
            </w:pPr>
            <w:bookmarkStart w:id="3" w:name="OLE_LINK31"/>
          </w:p>
          <w:bookmarkEnd w:id="3"/>
          <w:p w14:paraId="74692B38">
            <w:pPr>
              <w:ind w:firstLine="420"/>
              <w:rPr>
                <w:szCs w:val="21"/>
              </w:rPr>
            </w:pPr>
            <w:r>
              <w:rPr>
                <w:szCs w:val="21"/>
              </w:rPr>
              <w:t>综合评分法，是指投标文件满足招标文件全部实质性要求，且按照评审因素的量化指标评审得分最高的投标人为中标候选人的评标方法。</w:t>
            </w:r>
            <w:r>
              <w:rPr>
                <w:rFonts w:hint="eastAsia"/>
                <w:szCs w:val="21"/>
              </w:rPr>
              <w:t>（适用于中标候选人为1家的情形）</w:t>
            </w:r>
          </w:p>
          <w:p w14:paraId="1938F91F">
            <w:pPr>
              <w:ind w:firstLine="420"/>
              <w:rPr>
                <w:szCs w:val="21"/>
              </w:rPr>
            </w:pPr>
          </w:p>
          <w:p w14:paraId="3478BC99">
            <w:pPr>
              <w:ind w:firstLine="420"/>
              <w:rPr>
                <w:szCs w:val="21"/>
              </w:rPr>
            </w:pPr>
            <w:r>
              <w:rPr>
                <w:szCs w:val="21"/>
              </w:rPr>
              <w:t>价格分计算方法：</w:t>
            </w:r>
          </w:p>
          <w:p w14:paraId="4374AD0E">
            <w:pPr>
              <w:widowControl/>
              <w:ind w:left="420"/>
              <w:jc w:val="left"/>
              <w:rPr>
                <w:szCs w:val="21"/>
              </w:rPr>
            </w:pPr>
            <w:r>
              <w:rPr>
                <w:szCs w:val="21"/>
              </w:rPr>
              <w:t xml:space="preserve">采用低价优先法计算，即满足招标文件要求且投标价格最低的投标报价为评标基准价，其价格分为满分。其他投标人的价格分统一按照下列公式计算： </w:t>
            </w:r>
          </w:p>
          <w:p w14:paraId="4A69754A">
            <w:pPr>
              <w:widowControl/>
              <w:ind w:left="420"/>
              <w:jc w:val="left"/>
              <w:rPr>
                <w:szCs w:val="21"/>
              </w:rPr>
            </w:pPr>
            <w:r>
              <w:rPr>
                <w:szCs w:val="21"/>
              </w:rPr>
              <w:t xml:space="preserve">投标报价得分=(评标基准价／投标报价)×100 </w:t>
            </w:r>
          </w:p>
          <w:p w14:paraId="26E2365A">
            <w:pPr>
              <w:widowControl/>
              <w:ind w:left="420"/>
              <w:jc w:val="left"/>
              <w:rPr>
                <w:szCs w:val="21"/>
              </w:rPr>
            </w:pPr>
            <w:r>
              <w:rPr>
                <w:szCs w:val="21"/>
              </w:rPr>
              <w:t xml:space="preserve">评标总得分＝F1×A1＋F2×A2＋……＋Fn×An </w:t>
            </w:r>
          </w:p>
          <w:p w14:paraId="0225FCA5">
            <w:pPr>
              <w:widowControl/>
              <w:ind w:left="420"/>
              <w:jc w:val="left"/>
              <w:rPr>
                <w:szCs w:val="21"/>
              </w:rPr>
            </w:pPr>
            <w:r>
              <w:rPr>
                <w:szCs w:val="21"/>
              </w:rPr>
              <w:t xml:space="preserve">F1、F2……Fn分别为各项评审因素的得分； </w:t>
            </w:r>
          </w:p>
          <w:p w14:paraId="1C820D14">
            <w:pPr>
              <w:widowControl/>
              <w:ind w:left="420"/>
              <w:jc w:val="left"/>
              <w:rPr>
                <w:szCs w:val="21"/>
              </w:rPr>
            </w:pPr>
            <w:r>
              <w:rPr>
                <w:szCs w:val="21"/>
              </w:rPr>
              <w:t xml:space="preserve">A1、A2、……An 分别为各项评审因素所占的权重(A1＋A2＋……＋An＝1)。 </w:t>
            </w:r>
          </w:p>
          <w:p w14:paraId="5E726469">
            <w:pPr>
              <w:widowControl/>
              <w:ind w:left="420"/>
              <w:jc w:val="left"/>
              <w:rPr>
                <w:szCs w:val="21"/>
              </w:rPr>
            </w:pPr>
            <w:r>
              <w:rPr>
                <w:szCs w:val="21"/>
              </w:rPr>
              <w:t>评标过程中，不得去掉报价中的最高报价和最低报价。</w:t>
            </w:r>
          </w:p>
          <w:p w14:paraId="5E3C6794">
            <w:pPr>
              <w:widowControl/>
              <w:ind w:left="420"/>
              <w:jc w:val="left"/>
              <w:rPr>
                <w:szCs w:val="21"/>
              </w:rPr>
            </w:pPr>
            <w:r>
              <w:rPr>
                <w:rFonts w:hint="eastAsia"/>
                <w:szCs w:val="21"/>
              </w:rPr>
              <w:t>因落实政府采购政策进行价格调整的，以调整后的价格计算评标基准价和投标报价。</w:t>
            </w:r>
          </w:p>
          <w:p w14:paraId="034DB28C">
            <w:pPr>
              <w:widowControl/>
              <w:ind w:left="420"/>
              <w:jc w:val="left"/>
              <w:rPr>
                <w:b/>
                <w:szCs w:val="21"/>
              </w:rPr>
            </w:pPr>
            <w:r>
              <w:rPr>
                <w:b/>
                <w:szCs w:val="21"/>
              </w:rPr>
              <w:t>评标总得分</w:t>
            </w:r>
            <w:r>
              <w:rPr>
                <w:rFonts w:hint="eastAsia"/>
                <w:b/>
                <w:szCs w:val="21"/>
              </w:rPr>
              <w:t>（100分）</w:t>
            </w:r>
            <w:r>
              <w:rPr>
                <w:b/>
                <w:szCs w:val="21"/>
              </w:rPr>
              <w:t>＝价格分＋</w:t>
            </w:r>
            <w:r>
              <w:rPr>
                <w:rFonts w:hint="eastAsia"/>
                <w:b/>
                <w:szCs w:val="21"/>
              </w:rPr>
              <w:t>技术分</w:t>
            </w:r>
            <w:r>
              <w:rPr>
                <w:b/>
                <w:szCs w:val="21"/>
              </w:rPr>
              <w:t>＋</w:t>
            </w:r>
            <w:r>
              <w:rPr>
                <w:rFonts w:hint="eastAsia"/>
                <w:b/>
                <w:szCs w:val="21"/>
              </w:rPr>
              <w:t>综合</w:t>
            </w:r>
            <w:r>
              <w:rPr>
                <w:b/>
                <w:szCs w:val="21"/>
              </w:rPr>
              <w:t>实力分</w:t>
            </w:r>
          </w:p>
        </w:tc>
      </w:tr>
    </w:tbl>
    <w:p w14:paraId="6E722022"/>
    <w:tbl>
      <w:tblPr>
        <w:tblStyle w:val="34"/>
        <w:tblW w:w="9075" w:type="dxa"/>
        <w:jc w:val="center"/>
        <w:tblCellSpacing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681"/>
        <w:gridCol w:w="680"/>
        <w:gridCol w:w="2504"/>
        <w:gridCol w:w="1013"/>
        <w:gridCol w:w="4197"/>
      </w:tblGrid>
      <w:tr w14:paraId="1DB92DB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blCellSpacing w:w="0" w:type="dxa"/>
          <w:jc w:val="center"/>
        </w:trPr>
        <w:tc>
          <w:tcPr>
            <w:tcW w:w="681"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794CB01">
            <w:pPr>
              <w:wordWrap w:val="0"/>
              <w:jc w:val="center"/>
              <w:rPr>
                <w:rFonts w:ascii="宋体" w:hAnsi="宋体" w:cs="宋体"/>
                <w:b/>
                <w:bCs/>
                <w:sz w:val="24"/>
              </w:rPr>
            </w:pPr>
            <w:r>
              <w:rPr>
                <w:rFonts w:hint="eastAsia"/>
                <w:b/>
                <w:bCs/>
              </w:rPr>
              <w:t>序号</w:t>
            </w:r>
          </w:p>
        </w:tc>
        <w:tc>
          <w:tcPr>
            <w:tcW w:w="4197" w:type="dxa"/>
            <w:gridSpan w:val="3"/>
            <w:tcBorders>
              <w:top w:val="single" w:color="000000" w:sz="8" w:space="0"/>
              <w:left w:val="single" w:color="000000" w:sz="8" w:space="0"/>
              <w:bottom w:val="single" w:color="000000" w:sz="8" w:space="0"/>
              <w:right w:val="single" w:color="000000" w:sz="8" w:space="0"/>
            </w:tcBorders>
            <w:shd w:val="clear" w:color="auto" w:fill="E6EFFA"/>
            <w:vAlign w:val="center"/>
          </w:tcPr>
          <w:p w14:paraId="1E1C7152">
            <w:pPr>
              <w:wordWrap w:val="0"/>
              <w:jc w:val="center"/>
              <w:rPr>
                <w:rFonts w:ascii="宋体" w:hAnsi="宋体" w:cs="宋体"/>
                <w:b/>
                <w:bCs/>
                <w:sz w:val="24"/>
              </w:rPr>
            </w:pPr>
            <w:r>
              <w:rPr>
                <w:rFonts w:hint="eastAsia"/>
                <w:b/>
                <w:bCs/>
              </w:rPr>
              <w:t>评分项</w:t>
            </w:r>
          </w:p>
        </w:tc>
        <w:tc>
          <w:tcPr>
            <w:tcW w:w="4197"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27CB1852">
            <w:pPr>
              <w:wordWrap w:val="0"/>
              <w:jc w:val="center"/>
              <w:rPr>
                <w:rFonts w:ascii="宋体" w:hAnsi="宋体" w:cs="宋体"/>
                <w:b/>
                <w:bCs/>
                <w:sz w:val="24"/>
              </w:rPr>
            </w:pPr>
            <w:r>
              <w:rPr>
                <w:rFonts w:hint="eastAsia"/>
                <w:b/>
                <w:bCs/>
              </w:rPr>
              <w:t>权重</w:t>
            </w:r>
          </w:p>
        </w:tc>
      </w:tr>
      <w:tr w14:paraId="517553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blCellSpacing w:w="0" w:type="dxa"/>
          <w:jc w:val="center"/>
        </w:trPr>
        <w:tc>
          <w:tcPr>
            <w:tcW w:w="681" w:type="dxa"/>
            <w:tcBorders>
              <w:top w:val="single" w:color="000000" w:sz="8" w:space="0"/>
              <w:left w:val="single" w:color="000000" w:sz="8" w:space="0"/>
              <w:right w:val="single" w:color="000000" w:sz="8" w:space="0"/>
            </w:tcBorders>
          </w:tcPr>
          <w:p w14:paraId="1F745A4C">
            <w:pPr>
              <w:wordWrap w:val="0"/>
              <w:jc w:val="center"/>
              <w:rPr>
                <w:rFonts w:ascii="宋体" w:hAnsi="宋体" w:cs="宋体"/>
                <w:b/>
                <w:bCs/>
                <w:color w:val="0000FF"/>
                <w:sz w:val="24"/>
              </w:rPr>
            </w:pPr>
            <w:r>
              <w:rPr>
                <w:b/>
                <w:bCs/>
                <w:color w:val="0000FF"/>
              </w:rPr>
              <w:t>1</w:t>
            </w:r>
          </w:p>
        </w:tc>
        <w:tc>
          <w:tcPr>
            <w:tcW w:w="4197" w:type="dxa"/>
            <w:gridSpan w:val="3"/>
            <w:tcBorders>
              <w:top w:val="single" w:color="000000" w:sz="8" w:space="0"/>
              <w:left w:val="single" w:color="000000" w:sz="8" w:space="0"/>
              <w:bottom w:val="single" w:color="000000" w:sz="8" w:space="0"/>
              <w:right w:val="single" w:color="000000" w:sz="8" w:space="0"/>
            </w:tcBorders>
          </w:tcPr>
          <w:p w14:paraId="37399B7B">
            <w:pPr>
              <w:wordWrap w:val="0"/>
              <w:jc w:val="center"/>
              <w:rPr>
                <w:rFonts w:ascii="宋体" w:hAnsi="宋体" w:cs="宋体"/>
                <w:b/>
                <w:bCs/>
                <w:color w:val="0000FF"/>
                <w:sz w:val="24"/>
              </w:rPr>
            </w:pPr>
            <w:r>
              <w:rPr>
                <w:rFonts w:hint="eastAsia"/>
                <w:b/>
                <w:bCs/>
                <w:color w:val="0000FF"/>
              </w:rPr>
              <w:t>价格</w:t>
            </w:r>
          </w:p>
        </w:tc>
        <w:tc>
          <w:tcPr>
            <w:tcW w:w="4197" w:type="dxa"/>
            <w:tcBorders>
              <w:top w:val="single" w:color="000000" w:sz="8" w:space="0"/>
              <w:left w:val="single" w:color="000000" w:sz="8" w:space="0"/>
              <w:bottom w:val="single" w:color="000000" w:sz="8" w:space="0"/>
              <w:right w:val="single" w:color="000000" w:sz="8" w:space="0"/>
            </w:tcBorders>
          </w:tcPr>
          <w:p w14:paraId="737021B9">
            <w:pPr>
              <w:wordWrap w:val="0"/>
              <w:jc w:val="center"/>
              <w:rPr>
                <w:rFonts w:ascii="宋体" w:hAnsi="宋体" w:cs="宋体"/>
                <w:b/>
                <w:bCs/>
                <w:color w:val="0000FF"/>
                <w:sz w:val="24"/>
              </w:rPr>
            </w:pPr>
            <w:r>
              <w:rPr>
                <w:rFonts w:ascii="宋体" w:hAnsi="宋体" w:cs="宋体"/>
                <w:b/>
                <w:bCs/>
                <w:color w:val="0000FF"/>
                <w:kern w:val="0"/>
                <w:sz w:val="24"/>
                <w:lang w:bidi="ar"/>
              </w:rPr>
              <w:t>30</w:t>
            </w:r>
          </w:p>
        </w:tc>
      </w:tr>
      <w:tr w14:paraId="6A1CA77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blCellSpacing w:w="0" w:type="dxa"/>
          <w:jc w:val="center"/>
        </w:trPr>
        <w:tc>
          <w:tcPr>
            <w:tcW w:w="681" w:type="dxa"/>
            <w:vMerge w:val="restart"/>
            <w:tcBorders>
              <w:top w:val="single" w:color="000000" w:sz="8" w:space="0"/>
              <w:left w:val="single" w:color="000000" w:sz="8" w:space="0"/>
              <w:bottom w:val="single" w:color="000000" w:sz="8" w:space="0"/>
              <w:right w:val="single" w:color="000000" w:sz="8" w:space="0"/>
            </w:tcBorders>
          </w:tcPr>
          <w:p w14:paraId="77D9480E">
            <w:pPr>
              <w:wordWrap w:val="0"/>
              <w:jc w:val="center"/>
              <w:rPr>
                <w:rFonts w:ascii="宋体" w:hAnsi="宋体" w:cs="宋体"/>
                <w:b/>
                <w:bCs/>
                <w:color w:val="0000FF"/>
                <w:sz w:val="24"/>
              </w:rPr>
            </w:pPr>
            <w:r>
              <w:rPr>
                <w:b/>
                <w:bCs/>
                <w:color w:val="0000FF"/>
              </w:rPr>
              <w:t>2</w:t>
            </w:r>
          </w:p>
        </w:tc>
        <w:tc>
          <w:tcPr>
            <w:tcW w:w="4197" w:type="dxa"/>
            <w:gridSpan w:val="3"/>
            <w:tcBorders>
              <w:top w:val="single" w:color="000000" w:sz="8" w:space="0"/>
              <w:left w:val="single" w:color="000000" w:sz="8" w:space="0"/>
              <w:bottom w:val="single" w:color="000000" w:sz="8" w:space="0"/>
              <w:right w:val="single" w:color="000000" w:sz="8" w:space="0"/>
            </w:tcBorders>
          </w:tcPr>
          <w:p w14:paraId="528DACA3">
            <w:pPr>
              <w:wordWrap w:val="0"/>
              <w:jc w:val="center"/>
              <w:rPr>
                <w:rFonts w:ascii="宋体" w:hAnsi="宋体" w:cs="宋体"/>
                <w:b/>
                <w:bCs/>
                <w:color w:val="0000FF"/>
                <w:sz w:val="24"/>
              </w:rPr>
            </w:pPr>
            <w:r>
              <w:rPr>
                <w:rFonts w:hint="eastAsia"/>
                <w:b/>
                <w:bCs/>
                <w:color w:val="0000FF"/>
              </w:rPr>
              <w:t>技术服务部分</w:t>
            </w:r>
          </w:p>
        </w:tc>
        <w:tc>
          <w:tcPr>
            <w:tcW w:w="4197" w:type="dxa"/>
            <w:tcBorders>
              <w:top w:val="single" w:color="000000" w:sz="8" w:space="0"/>
              <w:left w:val="single" w:color="000000" w:sz="8" w:space="0"/>
              <w:bottom w:val="single" w:color="000000" w:sz="8" w:space="0"/>
              <w:right w:val="single" w:color="000000" w:sz="8" w:space="0"/>
            </w:tcBorders>
          </w:tcPr>
          <w:p w14:paraId="70A0A6C5">
            <w:pPr>
              <w:wordWrap w:val="0"/>
              <w:jc w:val="center"/>
              <w:rPr>
                <w:rFonts w:hint="default" w:ascii="宋体" w:hAnsi="宋体" w:eastAsia="宋体" w:cs="宋体"/>
                <w:b/>
                <w:bCs/>
                <w:color w:val="0000FF"/>
                <w:sz w:val="24"/>
                <w:lang w:val="en-US" w:eastAsia="zh-CN"/>
              </w:rPr>
            </w:pPr>
            <w:r>
              <w:rPr>
                <w:rFonts w:hint="eastAsia" w:ascii="宋体" w:hAnsi="宋体" w:cs="宋体"/>
                <w:b/>
                <w:bCs/>
                <w:color w:val="0000FF"/>
                <w:sz w:val="24"/>
                <w:lang w:val="en-US" w:eastAsia="zh-CN"/>
              </w:rPr>
              <w:t>55</w:t>
            </w:r>
          </w:p>
        </w:tc>
      </w:tr>
      <w:tr w14:paraId="59103D5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blCellSpacing w:w="0" w:type="dxa"/>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02252E6A">
            <w:pPr>
              <w:widowControl/>
              <w:jc w:val="left"/>
              <w:rPr>
                <w:rFonts w:ascii="宋体" w:hAnsi="宋体" w:cs="宋体"/>
                <w:b/>
                <w:bCs/>
                <w:color w:val="0000FF"/>
                <w:sz w:val="24"/>
              </w:rPr>
            </w:pPr>
          </w:p>
        </w:tc>
        <w:tc>
          <w:tcPr>
            <w:tcW w:w="8394" w:type="dxa"/>
            <w:gridSpan w:val="4"/>
            <w:tcBorders>
              <w:top w:val="single" w:color="000000" w:sz="8" w:space="0"/>
              <w:left w:val="single" w:color="000000" w:sz="8" w:space="0"/>
              <w:bottom w:val="single" w:color="000000" w:sz="8" w:space="0"/>
              <w:right w:val="single" w:color="000000" w:sz="8" w:space="0"/>
            </w:tcBorders>
          </w:tcPr>
          <w:p w14:paraId="22E16F0E">
            <w:pPr>
              <w:widowControl/>
              <w:jc w:val="left"/>
              <w:rPr>
                <w:rFonts w:cs="宋体" w:asciiTheme="minorHAnsi" w:hAnsiTheme="minorHAnsi"/>
                <w:szCs w:val="22"/>
              </w:rPr>
            </w:pPr>
          </w:p>
        </w:tc>
      </w:tr>
      <w:tr w14:paraId="34CFFA8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blCellSpacing w:w="0" w:type="dxa"/>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0F8FBFAE">
            <w:pPr>
              <w:widowControl/>
              <w:jc w:val="left"/>
              <w:rPr>
                <w:rFonts w:ascii="宋体" w:hAnsi="宋体" w:cs="宋体"/>
                <w:b/>
                <w:bCs/>
                <w:color w:val="0000FF"/>
                <w:sz w:val="24"/>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61AC543E">
            <w:pPr>
              <w:wordWrap w:val="0"/>
              <w:jc w:val="center"/>
              <w:rPr>
                <w:rFonts w:ascii="宋体" w:hAnsi="宋体" w:cs="宋体"/>
                <w:szCs w:val="21"/>
              </w:rPr>
            </w:pPr>
            <w:r>
              <w:rPr>
                <w:rFonts w:hint="eastAsia"/>
                <w:szCs w:val="21"/>
              </w:rPr>
              <w:t>序号</w:t>
            </w:r>
          </w:p>
        </w:tc>
        <w:tc>
          <w:tcPr>
            <w:tcW w:w="2504"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48B66FCF">
            <w:pPr>
              <w:wordWrap w:val="0"/>
              <w:jc w:val="center"/>
              <w:rPr>
                <w:rFonts w:ascii="宋体" w:hAnsi="宋体" w:cs="宋体"/>
                <w:szCs w:val="21"/>
              </w:rPr>
            </w:pPr>
            <w:r>
              <w:rPr>
                <w:rFonts w:hint="eastAsia"/>
                <w:szCs w:val="21"/>
              </w:rPr>
              <w:t>评分因素</w:t>
            </w:r>
          </w:p>
        </w:tc>
        <w:tc>
          <w:tcPr>
            <w:tcW w:w="1013"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08283F2E">
            <w:pPr>
              <w:wordWrap w:val="0"/>
              <w:jc w:val="center"/>
              <w:rPr>
                <w:rFonts w:ascii="宋体" w:hAnsi="宋体" w:cs="宋体"/>
                <w:szCs w:val="21"/>
              </w:rPr>
            </w:pPr>
            <w:r>
              <w:rPr>
                <w:rFonts w:hint="eastAsia"/>
                <w:szCs w:val="21"/>
              </w:rPr>
              <w:t>权重</w:t>
            </w:r>
          </w:p>
        </w:tc>
        <w:tc>
          <w:tcPr>
            <w:tcW w:w="4197"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4AC63AC5">
            <w:pPr>
              <w:wordWrap w:val="0"/>
              <w:jc w:val="center"/>
              <w:rPr>
                <w:rFonts w:ascii="宋体" w:hAnsi="宋体" w:cs="宋体"/>
                <w:szCs w:val="21"/>
              </w:rPr>
            </w:pPr>
            <w:r>
              <w:rPr>
                <w:rFonts w:hint="eastAsia"/>
                <w:szCs w:val="21"/>
              </w:rPr>
              <w:t>评分准则</w:t>
            </w:r>
          </w:p>
        </w:tc>
      </w:tr>
      <w:tr w14:paraId="1742DD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blCellSpacing w:w="0" w:type="dxa"/>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00D7E940">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18B87DA3">
            <w:pPr>
              <w:wordWrap w:val="0"/>
              <w:jc w:val="center"/>
              <w:rPr>
                <w:rFonts w:ascii="宋体" w:hAnsi="宋体" w:cs="宋体"/>
                <w:szCs w:val="21"/>
              </w:rPr>
            </w:pPr>
            <w:r>
              <w:rPr>
                <w:szCs w:val="21"/>
              </w:rPr>
              <w:t>1</w:t>
            </w:r>
          </w:p>
        </w:tc>
        <w:tc>
          <w:tcPr>
            <w:tcW w:w="2504" w:type="dxa"/>
            <w:tcBorders>
              <w:top w:val="single" w:color="000000" w:sz="8" w:space="0"/>
              <w:left w:val="single" w:color="000000" w:sz="8" w:space="0"/>
              <w:bottom w:val="single" w:color="000000" w:sz="8" w:space="0"/>
              <w:right w:val="single" w:color="000000" w:sz="8" w:space="0"/>
            </w:tcBorders>
          </w:tcPr>
          <w:p w14:paraId="479537C4">
            <w:pPr>
              <w:rPr>
                <w:color w:val="000000"/>
              </w:rPr>
            </w:pPr>
            <w:r>
              <w:rPr>
                <w:rFonts w:hint="eastAsia"/>
                <w:color w:val="000000"/>
              </w:rPr>
              <w:t>技术要求符合性评价</w:t>
            </w:r>
          </w:p>
          <w:p w14:paraId="2BAD240F">
            <w:pPr>
              <w:rPr>
                <w:szCs w:val="21"/>
              </w:rPr>
            </w:pPr>
          </w:p>
        </w:tc>
        <w:tc>
          <w:tcPr>
            <w:tcW w:w="1013" w:type="dxa"/>
            <w:tcBorders>
              <w:top w:val="single" w:color="000000" w:sz="8" w:space="0"/>
              <w:left w:val="single" w:color="000000" w:sz="8" w:space="0"/>
              <w:bottom w:val="single" w:color="000000" w:sz="8" w:space="0"/>
              <w:right w:val="single" w:color="000000" w:sz="8" w:space="0"/>
            </w:tcBorders>
          </w:tcPr>
          <w:p w14:paraId="5BD16AB6">
            <w:pPr>
              <w:wordWrap w:val="0"/>
              <w:jc w:val="center"/>
              <w:rPr>
                <w:rFonts w:hint="default" w:eastAsia="宋体"/>
                <w:szCs w:val="21"/>
                <w:lang w:val="en-US" w:eastAsia="zh-CN"/>
              </w:rPr>
            </w:pPr>
            <w:r>
              <w:rPr>
                <w:rFonts w:hint="eastAsia" w:ascii="宋体" w:hAnsi="宋体" w:cs="宋体"/>
                <w:szCs w:val="21"/>
                <w:lang w:val="en-US" w:eastAsia="zh-CN"/>
              </w:rPr>
              <w:t>45</w:t>
            </w:r>
          </w:p>
        </w:tc>
        <w:tc>
          <w:tcPr>
            <w:tcW w:w="4197" w:type="dxa"/>
            <w:tcBorders>
              <w:top w:val="single" w:color="000000" w:sz="8" w:space="0"/>
              <w:left w:val="single" w:color="000000" w:sz="8" w:space="0"/>
              <w:bottom w:val="single" w:color="000000" w:sz="8" w:space="0"/>
              <w:right w:val="single" w:color="000000" w:sz="8" w:space="0"/>
            </w:tcBorders>
          </w:tcPr>
          <w:p w14:paraId="418FA0CA">
            <w:pPr>
              <w:rPr>
                <w:b/>
              </w:rPr>
            </w:pPr>
            <w:r>
              <w:rPr>
                <w:rFonts w:hint="eastAsia"/>
                <w:b/>
              </w:rPr>
              <w:t>（一）评分内容：</w:t>
            </w:r>
          </w:p>
          <w:p w14:paraId="072D13CB">
            <w:pPr>
              <w:rPr>
                <w:color w:val="000000"/>
              </w:rPr>
            </w:pPr>
            <w:r>
              <w:rPr>
                <w:color w:val="000000"/>
              </w:rPr>
              <w:t>1</w:t>
            </w:r>
            <w:r>
              <w:rPr>
                <w:rFonts w:hint="eastAsia"/>
                <w:color w:val="000000"/>
              </w:rPr>
              <w:t>、投标人应按照技术要求如实填写《技术要求偏离表》，评审委员会根据技术需求参数响应情况进行打分。各项技术参数指标及要求全部满足的得</w:t>
            </w:r>
            <w:r>
              <w:rPr>
                <w:rFonts w:hint="eastAsia"/>
                <w:color w:val="000000"/>
                <w:lang w:val="en-US" w:eastAsia="zh-CN"/>
              </w:rPr>
              <w:t>45</w:t>
            </w:r>
            <w:r>
              <w:rPr>
                <w:rFonts w:hint="eastAsia"/>
                <w:color w:val="000000"/>
              </w:rPr>
              <w:t>分，一般技术参数每项负偏离扣</w:t>
            </w:r>
            <w:r>
              <w:rPr>
                <w:rFonts w:hint="eastAsia" w:ascii="宋体" w:hAnsi="宋体" w:cs="宋体"/>
                <w:b w:val="0"/>
                <w:bCs w:val="0"/>
                <w:color w:val="auto"/>
                <w:kern w:val="0"/>
                <w:szCs w:val="21"/>
                <w:lang w:val="en-US" w:eastAsia="zh-CN" w:bidi="ar"/>
              </w:rPr>
              <w:t>1</w:t>
            </w:r>
            <w:r>
              <w:rPr>
                <w:rFonts w:hint="eastAsia" w:ascii="宋体" w:hAnsi="宋体" w:cs="宋体"/>
                <w:b w:val="0"/>
                <w:bCs w:val="0"/>
                <w:color w:val="auto"/>
                <w:kern w:val="0"/>
                <w:szCs w:val="21"/>
                <w:lang w:bidi="ar"/>
              </w:rPr>
              <w:t>分</w:t>
            </w:r>
            <w:r>
              <w:rPr>
                <w:rFonts w:hint="eastAsia"/>
                <w:b w:val="0"/>
                <w:bCs w:val="0"/>
                <w:color w:val="auto"/>
              </w:rPr>
              <w:t>，最高扣</w:t>
            </w:r>
            <w:r>
              <w:rPr>
                <w:rFonts w:hint="eastAsia" w:ascii="宋体" w:hAnsi="宋体" w:cs="宋体"/>
                <w:b w:val="0"/>
                <w:bCs w:val="0"/>
                <w:color w:val="auto"/>
                <w:kern w:val="0"/>
                <w:szCs w:val="21"/>
                <w:lang w:val="en-US" w:eastAsia="zh-CN" w:bidi="ar"/>
              </w:rPr>
              <w:t>20</w:t>
            </w:r>
            <w:r>
              <w:rPr>
                <w:rFonts w:hint="eastAsia" w:ascii="宋体" w:hAnsi="宋体" w:cs="宋体"/>
                <w:b w:val="0"/>
                <w:bCs w:val="0"/>
                <w:color w:val="auto"/>
                <w:kern w:val="0"/>
                <w:szCs w:val="21"/>
                <w:lang w:bidi="ar"/>
              </w:rPr>
              <w:t>分</w:t>
            </w:r>
            <w:r>
              <w:rPr>
                <w:rFonts w:hint="eastAsia"/>
                <w:b w:val="0"/>
                <w:bCs w:val="0"/>
                <w:color w:val="auto"/>
              </w:rPr>
              <w:t>；“▲”重要技术参数每项负偏离扣</w:t>
            </w:r>
            <w:r>
              <w:rPr>
                <w:rFonts w:hint="eastAsia" w:ascii="宋体" w:hAnsi="宋体" w:cs="宋体"/>
                <w:b w:val="0"/>
                <w:bCs w:val="0"/>
                <w:color w:val="auto"/>
                <w:kern w:val="0"/>
                <w:szCs w:val="21"/>
                <w:lang w:val="en-US" w:eastAsia="zh-CN" w:bidi="ar"/>
              </w:rPr>
              <w:t>3</w:t>
            </w:r>
            <w:r>
              <w:rPr>
                <w:rFonts w:hint="eastAsia" w:ascii="宋体" w:hAnsi="宋体" w:cs="宋体"/>
                <w:b w:val="0"/>
                <w:bCs w:val="0"/>
                <w:color w:val="auto"/>
                <w:kern w:val="0"/>
                <w:szCs w:val="21"/>
                <w:lang w:bidi="ar"/>
              </w:rPr>
              <w:t>分</w:t>
            </w:r>
            <w:r>
              <w:rPr>
                <w:rFonts w:hint="eastAsia"/>
                <w:b w:val="0"/>
                <w:bCs w:val="0"/>
                <w:color w:val="auto"/>
              </w:rPr>
              <w:t>，最高扣</w:t>
            </w:r>
            <w:r>
              <w:rPr>
                <w:rFonts w:hint="eastAsia" w:ascii="宋体" w:hAnsi="宋体" w:cs="宋体"/>
                <w:b w:val="0"/>
                <w:bCs w:val="0"/>
                <w:color w:val="auto"/>
                <w:kern w:val="0"/>
                <w:szCs w:val="21"/>
                <w:lang w:val="en-US" w:eastAsia="zh-CN" w:bidi="ar"/>
              </w:rPr>
              <w:t>25</w:t>
            </w:r>
            <w:r>
              <w:rPr>
                <w:rFonts w:hint="eastAsia" w:ascii="宋体" w:hAnsi="宋体" w:cs="宋体"/>
                <w:b w:val="0"/>
                <w:bCs w:val="0"/>
                <w:color w:val="auto"/>
                <w:kern w:val="0"/>
                <w:szCs w:val="21"/>
                <w:lang w:bidi="ar"/>
              </w:rPr>
              <w:t>分</w:t>
            </w:r>
            <w:r>
              <w:rPr>
                <w:rFonts w:hint="eastAsia"/>
                <w:b w:val="0"/>
                <w:bCs w:val="0"/>
                <w:color w:val="auto"/>
              </w:rPr>
              <w:t>，扣完为止。</w:t>
            </w:r>
          </w:p>
          <w:p w14:paraId="37EB8918">
            <w:pPr>
              <w:rPr>
                <w:szCs w:val="21"/>
              </w:rPr>
            </w:pPr>
            <w:r>
              <w:rPr>
                <w:rFonts w:hint="eastAsia"/>
                <w:color w:val="000000"/>
              </w:rPr>
              <w:t>注：如出现《分项报价表》“规格/品牌/型号”一栏填写错误或缺漏，经评审委员会认定，在使用综合评分法的项目中一项此类填写错误或缺漏将按照一项一般技术参数负偏离扣分处理。</w:t>
            </w:r>
          </w:p>
        </w:tc>
      </w:tr>
      <w:tr w14:paraId="3F4E48C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blCellSpacing w:w="0" w:type="dxa"/>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72E4F341">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65E30F68">
            <w:pPr>
              <w:wordWrap w:val="0"/>
              <w:jc w:val="center"/>
              <w:rPr>
                <w:rFonts w:ascii="宋体" w:hAnsi="宋体" w:cs="宋体"/>
                <w:szCs w:val="21"/>
              </w:rPr>
            </w:pPr>
            <w:r>
              <w:rPr>
                <w:szCs w:val="21"/>
              </w:rPr>
              <w:t>2</w:t>
            </w:r>
          </w:p>
        </w:tc>
        <w:tc>
          <w:tcPr>
            <w:tcW w:w="2504" w:type="dxa"/>
            <w:tcBorders>
              <w:top w:val="single" w:color="000000" w:sz="8" w:space="0"/>
              <w:left w:val="single" w:color="000000" w:sz="8" w:space="0"/>
              <w:bottom w:val="single" w:color="000000" w:sz="8" w:space="0"/>
              <w:right w:val="single" w:color="000000" w:sz="8" w:space="0"/>
            </w:tcBorders>
            <w:vAlign w:val="top"/>
          </w:tcPr>
          <w:p w14:paraId="1150ED8E">
            <w:pPr>
              <w:rPr>
                <w:color w:val="000000"/>
              </w:rPr>
            </w:pPr>
            <w:r>
              <w:rPr>
                <w:rFonts w:hint="eastAsia" w:ascii="宋体" w:hAnsi="宋体" w:eastAsia="宋体" w:cs="Times New Roman"/>
                <w:szCs w:val="21"/>
              </w:rPr>
              <w:t>实施方案</w:t>
            </w:r>
          </w:p>
        </w:tc>
        <w:tc>
          <w:tcPr>
            <w:tcW w:w="1013" w:type="dxa"/>
            <w:tcBorders>
              <w:top w:val="single" w:color="000000" w:sz="8" w:space="0"/>
              <w:left w:val="single" w:color="000000" w:sz="8" w:space="0"/>
              <w:bottom w:val="single" w:color="000000" w:sz="8" w:space="0"/>
              <w:right w:val="single" w:color="000000" w:sz="8" w:space="0"/>
            </w:tcBorders>
            <w:vAlign w:val="top"/>
          </w:tcPr>
          <w:p w14:paraId="56D369F9">
            <w:pPr>
              <w:wordWrap w:val="0"/>
              <w:jc w:val="center"/>
              <w:rPr>
                <w:rFonts w:ascii="宋体" w:hAnsi="宋体" w:cs="宋体"/>
                <w:szCs w:val="21"/>
              </w:rPr>
            </w:pPr>
            <w:r>
              <w:rPr>
                <w:rFonts w:hint="eastAsia" w:ascii="宋体" w:hAnsi="宋体" w:cs="宋体"/>
                <w:szCs w:val="21"/>
                <w:lang w:val="en-US" w:eastAsia="zh-CN"/>
              </w:rPr>
              <w:t>3</w:t>
            </w:r>
          </w:p>
        </w:tc>
        <w:tc>
          <w:tcPr>
            <w:tcW w:w="4197" w:type="dxa"/>
            <w:tcBorders>
              <w:top w:val="single" w:color="000000" w:sz="8" w:space="0"/>
              <w:left w:val="single" w:color="000000" w:sz="8" w:space="0"/>
              <w:bottom w:val="single" w:color="000000" w:sz="8" w:space="0"/>
              <w:right w:val="single" w:color="000000" w:sz="8" w:space="0"/>
            </w:tcBorders>
            <w:vAlign w:val="top"/>
          </w:tcPr>
          <w:p w14:paraId="618E5332">
            <w:pPr>
              <w:numPr>
                <w:ilvl w:val="0"/>
                <w:numId w:val="0"/>
              </w:numPr>
              <w:snapToGrid w:val="0"/>
              <w:rPr>
                <w:rFonts w:hint="eastAsia" w:ascii="Times New Roman" w:hAnsi="Times New Roman" w:eastAsia="宋体" w:cs="Times New Roman"/>
                <w:b/>
              </w:rPr>
            </w:pPr>
            <w:r>
              <w:rPr>
                <w:rFonts w:hint="eastAsia" w:ascii="Times New Roman" w:hAnsi="Times New Roman" w:eastAsia="宋体" w:cs="Times New Roman"/>
                <w:b/>
                <w:lang w:eastAsia="zh-CN"/>
              </w:rPr>
              <w:t>（</w:t>
            </w:r>
            <w:r>
              <w:rPr>
                <w:rFonts w:hint="eastAsia" w:ascii="Times New Roman" w:hAnsi="Times New Roman" w:eastAsia="宋体" w:cs="Times New Roman"/>
                <w:b/>
                <w:lang w:val="en-US" w:eastAsia="zh-CN"/>
              </w:rPr>
              <w:t>一</w:t>
            </w:r>
            <w:r>
              <w:rPr>
                <w:rFonts w:hint="eastAsia" w:ascii="Times New Roman" w:hAnsi="Times New Roman" w:eastAsia="宋体" w:cs="Times New Roman"/>
                <w:b/>
                <w:lang w:eastAsia="zh-CN"/>
              </w:rPr>
              <w:t>）</w:t>
            </w:r>
            <w:r>
              <w:rPr>
                <w:rFonts w:hint="eastAsia" w:ascii="Times New Roman" w:hAnsi="Times New Roman" w:eastAsia="宋体" w:cs="Times New Roman"/>
                <w:b/>
              </w:rPr>
              <w:t>评分内容：</w:t>
            </w:r>
          </w:p>
          <w:p w14:paraId="48F4E184">
            <w:pPr>
              <w:jc w:val="left"/>
              <w:rPr>
                <w:rFonts w:hint="eastAsia" w:ascii="宋体" w:hAnsi="宋体" w:eastAsia="宋体" w:cs="Times New Roman"/>
                <w:szCs w:val="21"/>
              </w:rPr>
            </w:pPr>
            <w:r>
              <w:rPr>
                <w:rFonts w:hint="eastAsia" w:ascii="宋体" w:hAnsi="宋体" w:eastAsia="宋体" w:cs="Times New Roman"/>
                <w:szCs w:val="21"/>
              </w:rPr>
              <w:t>根据采购文件的需求，制定贴切本项目的实施方案，方案内容包括但不限于：</w:t>
            </w:r>
          </w:p>
          <w:p w14:paraId="524BC117">
            <w:pPr>
              <w:jc w:val="left"/>
              <w:rPr>
                <w:rFonts w:hint="eastAsia" w:ascii="宋体" w:hAnsi="宋体" w:eastAsia="宋体" w:cs="Times New Roman"/>
                <w:szCs w:val="21"/>
              </w:rPr>
            </w:pPr>
            <w:r>
              <w:rPr>
                <w:rFonts w:hint="eastAsia" w:ascii="宋体" w:hAnsi="宋体" w:eastAsia="宋体" w:cs="Times New Roman"/>
                <w:szCs w:val="21"/>
              </w:rPr>
              <w:t>（1）供货方案；</w:t>
            </w:r>
          </w:p>
          <w:p w14:paraId="65C3670D">
            <w:pPr>
              <w:jc w:val="left"/>
              <w:rPr>
                <w:rFonts w:hint="eastAsia" w:ascii="宋体" w:hAnsi="宋体" w:eastAsia="宋体" w:cs="Times New Roman"/>
                <w:szCs w:val="21"/>
              </w:rPr>
            </w:pPr>
            <w:r>
              <w:rPr>
                <w:rFonts w:hint="eastAsia" w:ascii="宋体" w:hAnsi="宋体" w:eastAsia="宋体" w:cs="Times New Roman"/>
                <w:szCs w:val="21"/>
              </w:rPr>
              <w:t>（2）质量保障措施；</w:t>
            </w:r>
          </w:p>
          <w:p w14:paraId="514FFF05">
            <w:pPr>
              <w:numPr>
                <w:ilvl w:val="0"/>
                <w:numId w:val="0"/>
              </w:numPr>
              <w:snapToGrid w:val="0"/>
              <w:rPr>
                <w:rFonts w:hint="eastAsia" w:ascii="Times New Roman" w:hAnsi="Times New Roman" w:eastAsia="宋体" w:cs="Times New Roman"/>
                <w:b/>
                <w:lang w:eastAsia="zh-CN"/>
              </w:rPr>
            </w:pPr>
            <w:r>
              <w:rPr>
                <w:rFonts w:hint="eastAsia" w:ascii="Times New Roman" w:hAnsi="Times New Roman" w:eastAsia="宋体" w:cs="Times New Roman"/>
                <w:b/>
                <w:lang w:eastAsia="zh-CN"/>
              </w:rPr>
              <w:t>（二）评分依据：</w:t>
            </w:r>
          </w:p>
          <w:p w14:paraId="727F3EC8">
            <w:pPr>
              <w:jc w:val="left"/>
              <w:rPr>
                <w:rFonts w:ascii="宋体" w:hAnsi="宋体"/>
                <w:szCs w:val="21"/>
              </w:rPr>
            </w:pPr>
            <w:r>
              <w:rPr>
                <w:rFonts w:hint="eastAsia" w:ascii="宋体" w:hAnsi="宋体"/>
                <w:szCs w:val="21"/>
              </w:rPr>
              <w:t>提供以上</w:t>
            </w:r>
            <w:r>
              <w:rPr>
                <w:rFonts w:hint="eastAsia" w:ascii="宋体" w:hAnsi="宋体"/>
                <w:szCs w:val="21"/>
                <w:lang w:val="en-US" w:eastAsia="zh-CN"/>
              </w:rPr>
              <w:t>2</w:t>
            </w:r>
            <w:r>
              <w:rPr>
                <w:rFonts w:hint="eastAsia" w:ascii="宋体" w:hAnsi="宋体"/>
                <w:szCs w:val="21"/>
              </w:rPr>
              <w:t>点内容得1分，缺项不得分。 在此基础上，专家根据内容的合理性进行评分:</w:t>
            </w:r>
          </w:p>
          <w:p w14:paraId="7121D09D">
            <w:pPr>
              <w:jc w:val="left"/>
              <w:rPr>
                <w:rFonts w:ascii="宋体" w:hAnsi="宋体"/>
                <w:szCs w:val="21"/>
              </w:rPr>
            </w:pPr>
            <w:r>
              <w:rPr>
                <w:rFonts w:hint="eastAsia" w:ascii="宋体" w:hAnsi="宋体"/>
                <w:szCs w:val="21"/>
              </w:rPr>
              <w:t>优评分标准:方案符合实际、完整、规范、思路清晰，内容合理性强，得</w:t>
            </w:r>
            <w:r>
              <w:rPr>
                <w:rFonts w:hint="eastAsia" w:ascii="宋体" w:hAnsi="宋体"/>
                <w:szCs w:val="21"/>
                <w:lang w:val="en-US" w:eastAsia="zh-CN"/>
              </w:rPr>
              <w:t>2</w:t>
            </w:r>
            <w:r>
              <w:rPr>
                <w:rFonts w:hint="eastAsia" w:ascii="宋体" w:hAnsi="宋体"/>
                <w:szCs w:val="21"/>
              </w:rPr>
              <w:t>分;</w:t>
            </w:r>
          </w:p>
          <w:p w14:paraId="2188F892">
            <w:pPr>
              <w:jc w:val="left"/>
              <w:rPr>
                <w:rFonts w:ascii="宋体" w:hAnsi="宋体"/>
                <w:szCs w:val="21"/>
              </w:rPr>
            </w:pPr>
            <w:r>
              <w:rPr>
                <w:rFonts w:hint="eastAsia" w:ascii="宋体" w:hAnsi="宋体"/>
                <w:szCs w:val="21"/>
              </w:rPr>
              <w:t>良评分标准:方案较符合实际、较完整规范、思路较清晰，内容合理性较强，得</w:t>
            </w:r>
            <w:r>
              <w:rPr>
                <w:rFonts w:hint="eastAsia" w:ascii="宋体" w:hAnsi="宋体"/>
                <w:szCs w:val="21"/>
                <w:lang w:val="en-US" w:eastAsia="zh-CN"/>
              </w:rPr>
              <w:t>1</w:t>
            </w:r>
            <w:r>
              <w:rPr>
                <w:rFonts w:hint="eastAsia" w:ascii="宋体" w:hAnsi="宋体"/>
                <w:szCs w:val="21"/>
              </w:rPr>
              <w:t>分;</w:t>
            </w:r>
          </w:p>
          <w:p w14:paraId="347F311B">
            <w:pPr>
              <w:jc w:val="left"/>
              <w:rPr>
                <w:rFonts w:ascii="宋体" w:hAnsi="宋体"/>
                <w:szCs w:val="21"/>
              </w:rPr>
            </w:pPr>
            <w:r>
              <w:rPr>
                <w:rFonts w:hint="eastAsia" w:ascii="宋体" w:hAnsi="宋体"/>
                <w:szCs w:val="21"/>
              </w:rPr>
              <w:t>中评分标准:方案较普通、完整性规范性一般，思路不够清晰，内容合理性一般，得</w:t>
            </w:r>
            <w:r>
              <w:rPr>
                <w:rFonts w:hint="eastAsia" w:ascii="宋体" w:hAnsi="宋体"/>
                <w:szCs w:val="21"/>
                <w:lang w:val="en-US" w:eastAsia="zh-CN"/>
              </w:rPr>
              <w:t>0.</w:t>
            </w:r>
            <w:r>
              <w:rPr>
                <w:rFonts w:hint="eastAsia" w:ascii="宋体" w:hAnsi="宋体"/>
                <w:szCs w:val="21"/>
              </w:rPr>
              <w:t>5分;</w:t>
            </w:r>
          </w:p>
          <w:p w14:paraId="3C46ED43">
            <w:pPr>
              <w:rPr>
                <w:color w:val="000000"/>
              </w:rPr>
            </w:pPr>
            <w:r>
              <w:rPr>
                <w:rFonts w:hint="eastAsia" w:ascii="宋体" w:hAnsi="宋体"/>
                <w:szCs w:val="21"/>
              </w:rPr>
              <w:t>差评分标准：方案不完整、不规范，思路不清晰，内容合理性较差或未提供，不得分。</w:t>
            </w:r>
          </w:p>
        </w:tc>
      </w:tr>
      <w:tr w14:paraId="5B7BCD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blCellSpacing w:w="0" w:type="dxa"/>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52A6BBFA">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0CC72926">
            <w:pPr>
              <w:wordWrap w:val="0"/>
              <w:jc w:val="center"/>
              <w:rPr>
                <w:rFonts w:ascii="宋体" w:hAnsi="宋体" w:cs="宋体"/>
                <w:szCs w:val="21"/>
              </w:rPr>
            </w:pPr>
            <w:r>
              <w:rPr>
                <w:rFonts w:hint="eastAsia"/>
                <w:szCs w:val="21"/>
              </w:rPr>
              <w:t>3</w:t>
            </w:r>
          </w:p>
        </w:tc>
        <w:tc>
          <w:tcPr>
            <w:tcW w:w="2504" w:type="dxa"/>
            <w:tcBorders>
              <w:top w:val="single" w:color="000000" w:sz="8" w:space="0"/>
              <w:left w:val="single" w:color="000000" w:sz="8" w:space="0"/>
              <w:bottom w:val="single" w:color="000000" w:sz="8" w:space="0"/>
              <w:right w:val="single" w:color="000000" w:sz="8" w:space="0"/>
            </w:tcBorders>
            <w:vAlign w:val="top"/>
          </w:tcPr>
          <w:p w14:paraId="62BAF0EA">
            <w:pPr>
              <w:widowControl/>
              <w:jc w:val="left"/>
              <w:rPr>
                <w:color w:val="000000"/>
              </w:rPr>
            </w:pPr>
            <w:r>
              <w:rPr>
                <w:rFonts w:hint="eastAsia" w:cs="宋体" w:asciiTheme="minorHAnsi" w:hAnsiTheme="minorHAnsi"/>
                <w:szCs w:val="22"/>
              </w:rPr>
              <w:t>项目重点难点分析、应对措施及相关的合理化建议</w:t>
            </w:r>
          </w:p>
        </w:tc>
        <w:tc>
          <w:tcPr>
            <w:tcW w:w="1013" w:type="dxa"/>
            <w:tcBorders>
              <w:top w:val="single" w:color="000000" w:sz="8" w:space="0"/>
              <w:left w:val="single" w:color="000000" w:sz="8" w:space="0"/>
              <w:bottom w:val="single" w:color="000000" w:sz="8" w:space="0"/>
              <w:right w:val="single" w:color="000000" w:sz="8" w:space="0"/>
            </w:tcBorders>
            <w:vAlign w:val="top"/>
          </w:tcPr>
          <w:p w14:paraId="3003DC4C">
            <w:pPr>
              <w:widowControl/>
              <w:jc w:val="center"/>
              <w:rPr>
                <w:rFonts w:hint="eastAsia" w:ascii="宋体" w:hAnsi="宋体" w:eastAsia="宋体" w:cs="宋体"/>
                <w:szCs w:val="21"/>
                <w:lang w:val="en-US" w:eastAsia="zh-CN"/>
              </w:rPr>
            </w:pPr>
            <w:r>
              <w:rPr>
                <w:rFonts w:hint="eastAsia" w:ascii="宋体" w:hAnsi="宋体" w:cs="宋体"/>
                <w:szCs w:val="21"/>
                <w:lang w:val="en-US" w:eastAsia="zh-CN"/>
              </w:rPr>
              <w:t>3</w:t>
            </w:r>
          </w:p>
        </w:tc>
        <w:tc>
          <w:tcPr>
            <w:tcW w:w="4197" w:type="dxa"/>
            <w:tcBorders>
              <w:top w:val="single" w:color="000000" w:sz="8" w:space="0"/>
              <w:left w:val="single" w:color="000000" w:sz="8" w:space="0"/>
              <w:bottom w:val="single" w:color="000000" w:sz="8" w:space="0"/>
              <w:right w:val="single" w:color="000000" w:sz="8" w:space="0"/>
            </w:tcBorders>
            <w:vAlign w:val="top"/>
          </w:tcPr>
          <w:p w14:paraId="36E62CD9">
            <w:pPr>
              <w:rPr>
                <w:b/>
              </w:rPr>
            </w:pPr>
            <w:r>
              <w:rPr>
                <w:rFonts w:hint="eastAsia"/>
                <w:b/>
              </w:rPr>
              <w:t>（一）评分内容：</w:t>
            </w:r>
          </w:p>
          <w:p w14:paraId="0D1EAFD2">
            <w:pPr>
              <w:wordWrap w:val="0"/>
              <w:rPr>
                <w:rFonts w:ascii="宋体" w:hAnsi="宋体" w:cs="宋体"/>
                <w:szCs w:val="21"/>
              </w:rPr>
            </w:pPr>
            <w:r>
              <w:rPr>
                <w:rFonts w:hint="eastAsia" w:ascii="宋体" w:hAnsi="宋体" w:cs="宋体"/>
                <w:szCs w:val="21"/>
              </w:rPr>
              <w:t>考察针对本项目的项目重点难点分析、应对措施及相关的合理化建议，方案内容包括以下内容:</w:t>
            </w:r>
          </w:p>
          <w:p w14:paraId="4C96A9E2">
            <w:pPr>
              <w:wordWrap w:val="0"/>
              <w:rPr>
                <w:rFonts w:ascii="宋体" w:hAnsi="宋体" w:cs="宋体"/>
                <w:szCs w:val="21"/>
              </w:rPr>
            </w:pPr>
            <w:r>
              <w:rPr>
                <w:rFonts w:hint="eastAsia" w:ascii="宋体" w:hAnsi="宋体" w:cs="宋体"/>
                <w:szCs w:val="21"/>
              </w:rPr>
              <w:t>1.项目重点难点分析。</w:t>
            </w:r>
          </w:p>
          <w:p w14:paraId="0676292E">
            <w:pPr>
              <w:wordWrap w:val="0"/>
              <w:rPr>
                <w:rFonts w:ascii="宋体" w:hAnsi="宋体" w:cs="宋体"/>
                <w:szCs w:val="21"/>
              </w:rPr>
            </w:pPr>
            <w:r>
              <w:rPr>
                <w:rFonts w:hint="eastAsia" w:ascii="宋体" w:hAnsi="宋体" w:cs="宋体"/>
                <w:szCs w:val="21"/>
              </w:rPr>
              <w:t>2.针对重、难点的相关应对措施。</w:t>
            </w:r>
          </w:p>
          <w:p w14:paraId="342F164E">
            <w:pPr>
              <w:rPr>
                <w:b/>
              </w:rPr>
            </w:pPr>
            <w:r>
              <w:rPr>
                <w:rFonts w:hint="eastAsia"/>
                <w:b/>
              </w:rPr>
              <w:t>（二）评分依据：</w:t>
            </w:r>
          </w:p>
          <w:p w14:paraId="53812E92">
            <w:pPr>
              <w:jc w:val="left"/>
              <w:rPr>
                <w:rFonts w:ascii="宋体" w:hAnsi="宋体"/>
                <w:szCs w:val="21"/>
              </w:rPr>
            </w:pPr>
            <w:r>
              <w:rPr>
                <w:rFonts w:hint="eastAsia" w:ascii="宋体" w:hAnsi="宋体" w:cs="宋体"/>
                <w:szCs w:val="21"/>
              </w:rPr>
              <w:t>提供以上</w:t>
            </w:r>
            <w:r>
              <w:rPr>
                <w:rFonts w:hint="eastAsia" w:ascii="宋体" w:hAnsi="宋体" w:cs="宋体"/>
                <w:szCs w:val="21"/>
                <w:lang w:val="en-US" w:eastAsia="zh-CN"/>
              </w:rPr>
              <w:t>2</w:t>
            </w:r>
            <w:r>
              <w:rPr>
                <w:rFonts w:hint="eastAsia" w:ascii="宋体" w:hAnsi="宋体" w:cs="宋体"/>
                <w:szCs w:val="21"/>
              </w:rPr>
              <w:t>点内容得1分，</w:t>
            </w:r>
            <w:r>
              <w:rPr>
                <w:rFonts w:hint="eastAsia" w:ascii="宋体" w:hAnsi="宋体"/>
                <w:szCs w:val="21"/>
              </w:rPr>
              <w:t>缺项不得分。在此基础上，专家根据内容的合理性进行评分:</w:t>
            </w:r>
          </w:p>
          <w:p w14:paraId="0F215CDC">
            <w:pPr>
              <w:jc w:val="left"/>
              <w:rPr>
                <w:rFonts w:ascii="宋体" w:hAnsi="宋体"/>
                <w:szCs w:val="21"/>
              </w:rPr>
            </w:pPr>
            <w:r>
              <w:rPr>
                <w:rFonts w:hint="eastAsia" w:ascii="宋体" w:hAnsi="宋体" w:cs="宋体"/>
                <w:szCs w:val="21"/>
              </w:rPr>
              <w:t>优评分标准:方案符合实际、完整、规范、思路清晰，内容合理性强</w:t>
            </w:r>
            <w:r>
              <w:rPr>
                <w:rFonts w:hint="eastAsia" w:ascii="宋体" w:hAnsi="宋体"/>
                <w:szCs w:val="21"/>
              </w:rPr>
              <w:t>，得</w:t>
            </w:r>
            <w:r>
              <w:rPr>
                <w:rFonts w:hint="eastAsia" w:ascii="宋体" w:hAnsi="宋体"/>
                <w:szCs w:val="21"/>
                <w:lang w:val="en-US" w:eastAsia="zh-CN"/>
              </w:rPr>
              <w:t>2</w:t>
            </w:r>
            <w:r>
              <w:rPr>
                <w:rFonts w:hint="eastAsia" w:ascii="宋体" w:hAnsi="宋体"/>
                <w:szCs w:val="21"/>
              </w:rPr>
              <w:t>分;</w:t>
            </w:r>
          </w:p>
          <w:p w14:paraId="042C89B1">
            <w:pPr>
              <w:jc w:val="left"/>
              <w:rPr>
                <w:rFonts w:ascii="宋体" w:hAnsi="宋体"/>
                <w:szCs w:val="21"/>
              </w:rPr>
            </w:pPr>
            <w:r>
              <w:rPr>
                <w:rFonts w:hint="eastAsia" w:ascii="宋体" w:hAnsi="宋体" w:cs="宋体"/>
                <w:szCs w:val="21"/>
              </w:rPr>
              <w:t>良评分标准:方案较符合实际、较完整规范、思路较清晰，内容合理性较强</w:t>
            </w:r>
            <w:r>
              <w:rPr>
                <w:rFonts w:hint="eastAsia" w:ascii="宋体" w:hAnsi="宋体"/>
                <w:szCs w:val="21"/>
              </w:rPr>
              <w:t>，得</w:t>
            </w:r>
            <w:r>
              <w:rPr>
                <w:rFonts w:hint="eastAsia" w:ascii="宋体" w:hAnsi="宋体"/>
                <w:szCs w:val="21"/>
                <w:lang w:val="en-US" w:eastAsia="zh-CN"/>
              </w:rPr>
              <w:t>1</w:t>
            </w:r>
            <w:r>
              <w:rPr>
                <w:rFonts w:hint="eastAsia" w:ascii="宋体" w:hAnsi="宋体"/>
                <w:szCs w:val="21"/>
              </w:rPr>
              <w:t>分;</w:t>
            </w:r>
          </w:p>
          <w:p w14:paraId="3B08A35B">
            <w:pPr>
              <w:jc w:val="left"/>
              <w:rPr>
                <w:rFonts w:ascii="宋体" w:hAnsi="宋体"/>
                <w:szCs w:val="21"/>
              </w:rPr>
            </w:pPr>
            <w:r>
              <w:rPr>
                <w:rFonts w:hint="eastAsia" w:ascii="宋体" w:hAnsi="宋体" w:cs="宋体"/>
                <w:szCs w:val="21"/>
              </w:rPr>
              <w:t>中评分标准方案较普通、完整性、规范性-般，思路不够清晰，内容合理性般</w:t>
            </w:r>
            <w:r>
              <w:rPr>
                <w:rFonts w:hint="eastAsia" w:ascii="宋体" w:hAnsi="宋体"/>
                <w:szCs w:val="21"/>
              </w:rPr>
              <w:t>，得</w:t>
            </w:r>
            <w:r>
              <w:rPr>
                <w:rFonts w:hint="eastAsia" w:ascii="宋体" w:hAnsi="宋体"/>
                <w:szCs w:val="21"/>
                <w:lang w:val="en-US" w:eastAsia="zh-CN"/>
              </w:rPr>
              <w:t>0.5</w:t>
            </w:r>
            <w:r>
              <w:rPr>
                <w:rFonts w:hint="eastAsia" w:ascii="宋体" w:hAnsi="宋体"/>
                <w:szCs w:val="21"/>
              </w:rPr>
              <w:t>分;</w:t>
            </w:r>
          </w:p>
          <w:p w14:paraId="03261AFC">
            <w:pPr>
              <w:pStyle w:val="33"/>
              <w:ind w:left="0" w:leftChars="0" w:firstLine="0" w:firstLineChars="0"/>
              <w:rPr>
                <w:color w:val="000000"/>
              </w:rPr>
            </w:pPr>
            <w:r>
              <w:rPr>
                <w:rFonts w:hint="eastAsia" w:ascii="宋体" w:hAnsi="宋体" w:cs="宋体"/>
                <w:szCs w:val="21"/>
              </w:rPr>
              <w:t>差评分标准:方案不完整、不规范，思路不清晰，内容合理性较差</w:t>
            </w:r>
            <w:r>
              <w:rPr>
                <w:rFonts w:hint="eastAsia" w:ascii="宋体" w:hAnsi="宋体"/>
                <w:szCs w:val="21"/>
              </w:rPr>
              <w:t>或未提供</w:t>
            </w:r>
            <w:r>
              <w:rPr>
                <w:rFonts w:hint="eastAsia" w:ascii="宋体" w:hAnsi="宋体" w:cs="宋体"/>
                <w:szCs w:val="21"/>
              </w:rPr>
              <w:t>，</w:t>
            </w:r>
            <w:r>
              <w:rPr>
                <w:rFonts w:hint="eastAsia" w:ascii="宋体" w:hAnsi="宋体"/>
                <w:szCs w:val="21"/>
              </w:rPr>
              <w:t>不得分。</w:t>
            </w:r>
          </w:p>
        </w:tc>
      </w:tr>
      <w:tr w14:paraId="07FC69D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blCellSpacing w:w="0" w:type="dxa"/>
          <w:jc w:val="center"/>
        </w:trPr>
        <w:tc>
          <w:tcPr>
            <w:tcW w:w="681" w:type="dxa"/>
            <w:vMerge w:val="continue"/>
            <w:tcBorders>
              <w:top w:val="single" w:color="000000" w:sz="8" w:space="0"/>
              <w:left w:val="single" w:color="000000" w:sz="8" w:space="0"/>
              <w:bottom w:val="single" w:color="000000" w:sz="8" w:space="0"/>
              <w:right w:val="single" w:color="000000" w:sz="8" w:space="0"/>
            </w:tcBorders>
            <w:vAlign w:val="center"/>
          </w:tcPr>
          <w:p w14:paraId="1DBC5693">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4241A3BF">
            <w:pPr>
              <w:wordWrap w:val="0"/>
              <w:jc w:val="center"/>
              <w:rPr>
                <w:szCs w:val="21"/>
              </w:rPr>
            </w:pPr>
            <w:r>
              <w:rPr>
                <w:rFonts w:hint="eastAsia"/>
                <w:szCs w:val="21"/>
              </w:rPr>
              <w:t>4</w:t>
            </w:r>
          </w:p>
        </w:tc>
        <w:tc>
          <w:tcPr>
            <w:tcW w:w="2504" w:type="dxa"/>
            <w:tcBorders>
              <w:top w:val="single" w:color="000000" w:sz="8" w:space="0"/>
              <w:left w:val="single" w:color="000000" w:sz="8" w:space="0"/>
              <w:bottom w:val="single" w:color="000000" w:sz="8" w:space="0"/>
              <w:right w:val="single" w:color="000000" w:sz="8" w:space="0"/>
            </w:tcBorders>
            <w:vAlign w:val="top"/>
          </w:tcPr>
          <w:p w14:paraId="41D6AFEF">
            <w:pPr>
              <w:widowControl/>
              <w:jc w:val="left"/>
              <w:rPr>
                <w:color w:val="000000"/>
              </w:rPr>
            </w:pPr>
            <w:r>
              <w:rPr>
                <w:rFonts w:hint="eastAsia"/>
                <w:color w:val="000000"/>
              </w:rPr>
              <w:t>售后服务方案</w:t>
            </w:r>
          </w:p>
        </w:tc>
        <w:tc>
          <w:tcPr>
            <w:tcW w:w="1013" w:type="dxa"/>
            <w:tcBorders>
              <w:top w:val="single" w:color="000000" w:sz="8" w:space="0"/>
              <w:left w:val="single" w:color="000000" w:sz="8" w:space="0"/>
              <w:bottom w:val="single" w:color="000000" w:sz="8" w:space="0"/>
              <w:right w:val="single" w:color="000000" w:sz="8" w:space="0"/>
            </w:tcBorders>
            <w:vAlign w:val="top"/>
          </w:tcPr>
          <w:p w14:paraId="1129B51D">
            <w:pPr>
              <w:widowControl/>
              <w:jc w:val="center"/>
              <w:rPr>
                <w:rFonts w:ascii="宋体" w:hAnsi="宋体" w:cs="宋体"/>
                <w:szCs w:val="21"/>
              </w:rPr>
            </w:pPr>
            <w:r>
              <w:rPr>
                <w:rFonts w:hint="eastAsia" w:ascii="宋体" w:hAnsi="宋体" w:cs="宋体"/>
                <w:szCs w:val="21"/>
                <w:lang w:val="en-US" w:eastAsia="zh-CN"/>
              </w:rPr>
              <w:t>4</w:t>
            </w:r>
          </w:p>
        </w:tc>
        <w:tc>
          <w:tcPr>
            <w:tcW w:w="4197" w:type="dxa"/>
            <w:tcBorders>
              <w:top w:val="single" w:color="000000" w:sz="8" w:space="0"/>
              <w:left w:val="single" w:color="000000" w:sz="8" w:space="0"/>
              <w:bottom w:val="single" w:color="000000" w:sz="8" w:space="0"/>
              <w:right w:val="single" w:color="000000" w:sz="8" w:space="0"/>
            </w:tcBorders>
            <w:vAlign w:val="top"/>
          </w:tcPr>
          <w:p w14:paraId="12458256">
            <w:pPr>
              <w:rPr>
                <w:b/>
              </w:rPr>
            </w:pPr>
            <w:r>
              <w:rPr>
                <w:rFonts w:hint="eastAsia"/>
                <w:b/>
              </w:rPr>
              <w:t>（一）评分内容：</w:t>
            </w:r>
          </w:p>
          <w:p w14:paraId="2014EE52">
            <w:pPr>
              <w:wordWrap w:val="0"/>
              <w:rPr>
                <w:rFonts w:ascii="宋体" w:hAnsi="宋体" w:cs="宋体"/>
                <w:szCs w:val="21"/>
              </w:rPr>
            </w:pPr>
            <w:r>
              <w:rPr>
                <w:rFonts w:hint="eastAsia" w:ascii="宋体" w:hAnsi="宋体" w:cs="宋体"/>
                <w:szCs w:val="21"/>
              </w:rPr>
              <w:t>考察针对本项目的项目</w:t>
            </w:r>
            <w:r>
              <w:rPr>
                <w:rFonts w:hint="eastAsia"/>
                <w:color w:val="000000"/>
              </w:rPr>
              <w:t>售后服务方案</w:t>
            </w:r>
            <w:r>
              <w:rPr>
                <w:rFonts w:hint="eastAsia" w:ascii="宋体" w:hAnsi="宋体" w:cs="宋体"/>
                <w:szCs w:val="21"/>
              </w:rPr>
              <w:t>，方案内容包括以下内容:</w:t>
            </w:r>
          </w:p>
          <w:p w14:paraId="2EFB8C0D">
            <w:pPr>
              <w:rPr>
                <w:rFonts w:hint="eastAsia"/>
                <w:b w:val="0"/>
                <w:bCs/>
              </w:rPr>
            </w:pPr>
            <w:r>
              <w:rPr>
                <w:rFonts w:hint="eastAsia"/>
                <w:b w:val="0"/>
                <w:bCs/>
                <w:lang w:val="en-US" w:eastAsia="zh-CN"/>
              </w:rPr>
              <w:t>1.</w:t>
            </w:r>
            <w:r>
              <w:rPr>
                <w:rFonts w:hint="eastAsia"/>
                <w:b w:val="0"/>
                <w:bCs/>
              </w:rPr>
              <w:t>响应时间以及服务人员安排；</w:t>
            </w:r>
          </w:p>
          <w:p w14:paraId="22B09949">
            <w:pPr>
              <w:rPr>
                <w:rFonts w:hint="eastAsia"/>
                <w:b w:val="0"/>
                <w:bCs/>
              </w:rPr>
            </w:pPr>
            <w:r>
              <w:rPr>
                <w:rFonts w:hint="eastAsia"/>
                <w:b w:val="0"/>
                <w:bCs/>
                <w:lang w:val="en-US" w:eastAsia="zh-CN"/>
              </w:rPr>
              <w:t>2.</w:t>
            </w:r>
            <w:r>
              <w:rPr>
                <w:rFonts w:hint="eastAsia"/>
                <w:b w:val="0"/>
                <w:bCs/>
              </w:rPr>
              <w:t>售后服务质量保证措施；</w:t>
            </w:r>
          </w:p>
          <w:p w14:paraId="2B40CBE2">
            <w:pPr>
              <w:rPr>
                <w:b/>
              </w:rPr>
            </w:pPr>
            <w:r>
              <w:rPr>
                <w:rFonts w:hint="eastAsia"/>
                <w:b/>
              </w:rPr>
              <w:t>（二）评分依据：</w:t>
            </w:r>
          </w:p>
          <w:p w14:paraId="5E8AD9BA">
            <w:pPr>
              <w:jc w:val="left"/>
              <w:rPr>
                <w:rFonts w:ascii="宋体" w:hAnsi="宋体"/>
                <w:szCs w:val="21"/>
              </w:rPr>
            </w:pPr>
            <w:r>
              <w:rPr>
                <w:rFonts w:hint="eastAsia" w:ascii="宋体" w:hAnsi="宋体" w:cs="宋体"/>
                <w:szCs w:val="21"/>
              </w:rPr>
              <w:t>提供以上</w:t>
            </w:r>
            <w:r>
              <w:rPr>
                <w:rFonts w:hint="eastAsia" w:ascii="宋体" w:hAnsi="宋体" w:cs="宋体"/>
                <w:szCs w:val="21"/>
                <w:lang w:val="en-US" w:eastAsia="zh-CN"/>
              </w:rPr>
              <w:t>2</w:t>
            </w:r>
            <w:r>
              <w:rPr>
                <w:rFonts w:hint="eastAsia" w:ascii="宋体" w:hAnsi="宋体" w:cs="宋体"/>
                <w:szCs w:val="21"/>
              </w:rPr>
              <w:t>点内容得1分，</w:t>
            </w:r>
            <w:r>
              <w:rPr>
                <w:rFonts w:hint="eastAsia" w:ascii="宋体" w:hAnsi="宋体"/>
                <w:szCs w:val="21"/>
              </w:rPr>
              <w:t>缺项不得分。在此基础上，专家根据内容的合理性进行评分:</w:t>
            </w:r>
          </w:p>
          <w:p w14:paraId="46AF7C31">
            <w:pPr>
              <w:jc w:val="left"/>
              <w:rPr>
                <w:rFonts w:ascii="宋体" w:hAnsi="宋体"/>
                <w:szCs w:val="21"/>
              </w:rPr>
            </w:pPr>
            <w:r>
              <w:rPr>
                <w:rFonts w:hint="eastAsia" w:ascii="宋体" w:hAnsi="宋体" w:cs="宋体"/>
                <w:szCs w:val="21"/>
              </w:rPr>
              <w:t>优评分标准:方案符合实际、完整、规范、思路清晰，内容合理性强</w:t>
            </w:r>
            <w:r>
              <w:rPr>
                <w:rFonts w:hint="eastAsia" w:ascii="宋体" w:hAnsi="宋体"/>
                <w:szCs w:val="21"/>
              </w:rPr>
              <w:t>，得</w:t>
            </w:r>
            <w:r>
              <w:rPr>
                <w:rFonts w:hint="eastAsia" w:ascii="宋体" w:hAnsi="宋体"/>
                <w:szCs w:val="21"/>
                <w:lang w:val="en-US" w:eastAsia="zh-CN"/>
              </w:rPr>
              <w:t>3</w:t>
            </w:r>
            <w:r>
              <w:rPr>
                <w:rFonts w:hint="eastAsia" w:ascii="宋体" w:hAnsi="宋体"/>
                <w:szCs w:val="21"/>
              </w:rPr>
              <w:t>分;</w:t>
            </w:r>
          </w:p>
          <w:p w14:paraId="16FD451C">
            <w:pPr>
              <w:jc w:val="left"/>
              <w:rPr>
                <w:rFonts w:ascii="宋体" w:hAnsi="宋体"/>
                <w:szCs w:val="21"/>
              </w:rPr>
            </w:pPr>
            <w:r>
              <w:rPr>
                <w:rFonts w:hint="eastAsia" w:ascii="宋体" w:hAnsi="宋体" w:cs="宋体"/>
                <w:szCs w:val="21"/>
              </w:rPr>
              <w:t>良评分标准:方案较符合实际、较完整规范、思路较清晰，内容合理性较强</w:t>
            </w:r>
            <w:r>
              <w:rPr>
                <w:rFonts w:hint="eastAsia" w:ascii="宋体" w:hAnsi="宋体"/>
                <w:szCs w:val="21"/>
              </w:rPr>
              <w:t>，得</w:t>
            </w:r>
            <w:r>
              <w:rPr>
                <w:rFonts w:hint="eastAsia" w:ascii="宋体" w:hAnsi="宋体"/>
                <w:szCs w:val="21"/>
                <w:lang w:val="en-US" w:eastAsia="zh-CN"/>
              </w:rPr>
              <w:t>2</w:t>
            </w:r>
            <w:r>
              <w:rPr>
                <w:rFonts w:hint="eastAsia" w:ascii="宋体" w:hAnsi="宋体"/>
                <w:szCs w:val="21"/>
              </w:rPr>
              <w:t>分;</w:t>
            </w:r>
          </w:p>
          <w:p w14:paraId="2929F6EB">
            <w:pPr>
              <w:jc w:val="left"/>
              <w:rPr>
                <w:rFonts w:ascii="宋体" w:hAnsi="宋体"/>
                <w:szCs w:val="21"/>
              </w:rPr>
            </w:pPr>
            <w:r>
              <w:rPr>
                <w:rFonts w:hint="eastAsia" w:ascii="宋体" w:hAnsi="宋体" w:cs="宋体"/>
                <w:szCs w:val="21"/>
              </w:rPr>
              <w:t>中评分标准方案较普通、完整性、规范性-般，思路不够清晰，内容合理性般</w:t>
            </w:r>
            <w:r>
              <w:rPr>
                <w:rFonts w:hint="eastAsia" w:ascii="宋体" w:hAnsi="宋体"/>
                <w:szCs w:val="21"/>
              </w:rPr>
              <w:t>，得</w:t>
            </w:r>
            <w:r>
              <w:rPr>
                <w:rFonts w:hint="eastAsia" w:ascii="宋体" w:hAnsi="宋体"/>
                <w:szCs w:val="21"/>
                <w:lang w:val="en-US" w:eastAsia="zh-CN"/>
              </w:rPr>
              <w:t>1</w:t>
            </w:r>
            <w:r>
              <w:rPr>
                <w:rFonts w:hint="eastAsia" w:ascii="宋体" w:hAnsi="宋体"/>
                <w:szCs w:val="21"/>
              </w:rPr>
              <w:t>分;</w:t>
            </w:r>
          </w:p>
          <w:p w14:paraId="6D0317D8">
            <w:pPr>
              <w:pStyle w:val="33"/>
              <w:ind w:left="0" w:leftChars="0" w:firstLine="0" w:firstLineChars="0"/>
              <w:rPr>
                <w:color w:val="000000"/>
              </w:rPr>
            </w:pPr>
            <w:r>
              <w:rPr>
                <w:rFonts w:hint="eastAsia" w:ascii="宋体" w:hAnsi="宋体" w:cs="宋体"/>
                <w:szCs w:val="21"/>
              </w:rPr>
              <w:t>差评分标准:方案不完整、不规范，思路不清晰，内容合理性较差</w:t>
            </w:r>
            <w:r>
              <w:rPr>
                <w:rFonts w:hint="eastAsia" w:ascii="宋体" w:hAnsi="宋体"/>
                <w:szCs w:val="21"/>
              </w:rPr>
              <w:t>或未提供</w:t>
            </w:r>
            <w:r>
              <w:rPr>
                <w:rFonts w:hint="eastAsia" w:ascii="宋体" w:hAnsi="宋体" w:cs="宋体"/>
                <w:szCs w:val="21"/>
              </w:rPr>
              <w:t>，</w:t>
            </w:r>
            <w:r>
              <w:rPr>
                <w:rFonts w:hint="eastAsia" w:ascii="宋体" w:hAnsi="宋体"/>
                <w:szCs w:val="21"/>
              </w:rPr>
              <w:t>不得分。</w:t>
            </w:r>
          </w:p>
        </w:tc>
      </w:tr>
      <w:tr w14:paraId="17D3EEE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blCellSpacing w:w="0" w:type="dxa"/>
          <w:jc w:val="center"/>
        </w:trPr>
        <w:tc>
          <w:tcPr>
            <w:tcW w:w="681" w:type="dxa"/>
            <w:vMerge w:val="restart"/>
            <w:tcBorders>
              <w:top w:val="single" w:color="000000" w:sz="8" w:space="0"/>
              <w:left w:val="single" w:color="000000" w:sz="8" w:space="0"/>
              <w:right w:val="single" w:color="000000" w:sz="8" w:space="0"/>
            </w:tcBorders>
          </w:tcPr>
          <w:p w14:paraId="0751402A">
            <w:pPr>
              <w:wordWrap w:val="0"/>
              <w:jc w:val="center"/>
              <w:rPr>
                <w:rFonts w:ascii="宋体" w:hAnsi="宋体" w:cs="宋体"/>
                <w:b/>
                <w:bCs/>
                <w:color w:val="0000FF"/>
                <w:sz w:val="24"/>
              </w:rPr>
            </w:pPr>
            <w:r>
              <w:rPr>
                <w:b/>
                <w:bCs/>
                <w:color w:val="0000FF"/>
              </w:rPr>
              <w:t>3</w:t>
            </w:r>
          </w:p>
        </w:tc>
        <w:tc>
          <w:tcPr>
            <w:tcW w:w="4197" w:type="dxa"/>
            <w:gridSpan w:val="3"/>
            <w:tcBorders>
              <w:top w:val="single" w:color="000000" w:sz="8" w:space="0"/>
              <w:left w:val="single" w:color="000000" w:sz="8" w:space="0"/>
              <w:bottom w:val="single" w:color="000000" w:sz="8" w:space="0"/>
              <w:right w:val="single" w:color="000000" w:sz="8" w:space="0"/>
            </w:tcBorders>
          </w:tcPr>
          <w:p w14:paraId="1A8B8473">
            <w:pPr>
              <w:wordWrap w:val="0"/>
              <w:jc w:val="center"/>
              <w:rPr>
                <w:rFonts w:ascii="宋体" w:hAnsi="宋体" w:cs="宋体"/>
                <w:b/>
                <w:bCs/>
                <w:color w:val="0000FF"/>
                <w:sz w:val="24"/>
              </w:rPr>
            </w:pPr>
            <w:r>
              <w:rPr>
                <w:rFonts w:hint="eastAsia"/>
                <w:b/>
                <w:bCs/>
                <w:color w:val="0000FF"/>
              </w:rPr>
              <w:t>综合实力部分</w:t>
            </w:r>
          </w:p>
        </w:tc>
        <w:tc>
          <w:tcPr>
            <w:tcW w:w="4197" w:type="dxa"/>
            <w:tcBorders>
              <w:top w:val="single" w:color="000000" w:sz="8" w:space="0"/>
              <w:left w:val="single" w:color="000000" w:sz="8" w:space="0"/>
              <w:bottom w:val="single" w:color="000000" w:sz="8" w:space="0"/>
              <w:right w:val="single" w:color="000000" w:sz="8" w:space="0"/>
            </w:tcBorders>
          </w:tcPr>
          <w:p w14:paraId="184C38B9">
            <w:pPr>
              <w:wordWrap w:val="0"/>
              <w:jc w:val="center"/>
              <w:rPr>
                <w:rFonts w:hint="default" w:ascii="宋体" w:hAnsi="宋体" w:eastAsia="宋体" w:cs="宋体"/>
                <w:b/>
                <w:bCs/>
                <w:color w:val="0000FF"/>
                <w:sz w:val="24"/>
                <w:lang w:val="en-US" w:eastAsia="zh-CN"/>
              </w:rPr>
            </w:pPr>
            <w:r>
              <w:rPr>
                <w:rFonts w:hint="eastAsia" w:ascii="宋体" w:hAnsi="宋体" w:cs="宋体"/>
                <w:b/>
                <w:bCs/>
                <w:color w:val="0000FF"/>
                <w:sz w:val="24"/>
                <w:lang w:val="en-US" w:eastAsia="zh-CN"/>
              </w:rPr>
              <w:t>15</w:t>
            </w:r>
          </w:p>
        </w:tc>
      </w:tr>
      <w:tr w14:paraId="52B8DB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blCellSpacing w:w="0" w:type="dxa"/>
          <w:jc w:val="center"/>
        </w:trPr>
        <w:tc>
          <w:tcPr>
            <w:tcW w:w="681" w:type="dxa"/>
            <w:vMerge w:val="continue"/>
            <w:tcBorders>
              <w:left w:val="single" w:color="000000" w:sz="8" w:space="0"/>
              <w:right w:val="single" w:color="000000" w:sz="8" w:space="0"/>
            </w:tcBorders>
            <w:vAlign w:val="center"/>
          </w:tcPr>
          <w:p w14:paraId="62BA7670">
            <w:pPr>
              <w:widowControl/>
              <w:jc w:val="left"/>
              <w:rPr>
                <w:rFonts w:ascii="宋体" w:hAnsi="宋体" w:cs="宋体"/>
                <w:b/>
                <w:bCs/>
                <w:color w:val="0000FF"/>
                <w:sz w:val="24"/>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13782A0F">
            <w:pPr>
              <w:wordWrap w:val="0"/>
              <w:jc w:val="center"/>
              <w:rPr>
                <w:rFonts w:ascii="宋体" w:hAnsi="宋体" w:cs="宋体"/>
                <w:szCs w:val="21"/>
              </w:rPr>
            </w:pPr>
            <w:r>
              <w:rPr>
                <w:rFonts w:hint="eastAsia"/>
                <w:szCs w:val="21"/>
              </w:rPr>
              <w:t>序号</w:t>
            </w:r>
          </w:p>
        </w:tc>
        <w:tc>
          <w:tcPr>
            <w:tcW w:w="2504"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683B9A70">
            <w:pPr>
              <w:wordWrap w:val="0"/>
              <w:jc w:val="center"/>
              <w:rPr>
                <w:rFonts w:ascii="宋体" w:hAnsi="宋体" w:cs="宋体"/>
                <w:szCs w:val="21"/>
              </w:rPr>
            </w:pPr>
            <w:r>
              <w:rPr>
                <w:rFonts w:hint="eastAsia"/>
                <w:szCs w:val="21"/>
              </w:rPr>
              <w:t>评分因素</w:t>
            </w:r>
          </w:p>
        </w:tc>
        <w:tc>
          <w:tcPr>
            <w:tcW w:w="1013"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38294963">
            <w:pPr>
              <w:wordWrap w:val="0"/>
              <w:jc w:val="center"/>
              <w:rPr>
                <w:rFonts w:ascii="宋体" w:hAnsi="宋体" w:cs="宋体"/>
                <w:szCs w:val="21"/>
              </w:rPr>
            </w:pPr>
            <w:r>
              <w:rPr>
                <w:rFonts w:hint="eastAsia"/>
                <w:szCs w:val="21"/>
              </w:rPr>
              <w:t>权重</w:t>
            </w:r>
          </w:p>
        </w:tc>
        <w:tc>
          <w:tcPr>
            <w:tcW w:w="4197"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59EA7F00">
            <w:pPr>
              <w:jc w:val="center"/>
              <w:rPr>
                <w:rFonts w:ascii="宋体" w:hAnsi="宋体"/>
                <w:color w:val="FF0000"/>
              </w:rPr>
            </w:pPr>
            <w:r>
              <w:rPr>
                <w:rFonts w:hint="eastAsia"/>
                <w:szCs w:val="21"/>
              </w:rPr>
              <w:t>评分准则</w:t>
            </w:r>
          </w:p>
        </w:tc>
      </w:tr>
      <w:tr w14:paraId="73F842E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blCellSpacing w:w="0" w:type="dxa"/>
          <w:jc w:val="center"/>
        </w:trPr>
        <w:tc>
          <w:tcPr>
            <w:tcW w:w="681" w:type="dxa"/>
            <w:vMerge w:val="continue"/>
            <w:tcBorders>
              <w:left w:val="single" w:color="000000" w:sz="8" w:space="0"/>
              <w:right w:val="single" w:color="000000" w:sz="8" w:space="0"/>
            </w:tcBorders>
            <w:vAlign w:val="center"/>
          </w:tcPr>
          <w:p w14:paraId="2BD7F8A0">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573EABB4">
            <w:pPr>
              <w:wordWrap w:val="0"/>
              <w:jc w:val="center"/>
              <w:rPr>
                <w:rFonts w:ascii="宋体" w:hAnsi="宋体" w:cs="宋体"/>
                <w:szCs w:val="21"/>
              </w:rPr>
            </w:pPr>
            <w:r>
              <w:rPr>
                <w:szCs w:val="21"/>
              </w:rPr>
              <w:t>1</w:t>
            </w:r>
          </w:p>
        </w:tc>
        <w:tc>
          <w:tcPr>
            <w:tcW w:w="2504" w:type="dxa"/>
            <w:tcBorders>
              <w:top w:val="single" w:color="000000" w:sz="8" w:space="0"/>
              <w:left w:val="single" w:color="000000" w:sz="8" w:space="0"/>
              <w:bottom w:val="single" w:color="000000" w:sz="8" w:space="0"/>
              <w:right w:val="single" w:color="000000" w:sz="8" w:space="0"/>
            </w:tcBorders>
            <w:vAlign w:val="top"/>
          </w:tcPr>
          <w:p w14:paraId="112C61ED">
            <w:pPr>
              <w:rPr>
                <w:rFonts w:ascii="宋体" w:hAnsi="宋体" w:cs="宋体"/>
                <w:szCs w:val="21"/>
              </w:rPr>
            </w:pPr>
            <w:r>
              <w:rPr>
                <w:rFonts w:hint="eastAsia"/>
                <w:color w:val="000000"/>
              </w:rPr>
              <w:t>免费保修服务偏离情况</w:t>
            </w:r>
          </w:p>
        </w:tc>
        <w:tc>
          <w:tcPr>
            <w:tcW w:w="1013" w:type="dxa"/>
            <w:tcBorders>
              <w:top w:val="single" w:color="000000" w:sz="8" w:space="0"/>
              <w:left w:val="single" w:color="000000" w:sz="8" w:space="0"/>
              <w:bottom w:val="single" w:color="000000" w:sz="8" w:space="0"/>
              <w:right w:val="single" w:color="000000" w:sz="8" w:space="0"/>
            </w:tcBorders>
            <w:vAlign w:val="top"/>
          </w:tcPr>
          <w:p w14:paraId="64C07B89">
            <w:pPr>
              <w:wordWrap w:val="0"/>
              <w:jc w:val="center"/>
              <w:rPr>
                <w:rFonts w:hint="eastAsia" w:ascii="宋体" w:hAnsi="宋体" w:eastAsia="宋体" w:cs="宋体"/>
                <w:szCs w:val="21"/>
                <w:lang w:val="en-US" w:eastAsia="zh-CN"/>
              </w:rPr>
            </w:pPr>
            <w:r>
              <w:rPr>
                <w:rFonts w:hint="eastAsia" w:ascii="宋体" w:hAnsi="宋体" w:cs="宋体"/>
                <w:szCs w:val="21"/>
                <w:lang w:val="en-US" w:eastAsia="zh-CN"/>
              </w:rPr>
              <w:t>5</w:t>
            </w:r>
          </w:p>
        </w:tc>
        <w:tc>
          <w:tcPr>
            <w:tcW w:w="4197" w:type="dxa"/>
            <w:tcBorders>
              <w:top w:val="single" w:color="000000" w:sz="8" w:space="0"/>
              <w:left w:val="single" w:color="000000" w:sz="8" w:space="0"/>
              <w:bottom w:val="single" w:color="000000" w:sz="8" w:space="0"/>
              <w:right w:val="single" w:color="000000" w:sz="8" w:space="0"/>
            </w:tcBorders>
            <w:vAlign w:val="top"/>
          </w:tcPr>
          <w:p w14:paraId="646319F4">
            <w:pPr>
              <w:rPr>
                <w:rFonts w:ascii="宋体" w:hAnsi="宋体" w:cs="宋体"/>
                <w:szCs w:val="21"/>
              </w:rPr>
            </w:pPr>
            <w:r>
              <w:rPr>
                <w:rFonts w:hint="eastAsia" w:cs="宋体"/>
                <w:szCs w:val="21"/>
              </w:rPr>
              <w:t>投标人应按照免费保修期内售后服务要求如实填写《免费保修服务条款偏离表》，</w:t>
            </w:r>
            <w:r>
              <w:rPr>
                <w:rFonts w:hint="eastAsia"/>
                <w:color w:val="000000"/>
              </w:rPr>
              <w:t>评标委员会根据</w:t>
            </w:r>
            <w:r>
              <w:rPr>
                <w:rFonts w:hint="eastAsia" w:cs="宋体"/>
                <w:szCs w:val="21"/>
              </w:rPr>
              <w:t>响应情况进行打分，全部满足要求的</w:t>
            </w:r>
            <w:r>
              <w:rPr>
                <w:rFonts w:hint="eastAsia" w:cs="宋体"/>
                <w:b w:val="0"/>
                <w:bCs w:val="0"/>
                <w:color w:val="auto"/>
                <w:szCs w:val="21"/>
              </w:rPr>
              <w:t>得</w:t>
            </w:r>
            <w:r>
              <w:rPr>
                <w:rFonts w:hint="eastAsia" w:ascii="宋体" w:hAnsi="宋体" w:cs="宋体"/>
                <w:b w:val="0"/>
                <w:bCs w:val="0"/>
                <w:color w:val="auto"/>
                <w:kern w:val="0"/>
                <w:szCs w:val="21"/>
                <w:lang w:val="en-US" w:eastAsia="zh-CN" w:bidi="ar"/>
              </w:rPr>
              <w:t>5</w:t>
            </w:r>
            <w:r>
              <w:rPr>
                <w:rFonts w:hint="eastAsia" w:ascii="宋体" w:hAnsi="宋体" w:cs="宋体"/>
                <w:b w:val="0"/>
                <w:bCs w:val="0"/>
                <w:color w:val="auto"/>
                <w:kern w:val="0"/>
                <w:szCs w:val="21"/>
                <w:lang w:bidi="ar"/>
              </w:rPr>
              <w:t>分</w:t>
            </w:r>
            <w:r>
              <w:rPr>
                <w:rFonts w:hint="eastAsia" w:cs="宋体"/>
                <w:b w:val="0"/>
                <w:bCs w:val="0"/>
                <w:color w:val="auto"/>
                <w:szCs w:val="21"/>
              </w:rPr>
              <w:t>，每项负偏离扣</w:t>
            </w:r>
            <w:r>
              <w:rPr>
                <w:rFonts w:hint="eastAsia" w:ascii="宋体" w:hAnsi="宋体" w:cs="宋体"/>
                <w:b w:val="0"/>
                <w:bCs w:val="0"/>
                <w:color w:val="auto"/>
                <w:kern w:val="0"/>
                <w:szCs w:val="21"/>
                <w:lang w:val="en-US" w:eastAsia="zh-CN" w:bidi="ar"/>
              </w:rPr>
              <w:t>2.5</w:t>
            </w:r>
            <w:r>
              <w:rPr>
                <w:rFonts w:hint="eastAsia" w:ascii="宋体" w:hAnsi="宋体" w:cs="宋体"/>
                <w:b w:val="0"/>
                <w:bCs w:val="0"/>
                <w:color w:val="auto"/>
                <w:kern w:val="0"/>
                <w:szCs w:val="21"/>
                <w:lang w:bidi="ar"/>
              </w:rPr>
              <w:t>分</w:t>
            </w:r>
            <w:r>
              <w:rPr>
                <w:rFonts w:hint="eastAsia"/>
                <w:color w:val="000000"/>
              </w:rPr>
              <w:t>，扣完为止。</w:t>
            </w:r>
          </w:p>
        </w:tc>
      </w:tr>
      <w:tr w14:paraId="6C56D7B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blCellSpacing w:w="0" w:type="dxa"/>
          <w:jc w:val="center"/>
        </w:trPr>
        <w:tc>
          <w:tcPr>
            <w:tcW w:w="681" w:type="dxa"/>
            <w:vMerge w:val="continue"/>
            <w:tcBorders>
              <w:left w:val="single" w:color="000000" w:sz="8" w:space="0"/>
              <w:right w:val="single" w:color="000000" w:sz="8" w:space="0"/>
            </w:tcBorders>
            <w:vAlign w:val="center"/>
          </w:tcPr>
          <w:p w14:paraId="4E13DD51">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0F458E5B">
            <w:pPr>
              <w:wordWrap w:val="0"/>
              <w:jc w:val="center"/>
              <w:rPr>
                <w:szCs w:val="21"/>
              </w:rPr>
            </w:pPr>
            <w:r>
              <w:rPr>
                <w:rFonts w:hint="eastAsia"/>
                <w:szCs w:val="21"/>
              </w:rPr>
              <w:t>2</w:t>
            </w:r>
          </w:p>
        </w:tc>
        <w:tc>
          <w:tcPr>
            <w:tcW w:w="2504" w:type="dxa"/>
            <w:tcBorders>
              <w:top w:val="single" w:color="000000" w:sz="8" w:space="0"/>
              <w:left w:val="single" w:color="000000" w:sz="8" w:space="0"/>
              <w:bottom w:val="single" w:color="000000" w:sz="8" w:space="0"/>
              <w:right w:val="single" w:color="000000" w:sz="8" w:space="0"/>
            </w:tcBorders>
            <w:vAlign w:val="top"/>
          </w:tcPr>
          <w:p w14:paraId="607B7C78">
            <w:pPr>
              <w:wordWrap w:val="0"/>
              <w:rPr>
                <w:rFonts w:ascii="宋体" w:hAnsi="宋体" w:cs="宋体"/>
                <w:szCs w:val="21"/>
              </w:rPr>
            </w:pPr>
            <w:r>
              <w:rPr>
                <w:rFonts w:hint="eastAsia" w:ascii="Times New Roman" w:hAnsi="Times New Roman" w:eastAsia="宋体" w:cs="Times New Roman"/>
                <w:color w:val="000000"/>
              </w:rPr>
              <w:t>商务需求偏离情况</w:t>
            </w:r>
          </w:p>
        </w:tc>
        <w:tc>
          <w:tcPr>
            <w:tcW w:w="1013" w:type="dxa"/>
            <w:tcBorders>
              <w:top w:val="single" w:color="000000" w:sz="8" w:space="0"/>
              <w:left w:val="single" w:color="000000" w:sz="8" w:space="0"/>
              <w:bottom w:val="single" w:color="000000" w:sz="8" w:space="0"/>
              <w:right w:val="single" w:color="000000" w:sz="8" w:space="0"/>
            </w:tcBorders>
            <w:vAlign w:val="top"/>
          </w:tcPr>
          <w:p w14:paraId="798467D6">
            <w:pPr>
              <w:widowControl/>
              <w:jc w:val="center"/>
              <w:rPr>
                <w:rFonts w:ascii="宋体" w:hAnsi="宋体" w:cs="宋体"/>
                <w:szCs w:val="21"/>
              </w:rPr>
            </w:pPr>
            <w:r>
              <w:rPr>
                <w:rFonts w:hint="eastAsia" w:cs="宋体" w:asciiTheme="minorHAnsi" w:hAnsiTheme="minorHAnsi"/>
                <w:szCs w:val="22"/>
                <w:lang w:val="en-US" w:eastAsia="zh-CN"/>
              </w:rPr>
              <w:t>5</w:t>
            </w:r>
          </w:p>
        </w:tc>
        <w:tc>
          <w:tcPr>
            <w:tcW w:w="4197" w:type="dxa"/>
            <w:tcBorders>
              <w:top w:val="single" w:color="000000" w:sz="8" w:space="0"/>
              <w:left w:val="single" w:color="000000" w:sz="8" w:space="0"/>
              <w:bottom w:val="single" w:color="000000" w:sz="8" w:space="0"/>
              <w:right w:val="single" w:color="000000" w:sz="8" w:space="0"/>
            </w:tcBorders>
            <w:vAlign w:val="top"/>
          </w:tcPr>
          <w:p w14:paraId="50C938E8">
            <w:pPr>
              <w:rPr>
                <w:rFonts w:ascii="宋体" w:hAnsi="宋体" w:cs="宋体"/>
                <w:szCs w:val="21"/>
              </w:rPr>
            </w:pPr>
            <w:r>
              <w:rPr>
                <w:rFonts w:hint="eastAsia" w:ascii="Times New Roman" w:hAnsi="Times New Roman" w:eastAsia="宋体" w:cs="宋体"/>
                <w:szCs w:val="21"/>
              </w:rPr>
              <w:t>投标人应如实填写《商务需求偏离表》，专家根据技术需求参数响应情况进行打分，各项技术参数指标及要求全部满足的得</w:t>
            </w:r>
            <w:r>
              <w:rPr>
                <w:rFonts w:hint="eastAsia" w:cs="宋体"/>
                <w:szCs w:val="21"/>
                <w:lang w:val="en-US" w:eastAsia="zh-CN"/>
              </w:rPr>
              <w:t>5</w:t>
            </w:r>
            <w:r>
              <w:rPr>
                <w:rFonts w:hint="eastAsia" w:ascii="Times New Roman" w:hAnsi="Times New Roman" w:eastAsia="宋体" w:cs="宋体"/>
                <w:szCs w:val="21"/>
              </w:rPr>
              <w:t>分，普通参数负偏离的每项扣</w:t>
            </w:r>
            <w:r>
              <w:rPr>
                <w:rFonts w:hint="eastAsia" w:cs="宋体"/>
                <w:szCs w:val="21"/>
                <w:lang w:val="en-US" w:eastAsia="zh-CN"/>
              </w:rPr>
              <w:t>1</w:t>
            </w:r>
            <w:r>
              <w:rPr>
                <w:rFonts w:hint="eastAsia" w:ascii="Times New Roman" w:hAnsi="Times New Roman" w:eastAsia="宋体" w:cs="宋体"/>
                <w:szCs w:val="21"/>
              </w:rPr>
              <w:t>分，扣完为止，可有正偏离但不加分（有“★”的条款为实质性条款，不参与评分）。</w:t>
            </w:r>
          </w:p>
        </w:tc>
      </w:tr>
      <w:tr w14:paraId="1E992E9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blCellSpacing w:w="0" w:type="dxa"/>
          <w:jc w:val="center"/>
        </w:trPr>
        <w:tc>
          <w:tcPr>
            <w:tcW w:w="681" w:type="dxa"/>
            <w:vMerge w:val="continue"/>
            <w:tcBorders>
              <w:left w:val="single" w:color="000000" w:sz="8" w:space="0"/>
              <w:bottom w:val="single" w:color="000000" w:sz="8" w:space="0"/>
              <w:right w:val="single" w:color="000000" w:sz="8" w:space="0"/>
            </w:tcBorders>
            <w:vAlign w:val="center"/>
          </w:tcPr>
          <w:p w14:paraId="7612FB65">
            <w:pPr>
              <w:widowControl/>
              <w:jc w:val="left"/>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tcPr>
          <w:p w14:paraId="11E2B597">
            <w:pPr>
              <w:wordWrap w:val="0"/>
              <w:jc w:val="center"/>
              <w:rPr>
                <w:szCs w:val="21"/>
              </w:rPr>
            </w:pPr>
            <w:r>
              <w:rPr>
                <w:rFonts w:hint="eastAsia"/>
                <w:szCs w:val="21"/>
              </w:rPr>
              <w:t>3</w:t>
            </w:r>
          </w:p>
        </w:tc>
        <w:tc>
          <w:tcPr>
            <w:tcW w:w="2504" w:type="dxa"/>
            <w:tcBorders>
              <w:top w:val="single" w:color="000000" w:sz="8" w:space="0"/>
              <w:left w:val="single" w:color="000000" w:sz="8" w:space="0"/>
              <w:bottom w:val="single" w:color="000000" w:sz="8" w:space="0"/>
              <w:right w:val="single" w:color="000000" w:sz="8" w:space="0"/>
            </w:tcBorders>
            <w:vAlign w:val="top"/>
          </w:tcPr>
          <w:p w14:paraId="7A540EDD">
            <w:pPr>
              <w:wordWrap w:val="0"/>
              <w:rPr>
                <w:szCs w:val="21"/>
              </w:rPr>
            </w:pPr>
            <w:r>
              <w:rPr>
                <w:szCs w:val="21"/>
              </w:rPr>
              <w:t>诚信情况</w:t>
            </w:r>
          </w:p>
          <w:p w14:paraId="200DA323">
            <w:pPr>
              <w:jc w:val="left"/>
              <w:rPr>
                <w:rFonts w:ascii="宋体" w:hAnsi="宋体"/>
                <w:szCs w:val="21"/>
              </w:rPr>
            </w:pPr>
          </w:p>
        </w:tc>
        <w:tc>
          <w:tcPr>
            <w:tcW w:w="1013" w:type="dxa"/>
            <w:tcBorders>
              <w:top w:val="single" w:color="000000" w:sz="8" w:space="0"/>
              <w:left w:val="single" w:color="000000" w:sz="8" w:space="0"/>
              <w:bottom w:val="single" w:color="000000" w:sz="8" w:space="0"/>
              <w:right w:val="single" w:color="000000" w:sz="8" w:space="0"/>
            </w:tcBorders>
            <w:vAlign w:val="top"/>
          </w:tcPr>
          <w:p w14:paraId="68DB0032">
            <w:pPr>
              <w:wordWrap w:val="0"/>
              <w:jc w:val="center"/>
              <w:rPr>
                <w:rFonts w:hint="eastAsia" w:eastAsia="宋体" w:cs="宋体" w:asciiTheme="minorHAnsi" w:hAnsiTheme="minorHAnsi"/>
                <w:szCs w:val="22"/>
                <w:lang w:val="en-US" w:eastAsia="zh-CN"/>
              </w:rPr>
            </w:pPr>
            <w:r>
              <w:rPr>
                <w:rFonts w:hint="eastAsia" w:cs="宋体" w:asciiTheme="minorHAnsi" w:hAnsiTheme="minorHAnsi"/>
                <w:szCs w:val="22"/>
                <w:lang w:val="en-US" w:eastAsia="zh-CN"/>
              </w:rPr>
              <w:t>5</w:t>
            </w:r>
          </w:p>
        </w:tc>
        <w:tc>
          <w:tcPr>
            <w:tcW w:w="4197" w:type="dxa"/>
            <w:tcBorders>
              <w:top w:val="single" w:color="000000" w:sz="8" w:space="0"/>
              <w:left w:val="single" w:color="000000" w:sz="8" w:space="0"/>
              <w:bottom w:val="single" w:color="000000" w:sz="8" w:space="0"/>
              <w:right w:val="single" w:color="000000" w:sz="8" w:space="0"/>
            </w:tcBorders>
            <w:vAlign w:val="top"/>
          </w:tcPr>
          <w:p w14:paraId="3A8BF5DB">
            <w:pPr>
              <w:pStyle w:val="16"/>
              <w:keepNext w:val="0"/>
              <w:keepLines w:val="0"/>
              <w:suppressLineNumbers w:val="0"/>
              <w:wordWrap w:val="0"/>
              <w:spacing w:before="0" w:beforeAutospacing="0" w:after="0" w:afterAutospacing="0" w:line="240" w:lineRule="auto"/>
              <w:ind w:left="0" w:right="0" w:firstLine="420" w:firstLineChars="200"/>
              <w:rPr>
                <w:rFonts w:hint="eastAsia" w:asciiTheme="minorEastAsia" w:hAnsiTheme="minorEastAsia" w:eastAsiaTheme="minorEastAsia" w:cstheme="minorEastAsia"/>
                <w:b w:val="0"/>
                <w:bCs w:val="0"/>
                <w:sz w:val="21"/>
                <w:szCs w:val="21"/>
                <w:lang w:eastAsia="zh-CN"/>
              </w:rPr>
            </w:pPr>
            <w:r>
              <w:rPr>
                <w:rFonts w:hint="eastAsia" w:asciiTheme="minorEastAsia" w:hAnsiTheme="minorEastAsia" w:eastAsiaTheme="minorEastAsia" w:cstheme="minorEastAsia"/>
                <w:b w:val="0"/>
                <w:bCs w:val="0"/>
                <w:sz w:val="21"/>
                <w:szCs w:val="21"/>
              </w:rPr>
              <w:t>投标人存在《深圳市财政局政府采购供应商信用信息管理办法》（深财规〔2023〕3号）列明的一般行政处罚信息、一般违法失信记录信息的，本项不得分，不存在上述情形的本项得</w:t>
            </w:r>
            <w:r>
              <w:rPr>
                <w:rFonts w:hint="eastAsia" w:asciiTheme="minorEastAsia" w:hAnsiTheme="minorEastAsia" w:cstheme="minorEastAsia"/>
                <w:b w:val="0"/>
                <w:bCs w:val="0"/>
                <w:sz w:val="21"/>
                <w:szCs w:val="21"/>
                <w:lang w:val="en-US" w:eastAsia="zh-CN"/>
              </w:rPr>
              <w:t>满</w:t>
            </w:r>
            <w:r>
              <w:rPr>
                <w:rFonts w:hint="eastAsia" w:asciiTheme="minorEastAsia" w:hAnsiTheme="minorEastAsia" w:eastAsiaTheme="minorEastAsia" w:cstheme="minorEastAsia"/>
                <w:b w:val="0"/>
                <w:bCs w:val="0"/>
                <w:sz w:val="21"/>
                <w:szCs w:val="21"/>
              </w:rPr>
              <w:t>分。投标人无需提供任何证明材料，评标过程中由工作人员向评审委员会提供有关供应商诚信查询结果。</w:t>
            </w:r>
          </w:p>
          <w:p w14:paraId="65D12B2D">
            <w:pPr>
              <w:wordWrap w:val="0"/>
              <w:rPr>
                <w:rFonts w:ascii="宋体" w:hAnsi="宋体" w:cs="宋体"/>
                <w:szCs w:val="21"/>
              </w:rPr>
            </w:pPr>
            <w:r>
              <w:rPr>
                <w:rFonts w:hint="eastAsia" w:asciiTheme="minorEastAsia" w:hAnsiTheme="minorEastAsia" w:eastAsiaTheme="minorEastAsia" w:cstheme="minorEastAsia"/>
                <w:b w:val="0"/>
                <w:bCs w:val="0"/>
                <w:sz w:val="21"/>
                <w:szCs w:val="21"/>
              </w:rPr>
              <w:t>查询渠道：通过“信用中国”（www.creditchina.gov.cn，下载信用信息报告）、“中国政府采购网”（www.ccgp.gov.cn）以及“深圳市政府采购监管网”（http://zfcg.sz.gov.cn）查询供应商信用信息，信用信息以开标当日的查询结果为准。</w:t>
            </w:r>
          </w:p>
        </w:tc>
      </w:tr>
    </w:tbl>
    <w:p w14:paraId="6FC0AFD2">
      <w:pPr>
        <w:rPr>
          <w:color w:val="000000"/>
        </w:rPr>
      </w:pPr>
    </w:p>
    <w:bookmarkEnd w:id="0"/>
    <w:p w14:paraId="71B2AF1A">
      <w:pPr>
        <w:rPr>
          <w:rFonts w:hint="eastAsia" w:ascii="黑体" w:hAnsi="黑体" w:eastAsia="黑体"/>
          <w:sz w:val="28"/>
          <w:szCs w:val="40"/>
        </w:rPr>
      </w:pPr>
      <w:r>
        <w:rPr>
          <w:rFonts w:hint="eastAsia" w:ascii="黑体" w:hAnsi="黑体" w:eastAsia="黑体"/>
          <w:sz w:val="28"/>
          <w:szCs w:val="40"/>
        </w:rPr>
        <w:br w:type="page"/>
      </w:r>
    </w:p>
    <w:p w14:paraId="3BB7D00D">
      <w:pPr>
        <w:pStyle w:val="30"/>
        <w:spacing w:before="280" w:after="280" w:line="320" w:lineRule="exact"/>
        <w:jc w:val="center"/>
        <w:outlineLvl w:val="1"/>
        <w:rPr>
          <w:rFonts w:ascii="黑体" w:hAnsi="黑体" w:eastAsia="黑体"/>
          <w:sz w:val="28"/>
          <w:szCs w:val="40"/>
        </w:rPr>
      </w:pPr>
      <w:r>
        <w:rPr>
          <w:rFonts w:hint="eastAsia" w:ascii="黑体" w:hAnsi="黑体" w:eastAsia="黑体"/>
          <w:sz w:val="28"/>
          <w:szCs w:val="40"/>
        </w:rPr>
        <w:t>定标方法</w:t>
      </w:r>
    </w:p>
    <w:p w14:paraId="76B08484">
      <w:pPr>
        <w:jc w:val="center"/>
      </w:pPr>
      <w:r>
        <w:rPr>
          <w:rFonts w:hint="eastAsia"/>
          <w:b/>
        </w:rPr>
        <w:t>非评定分离项目</w:t>
      </w:r>
    </w:p>
    <w:tbl>
      <w:tblPr>
        <w:tblStyle w:val="35"/>
        <w:tblW w:w="87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4"/>
        <w:gridCol w:w="5909"/>
      </w:tblGrid>
      <w:tr w14:paraId="24904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vAlign w:val="center"/>
          </w:tcPr>
          <w:p w14:paraId="679081C6">
            <w:pPr>
              <w:jc w:val="center"/>
              <w:rPr>
                <w:b/>
                <w:bCs/>
              </w:rPr>
            </w:pPr>
            <w:r>
              <w:rPr>
                <w:rFonts w:hint="eastAsia"/>
                <w:b/>
                <w:bCs/>
              </w:rPr>
              <w:t>评标方法</w:t>
            </w:r>
          </w:p>
        </w:tc>
        <w:tc>
          <w:tcPr>
            <w:tcW w:w="5909" w:type="dxa"/>
            <w:vAlign w:val="center"/>
          </w:tcPr>
          <w:p w14:paraId="1F45F4A3">
            <w:pPr>
              <w:jc w:val="center"/>
              <w:rPr>
                <w:rFonts w:hint="default" w:eastAsia="宋体"/>
                <w:b/>
                <w:bCs/>
                <w:lang w:val="en-US" w:eastAsia="zh-CN"/>
              </w:rPr>
            </w:pPr>
            <w:r>
              <w:rPr>
                <w:rFonts w:hint="eastAsia"/>
                <w:b/>
                <w:bCs/>
              </w:rPr>
              <w:t>综合评分法</w:t>
            </w:r>
          </w:p>
        </w:tc>
      </w:tr>
      <w:tr w14:paraId="722AF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2844" w:type="dxa"/>
            <w:vAlign w:val="center"/>
          </w:tcPr>
          <w:p w14:paraId="039C32D5">
            <w:pPr>
              <w:jc w:val="center"/>
            </w:pPr>
            <w:r>
              <w:rPr>
                <w:rFonts w:hint="eastAsia"/>
              </w:rPr>
              <w:t>候选中标供应商家数</w:t>
            </w:r>
          </w:p>
        </w:tc>
        <w:tc>
          <w:tcPr>
            <w:tcW w:w="5909" w:type="dxa"/>
            <w:vAlign w:val="center"/>
          </w:tcPr>
          <w:p w14:paraId="5875D1B9">
            <w:pPr>
              <w:jc w:val="center"/>
              <w:rPr>
                <w:rFonts w:hint="default" w:eastAsia="宋体"/>
                <w:lang w:val="en-US" w:eastAsia="zh-CN"/>
              </w:rPr>
            </w:pPr>
            <w:r>
              <w:rPr>
                <w:rFonts w:hint="eastAsia"/>
              </w:rPr>
              <w:t>1</w:t>
            </w:r>
          </w:p>
        </w:tc>
      </w:tr>
      <w:tr w14:paraId="6254C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4" w:type="dxa"/>
            <w:vAlign w:val="center"/>
          </w:tcPr>
          <w:p w14:paraId="0EA367C1">
            <w:pPr>
              <w:jc w:val="center"/>
            </w:pPr>
            <w:r>
              <w:rPr>
                <w:rFonts w:hint="eastAsia"/>
              </w:rPr>
              <w:t>中标供应商家数</w:t>
            </w:r>
          </w:p>
        </w:tc>
        <w:tc>
          <w:tcPr>
            <w:tcW w:w="5909" w:type="dxa"/>
            <w:vAlign w:val="center"/>
          </w:tcPr>
          <w:p w14:paraId="3141FE42">
            <w:pPr>
              <w:jc w:val="center"/>
            </w:pPr>
            <w:r>
              <w:rPr>
                <w:rFonts w:hint="eastAsia"/>
              </w:rPr>
              <w:t>1</w:t>
            </w:r>
          </w:p>
        </w:tc>
      </w:tr>
    </w:tbl>
    <w:p w14:paraId="59F72E58">
      <w:pPr>
        <w:keepNext w:val="0"/>
        <w:keepLines w:val="0"/>
        <w:pageBreakBefore w:val="0"/>
        <w:widowControl w:val="0"/>
        <w:kinsoku/>
        <w:wordWrap/>
        <w:overflowPunct/>
        <w:topLinePunct w:val="0"/>
        <w:autoSpaceDE/>
        <w:autoSpaceDN/>
        <w:bidi w:val="0"/>
        <w:adjustRightInd/>
        <w:snapToGrid/>
        <w:spacing w:line="240" w:lineRule="auto"/>
        <w:ind w:firstLine="411" w:firstLineChars="196"/>
        <w:textAlignment w:val="auto"/>
        <w:rPr>
          <w:rFonts w:ascii="宋体" w:hAnsi="宋体" w:cs="宋体"/>
          <w:kern w:val="0"/>
          <w:szCs w:val="21"/>
        </w:rPr>
      </w:pPr>
      <w:r>
        <w:rPr>
          <w:rFonts w:hint="eastAsia" w:ascii="宋体" w:hAnsi="宋体" w:cs="宋体"/>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唯一中标候选人。中标候选人并列的，采取随机抽取的方式确定，具体操作办法及流程由评标委员会确定。</w:t>
      </w:r>
      <w:r>
        <w:rPr>
          <w:rFonts w:hint="eastAsia" w:ascii="宋体" w:hAnsi="宋体" w:cs="宋体"/>
          <w:color w:val="FF0000"/>
          <w:kern w:val="0"/>
          <w:szCs w:val="21"/>
        </w:rPr>
        <w:t>如唯一候选中标供应商被认定投标或中标无效，采购人应当重新开展采购活动。</w:t>
      </w:r>
    </w:p>
    <w:p w14:paraId="5384BA00">
      <w:pPr>
        <w:pStyle w:val="33"/>
        <w:ind w:left="0" w:leftChars="0" w:firstLine="0" w:firstLineChars="0"/>
      </w:pPr>
    </w:p>
    <w:p w14:paraId="40B2FA46">
      <w:pPr>
        <w:spacing w:line="320" w:lineRule="exact"/>
      </w:pPr>
    </w:p>
    <w:p w14:paraId="0CA9D30D">
      <w:pPr>
        <w:pStyle w:val="2"/>
        <w:rPr>
          <w:rFonts w:hint="eastAsia" w:ascii="宋体" w:hAnsi="宋体" w:cs="Times New Roman"/>
        </w:rPr>
      </w:pPr>
      <w:r>
        <w:rPr>
          <w:rFonts w:hint="eastAsia" w:ascii="宋体" w:hAnsi="宋体" w:cs="Times New Roman"/>
        </w:rPr>
        <w:t>第一册  招标项目需求</w:t>
      </w:r>
    </w:p>
    <w:p w14:paraId="06373880">
      <w:pPr>
        <w:keepNext/>
        <w:keepLines/>
        <w:adjustRightInd w:val="0"/>
        <w:spacing w:before="260" w:after="260"/>
        <w:jc w:val="center"/>
        <w:outlineLvl w:val="1"/>
        <w:rPr>
          <w:rFonts w:ascii="宋体" w:hAnsi="宋体" w:cs="宋体"/>
          <w:b/>
          <w:bCs/>
          <w:kern w:val="0"/>
          <w:sz w:val="24"/>
          <w:szCs w:val="20"/>
        </w:rPr>
      </w:pPr>
      <w:r>
        <w:rPr>
          <w:rFonts w:hint="eastAsia" w:ascii="宋体" w:hAnsi="宋体" w:cs="宋体"/>
          <w:b/>
          <w:bCs/>
          <w:kern w:val="0"/>
          <w:sz w:val="24"/>
          <w:szCs w:val="20"/>
        </w:rPr>
        <w:t>第一章  招标公告</w:t>
      </w:r>
    </w:p>
    <w:p w14:paraId="43CCB180">
      <w:pPr>
        <w:ind w:firstLine="482" w:firstLineChars="200"/>
        <w:rPr>
          <w:rFonts w:cs="宋体" w:asciiTheme="minorEastAsia" w:hAnsiTheme="minorEastAsia" w:eastAsiaTheme="minorEastAsia"/>
          <w:kern w:val="0"/>
        </w:rPr>
      </w:pPr>
      <w:r>
        <w:rPr>
          <w:rFonts w:hint="eastAsia" w:ascii="宋体" w:hAnsi="宋体" w:cs="宋体"/>
          <w:b/>
          <w:color w:val="FF0000"/>
          <w:kern w:val="0"/>
          <w:sz w:val="24"/>
          <w:szCs w:val="21"/>
        </w:rPr>
        <w:t>投标供应商资格要求：（投标人应按资格要求提供相关证明文件，</w:t>
      </w:r>
      <w:r>
        <w:rPr>
          <w:rFonts w:hint="eastAsia" w:ascii="宋体" w:hAnsi="宋体" w:cs="宋体"/>
          <w:b/>
          <w:color w:val="FF0000"/>
          <w:kern w:val="0"/>
          <w:sz w:val="24"/>
          <w:szCs w:val="21"/>
          <w:highlight w:val="yellow"/>
        </w:rPr>
        <w:t>如供应商资格审查不通过，不得参与本次自行采购活动</w:t>
      </w:r>
      <w:r>
        <w:rPr>
          <w:rFonts w:hint="eastAsia" w:ascii="宋体" w:hAnsi="宋体" w:cs="宋体"/>
          <w:b/>
          <w:color w:val="FF0000"/>
          <w:kern w:val="0"/>
          <w:sz w:val="24"/>
          <w:szCs w:val="21"/>
        </w:rPr>
        <w:t>）</w:t>
      </w:r>
    </w:p>
    <w:p w14:paraId="6DB0135F">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1</w:t>
      </w:r>
      <w:r>
        <w:rPr>
          <w:rFonts w:hint="eastAsia" w:cs="宋体" w:asciiTheme="minorEastAsia" w:hAnsiTheme="minorEastAsia" w:eastAsiaTheme="minorEastAsia"/>
          <w:kern w:val="0"/>
          <w:lang w:val="en-US" w:eastAsia="zh-CN"/>
        </w:rPr>
        <w:t>.</w:t>
      </w:r>
      <w:r>
        <w:rPr>
          <w:rFonts w:hint="eastAsia" w:cs="宋体" w:asciiTheme="minorEastAsia" w:hAnsiTheme="minorEastAsia" w:eastAsiaTheme="minorEastAsia"/>
          <w:kern w:val="0"/>
        </w:rPr>
        <w:t>具有独立承担民事责任的能力（提供营业执照或事业单位法人证书等证明资料扫描件，原件备查，分支机构参与投标的，须同时提供总部授权文件且授权书载明其民事责任由总公司承担）；</w:t>
      </w:r>
    </w:p>
    <w:p w14:paraId="3BC79482">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color w:val="FF0000"/>
          <w:kern w:val="0"/>
          <w:lang w:eastAsia="zh-CN"/>
        </w:rPr>
      </w:pPr>
      <w:r>
        <w:rPr>
          <w:rFonts w:hint="eastAsia" w:cs="宋体" w:asciiTheme="minorEastAsia" w:hAnsiTheme="minorEastAsia" w:eastAsiaTheme="minorEastAsia"/>
          <w:color w:val="FF0000"/>
          <w:kern w:val="0"/>
        </w:rPr>
        <w:t>2.本项目</w:t>
      </w:r>
      <w:r>
        <w:rPr>
          <w:rFonts w:hint="eastAsia" w:ascii="宋体" w:hAnsi="宋体" w:cs="宋体"/>
          <w:color w:val="FF0000"/>
          <w:kern w:val="0"/>
          <w:szCs w:val="21"/>
        </w:rPr>
        <w:sym w:font="Wingdings" w:char="00FE"/>
      </w:r>
      <w:r>
        <w:rPr>
          <w:rFonts w:hint="eastAsia" w:cs="宋体" w:asciiTheme="minorEastAsia" w:hAnsiTheme="minorEastAsia" w:eastAsiaTheme="minorEastAsia"/>
          <w:color w:val="FF0000"/>
          <w:kern w:val="0"/>
        </w:rPr>
        <w:t>不接受/</w:t>
      </w:r>
      <w:r>
        <w:rPr>
          <w:rFonts w:hint="eastAsia" w:ascii="宋体" w:hAnsi="宋体" w:cs="宋体"/>
          <w:color w:val="FF0000"/>
          <w:kern w:val="0"/>
          <w:szCs w:val="21"/>
        </w:rPr>
        <w:sym w:font="Wingdings" w:char="00A8"/>
      </w:r>
      <w:r>
        <w:rPr>
          <w:rFonts w:hint="eastAsia" w:cs="宋体" w:asciiTheme="minorEastAsia" w:hAnsiTheme="minorEastAsia" w:eastAsiaTheme="minorEastAsia"/>
          <w:color w:val="FF0000"/>
          <w:kern w:val="0"/>
        </w:rPr>
        <w:t>接受联合体投标，</w:t>
      </w:r>
      <w:r>
        <w:rPr>
          <w:rFonts w:hint="eastAsia" w:ascii="宋体" w:hAnsi="宋体" w:cs="宋体"/>
          <w:color w:val="FF0000"/>
          <w:kern w:val="0"/>
          <w:szCs w:val="21"/>
        </w:rPr>
        <w:sym w:font="Wingdings" w:char="00FE"/>
      </w:r>
      <w:r>
        <w:rPr>
          <w:rFonts w:hint="eastAsia" w:cs="宋体" w:asciiTheme="minorEastAsia" w:hAnsiTheme="minorEastAsia" w:eastAsiaTheme="minorEastAsia"/>
          <w:color w:val="FF0000"/>
          <w:kern w:val="0"/>
        </w:rPr>
        <w:t>不允许/</w:t>
      </w:r>
      <w:r>
        <w:rPr>
          <w:rFonts w:hint="eastAsia" w:ascii="宋体" w:hAnsi="宋体" w:cs="宋体"/>
          <w:color w:val="FF0000"/>
          <w:kern w:val="0"/>
          <w:szCs w:val="21"/>
        </w:rPr>
        <w:sym w:font="Wingdings" w:char="00A8"/>
      </w:r>
      <w:r>
        <w:rPr>
          <w:rFonts w:hint="eastAsia" w:cs="宋体" w:asciiTheme="minorEastAsia" w:hAnsiTheme="minorEastAsia" w:eastAsiaTheme="minorEastAsia"/>
          <w:color w:val="FF0000"/>
          <w:kern w:val="0"/>
        </w:rPr>
        <w:t>允许非主体非关键性工作分包，禁止转包，是否允许投标人选用进口产品参与投标以招标文件“第</w:t>
      </w:r>
      <w:r>
        <w:rPr>
          <w:rFonts w:hint="eastAsia" w:cs="宋体" w:asciiTheme="minorEastAsia" w:hAnsiTheme="minorEastAsia" w:eastAsiaTheme="minorEastAsia"/>
          <w:color w:val="FF0000"/>
          <w:kern w:val="0"/>
          <w:lang w:val="en-US" w:eastAsia="zh-CN"/>
        </w:rPr>
        <w:t>二</w:t>
      </w:r>
      <w:r>
        <w:rPr>
          <w:rFonts w:hint="eastAsia" w:cs="宋体" w:asciiTheme="minorEastAsia" w:hAnsiTheme="minorEastAsia" w:eastAsiaTheme="minorEastAsia"/>
          <w:color w:val="FF0000"/>
          <w:kern w:val="0"/>
        </w:rPr>
        <w:t xml:space="preserve">章 </w:t>
      </w:r>
      <w:r>
        <w:rPr>
          <w:rFonts w:hint="eastAsia" w:cs="宋体" w:asciiTheme="minorEastAsia" w:hAnsiTheme="minorEastAsia" w:eastAsiaTheme="minorEastAsia"/>
          <w:color w:val="FF0000"/>
          <w:kern w:val="0"/>
          <w:lang w:val="en-US" w:eastAsia="zh-CN"/>
        </w:rPr>
        <w:t>项目</w:t>
      </w:r>
      <w:r>
        <w:rPr>
          <w:rFonts w:hint="eastAsia" w:cs="宋体" w:asciiTheme="minorEastAsia" w:hAnsiTheme="minorEastAsia" w:eastAsiaTheme="minorEastAsia"/>
          <w:color w:val="FF0000"/>
          <w:kern w:val="0"/>
        </w:rPr>
        <w:t>需求书”为准（由供应商在《政府采购投标及履约承诺函》中作出声明）</w:t>
      </w:r>
      <w:r>
        <w:rPr>
          <w:rFonts w:hint="eastAsia" w:cs="宋体" w:asciiTheme="minorEastAsia" w:hAnsiTheme="minorEastAsia" w:eastAsiaTheme="minorEastAsia"/>
          <w:color w:val="FF0000"/>
          <w:kern w:val="0"/>
          <w:lang w:eastAsia="zh-CN"/>
        </w:rPr>
        <w:t>；</w:t>
      </w:r>
    </w:p>
    <w:p w14:paraId="77C48169">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3、参与本项目政府采购活动时不存在被有关部门禁止参与政府采购活动且在有效期内的情况（由供应商在《政府采购投标及履约承诺函》中作出声明）；</w:t>
      </w:r>
    </w:p>
    <w:p w14:paraId="48AE98C2">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4.具备《中华人民共和国政府采购法》第二十二条第一款的条件（由供应商在《政府采购投标及履约承诺函》中作出声明）；</w:t>
      </w:r>
    </w:p>
    <w:p w14:paraId="770DA7CD">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5.未被列入失信被执行人、重大税收违法案件当事人名单、政府采购严重违法失信行为记录名单（由供应商在《政府采购投标及履约承诺函》中作出声明）；</w:t>
      </w:r>
    </w:p>
    <w:p w14:paraId="19DFE83D">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6.不存在《深圳市财政局政府采购供应商信用信息管理办法》（深财规〔2023〕3号）列明的严重违法失信行为（由供应商在《政府采购投标及履约承诺函》中作出声明）；</w:t>
      </w:r>
    </w:p>
    <w:p w14:paraId="49AC149B">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7.为采购项目提供整体设计、规范编制或者项目管理、监理、检测等服务的供应商，不得再参加该采购项目的其他采购活动（由供应商在《政府采购投标及履约承诺函》中作出声明）；</w:t>
      </w:r>
    </w:p>
    <w:p w14:paraId="6CF709BE">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cs="宋体" w:asciiTheme="minorEastAsia" w:hAnsiTheme="minorEastAsia" w:eastAsiaTheme="minorEastAsia"/>
          <w:kern w:val="0"/>
        </w:rPr>
      </w:pPr>
      <w:r>
        <w:rPr>
          <w:rFonts w:hint="eastAsia" w:cs="宋体" w:asciiTheme="minorEastAsia" w:hAnsiTheme="minorEastAsia" w:eastAsiaTheme="minorEastAsia"/>
          <w:kern w:val="0"/>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p>
    <w:p w14:paraId="13E93DFB">
      <w:pPr>
        <w:keepNext w:val="0"/>
        <w:keepLines w:val="0"/>
        <w:pageBreakBefore w:val="0"/>
        <w:kinsoku/>
        <w:overflowPunct/>
        <w:topLinePunct w:val="0"/>
        <w:autoSpaceDE/>
        <w:autoSpaceDN/>
        <w:bidi w:val="0"/>
        <w:adjustRightInd/>
        <w:snapToGrid/>
        <w:spacing w:line="240" w:lineRule="auto"/>
        <w:ind w:firstLine="420" w:firstLineChars="200"/>
        <w:textAlignment w:val="auto"/>
        <w:rPr>
          <w:rFonts w:hint="eastAsia"/>
        </w:rPr>
      </w:pPr>
      <w:r>
        <w:rPr>
          <w:rFonts w:hint="eastAsia" w:ascii="宋体" w:hAnsi="宋体" w:cs="宋体"/>
          <w:kern w:val="0"/>
          <w:szCs w:val="21"/>
          <w:lang w:val="en-US" w:eastAsia="zh-CN"/>
        </w:rPr>
        <w:t>9.</w:t>
      </w:r>
      <w:r>
        <w:rPr>
          <w:rFonts w:hint="eastAsia" w:ascii="宋体" w:hAnsi="宋体" w:cs="宋体"/>
          <w:kern w:val="0"/>
          <w:szCs w:val="21"/>
        </w:rPr>
        <w:t>本项目</w:t>
      </w:r>
      <w:r>
        <w:rPr>
          <w:rFonts w:hint="eastAsia" w:ascii="宋体" w:hAnsi="宋体" w:cs="宋体"/>
          <w:kern w:val="0"/>
          <w:szCs w:val="21"/>
          <w:lang w:val="en-US" w:eastAsia="zh-CN"/>
        </w:rPr>
        <w:t>全部</w:t>
      </w:r>
      <w:r>
        <w:rPr>
          <w:rFonts w:hint="eastAsia" w:ascii="宋体" w:hAnsi="宋体" w:cs="宋体"/>
          <w:kern w:val="0"/>
          <w:szCs w:val="21"/>
        </w:rPr>
        <w:t>专门面向中小企业采购：</w:t>
      </w:r>
      <w:r>
        <w:rPr>
          <w:rFonts w:hint="eastAsia" w:ascii="宋体" w:hAnsi="宋体" w:cs="宋体"/>
          <w:kern w:val="0"/>
          <w:szCs w:val="21"/>
        </w:rPr>
        <w:sym w:font="Wingdings" w:char="00A8"/>
      </w:r>
      <w:r>
        <w:rPr>
          <w:rFonts w:hint="eastAsia" w:ascii="宋体" w:hAnsi="宋体" w:cs="宋体"/>
          <w:kern w:val="0"/>
          <w:szCs w:val="21"/>
        </w:rPr>
        <w:t>是，</w:t>
      </w:r>
      <w:r>
        <w:rPr>
          <w:rFonts w:hint="eastAsia" w:ascii="宋体" w:hAnsi="宋体" w:cs="宋体"/>
          <w:kern w:val="0"/>
          <w:szCs w:val="21"/>
          <w:lang w:val="en-US" w:eastAsia="zh-CN"/>
        </w:rPr>
        <w:t>本项目的承接服务商为</w:t>
      </w:r>
      <w:r>
        <w:rPr>
          <w:rFonts w:hint="eastAsia" w:ascii="宋体" w:hAnsi="宋体" w:cs="宋体"/>
          <w:kern w:val="0"/>
          <w:szCs w:val="21"/>
        </w:rPr>
        <w:t>符合政策要求的中小微企业、残疾人福利性</w:t>
      </w:r>
      <w:r>
        <w:rPr>
          <w:rFonts w:hint="eastAsia" w:ascii="宋体" w:hAnsi="宋体" w:cs="宋体"/>
          <w:kern w:val="0"/>
          <w:szCs w:val="21"/>
          <w:lang w:val="en-US" w:eastAsia="zh-CN"/>
        </w:rPr>
        <w:t>单位或</w:t>
      </w:r>
      <w:r>
        <w:rPr>
          <w:rFonts w:hint="eastAsia" w:ascii="宋体" w:hAnsi="宋体" w:cs="宋体"/>
          <w:kern w:val="0"/>
          <w:szCs w:val="21"/>
        </w:rPr>
        <w:t>监狱企业（由供应商在《中小企业声明函、残疾人福利性单位声明函及监狱企业声明函》中作出声明</w:t>
      </w:r>
      <w:r>
        <w:rPr>
          <w:rFonts w:hint="eastAsia" w:ascii="宋体" w:hAnsi="宋体" w:cs="宋体"/>
          <w:kern w:val="0"/>
          <w:szCs w:val="21"/>
          <w:lang w:eastAsia="zh-CN"/>
        </w:rPr>
        <w:t>；</w:t>
      </w:r>
      <w:r>
        <w:rPr>
          <w:rFonts w:hint="eastAsia" w:ascii="宋体" w:hAnsi="宋体" w:cs="宋体"/>
          <w:kern w:val="0"/>
          <w:szCs w:val="21"/>
          <w:lang w:val="en-US" w:eastAsia="zh-CN"/>
        </w:rPr>
        <w:t>未提供声明函或声明函不符合“填写指引”的，按资格审查不通过处理</w:t>
      </w:r>
      <w:r>
        <w:rPr>
          <w:rFonts w:hint="eastAsia" w:ascii="宋体" w:hAnsi="宋体" w:cs="宋体"/>
          <w:kern w:val="0"/>
          <w:szCs w:val="21"/>
        </w:rPr>
        <w:t>）；</w:t>
      </w:r>
      <w:r>
        <w:rPr>
          <w:rFonts w:hint="eastAsia" w:ascii="宋体" w:hAnsi="宋体" w:cs="宋体"/>
          <w:kern w:val="0"/>
          <w:szCs w:val="21"/>
        </w:rPr>
        <w:sym w:font="Wingdings" w:char="00FE"/>
      </w:r>
      <w:r>
        <w:rPr>
          <w:rFonts w:hint="eastAsia" w:ascii="宋体" w:hAnsi="宋体" w:cs="宋体"/>
          <w:kern w:val="0"/>
          <w:szCs w:val="21"/>
        </w:rPr>
        <w:t>否</w:t>
      </w:r>
      <w:r>
        <w:rPr>
          <w:rFonts w:hint="eastAsia" w:ascii="宋体" w:hAnsi="宋体" w:cs="宋体"/>
          <w:kern w:val="0"/>
          <w:szCs w:val="21"/>
          <w:lang w:eastAsia="zh-CN"/>
        </w:rPr>
        <w:t>。</w:t>
      </w:r>
    </w:p>
    <w:p w14:paraId="1BD3C6DD">
      <w:pPr>
        <w:keepNext w:val="0"/>
        <w:keepLines w:val="0"/>
        <w:pageBreakBefore w:val="0"/>
        <w:widowControl/>
        <w:kinsoku/>
        <w:overflowPunct/>
        <w:topLinePunct w:val="0"/>
        <w:autoSpaceDE/>
        <w:autoSpaceDN/>
        <w:bidi w:val="0"/>
        <w:adjustRightInd/>
        <w:snapToGrid/>
        <w:spacing w:line="240" w:lineRule="auto"/>
        <w:ind w:firstLine="420" w:firstLineChars="200"/>
        <w:jc w:val="left"/>
        <w:textAlignment w:val="auto"/>
        <w:rPr>
          <w:rFonts w:hint="eastAsia" w:ascii="宋体" w:hAnsi="宋体"/>
        </w:rPr>
      </w:pPr>
      <w:r>
        <w:rPr>
          <w:rFonts w:hint="eastAsia" w:ascii="宋体" w:hAnsi="宋体" w:cs="宋体"/>
          <w:kern w:val="0"/>
          <w:szCs w:val="21"/>
        </w:rPr>
        <w:t>注：</w:t>
      </w:r>
      <w:r>
        <w:rPr>
          <w:rFonts w:hint="eastAsia" w:ascii="宋体" w:hAnsi="宋体"/>
        </w:rPr>
        <w:t>（1）“信用中国”（www.creditchina.gov.cn，查询“信用服务”栏的“重大税收违法失信主体”“失信被执行人”或者下载信用信息报告），“中国政府采购网”（www.ccgp.gov.cn）中的“政府采购严重违法失信行为记录名单”，“深圳市政府采购监管网”（http://zfcg.sz.gov.cn）以及财政部门认可的“供应商诚信档案库”为供应商信用信息的查询渠道，相关信息以开标当日的查询结果为准；</w:t>
      </w:r>
      <w:bookmarkStart w:id="4" w:name="OLE_LINK27"/>
    </w:p>
    <w:p w14:paraId="531C6093">
      <w:pPr>
        <w:keepNext w:val="0"/>
        <w:keepLines w:val="0"/>
        <w:pageBreakBefore w:val="0"/>
        <w:widowControl/>
        <w:kinsoku/>
        <w:overflowPunct/>
        <w:topLinePunct w:val="0"/>
        <w:autoSpaceDE/>
        <w:autoSpaceDN/>
        <w:bidi w:val="0"/>
        <w:adjustRightInd/>
        <w:snapToGrid/>
        <w:spacing w:line="240" w:lineRule="auto"/>
        <w:ind w:firstLine="420" w:firstLineChars="200"/>
        <w:jc w:val="left"/>
        <w:textAlignment w:val="auto"/>
        <w:rPr>
          <w:rFonts w:ascii="宋体" w:hAnsi="宋体" w:cs="宋体"/>
          <w:b/>
          <w:color w:val="FF0000"/>
          <w:kern w:val="0"/>
          <w:szCs w:val="21"/>
          <w:highlight w:val="yellow"/>
        </w:rPr>
      </w:pPr>
      <w:r>
        <w:rPr>
          <w:rFonts w:hint="eastAsia" w:ascii="宋体" w:hAnsi="宋体"/>
          <w:lang w:eastAsia="zh-CN"/>
        </w:rPr>
        <w:t>（</w:t>
      </w:r>
      <w:r>
        <w:rPr>
          <w:rFonts w:hint="eastAsia" w:ascii="宋体" w:hAnsi="宋体"/>
          <w:lang w:val="en-US" w:eastAsia="zh-CN"/>
        </w:rPr>
        <w:t>2</w:t>
      </w:r>
      <w:r>
        <w:rPr>
          <w:rFonts w:hint="eastAsia" w:ascii="宋体" w:hAnsi="宋体"/>
          <w:lang w:eastAsia="zh-CN"/>
        </w:rPr>
        <w:t>）</w:t>
      </w:r>
      <w:r>
        <w:rPr>
          <w:rFonts w:hint="eastAsia"/>
        </w:rPr>
        <w:t>供应商参与投标（响应）必须先行办理注册手续。如果是未注册为深圳政府采购的供应商，请访问深圳公共资源交易中心（统一用户中心 https://trade.szggzy.com/ggzy/center/#/login）,先办理注册手续（注册咨询：0755-36568999）,再进行投标报名。</w:t>
      </w:r>
      <w:bookmarkEnd w:id="4"/>
    </w:p>
    <w:p w14:paraId="56150FC9">
      <w:pPr>
        <w:jc w:val="left"/>
        <w:rPr>
          <w:sz w:val="24"/>
        </w:rPr>
      </w:pPr>
      <w:r>
        <w:rPr>
          <w:rFonts w:hint="eastAsia"/>
          <w:b/>
          <w:sz w:val="22"/>
          <w:szCs w:val="18"/>
        </w:rPr>
        <w:t>完整公告内容详见：</w:t>
      </w:r>
      <w:bookmarkStart w:id="5" w:name="OLE_LINK3"/>
      <w:r>
        <w:rPr>
          <w:rFonts w:hint="eastAsia"/>
          <w:b/>
          <w:color w:val="FF0000"/>
          <w:sz w:val="22"/>
          <w:szCs w:val="18"/>
        </w:rPr>
        <w:t>深圳交易集团罗湖分公司官网https://lh.szexgrp.com/jyfw/zfcg-view.html?id=zfcg</w:t>
      </w:r>
      <w:bookmarkEnd w:id="5"/>
      <w:r>
        <w:rPr>
          <w:sz w:val="24"/>
        </w:rPr>
        <w:br w:type="page"/>
      </w:r>
    </w:p>
    <w:p w14:paraId="1BFEC361">
      <w:pPr>
        <w:pStyle w:val="5"/>
      </w:pPr>
      <w:bookmarkStart w:id="6" w:name="_Toc194467277"/>
      <w:r>
        <w:rPr>
          <w:rFonts w:hint="eastAsia"/>
        </w:rPr>
        <w:t xml:space="preserve">第二章  </w:t>
      </w:r>
      <w:bookmarkStart w:id="7" w:name="OLE_LINK14"/>
      <w:r>
        <w:rPr>
          <w:rFonts w:hint="eastAsia"/>
        </w:rPr>
        <w:t>项目需求书</w:t>
      </w:r>
      <w:bookmarkEnd w:id="6"/>
      <w:bookmarkEnd w:id="7"/>
    </w:p>
    <w:p w14:paraId="72574D74">
      <w:pPr>
        <w:pStyle w:val="3"/>
        <w:jc w:val="center"/>
        <w:rPr>
          <w:rFonts w:ascii="黑体" w:eastAsia="黑体"/>
          <w:b w:val="0"/>
          <w:kern w:val="0"/>
          <w:sz w:val="24"/>
        </w:rPr>
      </w:pPr>
      <w:bookmarkStart w:id="8" w:name="_Toc128884461"/>
      <w:bookmarkStart w:id="9" w:name="_Toc194467278"/>
      <w:r>
        <w:rPr>
          <w:rFonts w:hint="eastAsia" w:ascii="黑体" w:eastAsia="黑体"/>
          <w:b w:val="0"/>
          <w:kern w:val="0"/>
          <w:sz w:val="24"/>
        </w:rPr>
        <w:t>一、</w:t>
      </w:r>
      <w:bookmarkEnd w:id="8"/>
      <w:r>
        <w:rPr>
          <w:rFonts w:hint="eastAsia" w:ascii="黑体" w:eastAsia="黑体"/>
          <w:b w:val="0"/>
          <w:kern w:val="0"/>
          <w:sz w:val="24"/>
        </w:rPr>
        <w:t>货物技术要求</w:t>
      </w:r>
      <w:bookmarkEnd w:id="9"/>
    </w:p>
    <w:p w14:paraId="6C8B9A98">
      <w:pPr>
        <w:pStyle w:val="4"/>
        <w:jc w:val="center"/>
        <w:rPr>
          <w:b w:val="0"/>
          <w:color w:val="000000"/>
          <w:sz w:val="24"/>
        </w:rPr>
      </w:pPr>
      <w:bookmarkStart w:id="10" w:name="OLE_LINK9"/>
      <w:bookmarkStart w:id="11" w:name="_Toc128884464"/>
      <w:r>
        <w:rPr>
          <w:rFonts w:hint="eastAsia"/>
          <w:b w:val="0"/>
          <w:color w:val="000000"/>
          <w:sz w:val="24"/>
        </w:rPr>
        <w:t>（一）货物清单需求</w:t>
      </w:r>
    </w:p>
    <w:bookmarkEnd w:id="10"/>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2793"/>
        <w:gridCol w:w="2137"/>
        <w:gridCol w:w="517"/>
        <w:gridCol w:w="617"/>
        <w:gridCol w:w="1566"/>
      </w:tblGrid>
      <w:tr w14:paraId="3F3F1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52" w:type="dxa"/>
            <w:vAlign w:val="center"/>
          </w:tcPr>
          <w:p w14:paraId="330FACED">
            <w:pPr>
              <w:jc w:val="center"/>
              <w:rPr>
                <w:bCs/>
                <w:szCs w:val="21"/>
              </w:rPr>
            </w:pPr>
            <w:r>
              <w:rPr>
                <w:rFonts w:hint="eastAsia"/>
                <w:bCs/>
                <w:szCs w:val="21"/>
              </w:rPr>
              <w:t>序号</w:t>
            </w:r>
          </w:p>
        </w:tc>
        <w:tc>
          <w:tcPr>
            <w:tcW w:w="2793" w:type="dxa"/>
            <w:vAlign w:val="center"/>
          </w:tcPr>
          <w:p w14:paraId="01B530A3">
            <w:pPr>
              <w:jc w:val="center"/>
              <w:rPr>
                <w:bCs/>
                <w:szCs w:val="21"/>
                <w:highlight w:val="green"/>
              </w:rPr>
            </w:pPr>
            <w:r>
              <w:rPr>
                <w:rFonts w:hint="eastAsia"/>
                <w:bCs/>
                <w:szCs w:val="21"/>
              </w:rPr>
              <w:t>采购单位</w:t>
            </w:r>
          </w:p>
        </w:tc>
        <w:tc>
          <w:tcPr>
            <w:tcW w:w="2137" w:type="dxa"/>
            <w:vAlign w:val="center"/>
          </w:tcPr>
          <w:p w14:paraId="4889F600">
            <w:pPr>
              <w:jc w:val="center"/>
              <w:rPr>
                <w:bCs/>
                <w:szCs w:val="21"/>
              </w:rPr>
            </w:pPr>
            <w:r>
              <w:rPr>
                <w:rFonts w:hint="eastAsia"/>
                <w:bCs/>
                <w:szCs w:val="21"/>
              </w:rPr>
              <w:t>项目名称</w:t>
            </w:r>
          </w:p>
        </w:tc>
        <w:tc>
          <w:tcPr>
            <w:tcW w:w="517" w:type="dxa"/>
            <w:vAlign w:val="center"/>
          </w:tcPr>
          <w:p w14:paraId="67AFD388">
            <w:pPr>
              <w:jc w:val="center"/>
              <w:rPr>
                <w:bCs/>
                <w:szCs w:val="21"/>
              </w:rPr>
            </w:pPr>
            <w:r>
              <w:rPr>
                <w:rFonts w:hint="eastAsia"/>
                <w:bCs/>
                <w:szCs w:val="21"/>
              </w:rPr>
              <w:t>数量</w:t>
            </w:r>
          </w:p>
        </w:tc>
        <w:tc>
          <w:tcPr>
            <w:tcW w:w="617" w:type="dxa"/>
            <w:vAlign w:val="center"/>
          </w:tcPr>
          <w:p w14:paraId="3251CC21">
            <w:pPr>
              <w:jc w:val="center"/>
              <w:rPr>
                <w:bCs/>
                <w:szCs w:val="21"/>
              </w:rPr>
            </w:pPr>
            <w:r>
              <w:rPr>
                <w:rFonts w:hint="eastAsia"/>
                <w:bCs/>
                <w:szCs w:val="21"/>
              </w:rPr>
              <w:t>单位</w:t>
            </w:r>
          </w:p>
        </w:tc>
        <w:tc>
          <w:tcPr>
            <w:tcW w:w="1566" w:type="dxa"/>
            <w:vAlign w:val="center"/>
          </w:tcPr>
          <w:p w14:paraId="60ED195A">
            <w:pPr>
              <w:jc w:val="center"/>
              <w:rPr>
                <w:b/>
                <w:bCs/>
                <w:color w:val="FF0000"/>
                <w:szCs w:val="21"/>
                <w:highlight w:val="yellow"/>
              </w:rPr>
            </w:pPr>
            <w:r>
              <w:rPr>
                <w:rFonts w:hint="eastAsia"/>
                <w:b/>
                <w:bCs/>
                <w:color w:val="FF0000"/>
                <w:szCs w:val="21"/>
              </w:rPr>
              <w:t>项目预算金额（元）</w:t>
            </w:r>
          </w:p>
        </w:tc>
      </w:tr>
      <w:tr w14:paraId="07090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752" w:type="dxa"/>
            <w:vAlign w:val="center"/>
          </w:tcPr>
          <w:p w14:paraId="1CCE1A6A">
            <w:pPr>
              <w:jc w:val="center"/>
              <w:rPr>
                <w:bCs/>
                <w:szCs w:val="21"/>
              </w:rPr>
            </w:pPr>
            <w:r>
              <w:rPr>
                <w:rFonts w:hint="eastAsia"/>
                <w:bCs/>
                <w:szCs w:val="21"/>
              </w:rPr>
              <w:t>1</w:t>
            </w:r>
          </w:p>
        </w:tc>
        <w:tc>
          <w:tcPr>
            <w:tcW w:w="2793" w:type="dxa"/>
            <w:vAlign w:val="center"/>
          </w:tcPr>
          <w:p w14:paraId="2B8FD41F">
            <w:pPr>
              <w:jc w:val="center"/>
              <w:rPr>
                <w:rFonts w:ascii="宋体" w:hAnsi="宋体" w:cs="宋体"/>
                <w:kern w:val="0"/>
                <w:szCs w:val="21"/>
                <w:highlight w:val="green"/>
              </w:rPr>
            </w:pPr>
            <w:r>
              <w:rPr>
                <w:rFonts w:hint="eastAsia" w:ascii="宋体" w:hAnsi="宋体" w:cs="宋体"/>
                <w:kern w:val="0"/>
                <w:szCs w:val="21"/>
              </w:rPr>
              <w:t>深圳市翠竹外国语实验学校</w:t>
            </w:r>
          </w:p>
        </w:tc>
        <w:tc>
          <w:tcPr>
            <w:tcW w:w="2137" w:type="dxa"/>
            <w:vAlign w:val="center"/>
          </w:tcPr>
          <w:p w14:paraId="1D588E0C">
            <w:pPr>
              <w:jc w:val="center"/>
              <w:rPr>
                <w:rFonts w:ascii="宋体" w:hAnsi="宋体" w:cs="宋体"/>
                <w:kern w:val="0"/>
                <w:szCs w:val="21"/>
              </w:rPr>
            </w:pPr>
            <w:r>
              <w:rPr>
                <w:rFonts w:hint="eastAsia" w:ascii="宋体" w:hAnsi="宋体" w:cs="宋体"/>
                <w:kern w:val="0"/>
                <w:szCs w:val="21"/>
              </w:rPr>
              <w:t>深圳市翠竹外国语实验学校新质教室采购项目</w:t>
            </w:r>
          </w:p>
        </w:tc>
        <w:tc>
          <w:tcPr>
            <w:tcW w:w="517" w:type="dxa"/>
            <w:vAlign w:val="center"/>
          </w:tcPr>
          <w:p w14:paraId="22FCC125">
            <w:pPr>
              <w:jc w:val="center"/>
              <w:rPr>
                <w:bCs/>
                <w:szCs w:val="21"/>
              </w:rPr>
            </w:pPr>
            <w:r>
              <w:rPr>
                <w:rFonts w:hint="eastAsia"/>
                <w:bCs/>
                <w:szCs w:val="21"/>
              </w:rPr>
              <w:t>1</w:t>
            </w:r>
          </w:p>
        </w:tc>
        <w:tc>
          <w:tcPr>
            <w:tcW w:w="617" w:type="dxa"/>
            <w:vAlign w:val="center"/>
          </w:tcPr>
          <w:p w14:paraId="7AB3B2E6">
            <w:pPr>
              <w:jc w:val="center"/>
              <w:rPr>
                <w:bCs/>
                <w:szCs w:val="21"/>
              </w:rPr>
            </w:pPr>
            <w:r>
              <w:rPr>
                <w:rFonts w:hint="eastAsia"/>
                <w:bCs/>
                <w:szCs w:val="21"/>
              </w:rPr>
              <w:t>批</w:t>
            </w:r>
          </w:p>
        </w:tc>
        <w:tc>
          <w:tcPr>
            <w:tcW w:w="1566" w:type="dxa"/>
            <w:vAlign w:val="center"/>
          </w:tcPr>
          <w:p w14:paraId="5B22080F">
            <w:pPr>
              <w:jc w:val="center"/>
              <w:rPr>
                <w:rFonts w:hint="default" w:eastAsia="宋体"/>
                <w:b/>
                <w:bCs/>
                <w:color w:val="FF0000"/>
                <w:szCs w:val="21"/>
                <w:highlight w:val="yellow"/>
                <w:lang w:val="en-US" w:eastAsia="zh-CN"/>
              </w:rPr>
            </w:pPr>
            <w:r>
              <w:rPr>
                <w:rFonts w:hint="eastAsia"/>
                <w:b/>
                <w:bCs/>
                <w:color w:val="FF0000"/>
                <w:szCs w:val="21"/>
                <w:highlight w:val="yellow"/>
                <w:lang w:val="en-US" w:eastAsia="zh-CN"/>
              </w:rPr>
              <w:t>293514.00</w:t>
            </w:r>
          </w:p>
        </w:tc>
      </w:tr>
    </w:tbl>
    <w:p w14:paraId="7299E207">
      <w:pPr>
        <w:ind w:firstLine="422" w:firstLineChars="200"/>
        <w:rPr>
          <w:rFonts w:ascii="宋体" w:hAnsi="宋体"/>
          <w:b/>
          <w:szCs w:val="21"/>
        </w:rPr>
      </w:pPr>
      <w:r>
        <w:rPr>
          <w:rFonts w:hint="eastAsia" w:ascii="宋体" w:hAnsi="宋体"/>
          <w:b/>
          <w:szCs w:val="21"/>
        </w:rPr>
        <w:t xml:space="preserve">备注：1.备注栏注明“拒绝进口”的产品不接受投标人选用进口产品参与投标；注明“接受进口”的产品允许投标人选用进口产品参与投标，但不排斥国内产品。 </w:t>
      </w:r>
    </w:p>
    <w:p w14:paraId="47BA6707">
      <w:pPr>
        <w:numPr>
          <w:ilvl w:val="0"/>
          <w:numId w:val="1"/>
        </w:numPr>
        <w:ind w:firstLine="422" w:firstLineChars="200"/>
        <w:rPr>
          <w:rFonts w:ascii="宋体" w:hAnsi="宋体"/>
          <w:b/>
          <w:szCs w:val="21"/>
        </w:rPr>
      </w:pPr>
      <w:r>
        <w:rPr>
          <w:rFonts w:hint="eastAsia" w:ascii="宋体" w:hAnsi="宋体"/>
          <w:b/>
          <w:szCs w:val="21"/>
        </w:rPr>
        <w:t>进口产品是指通过海关验放进入中国境内且产自关境外的产品。即所谓进口产品是指制造过程均在国外，如果产品在国内组装，其中的零部件（包括核心部件）是进口产品，则应当视为非进口产品。采用“接受进口”的产品优先采购向我国企业转让技术、与我国企业签订消化吸收再创新方案的供应商的进口产品，相关内容以财库〔2007〕119 号文和财办库〔2008〕248 号文的相关规定为准。</w:t>
      </w:r>
    </w:p>
    <w:p w14:paraId="164BC93B">
      <w:pPr>
        <w:ind w:firstLine="413" w:firstLineChars="196"/>
        <w:rPr>
          <w:rFonts w:ascii="宋体" w:hAnsi="宋体"/>
          <w:b/>
          <w:color w:val="FF0000"/>
          <w:szCs w:val="21"/>
        </w:rPr>
      </w:pPr>
    </w:p>
    <w:p w14:paraId="5498E8DB">
      <w:pPr>
        <w:jc w:val="center"/>
        <w:rPr>
          <w:b/>
          <w:bCs/>
          <w:sz w:val="24"/>
        </w:rPr>
      </w:pPr>
      <w:r>
        <w:rPr>
          <w:rFonts w:hint="eastAsia"/>
          <w:b/>
          <w:bCs/>
          <w:sz w:val="24"/>
        </w:rPr>
        <w:t>实质性条款</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7513"/>
      </w:tblGrid>
      <w:tr w14:paraId="2F4C6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391A287F">
            <w:pPr>
              <w:jc w:val="center"/>
              <w:rPr>
                <w:rFonts w:ascii="宋体" w:hAnsi="宋体"/>
                <w:szCs w:val="21"/>
              </w:rPr>
            </w:pPr>
            <w:r>
              <w:rPr>
                <w:rFonts w:ascii="宋体" w:hAnsi="宋体"/>
                <w:szCs w:val="21"/>
              </w:rPr>
              <w:t>序号</w:t>
            </w:r>
          </w:p>
        </w:tc>
        <w:tc>
          <w:tcPr>
            <w:tcW w:w="7513" w:type="dxa"/>
            <w:vAlign w:val="center"/>
          </w:tcPr>
          <w:p w14:paraId="4EBBE255">
            <w:pPr>
              <w:jc w:val="center"/>
              <w:rPr>
                <w:szCs w:val="21"/>
              </w:rPr>
            </w:pPr>
            <w:r>
              <w:rPr>
                <w:szCs w:val="21"/>
              </w:rPr>
              <w:t>具体内容</w:t>
            </w:r>
          </w:p>
        </w:tc>
      </w:tr>
      <w:tr w14:paraId="3C8D1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082CBE50">
            <w:pPr>
              <w:jc w:val="center"/>
              <w:rPr>
                <w:rFonts w:ascii="宋体" w:hAnsi="宋体"/>
                <w:szCs w:val="21"/>
              </w:rPr>
            </w:pPr>
            <w:r>
              <w:rPr>
                <w:rFonts w:hint="eastAsia" w:ascii="宋体" w:hAnsi="宋体"/>
                <w:szCs w:val="21"/>
              </w:rPr>
              <w:t>1</w:t>
            </w:r>
          </w:p>
        </w:tc>
        <w:tc>
          <w:tcPr>
            <w:tcW w:w="7513" w:type="dxa"/>
            <w:vAlign w:val="center"/>
          </w:tcPr>
          <w:p w14:paraId="1936E722">
            <w:pPr>
              <w:rPr>
                <w:rFonts w:hAnsi="宋体"/>
                <w:color w:val="FF0000"/>
                <w:kern w:val="0"/>
                <w:szCs w:val="21"/>
              </w:rPr>
            </w:pPr>
            <w:r>
              <w:rPr>
                <w:rFonts w:hint="eastAsia"/>
                <w:color w:val="FF0000"/>
                <w:highlight w:val="yellow"/>
              </w:rPr>
              <w:t>★2、交货期的要求：签订合同后</w:t>
            </w:r>
            <w:r>
              <w:rPr>
                <w:rFonts w:hint="eastAsia"/>
                <w:color w:val="FF0000"/>
                <w:highlight w:val="yellow"/>
                <w:lang w:val="en-US" w:eastAsia="zh-CN"/>
              </w:rPr>
              <w:t>60</w:t>
            </w:r>
            <w:r>
              <w:rPr>
                <w:rFonts w:hint="eastAsia"/>
                <w:color w:val="FF0000"/>
                <w:highlight w:val="yellow"/>
              </w:rPr>
              <w:t>日历日内在交货地点交货；投标供应商在投标时对其所投项目应提交详细的《交货进度表》，列明交货计划等，在合同规定的时间内完工验收。</w:t>
            </w:r>
          </w:p>
        </w:tc>
      </w:tr>
      <w:tr w14:paraId="05057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14:paraId="0A6ADEB5">
            <w:pPr>
              <w:jc w:val="center"/>
              <w:rPr>
                <w:rFonts w:ascii="宋体" w:hAnsi="宋体"/>
                <w:szCs w:val="21"/>
              </w:rPr>
            </w:pPr>
            <w:r>
              <w:rPr>
                <w:rFonts w:hint="eastAsia" w:ascii="宋体" w:hAnsi="宋体"/>
                <w:szCs w:val="21"/>
              </w:rPr>
              <w:t>2</w:t>
            </w:r>
          </w:p>
        </w:tc>
        <w:tc>
          <w:tcPr>
            <w:tcW w:w="7513" w:type="dxa"/>
            <w:vAlign w:val="center"/>
          </w:tcPr>
          <w:p w14:paraId="40F524E8">
            <w:pPr>
              <w:rPr>
                <w:color w:val="FF0000"/>
                <w:szCs w:val="21"/>
              </w:rPr>
            </w:pPr>
            <w:r>
              <w:rPr>
                <w:rFonts w:hint="eastAsia"/>
                <w:color w:val="FF0000"/>
                <w:highlight w:val="yellow"/>
              </w:rPr>
              <w:t>★1、提</w:t>
            </w:r>
            <w:r>
              <w:rPr>
                <w:rFonts w:hint="eastAsia"/>
                <w:color w:val="FF0000"/>
                <w:highlight w:val="yellow"/>
                <w:lang w:val="en-US" w:eastAsia="zh-CN"/>
              </w:rPr>
              <w:t>供</w:t>
            </w:r>
            <w:r>
              <w:rPr>
                <w:rFonts w:hint="eastAsia"/>
                <w:color w:val="FF0000"/>
                <w:highlight w:val="yellow"/>
                <w:u w:val="single"/>
                <w:lang w:val="en-US" w:eastAsia="zh-CN"/>
              </w:rPr>
              <w:t>3</w:t>
            </w:r>
            <w:r>
              <w:rPr>
                <w:rFonts w:hint="eastAsia"/>
                <w:color w:val="FF0000"/>
                <w:highlight w:val="yellow"/>
              </w:rPr>
              <w:t>年的免费保修服务，本地化</w:t>
            </w:r>
            <w:r>
              <w:rPr>
                <w:rFonts w:hint="eastAsia"/>
                <w:color w:val="FF0000"/>
                <w:highlight w:val="yellow"/>
                <w:u w:val="single"/>
              </w:rPr>
              <w:t xml:space="preserve">　7*24  </w:t>
            </w:r>
            <w:r>
              <w:rPr>
                <w:rFonts w:hint="eastAsia"/>
                <w:color w:val="FF0000"/>
                <w:highlight w:val="yellow"/>
              </w:rPr>
              <w:t>小时服务，免费保修服务自验收合格之日起算。</w:t>
            </w:r>
          </w:p>
        </w:tc>
      </w:tr>
    </w:tbl>
    <w:p w14:paraId="2FF31A0A">
      <w:pPr>
        <w:rPr>
          <w:b/>
        </w:rPr>
      </w:pPr>
      <w:r>
        <w:rPr>
          <w:rFonts w:hint="eastAsia"/>
          <w:b/>
        </w:rPr>
        <w:t>注：上表所列内容为不可负偏离条款，负偏离将视为未实质性满足招标文件要求作投标无效处理。</w:t>
      </w:r>
    </w:p>
    <w:p w14:paraId="1498CCF4">
      <w:pPr>
        <w:rPr>
          <w:rFonts w:ascii="宋体" w:hAnsi="宋体"/>
          <w:b/>
          <w:color w:val="FF0000"/>
          <w:szCs w:val="21"/>
        </w:rPr>
      </w:pPr>
    </w:p>
    <w:p w14:paraId="7EFC2BA0">
      <w:pPr>
        <w:rPr>
          <w:rFonts w:ascii="宋体" w:hAnsi="宋体"/>
          <w:b/>
          <w:color w:val="FF0000"/>
          <w:szCs w:val="21"/>
        </w:rPr>
      </w:pPr>
    </w:p>
    <w:p w14:paraId="3CD9943F">
      <w:pPr>
        <w:rPr>
          <w:rFonts w:ascii="宋体" w:hAnsi="宋体"/>
          <w:b/>
          <w:color w:val="FF0000"/>
          <w:szCs w:val="21"/>
        </w:rPr>
      </w:pPr>
    </w:p>
    <w:p w14:paraId="18269BBC">
      <w:pPr>
        <w:jc w:val="center"/>
        <w:rPr>
          <w:b/>
          <w:bCs/>
          <w:sz w:val="24"/>
        </w:rPr>
      </w:pPr>
      <w:bookmarkStart w:id="12" w:name="OLE_LINK1"/>
      <w:r>
        <w:rPr>
          <w:rFonts w:hint="eastAsia"/>
          <w:b/>
          <w:bCs/>
          <w:sz w:val="24"/>
        </w:rPr>
        <w:t>货物清单明细表</w:t>
      </w:r>
    </w:p>
    <w:bookmarkEnd w:id="12"/>
    <w:tbl>
      <w:tblPr>
        <w:tblStyle w:val="34"/>
        <w:tblpPr w:leftFromText="180" w:rightFromText="180" w:vertAnchor="text" w:horzAnchor="page" w:tblpX="1918" w:tblpY="299"/>
        <w:tblOverlap w:val="never"/>
        <w:tblW w:w="8318" w:type="dxa"/>
        <w:tblInd w:w="0" w:type="dxa"/>
        <w:tblLayout w:type="fixed"/>
        <w:tblCellMar>
          <w:top w:w="0" w:type="dxa"/>
          <w:left w:w="108" w:type="dxa"/>
          <w:bottom w:w="0" w:type="dxa"/>
          <w:right w:w="108" w:type="dxa"/>
        </w:tblCellMar>
      </w:tblPr>
      <w:tblGrid>
        <w:gridCol w:w="709"/>
        <w:gridCol w:w="1996"/>
        <w:gridCol w:w="746"/>
        <w:gridCol w:w="1254"/>
        <w:gridCol w:w="1053"/>
        <w:gridCol w:w="1280"/>
        <w:gridCol w:w="1280"/>
      </w:tblGrid>
      <w:tr w14:paraId="48C28127">
        <w:tblPrEx>
          <w:tblCellMar>
            <w:top w:w="0" w:type="dxa"/>
            <w:left w:w="108" w:type="dxa"/>
            <w:bottom w:w="0" w:type="dxa"/>
            <w:right w:w="108" w:type="dxa"/>
          </w:tblCellMar>
        </w:tblPrEx>
        <w:trPr>
          <w:trHeight w:val="759" w:hRule="atLeast"/>
        </w:trPr>
        <w:tc>
          <w:tcPr>
            <w:tcW w:w="709" w:type="dxa"/>
            <w:tcBorders>
              <w:top w:val="single" w:color="auto" w:sz="4" w:space="0"/>
              <w:left w:val="single" w:color="auto" w:sz="4" w:space="0"/>
              <w:bottom w:val="single" w:color="auto" w:sz="4" w:space="0"/>
              <w:right w:val="single" w:color="auto" w:sz="4" w:space="0"/>
            </w:tcBorders>
            <w:vAlign w:val="center"/>
          </w:tcPr>
          <w:p w14:paraId="4B9EB51A">
            <w:pPr>
              <w:jc w:val="center"/>
              <w:rPr>
                <w:rFonts w:ascii="宋体" w:hAnsi="宋体" w:cs="宋体"/>
                <w:kern w:val="0"/>
                <w:szCs w:val="21"/>
              </w:rPr>
            </w:pPr>
            <w:r>
              <w:rPr>
                <w:rFonts w:hint="eastAsia" w:ascii="宋体" w:hAnsi="宋体" w:cs="宋体"/>
                <w:kern w:val="0"/>
                <w:szCs w:val="21"/>
              </w:rPr>
              <w:t>序号</w:t>
            </w:r>
          </w:p>
        </w:tc>
        <w:tc>
          <w:tcPr>
            <w:tcW w:w="1996" w:type="dxa"/>
            <w:tcBorders>
              <w:top w:val="single" w:color="auto" w:sz="4" w:space="0"/>
              <w:left w:val="nil"/>
              <w:bottom w:val="single" w:color="auto" w:sz="4" w:space="0"/>
              <w:right w:val="single" w:color="auto" w:sz="4" w:space="0"/>
            </w:tcBorders>
            <w:vAlign w:val="center"/>
          </w:tcPr>
          <w:p w14:paraId="795B100B">
            <w:pPr>
              <w:ind w:firstLine="210" w:firstLineChars="100"/>
              <w:jc w:val="center"/>
              <w:rPr>
                <w:rFonts w:ascii="宋体" w:hAnsi="宋体" w:cs="宋体"/>
                <w:kern w:val="0"/>
                <w:szCs w:val="21"/>
              </w:rPr>
            </w:pPr>
            <w:r>
              <w:rPr>
                <w:rFonts w:hint="eastAsia" w:ascii="宋体" w:hAnsi="宋体" w:cs="宋体"/>
                <w:kern w:val="0"/>
                <w:szCs w:val="21"/>
              </w:rPr>
              <w:t>货物名称</w:t>
            </w:r>
            <w:r>
              <w:rPr>
                <w:rFonts w:hint="eastAsia"/>
                <w:bCs/>
                <w:szCs w:val="21"/>
              </w:rPr>
              <w:t>（标的名称）</w:t>
            </w:r>
          </w:p>
        </w:tc>
        <w:tc>
          <w:tcPr>
            <w:tcW w:w="746" w:type="dxa"/>
            <w:tcBorders>
              <w:top w:val="single" w:color="auto" w:sz="4" w:space="0"/>
              <w:left w:val="nil"/>
              <w:bottom w:val="single" w:color="auto" w:sz="4" w:space="0"/>
              <w:right w:val="single" w:color="auto" w:sz="4" w:space="0"/>
            </w:tcBorders>
            <w:vAlign w:val="center"/>
          </w:tcPr>
          <w:p w14:paraId="3B24232D">
            <w:pPr>
              <w:jc w:val="center"/>
              <w:rPr>
                <w:rFonts w:hint="eastAsia" w:ascii="宋体" w:hAnsi="宋体" w:cs="宋体"/>
                <w:kern w:val="0"/>
                <w:szCs w:val="21"/>
              </w:rPr>
            </w:pPr>
            <w:r>
              <w:rPr>
                <w:rFonts w:hint="eastAsia" w:ascii="宋体" w:hAnsi="宋体" w:cs="宋体"/>
                <w:kern w:val="0"/>
                <w:szCs w:val="21"/>
              </w:rPr>
              <w:t>数量</w:t>
            </w:r>
          </w:p>
        </w:tc>
        <w:tc>
          <w:tcPr>
            <w:tcW w:w="1254" w:type="dxa"/>
            <w:tcBorders>
              <w:top w:val="single" w:color="auto" w:sz="4" w:space="0"/>
              <w:left w:val="nil"/>
              <w:bottom w:val="single" w:color="auto" w:sz="4" w:space="0"/>
              <w:right w:val="single" w:color="auto" w:sz="4" w:space="0"/>
            </w:tcBorders>
            <w:vAlign w:val="center"/>
          </w:tcPr>
          <w:p w14:paraId="1F8F1C22">
            <w:pPr>
              <w:jc w:val="center"/>
              <w:rPr>
                <w:rFonts w:ascii="宋体" w:hAnsi="宋体" w:cs="宋体"/>
                <w:kern w:val="0"/>
                <w:szCs w:val="21"/>
              </w:rPr>
            </w:pPr>
            <w:r>
              <w:rPr>
                <w:rFonts w:hint="eastAsia" w:ascii="宋体" w:hAnsi="宋体" w:cs="宋体"/>
                <w:kern w:val="0"/>
                <w:szCs w:val="21"/>
              </w:rPr>
              <w:t>单位</w:t>
            </w:r>
          </w:p>
        </w:tc>
        <w:tc>
          <w:tcPr>
            <w:tcW w:w="1053" w:type="dxa"/>
            <w:tcBorders>
              <w:top w:val="single" w:color="auto" w:sz="4" w:space="0"/>
              <w:left w:val="nil"/>
              <w:bottom w:val="single" w:color="auto" w:sz="4" w:space="0"/>
              <w:right w:val="single" w:color="auto" w:sz="4" w:space="0"/>
            </w:tcBorders>
            <w:vAlign w:val="center"/>
          </w:tcPr>
          <w:p w14:paraId="430A9A0A">
            <w:pPr>
              <w:jc w:val="center"/>
              <w:rPr>
                <w:rFonts w:hint="default" w:ascii="宋体" w:hAnsi="宋体" w:eastAsia="宋体" w:cs="宋体"/>
                <w:kern w:val="0"/>
                <w:szCs w:val="21"/>
                <w:lang w:val="en-US" w:eastAsia="zh-CN"/>
              </w:rPr>
            </w:pPr>
            <w:r>
              <w:rPr>
                <w:rFonts w:hint="eastAsia" w:ascii="宋体" w:hAnsi="宋体" w:cs="宋体"/>
                <w:color w:val="FF0000"/>
                <w:kern w:val="0"/>
                <w:szCs w:val="21"/>
                <w:lang w:val="en-US" w:eastAsia="zh-CN"/>
              </w:rPr>
              <w:t>是否接受进口</w:t>
            </w:r>
          </w:p>
        </w:tc>
        <w:tc>
          <w:tcPr>
            <w:tcW w:w="1280" w:type="dxa"/>
            <w:tcBorders>
              <w:top w:val="single" w:color="auto" w:sz="4" w:space="0"/>
              <w:left w:val="nil"/>
              <w:bottom w:val="single" w:color="auto" w:sz="4" w:space="0"/>
              <w:right w:val="single" w:color="auto" w:sz="4" w:space="0"/>
            </w:tcBorders>
            <w:vAlign w:val="center"/>
          </w:tcPr>
          <w:p w14:paraId="1ED00AE2">
            <w:pPr>
              <w:jc w:val="center"/>
              <w:rPr>
                <w:rFonts w:hint="eastAsia" w:ascii="宋体" w:hAnsi="宋体" w:cs="宋体"/>
                <w:color w:val="FF0000"/>
                <w:kern w:val="0"/>
                <w:szCs w:val="21"/>
                <w:lang w:val="en-US" w:eastAsia="zh-CN"/>
              </w:rPr>
            </w:pPr>
            <w:r>
              <w:rPr>
                <w:rFonts w:hint="eastAsia" w:ascii="宋体" w:hAnsi="宋体" w:cs="宋体"/>
                <w:color w:val="FF0000"/>
                <w:kern w:val="0"/>
                <w:szCs w:val="21"/>
                <w:lang w:val="en-US" w:eastAsia="zh-CN"/>
              </w:rPr>
              <w:t>是否专门面向中小企业</w:t>
            </w:r>
          </w:p>
        </w:tc>
        <w:tc>
          <w:tcPr>
            <w:tcW w:w="1280" w:type="dxa"/>
            <w:tcBorders>
              <w:top w:val="single" w:color="auto" w:sz="4" w:space="0"/>
              <w:left w:val="nil"/>
              <w:bottom w:val="single" w:color="auto" w:sz="4" w:space="0"/>
              <w:right w:val="single" w:color="auto" w:sz="4" w:space="0"/>
            </w:tcBorders>
            <w:vAlign w:val="center"/>
          </w:tcPr>
          <w:p w14:paraId="70E465B1">
            <w:pPr>
              <w:jc w:val="center"/>
              <w:rPr>
                <w:rFonts w:hint="eastAsia" w:ascii="宋体" w:hAnsi="宋体" w:cs="宋体"/>
                <w:color w:val="FF0000"/>
                <w:kern w:val="0"/>
                <w:szCs w:val="21"/>
                <w:lang w:val="en-US" w:eastAsia="zh-CN"/>
              </w:rPr>
            </w:pPr>
            <w:r>
              <w:rPr>
                <w:rFonts w:hint="eastAsia" w:ascii="宋体" w:hAnsi="宋体" w:cs="宋体"/>
                <w:color w:val="FF0000"/>
                <w:kern w:val="0"/>
                <w:szCs w:val="21"/>
                <w:lang w:val="en-US" w:eastAsia="zh-CN"/>
              </w:rPr>
              <w:t>标的所属行业</w:t>
            </w:r>
          </w:p>
        </w:tc>
      </w:tr>
      <w:tr w14:paraId="21C60D59">
        <w:tblPrEx>
          <w:tblCellMar>
            <w:top w:w="0" w:type="dxa"/>
            <w:left w:w="108" w:type="dxa"/>
            <w:bottom w:w="0" w:type="dxa"/>
            <w:right w:w="108" w:type="dxa"/>
          </w:tblCellMar>
        </w:tblPrEx>
        <w:trPr>
          <w:trHeight w:val="190" w:hRule="atLeast"/>
        </w:trPr>
        <w:tc>
          <w:tcPr>
            <w:tcW w:w="709" w:type="dxa"/>
            <w:tcBorders>
              <w:top w:val="single" w:color="auto" w:sz="4" w:space="0"/>
              <w:left w:val="single" w:color="auto" w:sz="4" w:space="0"/>
              <w:bottom w:val="single" w:color="auto" w:sz="4" w:space="0"/>
              <w:right w:val="single" w:color="auto" w:sz="4" w:space="0"/>
            </w:tcBorders>
            <w:vAlign w:val="center"/>
          </w:tcPr>
          <w:p w14:paraId="1BE6FFAC">
            <w:pPr>
              <w:ind w:firstLine="210" w:firstLineChars="100"/>
              <w:jc w:val="left"/>
              <w:rPr>
                <w:rFonts w:ascii="宋体" w:hAnsi="宋体" w:cs="宋体"/>
                <w:kern w:val="0"/>
                <w:szCs w:val="21"/>
              </w:rPr>
            </w:pPr>
            <w:r>
              <w:rPr>
                <w:rFonts w:hint="eastAsia" w:ascii="宋体" w:hAnsi="宋体" w:cs="宋体"/>
                <w:kern w:val="0"/>
                <w:szCs w:val="21"/>
              </w:rPr>
              <w:t>1</w:t>
            </w:r>
          </w:p>
        </w:tc>
        <w:tc>
          <w:tcPr>
            <w:tcW w:w="1996" w:type="dxa"/>
            <w:tcBorders>
              <w:top w:val="single" w:color="auto" w:sz="4" w:space="0"/>
              <w:left w:val="single" w:color="auto" w:sz="4" w:space="0"/>
              <w:bottom w:val="single" w:color="auto" w:sz="4" w:space="0"/>
              <w:right w:val="single" w:color="auto" w:sz="4" w:space="0"/>
            </w:tcBorders>
            <w:vAlign w:val="center"/>
          </w:tcPr>
          <w:p w14:paraId="055494B0">
            <w:pPr>
              <w:jc w:val="center"/>
              <w:rPr>
                <w:rFonts w:ascii="宋体" w:hAnsi="宋体" w:cs="宋体"/>
                <w:kern w:val="0"/>
                <w:szCs w:val="21"/>
              </w:rPr>
            </w:pPr>
            <w:r>
              <w:rPr>
                <w:rFonts w:hint="eastAsia" w:ascii="宋体" w:hAnsi="宋体" w:cs="宋体"/>
                <w:kern w:val="0"/>
                <w:szCs w:val="21"/>
              </w:rPr>
              <w:t>网络接入设备</w:t>
            </w:r>
          </w:p>
        </w:tc>
        <w:tc>
          <w:tcPr>
            <w:tcW w:w="746" w:type="dxa"/>
            <w:tcBorders>
              <w:top w:val="single" w:color="auto" w:sz="4" w:space="0"/>
              <w:left w:val="single" w:color="auto" w:sz="4" w:space="0"/>
              <w:bottom w:val="single" w:color="auto" w:sz="4" w:space="0"/>
              <w:right w:val="single" w:color="auto" w:sz="4" w:space="0"/>
            </w:tcBorders>
            <w:vAlign w:val="center"/>
          </w:tcPr>
          <w:p w14:paraId="0B435442">
            <w:pPr>
              <w:ind w:firstLine="210" w:firstLineChars="100"/>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1</w:t>
            </w:r>
          </w:p>
        </w:tc>
        <w:tc>
          <w:tcPr>
            <w:tcW w:w="1254" w:type="dxa"/>
            <w:tcBorders>
              <w:top w:val="single" w:color="auto" w:sz="4" w:space="0"/>
              <w:left w:val="single" w:color="auto" w:sz="4" w:space="0"/>
              <w:bottom w:val="single" w:color="auto" w:sz="4" w:space="0"/>
              <w:right w:val="single" w:color="auto" w:sz="4" w:space="0"/>
            </w:tcBorders>
            <w:vAlign w:val="center"/>
          </w:tcPr>
          <w:p w14:paraId="05BBBAD6">
            <w:pPr>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 xml:space="preserve">  台</w:t>
            </w:r>
          </w:p>
        </w:tc>
        <w:tc>
          <w:tcPr>
            <w:tcW w:w="1053" w:type="dxa"/>
            <w:tcBorders>
              <w:top w:val="single" w:color="auto" w:sz="4" w:space="0"/>
              <w:left w:val="single" w:color="auto" w:sz="4" w:space="0"/>
              <w:bottom w:val="single" w:color="auto" w:sz="4" w:space="0"/>
              <w:right w:val="single" w:color="auto" w:sz="4" w:space="0"/>
            </w:tcBorders>
            <w:vAlign w:val="center"/>
          </w:tcPr>
          <w:p w14:paraId="5AAE89F0">
            <w:pPr>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 xml:space="preserve">  否</w:t>
            </w:r>
          </w:p>
        </w:tc>
        <w:tc>
          <w:tcPr>
            <w:tcW w:w="1280" w:type="dxa"/>
            <w:tcBorders>
              <w:top w:val="single" w:color="auto" w:sz="4" w:space="0"/>
              <w:left w:val="single" w:color="auto" w:sz="4" w:space="0"/>
              <w:bottom w:val="single" w:color="auto" w:sz="4" w:space="0"/>
              <w:right w:val="single" w:color="auto" w:sz="4" w:space="0"/>
            </w:tcBorders>
            <w:vAlign w:val="center"/>
          </w:tcPr>
          <w:p w14:paraId="058E0AB3">
            <w:pPr>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 xml:space="preserve">  否</w:t>
            </w:r>
          </w:p>
        </w:tc>
        <w:tc>
          <w:tcPr>
            <w:tcW w:w="1280" w:type="dxa"/>
            <w:tcBorders>
              <w:top w:val="single" w:color="auto" w:sz="4" w:space="0"/>
              <w:left w:val="single" w:color="auto" w:sz="4" w:space="0"/>
              <w:bottom w:val="single" w:color="auto" w:sz="4" w:space="0"/>
              <w:right w:val="single" w:color="auto" w:sz="4" w:space="0"/>
            </w:tcBorders>
            <w:vAlign w:val="center"/>
          </w:tcPr>
          <w:p w14:paraId="522DCF0B">
            <w:pPr>
              <w:ind w:firstLine="420" w:firstLineChars="200"/>
              <w:jc w:val="both"/>
              <w:rPr>
                <w:rFonts w:hint="eastAsia" w:ascii="宋体" w:hAnsi="宋体" w:eastAsia="宋体" w:cs="宋体"/>
                <w:kern w:val="0"/>
                <w:szCs w:val="21"/>
                <w:lang w:val="en-US" w:eastAsia="zh-CN"/>
              </w:rPr>
            </w:pPr>
            <w:r>
              <w:rPr>
                <w:rFonts w:hint="eastAsia" w:ascii="宋体" w:hAnsi="宋体" w:cs="宋体"/>
                <w:kern w:val="0"/>
                <w:szCs w:val="21"/>
                <w:lang w:val="en-US" w:eastAsia="zh-CN"/>
              </w:rPr>
              <w:t>工业</w:t>
            </w:r>
          </w:p>
        </w:tc>
      </w:tr>
      <w:tr w14:paraId="36C5D599">
        <w:tblPrEx>
          <w:tblCellMar>
            <w:top w:w="0" w:type="dxa"/>
            <w:left w:w="108" w:type="dxa"/>
            <w:bottom w:w="0" w:type="dxa"/>
            <w:right w:w="108" w:type="dxa"/>
          </w:tblCellMar>
        </w:tblPrEx>
        <w:trPr>
          <w:trHeight w:val="190" w:hRule="atLeast"/>
        </w:trPr>
        <w:tc>
          <w:tcPr>
            <w:tcW w:w="709" w:type="dxa"/>
            <w:tcBorders>
              <w:top w:val="single" w:color="auto" w:sz="4" w:space="0"/>
              <w:left w:val="single" w:color="auto" w:sz="4" w:space="0"/>
              <w:bottom w:val="single" w:color="auto" w:sz="4" w:space="0"/>
              <w:right w:val="single" w:color="auto" w:sz="4" w:space="0"/>
            </w:tcBorders>
            <w:vAlign w:val="center"/>
          </w:tcPr>
          <w:p w14:paraId="77A6571F">
            <w:pPr>
              <w:ind w:firstLine="210" w:firstLineChars="100"/>
              <w:jc w:val="left"/>
              <w:rPr>
                <w:rFonts w:ascii="宋体" w:hAnsi="宋体" w:cs="宋体"/>
                <w:kern w:val="0"/>
                <w:szCs w:val="21"/>
              </w:rPr>
            </w:pPr>
            <w:r>
              <w:rPr>
                <w:rFonts w:hint="eastAsia" w:ascii="宋体" w:hAnsi="宋体" w:cs="宋体"/>
                <w:kern w:val="0"/>
                <w:szCs w:val="21"/>
              </w:rPr>
              <w:t>2</w:t>
            </w:r>
          </w:p>
        </w:tc>
        <w:tc>
          <w:tcPr>
            <w:tcW w:w="1996" w:type="dxa"/>
            <w:tcBorders>
              <w:top w:val="single" w:color="auto" w:sz="4" w:space="0"/>
              <w:left w:val="single" w:color="auto" w:sz="4" w:space="0"/>
              <w:bottom w:val="single" w:color="auto" w:sz="4" w:space="0"/>
              <w:right w:val="single" w:color="auto" w:sz="4" w:space="0"/>
            </w:tcBorders>
            <w:vAlign w:val="center"/>
          </w:tcPr>
          <w:p w14:paraId="55B0E6C9">
            <w:pPr>
              <w:jc w:val="center"/>
              <w:rPr>
                <w:rFonts w:ascii="宋体" w:hAnsi="宋体" w:cs="宋体"/>
                <w:kern w:val="0"/>
                <w:szCs w:val="21"/>
              </w:rPr>
            </w:pPr>
            <w:r>
              <w:rPr>
                <w:rFonts w:hint="eastAsia" w:ascii="宋体" w:hAnsi="宋体" w:cs="宋体"/>
                <w:kern w:val="0"/>
                <w:szCs w:val="21"/>
              </w:rPr>
              <w:t>边缘计算主机</w:t>
            </w:r>
          </w:p>
        </w:tc>
        <w:tc>
          <w:tcPr>
            <w:tcW w:w="746" w:type="dxa"/>
            <w:tcBorders>
              <w:top w:val="single" w:color="auto" w:sz="4" w:space="0"/>
              <w:left w:val="single" w:color="auto" w:sz="4" w:space="0"/>
              <w:bottom w:val="single" w:color="auto" w:sz="4" w:space="0"/>
              <w:right w:val="single" w:color="auto" w:sz="4" w:space="0"/>
            </w:tcBorders>
            <w:vAlign w:val="center"/>
          </w:tcPr>
          <w:p w14:paraId="1AC1A979">
            <w:pPr>
              <w:ind w:firstLine="210" w:firstLineChars="100"/>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1</w:t>
            </w:r>
          </w:p>
        </w:tc>
        <w:tc>
          <w:tcPr>
            <w:tcW w:w="1254" w:type="dxa"/>
            <w:tcBorders>
              <w:top w:val="single" w:color="auto" w:sz="4" w:space="0"/>
              <w:left w:val="single" w:color="auto" w:sz="4" w:space="0"/>
              <w:bottom w:val="single" w:color="auto" w:sz="4" w:space="0"/>
              <w:right w:val="single" w:color="auto" w:sz="4" w:space="0"/>
            </w:tcBorders>
            <w:vAlign w:val="center"/>
          </w:tcPr>
          <w:p w14:paraId="66BAF554">
            <w:pPr>
              <w:ind w:firstLine="210" w:firstLineChars="100"/>
              <w:jc w:val="center"/>
              <w:rPr>
                <w:rFonts w:hint="default" w:ascii="宋体" w:hAnsi="宋体" w:eastAsia="宋体" w:cs="宋体"/>
                <w:kern w:val="0"/>
                <w:szCs w:val="21"/>
                <w:lang w:val="en-US" w:eastAsia="zh-CN"/>
              </w:rPr>
            </w:pPr>
            <w:r>
              <w:rPr>
                <w:rFonts w:hint="eastAsia" w:ascii="宋体" w:hAnsi="宋体" w:cs="宋体"/>
                <w:kern w:val="0"/>
                <w:szCs w:val="21"/>
                <w:lang w:val="en-US" w:eastAsia="zh-CN"/>
              </w:rPr>
              <w:t>台</w:t>
            </w:r>
          </w:p>
        </w:tc>
        <w:tc>
          <w:tcPr>
            <w:tcW w:w="1053" w:type="dxa"/>
            <w:tcBorders>
              <w:top w:val="single" w:color="auto" w:sz="4" w:space="0"/>
              <w:left w:val="single" w:color="auto" w:sz="4" w:space="0"/>
              <w:bottom w:val="single" w:color="auto" w:sz="4" w:space="0"/>
              <w:right w:val="single" w:color="auto" w:sz="4" w:space="0"/>
            </w:tcBorders>
            <w:vAlign w:val="center"/>
          </w:tcPr>
          <w:p w14:paraId="7E209E52">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single" w:color="auto" w:sz="4" w:space="0"/>
              <w:bottom w:val="single" w:color="auto" w:sz="4" w:space="0"/>
              <w:right w:val="single" w:color="auto" w:sz="4" w:space="0"/>
            </w:tcBorders>
            <w:vAlign w:val="center"/>
          </w:tcPr>
          <w:p w14:paraId="6210A798">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single" w:color="auto" w:sz="4" w:space="0"/>
              <w:bottom w:val="single" w:color="auto" w:sz="4" w:space="0"/>
              <w:right w:val="single" w:color="auto" w:sz="4" w:space="0"/>
            </w:tcBorders>
            <w:vAlign w:val="center"/>
          </w:tcPr>
          <w:p w14:paraId="3B84643B">
            <w:pPr>
              <w:ind w:firstLine="210" w:firstLineChars="100"/>
              <w:jc w:val="center"/>
              <w:rPr>
                <w:rFonts w:ascii="宋体" w:hAnsi="宋体" w:cs="宋体"/>
                <w:kern w:val="0"/>
                <w:szCs w:val="21"/>
              </w:rPr>
            </w:pPr>
            <w:r>
              <w:rPr>
                <w:rFonts w:hint="eastAsia" w:ascii="宋体" w:hAnsi="宋体" w:cs="宋体"/>
                <w:kern w:val="0"/>
                <w:szCs w:val="21"/>
                <w:lang w:val="en-US" w:eastAsia="zh-CN"/>
              </w:rPr>
              <w:t>工业</w:t>
            </w:r>
          </w:p>
        </w:tc>
      </w:tr>
      <w:tr w14:paraId="65EF8784">
        <w:tblPrEx>
          <w:tblCellMar>
            <w:top w:w="0" w:type="dxa"/>
            <w:left w:w="108" w:type="dxa"/>
            <w:bottom w:w="0" w:type="dxa"/>
            <w:right w:w="108" w:type="dxa"/>
          </w:tblCellMar>
        </w:tblPrEx>
        <w:trPr>
          <w:trHeight w:val="196" w:hRule="atLeast"/>
        </w:trPr>
        <w:tc>
          <w:tcPr>
            <w:tcW w:w="709" w:type="dxa"/>
            <w:tcBorders>
              <w:top w:val="single" w:color="auto" w:sz="4" w:space="0"/>
              <w:left w:val="single" w:color="auto" w:sz="4" w:space="0"/>
              <w:bottom w:val="single" w:color="auto" w:sz="4" w:space="0"/>
              <w:right w:val="single" w:color="auto" w:sz="4" w:space="0"/>
            </w:tcBorders>
            <w:vAlign w:val="center"/>
          </w:tcPr>
          <w:p w14:paraId="42EDECF4">
            <w:pPr>
              <w:ind w:firstLine="210" w:firstLineChars="100"/>
              <w:jc w:val="left"/>
              <w:rPr>
                <w:rFonts w:ascii="宋体" w:hAnsi="宋体" w:cs="宋体"/>
                <w:kern w:val="0"/>
                <w:szCs w:val="21"/>
              </w:rPr>
            </w:pPr>
            <w:r>
              <w:rPr>
                <w:rFonts w:hint="eastAsia" w:ascii="宋体" w:hAnsi="宋体" w:cs="宋体"/>
                <w:kern w:val="0"/>
                <w:szCs w:val="21"/>
              </w:rPr>
              <w:t>3</w:t>
            </w:r>
          </w:p>
        </w:tc>
        <w:tc>
          <w:tcPr>
            <w:tcW w:w="1996" w:type="dxa"/>
            <w:tcBorders>
              <w:top w:val="single" w:color="auto" w:sz="4" w:space="0"/>
              <w:left w:val="nil"/>
              <w:bottom w:val="single" w:color="auto" w:sz="4" w:space="0"/>
              <w:right w:val="single" w:color="auto" w:sz="4" w:space="0"/>
            </w:tcBorders>
            <w:vAlign w:val="center"/>
          </w:tcPr>
          <w:p w14:paraId="25CAB9FE">
            <w:pPr>
              <w:jc w:val="center"/>
              <w:rPr>
                <w:rFonts w:ascii="宋体" w:hAnsi="宋体" w:cs="宋体"/>
                <w:kern w:val="0"/>
                <w:szCs w:val="21"/>
              </w:rPr>
            </w:pPr>
            <w:r>
              <w:rPr>
                <w:rFonts w:hint="eastAsia" w:ascii="宋体" w:hAnsi="宋体" w:cs="宋体"/>
                <w:kern w:val="0"/>
                <w:szCs w:val="21"/>
              </w:rPr>
              <w:t>可移动课桌与快速安装连接组件</w:t>
            </w:r>
          </w:p>
        </w:tc>
        <w:tc>
          <w:tcPr>
            <w:tcW w:w="746" w:type="dxa"/>
            <w:tcBorders>
              <w:top w:val="single" w:color="auto" w:sz="4" w:space="0"/>
              <w:left w:val="single" w:color="auto" w:sz="4" w:space="0"/>
              <w:bottom w:val="single" w:color="auto" w:sz="4" w:space="0"/>
              <w:right w:val="single" w:color="auto" w:sz="4" w:space="0"/>
            </w:tcBorders>
            <w:vAlign w:val="center"/>
          </w:tcPr>
          <w:p w14:paraId="7201B23D">
            <w:pPr>
              <w:jc w:val="center"/>
              <w:rPr>
                <w:rFonts w:hint="default" w:ascii="宋体" w:hAnsi="宋体" w:eastAsia="宋体" w:cs="宋体"/>
                <w:kern w:val="0"/>
                <w:szCs w:val="21"/>
                <w:lang w:val="en-US" w:eastAsia="zh-CN"/>
              </w:rPr>
            </w:pPr>
            <w:r>
              <w:rPr>
                <w:rFonts w:hint="eastAsia" w:ascii="宋体" w:hAnsi="宋体" w:cs="宋体"/>
                <w:kern w:val="0"/>
                <w:szCs w:val="21"/>
                <w:lang w:val="en-US" w:eastAsia="zh-CN"/>
              </w:rPr>
              <w:t>48</w:t>
            </w:r>
          </w:p>
        </w:tc>
        <w:tc>
          <w:tcPr>
            <w:tcW w:w="1254" w:type="dxa"/>
            <w:tcBorders>
              <w:top w:val="single" w:color="auto" w:sz="4" w:space="0"/>
              <w:left w:val="single" w:color="auto" w:sz="4" w:space="0"/>
              <w:bottom w:val="single" w:color="auto" w:sz="4" w:space="0"/>
              <w:right w:val="single" w:color="auto" w:sz="4" w:space="0"/>
            </w:tcBorders>
            <w:vAlign w:val="center"/>
          </w:tcPr>
          <w:p w14:paraId="508C47B4">
            <w:pPr>
              <w:ind w:firstLine="210" w:firstLineChars="100"/>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套</w:t>
            </w:r>
          </w:p>
        </w:tc>
        <w:tc>
          <w:tcPr>
            <w:tcW w:w="1053" w:type="dxa"/>
            <w:tcBorders>
              <w:top w:val="single" w:color="auto" w:sz="4" w:space="0"/>
              <w:left w:val="nil"/>
              <w:bottom w:val="single" w:color="auto" w:sz="4" w:space="0"/>
              <w:right w:val="single" w:color="auto" w:sz="4" w:space="0"/>
            </w:tcBorders>
            <w:vAlign w:val="center"/>
          </w:tcPr>
          <w:p w14:paraId="298E6883">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4212313F">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2145A9E6">
            <w:pPr>
              <w:ind w:firstLine="210" w:firstLineChars="100"/>
              <w:jc w:val="center"/>
              <w:rPr>
                <w:rFonts w:ascii="宋体" w:hAnsi="宋体" w:cs="宋体"/>
                <w:kern w:val="0"/>
                <w:szCs w:val="21"/>
              </w:rPr>
            </w:pPr>
            <w:r>
              <w:rPr>
                <w:rFonts w:hint="eastAsia" w:ascii="宋体" w:hAnsi="宋体" w:cs="宋体"/>
                <w:kern w:val="0"/>
                <w:szCs w:val="21"/>
                <w:lang w:val="en-US" w:eastAsia="zh-CN"/>
              </w:rPr>
              <w:t>工业</w:t>
            </w:r>
          </w:p>
        </w:tc>
      </w:tr>
      <w:tr w14:paraId="0759C317">
        <w:tblPrEx>
          <w:tblCellMar>
            <w:top w:w="0" w:type="dxa"/>
            <w:left w:w="108" w:type="dxa"/>
            <w:bottom w:w="0" w:type="dxa"/>
            <w:right w:w="108" w:type="dxa"/>
          </w:tblCellMar>
        </w:tblPrEx>
        <w:trPr>
          <w:trHeight w:val="196" w:hRule="atLeast"/>
        </w:trPr>
        <w:tc>
          <w:tcPr>
            <w:tcW w:w="709" w:type="dxa"/>
            <w:tcBorders>
              <w:top w:val="single" w:color="auto" w:sz="4" w:space="0"/>
              <w:left w:val="single" w:color="auto" w:sz="4" w:space="0"/>
              <w:bottom w:val="single" w:color="auto" w:sz="4" w:space="0"/>
              <w:right w:val="single" w:color="auto" w:sz="4" w:space="0"/>
            </w:tcBorders>
            <w:vAlign w:val="center"/>
          </w:tcPr>
          <w:p w14:paraId="4B92C7CD">
            <w:pPr>
              <w:ind w:firstLine="210" w:firstLineChars="100"/>
              <w:jc w:val="left"/>
              <w:rPr>
                <w:rFonts w:hint="eastAsia" w:ascii="宋体" w:hAnsi="宋体" w:eastAsia="宋体" w:cs="宋体"/>
                <w:kern w:val="0"/>
                <w:szCs w:val="21"/>
                <w:lang w:val="en-US" w:eastAsia="zh-CN"/>
              </w:rPr>
            </w:pPr>
            <w:r>
              <w:rPr>
                <w:rFonts w:hint="eastAsia" w:ascii="宋体" w:hAnsi="宋体" w:cs="宋体"/>
                <w:kern w:val="0"/>
                <w:szCs w:val="21"/>
                <w:lang w:val="en-US" w:eastAsia="zh-CN"/>
              </w:rPr>
              <w:t>4</w:t>
            </w:r>
          </w:p>
        </w:tc>
        <w:tc>
          <w:tcPr>
            <w:tcW w:w="1996" w:type="dxa"/>
            <w:tcBorders>
              <w:top w:val="single" w:color="auto" w:sz="4" w:space="0"/>
              <w:left w:val="nil"/>
              <w:bottom w:val="single" w:color="auto" w:sz="4" w:space="0"/>
              <w:right w:val="single" w:color="auto" w:sz="4" w:space="0"/>
            </w:tcBorders>
            <w:vAlign w:val="center"/>
          </w:tcPr>
          <w:p w14:paraId="23B1497C">
            <w:pPr>
              <w:jc w:val="center"/>
              <w:rPr>
                <w:rFonts w:hint="default" w:ascii="宋体" w:hAnsi="宋体" w:eastAsia="宋体" w:cs="宋体"/>
                <w:kern w:val="0"/>
                <w:szCs w:val="21"/>
                <w:lang w:val="en-US" w:eastAsia="zh-CN"/>
              </w:rPr>
            </w:pPr>
            <w:r>
              <w:rPr>
                <w:rFonts w:hint="eastAsia" w:ascii="宋体" w:hAnsi="宋体" w:cs="宋体"/>
                <w:kern w:val="0"/>
                <w:szCs w:val="21"/>
              </w:rPr>
              <w:t>可移动课桌与快速安装连接组件</w:t>
            </w:r>
            <w:r>
              <w:rPr>
                <w:rFonts w:hint="eastAsia" w:ascii="宋体" w:hAnsi="宋体" w:cs="宋体"/>
                <w:kern w:val="0"/>
                <w:szCs w:val="21"/>
                <w:lang w:val="en-US" w:eastAsia="zh-CN"/>
              </w:rPr>
              <w:t>-配件</w:t>
            </w:r>
          </w:p>
        </w:tc>
        <w:tc>
          <w:tcPr>
            <w:tcW w:w="746" w:type="dxa"/>
            <w:tcBorders>
              <w:top w:val="single" w:color="auto" w:sz="4" w:space="0"/>
              <w:left w:val="single" w:color="auto" w:sz="4" w:space="0"/>
              <w:bottom w:val="single" w:color="auto" w:sz="4" w:space="0"/>
              <w:right w:val="single" w:color="auto" w:sz="4" w:space="0"/>
            </w:tcBorders>
            <w:vAlign w:val="center"/>
          </w:tcPr>
          <w:p w14:paraId="51CCC7ED">
            <w:pPr>
              <w:jc w:val="center"/>
              <w:rPr>
                <w:rFonts w:hint="default" w:ascii="宋体" w:hAnsi="宋体" w:eastAsia="宋体" w:cs="宋体"/>
                <w:kern w:val="0"/>
                <w:szCs w:val="21"/>
                <w:lang w:val="en-US" w:eastAsia="zh-CN"/>
              </w:rPr>
            </w:pPr>
            <w:r>
              <w:rPr>
                <w:rFonts w:hint="eastAsia" w:ascii="宋体" w:hAnsi="宋体" w:cs="宋体"/>
                <w:kern w:val="0"/>
                <w:szCs w:val="21"/>
                <w:lang w:val="en-US" w:eastAsia="zh-CN"/>
              </w:rPr>
              <w:t>48</w:t>
            </w:r>
          </w:p>
        </w:tc>
        <w:tc>
          <w:tcPr>
            <w:tcW w:w="1254" w:type="dxa"/>
            <w:tcBorders>
              <w:top w:val="single" w:color="auto" w:sz="4" w:space="0"/>
              <w:left w:val="single" w:color="auto" w:sz="4" w:space="0"/>
              <w:bottom w:val="single" w:color="auto" w:sz="4" w:space="0"/>
              <w:right w:val="single" w:color="auto" w:sz="4" w:space="0"/>
            </w:tcBorders>
            <w:vAlign w:val="center"/>
          </w:tcPr>
          <w:p w14:paraId="32D2547B">
            <w:pPr>
              <w:ind w:firstLine="210" w:firstLineChars="100"/>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套</w:t>
            </w:r>
          </w:p>
        </w:tc>
        <w:tc>
          <w:tcPr>
            <w:tcW w:w="1053" w:type="dxa"/>
            <w:tcBorders>
              <w:top w:val="single" w:color="auto" w:sz="4" w:space="0"/>
              <w:left w:val="nil"/>
              <w:bottom w:val="single" w:color="auto" w:sz="4" w:space="0"/>
              <w:right w:val="single" w:color="auto" w:sz="4" w:space="0"/>
            </w:tcBorders>
            <w:vAlign w:val="center"/>
          </w:tcPr>
          <w:p w14:paraId="304FC205">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70BC63EB">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58CBC1F3">
            <w:pPr>
              <w:ind w:firstLine="210" w:firstLineChars="100"/>
              <w:jc w:val="center"/>
              <w:rPr>
                <w:rFonts w:ascii="宋体" w:hAnsi="宋体" w:cs="宋体"/>
                <w:kern w:val="0"/>
                <w:szCs w:val="21"/>
              </w:rPr>
            </w:pPr>
            <w:r>
              <w:rPr>
                <w:rFonts w:hint="eastAsia" w:ascii="宋体" w:hAnsi="宋体" w:cs="宋体"/>
                <w:kern w:val="0"/>
                <w:szCs w:val="21"/>
                <w:lang w:val="en-US" w:eastAsia="zh-CN"/>
              </w:rPr>
              <w:t>工业</w:t>
            </w:r>
          </w:p>
        </w:tc>
      </w:tr>
      <w:tr w14:paraId="4639F749">
        <w:tblPrEx>
          <w:tblCellMar>
            <w:top w:w="0" w:type="dxa"/>
            <w:left w:w="108" w:type="dxa"/>
            <w:bottom w:w="0" w:type="dxa"/>
            <w:right w:w="108" w:type="dxa"/>
          </w:tblCellMar>
        </w:tblPrEx>
        <w:trPr>
          <w:trHeight w:val="196" w:hRule="atLeast"/>
        </w:trPr>
        <w:tc>
          <w:tcPr>
            <w:tcW w:w="709" w:type="dxa"/>
            <w:tcBorders>
              <w:top w:val="single" w:color="auto" w:sz="4" w:space="0"/>
              <w:left w:val="single" w:color="auto" w:sz="4" w:space="0"/>
              <w:bottom w:val="single" w:color="auto" w:sz="4" w:space="0"/>
              <w:right w:val="single" w:color="auto" w:sz="4" w:space="0"/>
            </w:tcBorders>
            <w:vAlign w:val="center"/>
          </w:tcPr>
          <w:p w14:paraId="78F48024">
            <w:pPr>
              <w:ind w:firstLine="210" w:firstLineChars="100"/>
              <w:jc w:val="left"/>
              <w:rPr>
                <w:rFonts w:hint="eastAsia" w:ascii="宋体" w:hAnsi="宋体" w:eastAsia="宋体" w:cs="宋体"/>
                <w:kern w:val="0"/>
                <w:szCs w:val="21"/>
                <w:lang w:val="en-US" w:eastAsia="zh-CN"/>
              </w:rPr>
            </w:pPr>
            <w:r>
              <w:rPr>
                <w:rFonts w:hint="eastAsia" w:ascii="宋体" w:hAnsi="宋体" w:cs="宋体"/>
                <w:kern w:val="0"/>
                <w:szCs w:val="21"/>
                <w:lang w:val="en-US" w:eastAsia="zh-CN"/>
              </w:rPr>
              <w:t>5</w:t>
            </w:r>
          </w:p>
        </w:tc>
        <w:tc>
          <w:tcPr>
            <w:tcW w:w="1996" w:type="dxa"/>
            <w:tcBorders>
              <w:top w:val="single" w:color="auto" w:sz="4" w:space="0"/>
              <w:left w:val="nil"/>
              <w:bottom w:val="single" w:color="auto" w:sz="4" w:space="0"/>
              <w:right w:val="single" w:color="auto" w:sz="4" w:space="0"/>
            </w:tcBorders>
            <w:vAlign w:val="center"/>
          </w:tcPr>
          <w:p w14:paraId="4CB34E58">
            <w:pPr>
              <w:jc w:val="center"/>
              <w:rPr>
                <w:rFonts w:ascii="宋体" w:hAnsi="宋体" w:cs="宋体"/>
                <w:kern w:val="0"/>
                <w:szCs w:val="21"/>
              </w:rPr>
            </w:pPr>
            <w:r>
              <w:rPr>
                <w:rFonts w:hint="eastAsia" w:ascii="宋体" w:hAnsi="宋体" w:cs="宋体"/>
                <w:kern w:val="0"/>
                <w:szCs w:val="21"/>
              </w:rPr>
              <w:t>收纳组件套装</w:t>
            </w:r>
          </w:p>
        </w:tc>
        <w:tc>
          <w:tcPr>
            <w:tcW w:w="746" w:type="dxa"/>
            <w:tcBorders>
              <w:top w:val="single" w:color="auto" w:sz="4" w:space="0"/>
              <w:left w:val="single" w:color="auto" w:sz="4" w:space="0"/>
              <w:bottom w:val="single" w:color="auto" w:sz="4" w:space="0"/>
              <w:right w:val="single" w:color="auto" w:sz="4" w:space="0"/>
            </w:tcBorders>
            <w:vAlign w:val="center"/>
          </w:tcPr>
          <w:p w14:paraId="1C66568E">
            <w:pPr>
              <w:ind w:firstLine="210" w:firstLineChars="100"/>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1</w:t>
            </w:r>
          </w:p>
        </w:tc>
        <w:tc>
          <w:tcPr>
            <w:tcW w:w="1254" w:type="dxa"/>
            <w:tcBorders>
              <w:top w:val="single" w:color="auto" w:sz="4" w:space="0"/>
              <w:left w:val="single" w:color="auto" w:sz="4" w:space="0"/>
              <w:bottom w:val="single" w:color="auto" w:sz="4" w:space="0"/>
              <w:right w:val="single" w:color="auto" w:sz="4" w:space="0"/>
            </w:tcBorders>
            <w:vAlign w:val="center"/>
          </w:tcPr>
          <w:p w14:paraId="608F492D">
            <w:pPr>
              <w:ind w:firstLine="210" w:firstLineChars="100"/>
              <w:jc w:val="center"/>
              <w:rPr>
                <w:rFonts w:ascii="宋体" w:hAnsi="宋体" w:cs="宋体"/>
                <w:kern w:val="0"/>
                <w:szCs w:val="21"/>
              </w:rPr>
            </w:pPr>
            <w:r>
              <w:rPr>
                <w:rFonts w:hint="eastAsia" w:ascii="宋体" w:hAnsi="宋体" w:cs="宋体"/>
                <w:kern w:val="0"/>
                <w:szCs w:val="21"/>
                <w:lang w:val="en-US" w:eastAsia="zh-CN"/>
              </w:rPr>
              <w:t>套</w:t>
            </w:r>
          </w:p>
        </w:tc>
        <w:tc>
          <w:tcPr>
            <w:tcW w:w="1053" w:type="dxa"/>
            <w:tcBorders>
              <w:top w:val="single" w:color="auto" w:sz="4" w:space="0"/>
              <w:left w:val="nil"/>
              <w:bottom w:val="single" w:color="auto" w:sz="4" w:space="0"/>
              <w:right w:val="single" w:color="auto" w:sz="4" w:space="0"/>
            </w:tcBorders>
            <w:vAlign w:val="center"/>
          </w:tcPr>
          <w:p w14:paraId="477C976C">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61F060B3">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6C08C8B3">
            <w:pPr>
              <w:ind w:firstLine="210" w:firstLineChars="100"/>
              <w:jc w:val="center"/>
              <w:rPr>
                <w:rFonts w:ascii="宋体" w:hAnsi="宋体" w:cs="宋体"/>
                <w:kern w:val="0"/>
                <w:szCs w:val="21"/>
              </w:rPr>
            </w:pPr>
            <w:r>
              <w:rPr>
                <w:rFonts w:hint="eastAsia" w:ascii="宋体" w:hAnsi="宋体" w:cs="宋体"/>
                <w:kern w:val="0"/>
                <w:szCs w:val="21"/>
                <w:lang w:val="en-US" w:eastAsia="zh-CN"/>
              </w:rPr>
              <w:t>工业</w:t>
            </w:r>
          </w:p>
        </w:tc>
      </w:tr>
      <w:tr w14:paraId="120698DC">
        <w:tblPrEx>
          <w:tblCellMar>
            <w:top w:w="0" w:type="dxa"/>
            <w:left w:w="108" w:type="dxa"/>
            <w:bottom w:w="0" w:type="dxa"/>
            <w:right w:w="108" w:type="dxa"/>
          </w:tblCellMar>
        </w:tblPrEx>
        <w:trPr>
          <w:trHeight w:val="196" w:hRule="atLeast"/>
        </w:trPr>
        <w:tc>
          <w:tcPr>
            <w:tcW w:w="709" w:type="dxa"/>
            <w:tcBorders>
              <w:top w:val="single" w:color="auto" w:sz="4" w:space="0"/>
              <w:left w:val="single" w:color="auto" w:sz="4" w:space="0"/>
              <w:bottom w:val="single" w:color="auto" w:sz="4" w:space="0"/>
              <w:right w:val="single" w:color="auto" w:sz="4" w:space="0"/>
            </w:tcBorders>
            <w:vAlign w:val="center"/>
          </w:tcPr>
          <w:p w14:paraId="7BA2ECDA">
            <w:pPr>
              <w:ind w:firstLine="210" w:firstLineChars="100"/>
              <w:jc w:val="left"/>
              <w:rPr>
                <w:rFonts w:hint="eastAsia" w:ascii="宋体" w:hAnsi="宋体" w:eastAsia="宋体" w:cs="宋体"/>
                <w:kern w:val="0"/>
                <w:szCs w:val="21"/>
                <w:lang w:val="en-US" w:eastAsia="zh-CN"/>
              </w:rPr>
            </w:pPr>
            <w:r>
              <w:rPr>
                <w:rFonts w:hint="eastAsia" w:ascii="宋体" w:hAnsi="宋体" w:cs="宋体"/>
                <w:kern w:val="0"/>
                <w:szCs w:val="21"/>
                <w:lang w:val="en-US" w:eastAsia="zh-CN"/>
              </w:rPr>
              <w:t>6</w:t>
            </w:r>
          </w:p>
        </w:tc>
        <w:tc>
          <w:tcPr>
            <w:tcW w:w="1996" w:type="dxa"/>
            <w:tcBorders>
              <w:top w:val="single" w:color="auto" w:sz="4" w:space="0"/>
              <w:left w:val="nil"/>
              <w:bottom w:val="single" w:color="auto" w:sz="4" w:space="0"/>
              <w:right w:val="single" w:color="auto" w:sz="4" w:space="0"/>
            </w:tcBorders>
            <w:vAlign w:val="center"/>
          </w:tcPr>
          <w:p w14:paraId="769D6DE8">
            <w:pPr>
              <w:jc w:val="center"/>
              <w:rPr>
                <w:rFonts w:ascii="宋体" w:hAnsi="宋体" w:cs="宋体"/>
                <w:kern w:val="0"/>
                <w:szCs w:val="21"/>
              </w:rPr>
            </w:pPr>
            <w:r>
              <w:rPr>
                <w:rFonts w:hint="eastAsia" w:ascii="宋体" w:hAnsi="宋体" w:cs="宋体"/>
                <w:kern w:val="0"/>
                <w:szCs w:val="21"/>
              </w:rPr>
              <w:t>收纳及阅读组件套装</w:t>
            </w:r>
          </w:p>
        </w:tc>
        <w:tc>
          <w:tcPr>
            <w:tcW w:w="746" w:type="dxa"/>
            <w:tcBorders>
              <w:top w:val="single" w:color="auto" w:sz="4" w:space="0"/>
              <w:left w:val="single" w:color="auto" w:sz="4" w:space="0"/>
              <w:bottom w:val="single" w:color="auto" w:sz="4" w:space="0"/>
              <w:right w:val="single" w:color="auto" w:sz="4" w:space="0"/>
            </w:tcBorders>
            <w:vAlign w:val="center"/>
          </w:tcPr>
          <w:p w14:paraId="4050C58A">
            <w:pPr>
              <w:ind w:firstLine="210" w:firstLineChars="100"/>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1</w:t>
            </w:r>
          </w:p>
        </w:tc>
        <w:tc>
          <w:tcPr>
            <w:tcW w:w="1254" w:type="dxa"/>
            <w:tcBorders>
              <w:top w:val="single" w:color="auto" w:sz="4" w:space="0"/>
              <w:left w:val="single" w:color="auto" w:sz="4" w:space="0"/>
              <w:bottom w:val="single" w:color="auto" w:sz="4" w:space="0"/>
              <w:right w:val="single" w:color="auto" w:sz="4" w:space="0"/>
            </w:tcBorders>
            <w:vAlign w:val="center"/>
          </w:tcPr>
          <w:p w14:paraId="6177A2C8">
            <w:pPr>
              <w:ind w:firstLine="210" w:firstLineChars="100"/>
              <w:jc w:val="center"/>
              <w:rPr>
                <w:rFonts w:ascii="宋体" w:hAnsi="宋体" w:cs="宋体"/>
                <w:kern w:val="0"/>
                <w:szCs w:val="21"/>
              </w:rPr>
            </w:pPr>
            <w:r>
              <w:rPr>
                <w:rFonts w:hint="eastAsia" w:ascii="宋体" w:hAnsi="宋体" w:cs="宋体"/>
                <w:kern w:val="0"/>
                <w:szCs w:val="21"/>
                <w:lang w:val="en-US" w:eastAsia="zh-CN"/>
              </w:rPr>
              <w:t>套</w:t>
            </w:r>
          </w:p>
        </w:tc>
        <w:tc>
          <w:tcPr>
            <w:tcW w:w="1053" w:type="dxa"/>
            <w:tcBorders>
              <w:top w:val="single" w:color="auto" w:sz="4" w:space="0"/>
              <w:left w:val="nil"/>
              <w:bottom w:val="single" w:color="auto" w:sz="4" w:space="0"/>
              <w:right w:val="single" w:color="auto" w:sz="4" w:space="0"/>
            </w:tcBorders>
            <w:vAlign w:val="center"/>
          </w:tcPr>
          <w:p w14:paraId="589D7997">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12F6A70A">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7ABE7FFB">
            <w:pPr>
              <w:ind w:firstLine="210" w:firstLineChars="100"/>
              <w:jc w:val="center"/>
              <w:rPr>
                <w:rFonts w:ascii="宋体" w:hAnsi="宋体" w:cs="宋体"/>
                <w:kern w:val="0"/>
                <w:szCs w:val="21"/>
              </w:rPr>
            </w:pPr>
            <w:r>
              <w:rPr>
                <w:rFonts w:hint="eastAsia" w:ascii="宋体" w:hAnsi="宋体" w:cs="宋体"/>
                <w:kern w:val="0"/>
                <w:szCs w:val="21"/>
                <w:lang w:val="en-US" w:eastAsia="zh-CN"/>
              </w:rPr>
              <w:t>工业</w:t>
            </w:r>
          </w:p>
        </w:tc>
      </w:tr>
      <w:tr w14:paraId="210B56A4">
        <w:tblPrEx>
          <w:tblCellMar>
            <w:top w:w="0" w:type="dxa"/>
            <w:left w:w="108" w:type="dxa"/>
            <w:bottom w:w="0" w:type="dxa"/>
            <w:right w:w="108" w:type="dxa"/>
          </w:tblCellMar>
        </w:tblPrEx>
        <w:trPr>
          <w:trHeight w:val="196" w:hRule="atLeast"/>
        </w:trPr>
        <w:tc>
          <w:tcPr>
            <w:tcW w:w="709" w:type="dxa"/>
            <w:tcBorders>
              <w:top w:val="single" w:color="auto" w:sz="4" w:space="0"/>
              <w:left w:val="single" w:color="auto" w:sz="4" w:space="0"/>
              <w:bottom w:val="single" w:color="auto" w:sz="4" w:space="0"/>
              <w:right w:val="single" w:color="auto" w:sz="4" w:space="0"/>
            </w:tcBorders>
            <w:vAlign w:val="center"/>
          </w:tcPr>
          <w:p w14:paraId="134C1B8F">
            <w:pPr>
              <w:ind w:firstLine="210" w:firstLineChars="100"/>
              <w:jc w:val="left"/>
              <w:rPr>
                <w:rFonts w:hint="eastAsia" w:ascii="宋体" w:hAnsi="宋体" w:eastAsia="宋体" w:cs="宋体"/>
                <w:kern w:val="0"/>
                <w:szCs w:val="21"/>
                <w:lang w:val="en-US" w:eastAsia="zh-CN"/>
              </w:rPr>
            </w:pPr>
            <w:r>
              <w:rPr>
                <w:rFonts w:hint="eastAsia" w:ascii="宋体" w:hAnsi="宋体" w:cs="宋体"/>
                <w:kern w:val="0"/>
                <w:szCs w:val="21"/>
                <w:lang w:val="en-US" w:eastAsia="zh-CN"/>
              </w:rPr>
              <w:t>7</w:t>
            </w:r>
          </w:p>
        </w:tc>
        <w:tc>
          <w:tcPr>
            <w:tcW w:w="1996" w:type="dxa"/>
            <w:tcBorders>
              <w:top w:val="single" w:color="auto" w:sz="4" w:space="0"/>
              <w:left w:val="nil"/>
              <w:bottom w:val="single" w:color="auto" w:sz="4" w:space="0"/>
              <w:right w:val="single" w:color="auto" w:sz="4" w:space="0"/>
            </w:tcBorders>
            <w:vAlign w:val="center"/>
          </w:tcPr>
          <w:p w14:paraId="3349AAF7">
            <w:pPr>
              <w:jc w:val="center"/>
              <w:rPr>
                <w:rFonts w:ascii="宋体" w:hAnsi="宋体" w:cs="宋体"/>
                <w:kern w:val="0"/>
                <w:szCs w:val="21"/>
              </w:rPr>
            </w:pPr>
            <w:r>
              <w:rPr>
                <w:rFonts w:hint="eastAsia" w:ascii="宋体" w:hAnsi="宋体" w:cs="宋体"/>
                <w:kern w:val="0"/>
                <w:szCs w:val="21"/>
              </w:rPr>
              <w:t>阅读组件套装</w:t>
            </w:r>
          </w:p>
        </w:tc>
        <w:tc>
          <w:tcPr>
            <w:tcW w:w="746" w:type="dxa"/>
            <w:tcBorders>
              <w:top w:val="single" w:color="auto" w:sz="4" w:space="0"/>
              <w:left w:val="single" w:color="auto" w:sz="4" w:space="0"/>
              <w:bottom w:val="single" w:color="auto" w:sz="4" w:space="0"/>
              <w:right w:val="single" w:color="auto" w:sz="4" w:space="0"/>
            </w:tcBorders>
            <w:vAlign w:val="center"/>
          </w:tcPr>
          <w:p w14:paraId="29D4B7AA">
            <w:pPr>
              <w:ind w:firstLine="210" w:firstLineChars="100"/>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1</w:t>
            </w:r>
          </w:p>
        </w:tc>
        <w:tc>
          <w:tcPr>
            <w:tcW w:w="1254" w:type="dxa"/>
            <w:tcBorders>
              <w:top w:val="single" w:color="auto" w:sz="4" w:space="0"/>
              <w:left w:val="single" w:color="auto" w:sz="4" w:space="0"/>
              <w:bottom w:val="single" w:color="auto" w:sz="4" w:space="0"/>
              <w:right w:val="single" w:color="auto" w:sz="4" w:space="0"/>
            </w:tcBorders>
            <w:vAlign w:val="center"/>
          </w:tcPr>
          <w:p w14:paraId="18D72E82">
            <w:pPr>
              <w:ind w:firstLine="210" w:firstLineChars="100"/>
              <w:jc w:val="center"/>
              <w:rPr>
                <w:rFonts w:ascii="宋体" w:hAnsi="宋体" w:cs="宋体"/>
                <w:kern w:val="0"/>
                <w:szCs w:val="21"/>
              </w:rPr>
            </w:pPr>
            <w:r>
              <w:rPr>
                <w:rFonts w:hint="eastAsia" w:ascii="宋体" w:hAnsi="宋体" w:cs="宋体"/>
                <w:kern w:val="0"/>
                <w:szCs w:val="21"/>
                <w:lang w:val="en-US" w:eastAsia="zh-CN"/>
              </w:rPr>
              <w:t>套</w:t>
            </w:r>
          </w:p>
        </w:tc>
        <w:tc>
          <w:tcPr>
            <w:tcW w:w="1053" w:type="dxa"/>
            <w:tcBorders>
              <w:top w:val="single" w:color="auto" w:sz="4" w:space="0"/>
              <w:left w:val="nil"/>
              <w:bottom w:val="single" w:color="auto" w:sz="4" w:space="0"/>
              <w:right w:val="single" w:color="auto" w:sz="4" w:space="0"/>
            </w:tcBorders>
            <w:vAlign w:val="center"/>
          </w:tcPr>
          <w:p w14:paraId="61F7E232">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1B179BFA">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1258EF97">
            <w:pPr>
              <w:ind w:firstLine="210" w:firstLineChars="100"/>
              <w:jc w:val="center"/>
              <w:rPr>
                <w:rFonts w:ascii="宋体" w:hAnsi="宋体" w:cs="宋体"/>
                <w:kern w:val="0"/>
                <w:szCs w:val="21"/>
              </w:rPr>
            </w:pPr>
            <w:r>
              <w:rPr>
                <w:rFonts w:hint="eastAsia" w:ascii="宋体" w:hAnsi="宋体" w:cs="宋体"/>
                <w:kern w:val="0"/>
                <w:szCs w:val="21"/>
                <w:lang w:val="en-US" w:eastAsia="zh-CN"/>
              </w:rPr>
              <w:t>工业</w:t>
            </w:r>
          </w:p>
        </w:tc>
      </w:tr>
      <w:tr w14:paraId="007F38AC">
        <w:tblPrEx>
          <w:tblCellMar>
            <w:top w:w="0" w:type="dxa"/>
            <w:left w:w="108" w:type="dxa"/>
            <w:bottom w:w="0" w:type="dxa"/>
            <w:right w:w="108" w:type="dxa"/>
          </w:tblCellMar>
        </w:tblPrEx>
        <w:trPr>
          <w:trHeight w:val="196" w:hRule="atLeast"/>
        </w:trPr>
        <w:tc>
          <w:tcPr>
            <w:tcW w:w="709" w:type="dxa"/>
            <w:tcBorders>
              <w:top w:val="single" w:color="auto" w:sz="4" w:space="0"/>
              <w:left w:val="single" w:color="auto" w:sz="4" w:space="0"/>
              <w:bottom w:val="single" w:color="auto" w:sz="4" w:space="0"/>
              <w:right w:val="single" w:color="auto" w:sz="4" w:space="0"/>
            </w:tcBorders>
            <w:vAlign w:val="center"/>
          </w:tcPr>
          <w:p w14:paraId="6B88B94B">
            <w:pPr>
              <w:ind w:firstLine="210" w:firstLineChars="100"/>
              <w:jc w:val="left"/>
              <w:rPr>
                <w:rFonts w:hint="eastAsia" w:ascii="宋体" w:hAnsi="宋体" w:eastAsia="宋体" w:cs="宋体"/>
                <w:kern w:val="0"/>
                <w:szCs w:val="21"/>
                <w:lang w:val="en-US" w:eastAsia="zh-CN"/>
              </w:rPr>
            </w:pPr>
            <w:r>
              <w:rPr>
                <w:rFonts w:hint="eastAsia" w:ascii="宋体" w:hAnsi="宋体" w:cs="宋体"/>
                <w:kern w:val="0"/>
                <w:szCs w:val="21"/>
                <w:lang w:val="en-US" w:eastAsia="zh-CN"/>
              </w:rPr>
              <w:t>8</w:t>
            </w:r>
          </w:p>
        </w:tc>
        <w:tc>
          <w:tcPr>
            <w:tcW w:w="1996" w:type="dxa"/>
            <w:tcBorders>
              <w:top w:val="single" w:color="auto" w:sz="4" w:space="0"/>
              <w:left w:val="nil"/>
              <w:bottom w:val="single" w:color="auto" w:sz="4" w:space="0"/>
              <w:right w:val="single" w:color="auto" w:sz="4" w:space="0"/>
            </w:tcBorders>
            <w:vAlign w:val="center"/>
          </w:tcPr>
          <w:p w14:paraId="4F436896">
            <w:pPr>
              <w:jc w:val="center"/>
              <w:rPr>
                <w:rFonts w:hint="default" w:ascii="宋体" w:hAnsi="宋体" w:eastAsia="宋体" w:cs="宋体"/>
                <w:kern w:val="0"/>
                <w:szCs w:val="21"/>
                <w:lang w:val="en-US" w:eastAsia="zh-CN"/>
              </w:rPr>
            </w:pPr>
            <w:r>
              <w:rPr>
                <w:rFonts w:hint="eastAsia" w:ascii="宋体" w:hAnsi="宋体" w:cs="宋体"/>
                <w:kern w:val="0"/>
                <w:szCs w:val="21"/>
              </w:rPr>
              <w:t>移动学习框架组件</w:t>
            </w:r>
            <w:r>
              <w:rPr>
                <w:rFonts w:hint="eastAsia" w:ascii="宋体" w:hAnsi="宋体" w:cs="宋体"/>
                <w:kern w:val="0"/>
                <w:szCs w:val="21"/>
                <w:lang w:val="en-US" w:eastAsia="zh-CN"/>
              </w:rPr>
              <w:t>-洞洞板背板</w:t>
            </w:r>
          </w:p>
        </w:tc>
        <w:tc>
          <w:tcPr>
            <w:tcW w:w="746" w:type="dxa"/>
            <w:tcBorders>
              <w:top w:val="single" w:color="auto" w:sz="4" w:space="0"/>
              <w:left w:val="single" w:color="auto" w:sz="4" w:space="0"/>
              <w:bottom w:val="single" w:color="auto" w:sz="4" w:space="0"/>
              <w:right w:val="single" w:color="auto" w:sz="4" w:space="0"/>
            </w:tcBorders>
            <w:vAlign w:val="center"/>
          </w:tcPr>
          <w:p w14:paraId="20817BBD">
            <w:pPr>
              <w:ind w:firstLine="210" w:firstLineChars="100"/>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1</w:t>
            </w:r>
          </w:p>
        </w:tc>
        <w:tc>
          <w:tcPr>
            <w:tcW w:w="1254" w:type="dxa"/>
            <w:tcBorders>
              <w:top w:val="single" w:color="auto" w:sz="4" w:space="0"/>
              <w:left w:val="single" w:color="auto" w:sz="4" w:space="0"/>
              <w:bottom w:val="single" w:color="auto" w:sz="4" w:space="0"/>
              <w:right w:val="single" w:color="auto" w:sz="4" w:space="0"/>
            </w:tcBorders>
            <w:vAlign w:val="center"/>
          </w:tcPr>
          <w:p w14:paraId="474B26C6">
            <w:pPr>
              <w:ind w:firstLine="210" w:firstLineChars="100"/>
              <w:jc w:val="center"/>
              <w:rPr>
                <w:rFonts w:ascii="宋体" w:hAnsi="宋体" w:cs="宋体"/>
                <w:kern w:val="0"/>
                <w:szCs w:val="21"/>
              </w:rPr>
            </w:pPr>
            <w:r>
              <w:rPr>
                <w:rFonts w:hint="eastAsia" w:ascii="宋体" w:hAnsi="宋体" w:cs="宋体"/>
                <w:kern w:val="0"/>
                <w:szCs w:val="21"/>
                <w:lang w:val="en-US" w:eastAsia="zh-CN"/>
              </w:rPr>
              <w:t>套</w:t>
            </w:r>
          </w:p>
        </w:tc>
        <w:tc>
          <w:tcPr>
            <w:tcW w:w="1053" w:type="dxa"/>
            <w:tcBorders>
              <w:top w:val="single" w:color="auto" w:sz="4" w:space="0"/>
              <w:left w:val="nil"/>
              <w:bottom w:val="single" w:color="auto" w:sz="4" w:space="0"/>
              <w:right w:val="single" w:color="auto" w:sz="4" w:space="0"/>
            </w:tcBorders>
            <w:vAlign w:val="center"/>
          </w:tcPr>
          <w:p w14:paraId="2CC73F2D">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5388611C">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6E5C24ED">
            <w:pPr>
              <w:ind w:firstLine="210" w:firstLineChars="100"/>
              <w:jc w:val="center"/>
              <w:rPr>
                <w:rFonts w:ascii="宋体" w:hAnsi="宋体" w:cs="宋体"/>
                <w:kern w:val="0"/>
                <w:szCs w:val="21"/>
              </w:rPr>
            </w:pPr>
            <w:r>
              <w:rPr>
                <w:rFonts w:hint="eastAsia" w:ascii="宋体" w:hAnsi="宋体" w:cs="宋体"/>
                <w:kern w:val="0"/>
                <w:szCs w:val="21"/>
                <w:lang w:val="en-US" w:eastAsia="zh-CN"/>
              </w:rPr>
              <w:t>工业</w:t>
            </w:r>
          </w:p>
        </w:tc>
      </w:tr>
      <w:tr w14:paraId="18EA3194">
        <w:tblPrEx>
          <w:tblCellMar>
            <w:top w:w="0" w:type="dxa"/>
            <w:left w:w="108" w:type="dxa"/>
            <w:bottom w:w="0" w:type="dxa"/>
            <w:right w:w="108" w:type="dxa"/>
          </w:tblCellMar>
        </w:tblPrEx>
        <w:trPr>
          <w:trHeight w:val="196" w:hRule="atLeast"/>
        </w:trPr>
        <w:tc>
          <w:tcPr>
            <w:tcW w:w="709" w:type="dxa"/>
            <w:tcBorders>
              <w:top w:val="single" w:color="auto" w:sz="4" w:space="0"/>
              <w:left w:val="single" w:color="auto" w:sz="4" w:space="0"/>
              <w:bottom w:val="single" w:color="auto" w:sz="4" w:space="0"/>
              <w:right w:val="single" w:color="auto" w:sz="4" w:space="0"/>
            </w:tcBorders>
            <w:vAlign w:val="center"/>
          </w:tcPr>
          <w:p w14:paraId="7AA2CC52">
            <w:pPr>
              <w:ind w:firstLine="210" w:firstLineChars="100"/>
              <w:jc w:val="left"/>
              <w:rPr>
                <w:rFonts w:hint="eastAsia" w:ascii="宋体" w:hAnsi="宋体" w:eastAsia="宋体" w:cs="宋体"/>
                <w:kern w:val="0"/>
                <w:szCs w:val="21"/>
                <w:lang w:val="en-US" w:eastAsia="zh-CN"/>
              </w:rPr>
            </w:pPr>
            <w:r>
              <w:rPr>
                <w:rFonts w:hint="eastAsia" w:ascii="宋体" w:hAnsi="宋体" w:cs="宋体"/>
                <w:kern w:val="0"/>
                <w:szCs w:val="21"/>
                <w:lang w:val="en-US" w:eastAsia="zh-CN"/>
              </w:rPr>
              <w:t>9</w:t>
            </w:r>
          </w:p>
        </w:tc>
        <w:tc>
          <w:tcPr>
            <w:tcW w:w="1996" w:type="dxa"/>
            <w:tcBorders>
              <w:top w:val="single" w:color="auto" w:sz="4" w:space="0"/>
              <w:left w:val="nil"/>
              <w:bottom w:val="single" w:color="auto" w:sz="4" w:space="0"/>
              <w:right w:val="single" w:color="auto" w:sz="4" w:space="0"/>
            </w:tcBorders>
            <w:vAlign w:val="center"/>
          </w:tcPr>
          <w:p w14:paraId="34C2C830">
            <w:pPr>
              <w:jc w:val="center"/>
              <w:rPr>
                <w:rFonts w:hint="default" w:ascii="宋体" w:hAnsi="宋体" w:eastAsia="宋体" w:cs="宋体"/>
                <w:kern w:val="0"/>
                <w:szCs w:val="21"/>
                <w:lang w:val="en-US" w:eastAsia="zh-CN"/>
              </w:rPr>
            </w:pPr>
            <w:r>
              <w:rPr>
                <w:rFonts w:hint="eastAsia" w:ascii="宋体" w:hAnsi="宋体" w:cs="宋体"/>
                <w:kern w:val="0"/>
                <w:szCs w:val="21"/>
              </w:rPr>
              <w:t>移动学习框架组件</w:t>
            </w:r>
            <w:r>
              <w:rPr>
                <w:rFonts w:hint="eastAsia" w:ascii="宋体" w:hAnsi="宋体" w:cs="宋体"/>
                <w:kern w:val="0"/>
                <w:szCs w:val="21"/>
                <w:lang w:val="en-US" w:eastAsia="zh-CN"/>
              </w:rPr>
              <w:t>-白板背板</w:t>
            </w:r>
          </w:p>
        </w:tc>
        <w:tc>
          <w:tcPr>
            <w:tcW w:w="746" w:type="dxa"/>
            <w:tcBorders>
              <w:top w:val="single" w:color="auto" w:sz="4" w:space="0"/>
              <w:left w:val="single" w:color="auto" w:sz="4" w:space="0"/>
              <w:bottom w:val="single" w:color="auto" w:sz="4" w:space="0"/>
              <w:right w:val="single" w:color="auto" w:sz="4" w:space="0"/>
            </w:tcBorders>
            <w:vAlign w:val="center"/>
          </w:tcPr>
          <w:p w14:paraId="0697E69E">
            <w:pPr>
              <w:ind w:firstLine="210" w:firstLineChars="100"/>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1</w:t>
            </w:r>
          </w:p>
        </w:tc>
        <w:tc>
          <w:tcPr>
            <w:tcW w:w="1254" w:type="dxa"/>
            <w:tcBorders>
              <w:top w:val="single" w:color="auto" w:sz="4" w:space="0"/>
              <w:left w:val="single" w:color="auto" w:sz="4" w:space="0"/>
              <w:bottom w:val="single" w:color="auto" w:sz="4" w:space="0"/>
              <w:right w:val="single" w:color="auto" w:sz="4" w:space="0"/>
            </w:tcBorders>
            <w:vAlign w:val="center"/>
          </w:tcPr>
          <w:p w14:paraId="4BA43B39">
            <w:pPr>
              <w:ind w:firstLine="210" w:firstLineChars="100"/>
              <w:jc w:val="center"/>
              <w:rPr>
                <w:rFonts w:ascii="宋体" w:hAnsi="宋体" w:cs="宋体"/>
                <w:kern w:val="0"/>
                <w:szCs w:val="21"/>
              </w:rPr>
            </w:pPr>
            <w:r>
              <w:rPr>
                <w:rFonts w:hint="eastAsia" w:ascii="宋体" w:hAnsi="宋体" w:cs="宋体"/>
                <w:kern w:val="0"/>
                <w:szCs w:val="21"/>
                <w:lang w:val="en-US" w:eastAsia="zh-CN"/>
              </w:rPr>
              <w:t>套</w:t>
            </w:r>
          </w:p>
        </w:tc>
        <w:tc>
          <w:tcPr>
            <w:tcW w:w="1053" w:type="dxa"/>
            <w:tcBorders>
              <w:top w:val="single" w:color="auto" w:sz="4" w:space="0"/>
              <w:left w:val="nil"/>
              <w:bottom w:val="single" w:color="auto" w:sz="4" w:space="0"/>
              <w:right w:val="single" w:color="auto" w:sz="4" w:space="0"/>
            </w:tcBorders>
            <w:vAlign w:val="center"/>
          </w:tcPr>
          <w:p w14:paraId="2F1E6390">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623BC885">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0FBE987D">
            <w:pPr>
              <w:ind w:firstLine="210" w:firstLineChars="100"/>
              <w:jc w:val="center"/>
              <w:rPr>
                <w:rFonts w:ascii="宋体" w:hAnsi="宋体" w:cs="宋体"/>
                <w:kern w:val="0"/>
                <w:szCs w:val="21"/>
              </w:rPr>
            </w:pPr>
            <w:r>
              <w:rPr>
                <w:rFonts w:hint="eastAsia" w:ascii="宋体" w:hAnsi="宋体" w:cs="宋体"/>
                <w:kern w:val="0"/>
                <w:szCs w:val="21"/>
                <w:lang w:val="en-US" w:eastAsia="zh-CN"/>
              </w:rPr>
              <w:t>工业</w:t>
            </w:r>
          </w:p>
        </w:tc>
      </w:tr>
      <w:tr w14:paraId="5F0321F6">
        <w:tblPrEx>
          <w:tblCellMar>
            <w:top w:w="0" w:type="dxa"/>
            <w:left w:w="108" w:type="dxa"/>
            <w:bottom w:w="0" w:type="dxa"/>
            <w:right w:w="108" w:type="dxa"/>
          </w:tblCellMar>
        </w:tblPrEx>
        <w:trPr>
          <w:trHeight w:val="196" w:hRule="atLeast"/>
        </w:trPr>
        <w:tc>
          <w:tcPr>
            <w:tcW w:w="709" w:type="dxa"/>
            <w:tcBorders>
              <w:top w:val="single" w:color="auto" w:sz="4" w:space="0"/>
              <w:left w:val="single" w:color="auto" w:sz="4" w:space="0"/>
              <w:bottom w:val="single" w:color="auto" w:sz="4" w:space="0"/>
              <w:right w:val="single" w:color="auto" w:sz="4" w:space="0"/>
            </w:tcBorders>
            <w:vAlign w:val="center"/>
          </w:tcPr>
          <w:p w14:paraId="03E37AE5">
            <w:pPr>
              <w:ind w:firstLine="210" w:firstLineChars="100"/>
              <w:jc w:val="left"/>
              <w:rPr>
                <w:rFonts w:hint="default" w:ascii="宋体" w:hAnsi="宋体" w:eastAsia="宋体" w:cs="宋体"/>
                <w:kern w:val="0"/>
                <w:szCs w:val="21"/>
                <w:lang w:val="en-US" w:eastAsia="zh-CN"/>
              </w:rPr>
            </w:pPr>
            <w:r>
              <w:rPr>
                <w:rFonts w:hint="eastAsia" w:ascii="宋体" w:hAnsi="宋体" w:cs="宋体"/>
                <w:kern w:val="0"/>
                <w:szCs w:val="21"/>
                <w:lang w:val="en-US" w:eastAsia="zh-CN"/>
              </w:rPr>
              <w:t>10</w:t>
            </w:r>
          </w:p>
        </w:tc>
        <w:tc>
          <w:tcPr>
            <w:tcW w:w="1996" w:type="dxa"/>
            <w:tcBorders>
              <w:top w:val="single" w:color="auto" w:sz="4" w:space="0"/>
              <w:left w:val="nil"/>
              <w:bottom w:val="single" w:color="auto" w:sz="4" w:space="0"/>
              <w:right w:val="single" w:color="auto" w:sz="4" w:space="0"/>
            </w:tcBorders>
            <w:vAlign w:val="center"/>
          </w:tcPr>
          <w:p w14:paraId="3CAC3011">
            <w:pPr>
              <w:jc w:val="center"/>
              <w:rPr>
                <w:rFonts w:hint="default" w:ascii="宋体" w:hAnsi="宋体" w:eastAsia="宋体" w:cs="宋体"/>
                <w:kern w:val="0"/>
                <w:szCs w:val="21"/>
                <w:lang w:val="en-US" w:eastAsia="zh-CN"/>
              </w:rPr>
            </w:pPr>
            <w:r>
              <w:rPr>
                <w:rFonts w:hint="eastAsia" w:ascii="宋体" w:hAnsi="宋体" w:cs="宋体"/>
                <w:kern w:val="0"/>
                <w:szCs w:val="21"/>
              </w:rPr>
              <w:t>移动学习框架组件</w:t>
            </w:r>
            <w:r>
              <w:rPr>
                <w:rFonts w:hint="eastAsia" w:ascii="宋体" w:hAnsi="宋体" w:cs="宋体"/>
                <w:kern w:val="0"/>
                <w:szCs w:val="21"/>
                <w:lang w:val="en-US" w:eastAsia="zh-CN"/>
              </w:rPr>
              <w:t>-软木板背板</w:t>
            </w:r>
          </w:p>
        </w:tc>
        <w:tc>
          <w:tcPr>
            <w:tcW w:w="746" w:type="dxa"/>
            <w:tcBorders>
              <w:top w:val="single" w:color="auto" w:sz="4" w:space="0"/>
              <w:left w:val="single" w:color="auto" w:sz="4" w:space="0"/>
              <w:bottom w:val="single" w:color="auto" w:sz="4" w:space="0"/>
              <w:right w:val="single" w:color="auto" w:sz="4" w:space="0"/>
            </w:tcBorders>
            <w:vAlign w:val="center"/>
          </w:tcPr>
          <w:p w14:paraId="6F1396CF">
            <w:pPr>
              <w:ind w:firstLine="210" w:firstLineChars="100"/>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1</w:t>
            </w:r>
          </w:p>
        </w:tc>
        <w:tc>
          <w:tcPr>
            <w:tcW w:w="1254" w:type="dxa"/>
            <w:tcBorders>
              <w:top w:val="single" w:color="auto" w:sz="4" w:space="0"/>
              <w:left w:val="single" w:color="auto" w:sz="4" w:space="0"/>
              <w:bottom w:val="single" w:color="auto" w:sz="4" w:space="0"/>
              <w:right w:val="single" w:color="auto" w:sz="4" w:space="0"/>
            </w:tcBorders>
            <w:vAlign w:val="center"/>
          </w:tcPr>
          <w:p w14:paraId="2231E792">
            <w:pPr>
              <w:ind w:firstLine="210" w:firstLineChars="100"/>
              <w:jc w:val="center"/>
              <w:rPr>
                <w:rFonts w:ascii="宋体" w:hAnsi="宋体" w:cs="宋体"/>
                <w:kern w:val="0"/>
                <w:szCs w:val="21"/>
              </w:rPr>
            </w:pPr>
            <w:r>
              <w:rPr>
                <w:rFonts w:hint="eastAsia" w:ascii="宋体" w:hAnsi="宋体" w:cs="宋体"/>
                <w:kern w:val="0"/>
                <w:szCs w:val="21"/>
                <w:lang w:val="en-US" w:eastAsia="zh-CN"/>
              </w:rPr>
              <w:t>套</w:t>
            </w:r>
          </w:p>
        </w:tc>
        <w:tc>
          <w:tcPr>
            <w:tcW w:w="1053" w:type="dxa"/>
            <w:tcBorders>
              <w:top w:val="single" w:color="auto" w:sz="4" w:space="0"/>
              <w:left w:val="nil"/>
              <w:bottom w:val="single" w:color="auto" w:sz="4" w:space="0"/>
              <w:right w:val="single" w:color="auto" w:sz="4" w:space="0"/>
            </w:tcBorders>
            <w:vAlign w:val="center"/>
          </w:tcPr>
          <w:p w14:paraId="212FAB7A">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4E400C75">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19C2F8E4">
            <w:pPr>
              <w:ind w:firstLine="210" w:firstLineChars="100"/>
              <w:jc w:val="center"/>
              <w:rPr>
                <w:rFonts w:ascii="宋体" w:hAnsi="宋体" w:cs="宋体"/>
                <w:kern w:val="0"/>
                <w:szCs w:val="21"/>
              </w:rPr>
            </w:pPr>
            <w:r>
              <w:rPr>
                <w:rFonts w:hint="eastAsia" w:ascii="宋体" w:hAnsi="宋体" w:cs="宋体"/>
                <w:kern w:val="0"/>
                <w:szCs w:val="21"/>
                <w:lang w:val="en-US" w:eastAsia="zh-CN"/>
              </w:rPr>
              <w:t>工业</w:t>
            </w:r>
          </w:p>
        </w:tc>
      </w:tr>
      <w:tr w14:paraId="2ECE9453">
        <w:tblPrEx>
          <w:tblCellMar>
            <w:top w:w="0" w:type="dxa"/>
            <w:left w:w="108" w:type="dxa"/>
            <w:bottom w:w="0" w:type="dxa"/>
            <w:right w:w="108" w:type="dxa"/>
          </w:tblCellMar>
        </w:tblPrEx>
        <w:trPr>
          <w:trHeight w:val="196" w:hRule="atLeast"/>
        </w:trPr>
        <w:tc>
          <w:tcPr>
            <w:tcW w:w="709" w:type="dxa"/>
            <w:tcBorders>
              <w:top w:val="single" w:color="auto" w:sz="4" w:space="0"/>
              <w:left w:val="single" w:color="auto" w:sz="4" w:space="0"/>
              <w:bottom w:val="single" w:color="auto" w:sz="4" w:space="0"/>
              <w:right w:val="single" w:color="auto" w:sz="4" w:space="0"/>
            </w:tcBorders>
            <w:vAlign w:val="center"/>
          </w:tcPr>
          <w:p w14:paraId="168CB867">
            <w:pPr>
              <w:ind w:firstLine="210" w:firstLineChars="100"/>
              <w:jc w:val="left"/>
              <w:rPr>
                <w:rFonts w:hint="default" w:ascii="宋体" w:hAnsi="宋体" w:eastAsia="宋体" w:cs="宋体"/>
                <w:kern w:val="0"/>
                <w:szCs w:val="21"/>
                <w:lang w:val="en-US" w:eastAsia="zh-CN"/>
              </w:rPr>
            </w:pPr>
            <w:r>
              <w:rPr>
                <w:rFonts w:hint="eastAsia" w:ascii="宋体" w:hAnsi="宋体" w:cs="宋体"/>
                <w:kern w:val="0"/>
                <w:szCs w:val="21"/>
                <w:lang w:val="en-US" w:eastAsia="zh-CN"/>
              </w:rPr>
              <w:t>11</w:t>
            </w:r>
          </w:p>
        </w:tc>
        <w:tc>
          <w:tcPr>
            <w:tcW w:w="1996" w:type="dxa"/>
            <w:tcBorders>
              <w:top w:val="single" w:color="auto" w:sz="4" w:space="0"/>
              <w:left w:val="nil"/>
              <w:bottom w:val="single" w:color="auto" w:sz="4" w:space="0"/>
              <w:right w:val="single" w:color="auto" w:sz="4" w:space="0"/>
            </w:tcBorders>
            <w:vAlign w:val="center"/>
          </w:tcPr>
          <w:p w14:paraId="1A00838E">
            <w:pPr>
              <w:jc w:val="center"/>
              <w:rPr>
                <w:rFonts w:hint="default" w:ascii="宋体" w:hAnsi="宋体" w:eastAsia="宋体" w:cs="宋体"/>
                <w:kern w:val="0"/>
                <w:szCs w:val="21"/>
                <w:lang w:val="en-US" w:eastAsia="zh-CN"/>
              </w:rPr>
            </w:pPr>
            <w:r>
              <w:rPr>
                <w:rFonts w:hint="eastAsia" w:ascii="宋体" w:hAnsi="宋体" w:cs="宋体"/>
                <w:kern w:val="0"/>
                <w:szCs w:val="21"/>
                <w:lang w:val="en-US" w:eastAsia="zh-CN"/>
              </w:rPr>
              <w:t>实验操作台组件-操作台</w:t>
            </w:r>
          </w:p>
        </w:tc>
        <w:tc>
          <w:tcPr>
            <w:tcW w:w="746" w:type="dxa"/>
            <w:tcBorders>
              <w:top w:val="single" w:color="auto" w:sz="4" w:space="0"/>
              <w:left w:val="single" w:color="auto" w:sz="4" w:space="0"/>
              <w:bottom w:val="single" w:color="auto" w:sz="4" w:space="0"/>
              <w:right w:val="single" w:color="auto" w:sz="4" w:space="0"/>
            </w:tcBorders>
            <w:vAlign w:val="center"/>
          </w:tcPr>
          <w:p w14:paraId="17967E95">
            <w:pPr>
              <w:ind w:firstLine="210" w:firstLineChars="100"/>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5</w:t>
            </w:r>
          </w:p>
        </w:tc>
        <w:tc>
          <w:tcPr>
            <w:tcW w:w="1254" w:type="dxa"/>
            <w:tcBorders>
              <w:top w:val="single" w:color="auto" w:sz="4" w:space="0"/>
              <w:left w:val="single" w:color="auto" w:sz="4" w:space="0"/>
              <w:bottom w:val="single" w:color="auto" w:sz="4" w:space="0"/>
              <w:right w:val="single" w:color="auto" w:sz="4" w:space="0"/>
            </w:tcBorders>
            <w:vAlign w:val="center"/>
          </w:tcPr>
          <w:p w14:paraId="57A610E5">
            <w:pPr>
              <w:ind w:firstLine="210" w:firstLineChars="100"/>
              <w:jc w:val="center"/>
              <w:rPr>
                <w:rFonts w:ascii="宋体" w:hAnsi="宋体" w:cs="宋体"/>
                <w:kern w:val="0"/>
                <w:szCs w:val="21"/>
              </w:rPr>
            </w:pPr>
            <w:r>
              <w:rPr>
                <w:rFonts w:hint="eastAsia" w:ascii="宋体" w:hAnsi="宋体" w:cs="宋体"/>
                <w:kern w:val="0"/>
                <w:szCs w:val="21"/>
                <w:lang w:val="en-US" w:eastAsia="zh-CN"/>
              </w:rPr>
              <w:t>套</w:t>
            </w:r>
          </w:p>
        </w:tc>
        <w:tc>
          <w:tcPr>
            <w:tcW w:w="1053" w:type="dxa"/>
            <w:tcBorders>
              <w:top w:val="single" w:color="auto" w:sz="4" w:space="0"/>
              <w:left w:val="nil"/>
              <w:bottom w:val="single" w:color="auto" w:sz="4" w:space="0"/>
              <w:right w:val="single" w:color="auto" w:sz="4" w:space="0"/>
            </w:tcBorders>
            <w:vAlign w:val="center"/>
          </w:tcPr>
          <w:p w14:paraId="02289824">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190EE275">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04D757B6">
            <w:pPr>
              <w:ind w:firstLine="210" w:firstLineChars="100"/>
              <w:jc w:val="center"/>
              <w:rPr>
                <w:rFonts w:ascii="宋体" w:hAnsi="宋体" w:cs="宋体"/>
                <w:kern w:val="0"/>
                <w:szCs w:val="21"/>
              </w:rPr>
            </w:pPr>
            <w:r>
              <w:rPr>
                <w:rFonts w:hint="eastAsia" w:ascii="宋体" w:hAnsi="宋体" w:cs="宋体"/>
                <w:kern w:val="0"/>
                <w:szCs w:val="21"/>
                <w:lang w:val="en-US" w:eastAsia="zh-CN"/>
              </w:rPr>
              <w:t>工业</w:t>
            </w:r>
          </w:p>
        </w:tc>
      </w:tr>
      <w:tr w14:paraId="1393D39E">
        <w:tblPrEx>
          <w:tblCellMar>
            <w:top w:w="0" w:type="dxa"/>
            <w:left w:w="108" w:type="dxa"/>
            <w:bottom w:w="0" w:type="dxa"/>
            <w:right w:w="108" w:type="dxa"/>
          </w:tblCellMar>
        </w:tblPrEx>
        <w:trPr>
          <w:trHeight w:val="196" w:hRule="atLeast"/>
        </w:trPr>
        <w:tc>
          <w:tcPr>
            <w:tcW w:w="709" w:type="dxa"/>
            <w:tcBorders>
              <w:top w:val="single" w:color="auto" w:sz="4" w:space="0"/>
              <w:left w:val="single" w:color="auto" w:sz="4" w:space="0"/>
              <w:bottom w:val="single" w:color="auto" w:sz="4" w:space="0"/>
              <w:right w:val="single" w:color="auto" w:sz="4" w:space="0"/>
            </w:tcBorders>
            <w:vAlign w:val="center"/>
          </w:tcPr>
          <w:p w14:paraId="293F95B9">
            <w:pPr>
              <w:ind w:firstLine="210" w:firstLineChars="100"/>
              <w:jc w:val="left"/>
              <w:rPr>
                <w:rFonts w:hint="default" w:ascii="宋体" w:hAnsi="宋体" w:eastAsia="宋体" w:cs="宋体"/>
                <w:kern w:val="0"/>
                <w:szCs w:val="21"/>
                <w:lang w:val="en-US" w:eastAsia="zh-CN"/>
              </w:rPr>
            </w:pPr>
            <w:r>
              <w:rPr>
                <w:rFonts w:hint="eastAsia" w:ascii="宋体" w:hAnsi="宋体" w:cs="宋体"/>
                <w:kern w:val="0"/>
                <w:szCs w:val="21"/>
                <w:lang w:val="en-US" w:eastAsia="zh-CN"/>
              </w:rPr>
              <w:t>12</w:t>
            </w:r>
          </w:p>
        </w:tc>
        <w:tc>
          <w:tcPr>
            <w:tcW w:w="1996" w:type="dxa"/>
            <w:tcBorders>
              <w:top w:val="single" w:color="auto" w:sz="4" w:space="0"/>
              <w:left w:val="nil"/>
              <w:bottom w:val="single" w:color="auto" w:sz="4" w:space="0"/>
              <w:right w:val="single" w:color="auto" w:sz="4" w:space="0"/>
            </w:tcBorders>
            <w:vAlign w:val="center"/>
          </w:tcPr>
          <w:p w14:paraId="693EB7D9">
            <w:pPr>
              <w:jc w:val="center"/>
              <w:rPr>
                <w:rFonts w:hint="default" w:ascii="宋体" w:hAnsi="宋体" w:eastAsia="宋体" w:cs="宋体"/>
                <w:kern w:val="0"/>
                <w:szCs w:val="21"/>
                <w:lang w:val="en-US" w:eastAsia="zh-CN"/>
              </w:rPr>
            </w:pPr>
            <w:r>
              <w:rPr>
                <w:rFonts w:hint="eastAsia" w:ascii="宋体" w:hAnsi="宋体" w:cs="宋体"/>
                <w:kern w:val="0"/>
                <w:szCs w:val="21"/>
                <w:lang w:val="en-US" w:eastAsia="zh-CN"/>
              </w:rPr>
              <w:t>实验操作台组件-设备柜</w:t>
            </w:r>
          </w:p>
        </w:tc>
        <w:tc>
          <w:tcPr>
            <w:tcW w:w="746" w:type="dxa"/>
            <w:tcBorders>
              <w:top w:val="single" w:color="auto" w:sz="4" w:space="0"/>
              <w:left w:val="single" w:color="auto" w:sz="4" w:space="0"/>
              <w:bottom w:val="single" w:color="auto" w:sz="4" w:space="0"/>
              <w:right w:val="single" w:color="auto" w:sz="4" w:space="0"/>
            </w:tcBorders>
            <w:vAlign w:val="center"/>
          </w:tcPr>
          <w:p w14:paraId="7DB1B3A3">
            <w:pPr>
              <w:ind w:firstLine="210" w:firstLineChars="100"/>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1</w:t>
            </w:r>
          </w:p>
        </w:tc>
        <w:tc>
          <w:tcPr>
            <w:tcW w:w="1254" w:type="dxa"/>
            <w:tcBorders>
              <w:top w:val="single" w:color="auto" w:sz="4" w:space="0"/>
              <w:left w:val="single" w:color="auto" w:sz="4" w:space="0"/>
              <w:bottom w:val="single" w:color="auto" w:sz="4" w:space="0"/>
              <w:right w:val="single" w:color="auto" w:sz="4" w:space="0"/>
            </w:tcBorders>
            <w:vAlign w:val="center"/>
          </w:tcPr>
          <w:p w14:paraId="2A859396">
            <w:pPr>
              <w:ind w:firstLine="210" w:firstLineChars="100"/>
              <w:jc w:val="center"/>
              <w:rPr>
                <w:rFonts w:ascii="宋体" w:hAnsi="宋体" w:cs="宋体"/>
                <w:kern w:val="0"/>
                <w:szCs w:val="21"/>
              </w:rPr>
            </w:pPr>
            <w:r>
              <w:rPr>
                <w:rFonts w:hint="eastAsia" w:ascii="宋体" w:hAnsi="宋体" w:cs="宋体"/>
                <w:kern w:val="0"/>
                <w:szCs w:val="21"/>
                <w:lang w:val="en-US" w:eastAsia="zh-CN"/>
              </w:rPr>
              <w:t>套</w:t>
            </w:r>
          </w:p>
        </w:tc>
        <w:tc>
          <w:tcPr>
            <w:tcW w:w="1053" w:type="dxa"/>
            <w:tcBorders>
              <w:top w:val="single" w:color="auto" w:sz="4" w:space="0"/>
              <w:left w:val="nil"/>
              <w:bottom w:val="single" w:color="auto" w:sz="4" w:space="0"/>
              <w:right w:val="single" w:color="auto" w:sz="4" w:space="0"/>
            </w:tcBorders>
            <w:vAlign w:val="center"/>
          </w:tcPr>
          <w:p w14:paraId="1CFD8BCC">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34129F35">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6C67CC1C">
            <w:pPr>
              <w:ind w:firstLine="210" w:firstLineChars="100"/>
              <w:jc w:val="center"/>
              <w:rPr>
                <w:rFonts w:ascii="宋体" w:hAnsi="宋体" w:cs="宋体"/>
                <w:kern w:val="0"/>
                <w:szCs w:val="21"/>
              </w:rPr>
            </w:pPr>
            <w:r>
              <w:rPr>
                <w:rFonts w:hint="eastAsia" w:ascii="宋体" w:hAnsi="宋体" w:cs="宋体"/>
                <w:kern w:val="0"/>
                <w:szCs w:val="21"/>
                <w:lang w:val="en-US" w:eastAsia="zh-CN"/>
              </w:rPr>
              <w:t>工业</w:t>
            </w:r>
          </w:p>
        </w:tc>
      </w:tr>
      <w:tr w14:paraId="363CD663">
        <w:tblPrEx>
          <w:tblCellMar>
            <w:top w:w="0" w:type="dxa"/>
            <w:left w:w="108" w:type="dxa"/>
            <w:bottom w:w="0" w:type="dxa"/>
            <w:right w:w="108" w:type="dxa"/>
          </w:tblCellMar>
        </w:tblPrEx>
        <w:trPr>
          <w:trHeight w:val="196" w:hRule="atLeast"/>
        </w:trPr>
        <w:tc>
          <w:tcPr>
            <w:tcW w:w="709" w:type="dxa"/>
            <w:tcBorders>
              <w:top w:val="single" w:color="auto" w:sz="4" w:space="0"/>
              <w:left w:val="single" w:color="auto" w:sz="4" w:space="0"/>
              <w:bottom w:val="single" w:color="auto" w:sz="4" w:space="0"/>
              <w:right w:val="single" w:color="auto" w:sz="4" w:space="0"/>
            </w:tcBorders>
            <w:vAlign w:val="center"/>
          </w:tcPr>
          <w:p w14:paraId="1910F768">
            <w:pPr>
              <w:ind w:firstLine="210" w:firstLineChars="100"/>
              <w:jc w:val="left"/>
              <w:rPr>
                <w:rFonts w:hint="default" w:ascii="宋体" w:hAnsi="宋体" w:eastAsia="宋体" w:cs="宋体"/>
                <w:kern w:val="0"/>
                <w:szCs w:val="21"/>
                <w:lang w:val="en-US" w:eastAsia="zh-CN"/>
              </w:rPr>
            </w:pPr>
            <w:r>
              <w:rPr>
                <w:rFonts w:hint="eastAsia" w:ascii="宋体" w:hAnsi="宋体" w:cs="宋体"/>
                <w:kern w:val="0"/>
                <w:szCs w:val="21"/>
                <w:lang w:val="en-US" w:eastAsia="zh-CN"/>
              </w:rPr>
              <w:t>13</w:t>
            </w:r>
          </w:p>
        </w:tc>
        <w:tc>
          <w:tcPr>
            <w:tcW w:w="1996" w:type="dxa"/>
            <w:tcBorders>
              <w:top w:val="single" w:color="auto" w:sz="4" w:space="0"/>
              <w:left w:val="nil"/>
              <w:bottom w:val="single" w:color="auto" w:sz="4" w:space="0"/>
              <w:right w:val="single" w:color="auto" w:sz="4" w:space="0"/>
            </w:tcBorders>
            <w:vAlign w:val="center"/>
          </w:tcPr>
          <w:p w14:paraId="499D3EF4">
            <w:pPr>
              <w:jc w:val="center"/>
              <w:rPr>
                <w:rFonts w:ascii="宋体" w:hAnsi="宋体" w:cs="宋体"/>
                <w:kern w:val="0"/>
                <w:szCs w:val="21"/>
              </w:rPr>
            </w:pPr>
            <w:r>
              <w:rPr>
                <w:rFonts w:hint="eastAsia" w:ascii="宋体" w:hAnsi="宋体" w:cs="宋体"/>
                <w:kern w:val="0"/>
                <w:szCs w:val="21"/>
              </w:rPr>
              <w:t>智能温室组件</w:t>
            </w:r>
          </w:p>
        </w:tc>
        <w:tc>
          <w:tcPr>
            <w:tcW w:w="746" w:type="dxa"/>
            <w:tcBorders>
              <w:top w:val="single" w:color="auto" w:sz="4" w:space="0"/>
              <w:left w:val="single" w:color="auto" w:sz="4" w:space="0"/>
              <w:bottom w:val="single" w:color="auto" w:sz="4" w:space="0"/>
              <w:right w:val="single" w:color="auto" w:sz="4" w:space="0"/>
            </w:tcBorders>
            <w:vAlign w:val="center"/>
          </w:tcPr>
          <w:p w14:paraId="72373B8A">
            <w:pPr>
              <w:ind w:firstLine="210" w:firstLineChars="100"/>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1</w:t>
            </w:r>
          </w:p>
        </w:tc>
        <w:tc>
          <w:tcPr>
            <w:tcW w:w="1254" w:type="dxa"/>
            <w:tcBorders>
              <w:top w:val="single" w:color="auto" w:sz="4" w:space="0"/>
              <w:left w:val="single" w:color="auto" w:sz="4" w:space="0"/>
              <w:bottom w:val="single" w:color="auto" w:sz="4" w:space="0"/>
              <w:right w:val="single" w:color="auto" w:sz="4" w:space="0"/>
            </w:tcBorders>
            <w:vAlign w:val="center"/>
          </w:tcPr>
          <w:p w14:paraId="5EB449B2">
            <w:pPr>
              <w:ind w:firstLine="210" w:firstLineChars="100"/>
              <w:jc w:val="center"/>
              <w:rPr>
                <w:rFonts w:ascii="宋体" w:hAnsi="宋体" w:cs="宋体"/>
                <w:kern w:val="0"/>
                <w:szCs w:val="21"/>
              </w:rPr>
            </w:pPr>
            <w:r>
              <w:rPr>
                <w:rFonts w:hint="eastAsia" w:ascii="宋体" w:hAnsi="宋体" w:cs="宋体"/>
                <w:kern w:val="0"/>
                <w:szCs w:val="21"/>
                <w:lang w:val="en-US" w:eastAsia="zh-CN"/>
              </w:rPr>
              <w:t>套</w:t>
            </w:r>
          </w:p>
        </w:tc>
        <w:tc>
          <w:tcPr>
            <w:tcW w:w="1053" w:type="dxa"/>
            <w:tcBorders>
              <w:top w:val="single" w:color="auto" w:sz="4" w:space="0"/>
              <w:left w:val="nil"/>
              <w:bottom w:val="single" w:color="auto" w:sz="4" w:space="0"/>
              <w:right w:val="single" w:color="auto" w:sz="4" w:space="0"/>
            </w:tcBorders>
            <w:vAlign w:val="center"/>
          </w:tcPr>
          <w:p w14:paraId="499BF73B">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40E5E96F">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77E3D989">
            <w:pPr>
              <w:ind w:firstLine="210" w:firstLineChars="100"/>
              <w:jc w:val="center"/>
              <w:rPr>
                <w:rFonts w:ascii="宋体" w:hAnsi="宋体" w:cs="宋体"/>
                <w:kern w:val="0"/>
                <w:szCs w:val="21"/>
              </w:rPr>
            </w:pPr>
            <w:r>
              <w:rPr>
                <w:rFonts w:hint="eastAsia" w:ascii="宋体" w:hAnsi="宋体" w:cs="宋体"/>
                <w:kern w:val="0"/>
                <w:szCs w:val="21"/>
                <w:lang w:val="en-US" w:eastAsia="zh-CN"/>
              </w:rPr>
              <w:t>工业</w:t>
            </w:r>
          </w:p>
        </w:tc>
      </w:tr>
      <w:tr w14:paraId="3A908B8B">
        <w:tblPrEx>
          <w:tblCellMar>
            <w:top w:w="0" w:type="dxa"/>
            <w:left w:w="108" w:type="dxa"/>
            <w:bottom w:w="0" w:type="dxa"/>
            <w:right w:w="108" w:type="dxa"/>
          </w:tblCellMar>
        </w:tblPrEx>
        <w:trPr>
          <w:trHeight w:val="196" w:hRule="atLeast"/>
        </w:trPr>
        <w:tc>
          <w:tcPr>
            <w:tcW w:w="709" w:type="dxa"/>
            <w:tcBorders>
              <w:top w:val="single" w:color="auto" w:sz="4" w:space="0"/>
              <w:left w:val="single" w:color="auto" w:sz="4" w:space="0"/>
              <w:bottom w:val="single" w:color="auto" w:sz="4" w:space="0"/>
              <w:right w:val="single" w:color="auto" w:sz="4" w:space="0"/>
            </w:tcBorders>
            <w:vAlign w:val="center"/>
          </w:tcPr>
          <w:p w14:paraId="4FB0C251">
            <w:pPr>
              <w:ind w:firstLine="210" w:firstLineChars="100"/>
              <w:jc w:val="left"/>
              <w:rPr>
                <w:rFonts w:hint="default" w:ascii="宋体" w:hAnsi="宋体" w:eastAsia="宋体" w:cs="宋体"/>
                <w:kern w:val="0"/>
                <w:szCs w:val="21"/>
                <w:lang w:val="en-US" w:eastAsia="zh-CN"/>
              </w:rPr>
            </w:pPr>
            <w:r>
              <w:rPr>
                <w:rFonts w:hint="eastAsia" w:ascii="宋体" w:hAnsi="宋体" w:cs="宋体"/>
                <w:kern w:val="0"/>
                <w:szCs w:val="21"/>
                <w:lang w:val="en-US" w:eastAsia="zh-CN"/>
              </w:rPr>
              <w:t>14</w:t>
            </w:r>
          </w:p>
        </w:tc>
        <w:tc>
          <w:tcPr>
            <w:tcW w:w="1996" w:type="dxa"/>
            <w:tcBorders>
              <w:top w:val="single" w:color="auto" w:sz="4" w:space="0"/>
              <w:left w:val="nil"/>
              <w:bottom w:val="single" w:color="auto" w:sz="4" w:space="0"/>
              <w:right w:val="single" w:color="auto" w:sz="4" w:space="0"/>
            </w:tcBorders>
            <w:vAlign w:val="center"/>
          </w:tcPr>
          <w:p w14:paraId="1B3ADE49">
            <w:pPr>
              <w:jc w:val="center"/>
              <w:rPr>
                <w:rFonts w:ascii="宋体" w:hAnsi="宋体" w:cs="宋体"/>
                <w:kern w:val="0"/>
                <w:szCs w:val="21"/>
              </w:rPr>
            </w:pPr>
            <w:r>
              <w:rPr>
                <w:rFonts w:hint="eastAsia" w:ascii="宋体" w:hAnsi="宋体" w:cs="宋体"/>
                <w:kern w:val="0"/>
                <w:szCs w:val="21"/>
              </w:rPr>
              <w:t>可移动讲台</w:t>
            </w:r>
          </w:p>
        </w:tc>
        <w:tc>
          <w:tcPr>
            <w:tcW w:w="746" w:type="dxa"/>
            <w:tcBorders>
              <w:top w:val="single" w:color="auto" w:sz="4" w:space="0"/>
              <w:left w:val="single" w:color="auto" w:sz="4" w:space="0"/>
              <w:bottom w:val="single" w:color="auto" w:sz="4" w:space="0"/>
              <w:right w:val="single" w:color="auto" w:sz="4" w:space="0"/>
            </w:tcBorders>
            <w:vAlign w:val="center"/>
          </w:tcPr>
          <w:p w14:paraId="45C2F944">
            <w:pPr>
              <w:ind w:firstLine="210" w:firstLineChars="100"/>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1</w:t>
            </w:r>
          </w:p>
        </w:tc>
        <w:tc>
          <w:tcPr>
            <w:tcW w:w="1254" w:type="dxa"/>
            <w:tcBorders>
              <w:top w:val="single" w:color="auto" w:sz="4" w:space="0"/>
              <w:left w:val="single" w:color="auto" w:sz="4" w:space="0"/>
              <w:bottom w:val="single" w:color="auto" w:sz="4" w:space="0"/>
              <w:right w:val="single" w:color="auto" w:sz="4" w:space="0"/>
            </w:tcBorders>
            <w:vAlign w:val="center"/>
          </w:tcPr>
          <w:p w14:paraId="724060BE">
            <w:pPr>
              <w:ind w:firstLine="210" w:firstLineChars="100"/>
              <w:jc w:val="center"/>
              <w:rPr>
                <w:rFonts w:ascii="宋体" w:hAnsi="宋体" w:cs="宋体"/>
                <w:kern w:val="0"/>
                <w:szCs w:val="21"/>
              </w:rPr>
            </w:pPr>
            <w:r>
              <w:rPr>
                <w:rFonts w:hint="eastAsia" w:ascii="宋体" w:hAnsi="宋体" w:cs="宋体"/>
                <w:kern w:val="0"/>
                <w:szCs w:val="21"/>
                <w:lang w:val="en-US" w:eastAsia="zh-CN"/>
              </w:rPr>
              <w:t>套</w:t>
            </w:r>
          </w:p>
        </w:tc>
        <w:tc>
          <w:tcPr>
            <w:tcW w:w="1053" w:type="dxa"/>
            <w:tcBorders>
              <w:top w:val="single" w:color="auto" w:sz="4" w:space="0"/>
              <w:left w:val="nil"/>
              <w:bottom w:val="single" w:color="auto" w:sz="4" w:space="0"/>
              <w:right w:val="single" w:color="auto" w:sz="4" w:space="0"/>
            </w:tcBorders>
            <w:vAlign w:val="center"/>
          </w:tcPr>
          <w:p w14:paraId="1E1A1300">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23A3B9D0">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7756F9D2">
            <w:pPr>
              <w:ind w:firstLine="210" w:firstLineChars="100"/>
              <w:jc w:val="center"/>
              <w:rPr>
                <w:rFonts w:ascii="宋体" w:hAnsi="宋体" w:cs="宋体"/>
                <w:kern w:val="0"/>
                <w:szCs w:val="21"/>
              </w:rPr>
            </w:pPr>
            <w:r>
              <w:rPr>
                <w:rFonts w:hint="eastAsia" w:ascii="宋体" w:hAnsi="宋体" w:cs="宋体"/>
                <w:kern w:val="0"/>
                <w:szCs w:val="21"/>
                <w:lang w:val="en-US" w:eastAsia="zh-CN"/>
              </w:rPr>
              <w:t>工业</w:t>
            </w:r>
          </w:p>
        </w:tc>
      </w:tr>
      <w:tr w14:paraId="630CD00B">
        <w:tblPrEx>
          <w:tblCellMar>
            <w:top w:w="0" w:type="dxa"/>
            <w:left w:w="108" w:type="dxa"/>
            <w:bottom w:w="0" w:type="dxa"/>
            <w:right w:w="108" w:type="dxa"/>
          </w:tblCellMar>
        </w:tblPrEx>
        <w:trPr>
          <w:trHeight w:val="196" w:hRule="atLeast"/>
        </w:trPr>
        <w:tc>
          <w:tcPr>
            <w:tcW w:w="709" w:type="dxa"/>
            <w:tcBorders>
              <w:top w:val="single" w:color="auto" w:sz="4" w:space="0"/>
              <w:left w:val="single" w:color="auto" w:sz="4" w:space="0"/>
              <w:bottom w:val="single" w:color="auto" w:sz="4" w:space="0"/>
              <w:right w:val="single" w:color="auto" w:sz="4" w:space="0"/>
            </w:tcBorders>
            <w:vAlign w:val="center"/>
          </w:tcPr>
          <w:p w14:paraId="1860ECD0">
            <w:pPr>
              <w:ind w:firstLine="210" w:firstLineChars="100"/>
              <w:jc w:val="left"/>
              <w:rPr>
                <w:rFonts w:hint="default" w:ascii="宋体" w:hAnsi="宋体" w:eastAsia="宋体" w:cs="宋体"/>
                <w:kern w:val="0"/>
                <w:szCs w:val="21"/>
                <w:lang w:val="en-US" w:eastAsia="zh-CN"/>
              </w:rPr>
            </w:pPr>
            <w:r>
              <w:rPr>
                <w:rFonts w:hint="eastAsia" w:ascii="宋体" w:hAnsi="宋体" w:cs="宋体"/>
                <w:kern w:val="0"/>
                <w:szCs w:val="21"/>
                <w:lang w:val="en-US" w:eastAsia="zh-CN"/>
              </w:rPr>
              <w:t>15</w:t>
            </w:r>
          </w:p>
        </w:tc>
        <w:tc>
          <w:tcPr>
            <w:tcW w:w="1996" w:type="dxa"/>
            <w:tcBorders>
              <w:top w:val="single" w:color="auto" w:sz="4" w:space="0"/>
              <w:left w:val="nil"/>
              <w:bottom w:val="single" w:color="auto" w:sz="4" w:space="0"/>
              <w:right w:val="single" w:color="auto" w:sz="4" w:space="0"/>
            </w:tcBorders>
            <w:vAlign w:val="center"/>
          </w:tcPr>
          <w:p w14:paraId="01D14641">
            <w:pPr>
              <w:jc w:val="center"/>
              <w:rPr>
                <w:rFonts w:ascii="宋体" w:hAnsi="宋体" w:cs="宋体"/>
                <w:kern w:val="0"/>
                <w:szCs w:val="21"/>
              </w:rPr>
            </w:pPr>
            <w:r>
              <w:rPr>
                <w:rFonts w:hint="eastAsia" w:ascii="宋体" w:hAnsi="宋体" w:cs="宋体"/>
                <w:kern w:val="0"/>
                <w:szCs w:val="21"/>
              </w:rPr>
              <w:t>互动触摸系统</w:t>
            </w:r>
          </w:p>
        </w:tc>
        <w:tc>
          <w:tcPr>
            <w:tcW w:w="746" w:type="dxa"/>
            <w:tcBorders>
              <w:top w:val="single" w:color="auto" w:sz="4" w:space="0"/>
              <w:left w:val="single" w:color="auto" w:sz="4" w:space="0"/>
              <w:bottom w:val="single" w:color="auto" w:sz="4" w:space="0"/>
              <w:right w:val="single" w:color="auto" w:sz="4" w:space="0"/>
            </w:tcBorders>
            <w:vAlign w:val="center"/>
          </w:tcPr>
          <w:p w14:paraId="4B137FB2">
            <w:pPr>
              <w:ind w:firstLine="210" w:firstLineChars="100"/>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3</w:t>
            </w:r>
          </w:p>
        </w:tc>
        <w:tc>
          <w:tcPr>
            <w:tcW w:w="1254" w:type="dxa"/>
            <w:tcBorders>
              <w:top w:val="single" w:color="auto" w:sz="4" w:space="0"/>
              <w:left w:val="single" w:color="auto" w:sz="4" w:space="0"/>
              <w:bottom w:val="single" w:color="auto" w:sz="4" w:space="0"/>
              <w:right w:val="single" w:color="auto" w:sz="4" w:space="0"/>
            </w:tcBorders>
            <w:vAlign w:val="center"/>
          </w:tcPr>
          <w:p w14:paraId="5C5AF1F0">
            <w:pPr>
              <w:ind w:firstLine="210" w:firstLineChars="100"/>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个</w:t>
            </w:r>
          </w:p>
        </w:tc>
        <w:tc>
          <w:tcPr>
            <w:tcW w:w="1053" w:type="dxa"/>
            <w:tcBorders>
              <w:top w:val="single" w:color="auto" w:sz="4" w:space="0"/>
              <w:left w:val="nil"/>
              <w:bottom w:val="single" w:color="auto" w:sz="4" w:space="0"/>
              <w:right w:val="single" w:color="auto" w:sz="4" w:space="0"/>
            </w:tcBorders>
            <w:vAlign w:val="center"/>
          </w:tcPr>
          <w:p w14:paraId="19B64B12">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38F03297">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3B1A1B76">
            <w:pPr>
              <w:ind w:firstLine="210" w:firstLineChars="100"/>
              <w:jc w:val="center"/>
              <w:rPr>
                <w:rFonts w:ascii="宋体" w:hAnsi="宋体" w:cs="宋体"/>
                <w:kern w:val="0"/>
                <w:szCs w:val="21"/>
              </w:rPr>
            </w:pPr>
            <w:r>
              <w:rPr>
                <w:rFonts w:hint="eastAsia" w:ascii="宋体" w:hAnsi="宋体" w:cs="宋体"/>
                <w:kern w:val="0"/>
                <w:szCs w:val="21"/>
                <w:lang w:val="en-US" w:eastAsia="zh-CN"/>
              </w:rPr>
              <w:t>工业</w:t>
            </w:r>
          </w:p>
        </w:tc>
      </w:tr>
      <w:tr w14:paraId="66F00D55">
        <w:tblPrEx>
          <w:tblCellMar>
            <w:top w:w="0" w:type="dxa"/>
            <w:left w:w="108" w:type="dxa"/>
            <w:bottom w:w="0" w:type="dxa"/>
            <w:right w:w="108" w:type="dxa"/>
          </w:tblCellMar>
        </w:tblPrEx>
        <w:trPr>
          <w:trHeight w:val="196" w:hRule="atLeast"/>
        </w:trPr>
        <w:tc>
          <w:tcPr>
            <w:tcW w:w="709" w:type="dxa"/>
            <w:tcBorders>
              <w:top w:val="single" w:color="auto" w:sz="4" w:space="0"/>
              <w:left w:val="single" w:color="auto" w:sz="4" w:space="0"/>
              <w:bottom w:val="single" w:color="auto" w:sz="4" w:space="0"/>
              <w:right w:val="single" w:color="auto" w:sz="4" w:space="0"/>
            </w:tcBorders>
            <w:vAlign w:val="center"/>
          </w:tcPr>
          <w:p w14:paraId="6B65DF40">
            <w:pPr>
              <w:ind w:firstLine="210" w:firstLineChars="100"/>
              <w:jc w:val="left"/>
              <w:rPr>
                <w:rFonts w:hint="default" w:ascii="宋体" w:hAnsi="宋体" w:eastAsia="宋体" w:cs="宋体"/>
                <w:kern w:val="0"/>
                <w:szCs w:val="21"/>
                <w:lang w:val="en-US" w:eastAsia="zh-CN"/>
              </w:rPr>
            </w:pPr>
            <w:r>
              <w:rPr>
                <w:rFonts w:hint="eastAsia" w:ascii="宋体" w:hAnsi="宋体" w:cs="宋体"/>
                <w:kern w:val="0"/>
                <w:szCs w:val="21"/>
                <w:lang w:val="en-US" w:eastAsia="zh-CN"/>
              </w:rPr>
              <w:t>16</w:t>
            </w:r>
          </w:p>
        </w:tc>
        <w:tc>
          <w:tcPr>
            <w:tcW w:w="1996" w:type="dxa"/>
            <w:tcBorders>
              <w:top w:val="single" w:color="auto" w:sz="4" w:space="0"/>
              <w:left w:val="nil"/>
              <w:bottom w:val="single" w:color="auto" w:sz="4" w:space="0"/>
              <w:right w:val="single" w:color="auto" w:sz="4" w:space="0"/>
            </w:tcBorders>
            <w:vAlign w:val="center"/>
          </w:tcPr>
          <w:p w14:paraId="6F38339A">
            <w:pPr>
              <w:jc w:val="center"/>
              <w:rPr>
                <w:rFonts w:ascii="宋体" w:hAnsi="宋体" w:cs="宋体"/>
                <w:kern w:val="0"/>
                <w:szCs w:val="21"/>
              </w:rPr>
            </w:pPr>
            <w:r>
              <w:rPr>
                <w:rFonts w:hint="eastAsia" w:ascii="宋体" w:hAnsi="宋体" w:cs="宋体"/>
                <w:kern w:val="0"/>
                <w:szCs w:val="21"/>
              </w:rPr>
              <w:t>边缘融合拼接系统</w:t>
            </w:r>
          </w:p>
        </w:tc>
        <w:tc>
          <w:tcPr>
            <w:tcW w:w="746" w:type="dxa"/>
            <w:tcBorders>
              <w:top w:val="single" w:color="auto" w:sz="4" w:space="0"/>
              <w:left w:val="single" w:color="auto" w:sz="4" w:space="0"/>
              <w:bottom w:val="single" w:color="auto" w:sz="4" w:space="0"/>
              <w:right w:val="single" w:color="auto" w:sz="4" w:space="0"/>
            </w:tcBorders>
            <w:vAlign w:val="center"/>
          </w:tcPr>
          <w:p w14:paraId="43F96905">
            <w:pPr>
              <w:ind w:firstLine="210" w:firstLineChars="100"/>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1</w:t>
            </w:r>
          </w:p>
        </w:tc>
        <w:tc>
          <w:tcPr>
            <w:tcW w:w="1254" w:type="dxa"/>
            <w:tcBorders>
              <w:top w:val="single" w:color="auto" w:sz="4" w:space="0"/>
              <w:left w:val="single" w:color="auto" w:sz="4" w:space="0"/>
              <w:bottom w:val="single" w:color="auto" w:sz="4" w:space="0"/>
              <w:right w:val="single" w:color="auto" w:sz="4" w:space="0"/>
            </w:tcBorders>
            <w:vAlign w:val="center"/>
          </w:tcPr>
          <w:p w14:paraId="54225D94">
            <w:pPr>
              <w:ind w:firstLine="210" w:firstLineChars="100"/>
              <w:jc w:val="center"/>
              <w:rPr>
                <w:rFonts w:ascii="宋体" w:hAnsi="宋体" w:cs="宋体"/>
                <w:kern w:val="0"/>
                <w:szCs w:val="21"/>
              </w:rPr>
            </w:pPr>
            <w:r>
              <w:rPr>
                <w:rFonts w:hint="eastAsia" w:ascii="宋体" w:hAnsi="宋体" w:cs="宋体"/>
                <w:kern w:val="0"/>
                <w:szCs w:val="21"/>
                <w:lang w:val="en-US" w:eastAsia="zh-CN"/>
              </w:rPr>
              <w:t>套</w:t>
            </w:r>
          </w:p>
        </w:tc>
        <w:tc>
          <w:tcPr>
            <w:tcW w:w="1053" w:type="dxa"/>
            <w:tcBorders>
              <w:top w:val="single" w:color="auto" w:sz="4" w:space="0"/>
              <w:left w:val="nil"/>
              <w:bottom w:val="single" w:color="auto" w:sz="4" w:space="0"/>
              <w:right w:val="single" w:color="auto" w:sz="4" w:space="0"/>
            </w:tcBorders>
            <w:vAlign w:val="center"/>
          </w:tcPr>
          <w:p w14:paraId="16DDDF17">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3E16E675">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7C92DB53">
            <w:pPr>
              <w:ind w:firstLine="210" w:firstLineChars="100"/>
              <w:jc w:val="center"/>
              <w:rPr>
                <w:rFonts w:ascii="宋体" w:hAnsi="宋体" w:cs="宋体"/>
                <w:kern w:val="0"/>
                <w:szCs w:val="21"/>
              </w:rPr>
            </w:pPr>
            <w:r>
              <w:rPr>
                <w:rFonts w:hint="eastAsia" w:ascii="宋体" w:hAnsi="宋体" w:cs="宋体"/>
                <w:kern w:val="0"/>
                <w:szCs w:val="21"/>
                <w:lang w:val="en-US" w:eastAsia="zh-CN"/>
              </w:rPr>
              <w:t>工业</w:t>
            </w:r>
          </w:p>
        </w:tc>
      </w:tr>
      <w:tr w14:paraId="3F372149">
        <w:tblPrEx>
          <w:tblCellMar>
            <w:top w:w="0" w:type="dxa"/>
            <w:left w:w="108" w:type="dxa"/>
            <w:bottom w:w="0" w:type="dxa"/>
            <w:right w:w="108" w:type="dxa"/>
          </w:tblCellMar>
        </w:tblPrEx>
        <w:trPr>
          <w:trHeight w:val="196" w:hRule="atLeast"/>
        </w:trPr>
        <w:tc>
          <w:tcPr>
            <w:tcW w:w="709" w:type="dxa"/>
            <w:tcBorders>
              <w:top w:val="single" w:color="auto" w:sz="4" w:space="0"/>
              <w:left w:val="single" w:color="auto" w:sz="4" w:space="0"/>
              <w:bottom w:val="single" w:color="auto" w:sz="4" w:space="0"/>
              <w:right w:val="single" w:color="auto" w:sz="4" w:space="0"/>
            </w:tcBorders>
            <w:vAlign w:val="center"/>
          </w:tcPr>
          <w:p w14:paraId="2CA5B6B1">
            <w:pPr>
              <w:ind w:firstLine="210" w:firstLineChars="100"/>
              <w:jc w:val="left"/>
              <w:rPr>
                <w:rFonts w:hint="default" w:ascii="宋体" w:hAnsi="宋体" w:eastAsia="宋体" w:cs="宋体"/>
                <w:kern w:val="0"/>
                <w:szCs w:val="21"/>
                <w:lang w:val="en-US" w:eastAsia="zh-CN"/>
              </w:rPr>
            </w:pPr>
            <w:r>
              <w:rPr>
                <w:rFonts w:hint="eastAsia" w:ascii="宋体" w:hAnsi="宋体" w:cs="宋体"/>
                <w:kern w:val="0"/>
                <w:szCs w:val="21"/>
                <w:lang w:val="en-US" w:eastAsia="zh-CN"/>
              </w:rPr>
              <w:t>17</w:t>
            </w:r>
          </w:p>
        </w:tc>
        <w:tc>
          <w:tcPr>
            <w:tcW w:w="1996" w:type="dxa"/>
            <w:tcBorders>
              <w:top w:val="single" w:color="auto" w:sz="4" w:space="0"/>
              <w:left w:val="nil"/>
              <w:bottom w:val="single" w:color="auto" w:sz="4" w:space="0"/>
              <w:right w:val="single" w:color="auto" w:sz="4" w:space="0"/>
            </w:tcBorders>
            <w:vAlign w:val="center"/>
          </w:tcPr>
          <w:p w14:paraId="3CAAC39B">
            <w:pPr>
              <w:jc w:val="center"/>
              <w:rPr>
                <w:rFonts w:ascii="宋体" w:hAnsi="宋体" w:cs="宋体"/>
                <w:kern w:val="0"/>
                <w:szCs w:val="21"/>
              </w:rPr>
            </w:pPr>
            <w:r>
              <w:rPr>
                <w:rFonts w:hint="eastAsia" w:ascii="宋体" w:hAnsi="宋体" w:cs="宋体"/>
                <w:kern w:val="0"/>
                <w:szCs w:val="21"/>
              </w:rPr>
              <w:t>磁吸白板墙面</w:t>
            </w:r>
          </w:p>
        </w:tc>
        <w:tc>
          <w:tcPr>
            <w:tcW w:w="746" w:type="dxa"/>
            <w:tcBorders>
              <w:top w:val="single" w:color="auto" w:sz="4" w:space="0"/>
              <w:left w:val="single" w:color="auto" w:sz="4" w:space="0"/>
              <w:bottom w:val="single" w:color="auto" w:sz="4" w:space="0"/>
              <w:right w:val="single" w:color="auto" w:sz="4" w:space="0"/>
            </w:tcBorders>
            <w:vAlign w:val="center"/>
          </w:tcPr>
          <w:p w14:paraId="0C504C43">
            <w:pPr>
              <w:ind w:firstLine="210" w:firstLineChars="100"/>
              <w:jc w:val="center"/>
              <w:rPr>
                <w:rFonts w:hint="default" w:ascii="宋体" w:hAnsi="宋体" w:eastAsia="宋体" w:cs="宋体"/>
                <w:kern w:val="0"/>
                <w:szCs w:val="21"/>
                <w:lang w:val="en-US" w:eastAsia="zh-CN"/>
              </w:rPr>
            </w:pPr>
            <w:r>
              <w:rPr>
                <w:rFonts w:hint="eastAsia" w:ascii="宋体" w:hAnsi="宋体" w:cs="宋体"/>
                <w:kern w:val="0"/>
                <w:szCs w:val="21"/>
                <w:lang w:val="en-US" w:eastAsia="zh-CN"/>
              </w:rPr>
              <w:t>15</w:t>
            </w:r>
          </w:p>
        </w:tc>
        <w:tc>
          <w:tcPr>
            <w:tcW w:w="1254" w:type="dxa"/>
            <w:tcBorders>
              <w:top w:val="single" w:color="auto" w:sz="4" w:space="0"/>
              <w:left w:val="single" w:color="auto" w:sz="4" w:space="0"/>
              <w:bottom w:val="single" w:color="auto" w:sz="4" w:space="0"/>
              <w:right w:val="single" w:color="auto" w:sz="4" w:space="0"/>
            </w:tcBorders>
            <w:vAlign w:val="center"/>
          </w:tcPr>
          <w:p w14:paraId="1E4EA877">
            <w:pPr>
              <w:ind w:firstLine="210" w:firstLineChars="100"/>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平方</w:t>
            </w:r>
          </w:p>
        </w:tc>
        <w:tc>
          <w:tcPr>
            <w:tcW w:w="1053" w:type="dxa"/>
            <w:tcBorders>
              <w:top w:val="single" w:color="auto" w:sz="4" w:space="0"/>
              <w:left w:val="nil"/>
              <w:bottom w:val="single" w:color="auto" w:sz="4" w:space="0"/>
              <w:right w:val="single" w:color="auto" w:sz="4" w:space="0"/>
            </w:tcBorders>
            <w:vAlign w:val="center"/>
          </w:tcPr>
          <w:p w14:paraId="08874B64">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0F77205C">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68583583">
            <w:pPr>
              <w:ind w:firstLine="210" w:firstLineChars="100"/>
              <w:jc w:val="center"/>
              <w:rPr>
                <w:rFonts w:ascii="宋体" w:hAnsi="宋体" w:cs="宋体"/>
                <w:kern w:val="0"/>
                <w:szCs w:val="21"/>
              </w:rPr>
            </w:pPr>
            <w:r>
              <w:rPr>
                <w:rFonts w:hint="eastAsia" w:ascii="宋体" w:hAnsi="宋体" w:cs="宋体"/>
                <w:kern w:val="0"/>
                <w:szCs w:val="21"/>
                <w:lang w:val="en-US" w:eastAsia="zh-CN"/>
              </w:rPr>
              <w:t>工业</w:t>
            </w:r>
          </w:p>
        </w:tc>
      </w:tr>
      <w:tr w14:paraId="3B6B5B24">
        <w:tblPrEx>
          <w:tblCellMar>
            <w:top w:w="0" w:type="dxa"/>
            <w:left w:w="108" w:type="dxa"/>
            <w:bottom w:w="0" w:type="dxa"/>
            <w:right w:w="108" w:type="dxa"/>
          </w:tblCellMar>
        </w:tblPrEx>
        <w:trPr>
          <w:trHeight w:val="196" w:hRule="atLeast"/>
        </w:trPr>
        <w:tc>
          <w:tcPr>
            <w:tcW w:w="709" w:type="dxa"/>
            <w:tcBorders>
              <w:top w:val="single" w:color="auto" w:sz="4" w:space="0"/>
              <w:left w:val="single" w:color="auto" w:sz="4" w:space="0"/>
              <w:bottom w:val="single" w:color="auto" w:sz="4" w:space="0"/>
              <w:right w:val="single" w:color="auto" w:sz="4" w:space="0"/>
            </w:tcBorders>
            <w:vAlign w:val="center"/>
          </w:tcPr>
          <w:p w14:paraId="4A763EE1">
            <w:pPr>
              <w:ind w:firstLine="210" w:firstLineChars="100"/>
              <w:jc w:val="left"/>
              <w:rPr>
                <w:rFonts w:hint="default" w:ascii="宋体" w:hAnsi="宋体" w:eastAsia="宋体" w:cs="宋体"/>
                <w:kern w:val="0"/>
                <w:szCs w:val="21"/>
                <w:lang w:val="en-US" w:eastAsia="zh-CN"/>
              </w:rPr>
            </w:pPr>
            <w:r>
              <w:rPr>
                <w:rFonts w:hint="eastAsia" w:ascii="宋体" w:hAnsi="宋体" w:cs="宋体"/>
                <w:kern w:val="0"/>
                <w:szCs w:val="21"/>
                <w:lang w:val="en-US" w:eastAsia="zh-CN"/>
              </w:rPr>
              <w:t>18</w:t>
            </w:r>
          </w:p>
        </w:tc>
        <w:tc>
          <w:tcPr>
            <w:tcW w:w="1996" w:type="dxa"/>
            <w:tcBorders>
              <w:top w:val="single" w:color="auto" w:sz="4" w:space="0"/>
              <w:left w:val="nil"/>
              <w:bottom w:val="single" w:color="auto" w:sz="4" w:space="0"/>
              <w:right w:val="single" w:color="auto" w:sz="4" w:space="0"/>
            </w:tcBorders>
            <w:vAlign w:val="center"/>
          </w:tcPr>
          <w:p w14:paraId="45AD81CB">
            <w:pPr>
              <w:jc w:val="center"/>
              <w:rPr>
                <w:rFonts w:ascii="宋体" w:hAnsi="宋体" w:cs="宋体"/>
                <w:kern w:val="0"/>
                <w:szCs w:val="21"/>
              </w:rPr>
            </w:pPr>
            <w:r>
              <w:rPr>
                <w:rFonts w:hint="eastAsia" w:ascii="宋体" w:hAnsi="宋体" w:cs="宋体"/>
                <w:kern w:val="0"/>
                <w:szCs w:val="21"/>
              </w:rPr>
              <w:t>无感拾音扩音系统</w:t>
            </w:r>
          </w:p>
        </w:tc>
        <w:tc>
          <w:tcPr>
            <w:tcW w:w="746" w:type="dxa"/>
            <w:tcBorders>
              <w:top w:val="single" w:color="auto" w:sz="4" w:space="0"/>
              <w:left w:val="single" w:color="auto" w:sz="4" w:space="0"/>
              <w:bottom w:val="single" w:color="auto" w:sz="4" w:space="0"/>
              <w:right w:val="single" w:color="auto" w:sz="4" w:space="0"/>
            </w:tcBorders>
            <w:vAlign w:val="center"/>
          </w:tcPr>
          <w:p w14:paraId="3A359C71">
            <w:pPr>
              <w:ind w:firstLine="210" w:firstLineChars="100"/>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1</w:t>
            </w:r>
          </w:p>
        </w:tc>
        <w:tc>
          <w:tcPr>
            <w:tcW w:w="1254" w:type="dxa"/>
            <w:tcBorders>
              <w:top w:val="single" w:color="auto" w:sz="4" w:space="0"/>
              <w:left w:val="single" w:color="auto" w:sz="4" w:space="0"/>
              <w:bottom w:val="single" w:color="auto" w:sz="4" w:space="0"/>
              <w:right w:val="single" w:color="auto" w:sz="4" w:space="0"/>
            </w:tcBorders>
            <w:vAlign w:val="center"/>
          </w:tcPr>
          <w:p w14:paraId="3BE75A4A">
            <w:pPr>
              <w:ind w:firstLine="210" w:firstLineChars="100"/>
              <w:jc w:val="center"/>
              <w:rPr>
                <w:rFonts w:ascii="宋体" w:hAnsi="宋体" w:cs="宋体"/>
                <w:kern w:val="0"/>
                <w:szCs w:val="21"/>
              </w:rPr>
            </w:pPr>
            <w:r>
              <w:rPr>
                <w:rFonts w:hint="eastAsia" w:ascii="宋体" w:hAnsi="宋体" w:cs="宋体"/>
                <w:kern w:val="0"/>
                <w:szCs w:val="21"/>
                <w:lang w:val="en-US" w:eastAsia="zh-CN"/>
              </w:rPr>
              <w:t>套</w:t>
            </w:r>
          </w:p>
        </w:tc>
        <w:tc>
          <w:tcPr>
            <w:tcW w:w="1053" w:type="dxa"/>
            <w:tcBorders>
              <w:top w:val="single" w:color="auto" w:sz="4" w:space="0"/>
              <w:left w:val="nil"/>
              <w:bottom w:val="single" w:color="auto" w:sz="4" w:space="0"/>
              <w:right w:val="single" w:color="auto" w:sz="4" w:space="0"/>
            </w:tcBorders>
            <w:vAlign w:val="center"/>
          </w:tcPr>
          <w:p w14:paraId="494E56A1">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6FC4815F">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6F868FE8">
            <w:pPr>
              <w:ind w:firstLine="210" w:firstLineChars="100"/>
              <w:jc w:val="center"/>
              <w:rPr>
                <w:rFonts w:ascii="宋体" w:hAnsi="宋体" w:cs="宋体"/>
                <w:kern w:val="0"/>
                <w:szCs w:val="21"/>
              </w:rPr>
            </w:pPr>
            <w:r>
              <w:rPr>
                <w:rFonts w:hint="eastAsia" w:ascii="宋体" w:hAnsi="宋体" w:cs="宋体"/>
                <w:kern w:val="0"/>
                <w:szCs w:val="21"/>
                <w:lang w:val="en-US" w:eastAsia="zh-CN"/>
              </w:rPr>
              <w:t>工业</w:t>
            </w:r>
          </w:p>
        </w:tc>
      </w:tr>
      <w:tr w14:paraId="6C7CE3F8">
        <w:tblPrEx>
          <w:tblCellMar>
            <w:top w:w="0" w:type="dxa"/>
            <w:left w:w="108" w:type="dxa"/>
            <w:bottom w:w="0" w:type="dxa"/>
            <w:right w:w="108" w:type="dxa"/>
          </w:tblCellMar>
        </w:tblPrEx>
        <w:trPr>
          <w:trHeight w:val="196" w:hRule="atLeast"/>
        </w:trPr>
        <w:tc>
          <w:tcPr>
            <w:tcW w:w="709" w:type="dxa"/>
            <w:tcBorders>
              <w:top w:val="single" w:color="auto" w:sz="4" w:space="0"/>
              <w:left w:val="single" w:color="auto" w:sz="4" w:space="0"/>
              <w:bottom w:val="single" w:color="auto" w:sz="4" w:space="0"/>
              <w:right w:val="single" w:color="auto" w:sz="4" w:space="0"/>
            </w:tcBorders>
            <w:vAlign w:val="center"/>
          </w:tcPr>
          <w:p w14:paraId="695D4915">
            <w:pPr>
              <w:ind w:firstLine="210" w:firstLineChars="100"/>
              <w:jc w:val="left"/>
              <w:rPr>
                <w:rFonts w:hint="default" w:ascii="宋体" w:hAnsi="宋体" w:eastAsia="宋体" w:cs="宋体"/>
                <w:kern w:val="0"/>
                <w:szCs w:val="21"/>
                <w:lang w:val="en-US" w:eastAsia="zh-CN"/>
              </w:rPr>
            </w:pPr>
            <w:r>
              <w:rPr>
                <w:rFonts w:hint="eastAsia" w:ascii="宋体" w:hAnsi="宋体" w:cs="宋体"/>
                <w:kern w:val="0"/>
                <w:szCs w:val="21"/>
                <w:lang w:val="en-US" w:eastAsia="zh-CN"/>
              </w:rPr>
              <w:t>19</w:t>
            </w:r>
          </w:p>
        </w:tc>
        <w:tc>
          <w:tcPr>
            <w:tcW w:w="1996" w:type="dxa"/>
            <w:tcBorders>
              <w:top w:val="single" w:color="auto" w:sz="4" w:space="0"/>
              <w:left w:val="nil"/>
              <w:bottom w:val="single" w:color="auto" w:sz="4" w:space="0"/>
              <w:right w:val="single" w:color="auto" w:sz="4" w:space="0"/>
            </w:tcBorders>
            <w:vAlign w:val="center"/>
          </w:tcPr>
          <w:p w14:paraId="283DBF99">
            <w:pPr>
              <w:jc w:val="center"/>
              <w:rPr>
                <w:rFonts w:ascii="宋体" w:hAnsi="宋体" w:cs="宋体"/>
                <w:kern w:val="0"/>
                <w:szCs w:val="21"/>
              </w:rPr>
            </w:pPr>
            <w:r>
              <w:rPr>
                <w:rFonts w:hint="eastAsia" w:ascii="宋体" w:hAnsi="宋体" w:cs="宋体"/>
                <w:kern w:val="0"/>
                <w:szCs w:val="21"/>
              </w:rPr>
              <w:t>物联系统</w:t>
            </w:r>
          </w:p>
        </w:tc>
        <w:tc>
          <w:tcPr>
            <w:tcW w:w="746" w:type="dxa"/>
            <w:tcBorders>
              <w:top w:val="single" w:color="auto" w:sz="4" w:space="0"/>
              <w:left w:val="single" w:color="auto" w:sz="4" w:space="0"/>
              <w:bottom w:val="single" w:color="auto" w:sz="4" w:space="0"/>
              <w:right w:val="single" w:color="auto" w:sz="4" w:space="0"/>
            </w:tcBorders>
            <w:vAlign w:val="center"/>
          </w:tcPr>
          <w:p w14:paraId="78AA19E6">
            <w:pPr>
              <w:ind w:firstLine="210" w:firstLineChars="100"/>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1</w:t>
            </w:r>
          </w:p>
        </w:tc>
        <w:tc>
          <w:tcPr>
            <w:tcW w:w="1254" w:type="dxa"/>
            <w:tcBorders>
              <w:top w:val="single" w:color="auto" w:sz="4" w:space="0"/>
              <w:left w:val="single" w:color="auto" w:sz="4" w:space="0"/>
              <w:bottom w:val="single" w:color="auto" w:sz="4" w:space="0"/>
              <w:right w:val="single" w:color="auto" w:sz="4" w:space="0"/>
            </w:tcBorders>
            <w:vAlign w:val="center"/>
          </w:tcPr>
          <w:p w14:paraId="6E09D804">
            <w:pPr>
              <w:ind w:firstLine="210" w:firstLineChars="100"/>
              <w:jc w:val="center"/>
              <w:rPr>
                <w:rFonts w:ascii="宋体" w:hAnsi="宋体" w:cs="宋体"/>
                <w:kern w:val="0"/>
                <w:szCs w:val="21"/>
              </w:rPr>
            </w:pPr>
            <w:r>
              <w:rPr>
                <w:rFonts w:hint="eastAsia" w:ascii="宋体" w:hAnsi="宋体" w:cs="宋体"/>
                <w:kern w:val="0"/>
                <w:szCs w:val="21"/>
                <w:lang w:val="en-US" w:eastAsia="zh-CN"/>
              </w:rPr>
              <w:t>套</w:t>
            </w:r>
          </w:p>
        </w:tc>
        <w:tc>
          <w:tcPr>
            <w:tcW w:w="1053" w:type="dxa"/>
            <w:tcBorders>
              <w:top w:val="single" w:color="auto" w:sz="4" w:space="0"/>
              <w:left w:val="nil"/>
              <w:bottom w:val="single" w:color="auto" w:sz="4" w:space="0"/>
              <w:right w:val="single" w:color="auto" w:sz="4" w:space="0"/>
            </w:tcBorders>
            <w:vAlign w:val="center"/>
          </w:tcPr>
          <w:p w14:paraId="490B33FA">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017B5C24">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677FACEC">
            <w:pPr>
              <w:ind w:firstLine="210" w:firstLineChars="100"/>
              <w:jc w:val="center"/>
              <w:rPr>
                <w:rFonts w:ascii="宋体" w:hAnsi="宋体" w:cs="宋体"/>
                <w:kern w:val="0"/>
                <w:szCs w:val="21"/>
              </w:rPr>
            </w:pPr>
            <w:r>
              <w:rPr>
                <w:rFonts w:hint="eastAsia" w:ascii="宋体" w:hAnsi="宋体" w:cs="宋体"/>
                <w:kern w:val="0"/>
                <w:szCs w:val="21"/>
                <w:lang w:val="en-US" w:eastAsia="zh-CN"/>
              </w:rPr>
              <w:t>工业</w:t>
            </w:r>
          </w:p>
        </w:tc>
      </w:tr>
      <w:tr w14:paraId="7C97732D">
        <w:tblPrEx>
          <w:tblCellMar>
            <w:top w:w="0" w:type="dxa"/>
            <w:left w:w="108" w:type="dxa"/>
            <w:bottom w:w="0" w:type="dxa"/>
            <w:right w:w="108" w:type="dxa"/>
          </w:tblCellMar>
        </w:tblPrEx>
        <w:trPr>
          <w:trHeight w:val="196" w:hRule="atLeast"/>
        </w:trPr>
        <w:tc>
          <w:tcPr>
            <w:tcW w:w="709" w:type="dxa"/>
            <w:tcBorders>
              <w:top w:val="single" w:color="auto" w:sz="4" w:space="0"/>
              <w:left w:val="single" w:color="auto" w:sz="4" w:space="0"/>
              <w:bottom w:val="single" w:color="auto" w:sz="4" w:space="0"/>
              <w:right w:val="single" w:color="auto" w:sz="4" w:space="0"/>
            </w:tcBorders>
            <w:vAlign w:val="center"/>
          </w:tcPr>
          <w:p w14:paraId="7F297E0D">
            <w:pPr>
              <w:ind w:firstLine="210" w:firstLineChars="100"/>
              <w:jc w:val="left"/>
              <w:rPr>
                <w:rFonts w:hint="default" w:ascii="宋体" w:hAnsi="宋体" w:eastAsia="宋体" w:cs="宋体"/>
                <w:kern w:val="0"/>
                <w:szCs w:val="21"/>
                <w:lang w:val="en-US" w:eastAsia="zh-CN"/>
              </w:rPr>
            </w:pPr>
            <w:r>
              <w:rPr>
                <w:rFonts w:hint="eastAsia" w:ascii="宋体" w:hAnsi="宋体" w:cs="宋体"/>
                <w:kern w:val="0"/>
                <w:szCs w:val="21"/>
                <w:lang w:val="en-US" w:eastAsia="zh-CN"/>
              </w:rPr>
              <w:t>20</w:t>
            </w:r>
          </w:p>
        </w:tc>
        <w:tc>
          <w:tcPr>
            <w:tcW w:w="1996" w:type="dxa"/>
            <w:tcBorders>
              <w:top w:val="single" w:color="auto" w:sz="4" w:space="0"/>
              <w:left w:val="nil"/>
              <w:bottom w:val="single" w:color="auto" w:sz="4" w:space="0"/>
              <w:right w:val="single" w:color="auto" w:sz="4" w:space="0"/>
            </w:tcBorders>
            <w:vAlign w:val="center"/>
          </w:tcPr>
          <w:p w14:paraId="28F99A7C">
            <w:pPr>
              <w:jc w:val="center"/>
              <w:rPr>
                <w:rFonts w:ascii="宋体" w:hAnsi="宋体" w:cs="宋体"/>
                <w:kern w:val="0"/>
                <w:szCs w:val="21"/>
              </w:rPr>
            </w:pPr>
            <w:r>
              <w:rPr>
                <w:rFonts w:hint="eastAsia" w:ascii="宋体" w:hAnsi="宋体" w:cs="宋体"/>
                <w:kern w:val="0"/>
                <w:szCs w:val="21"/>
              </w:rPr>
              <w:t>录播系统</w:t>
            </w:r>
          </w:p>
        </w:tc>
        <w:tc>
          <w:tcPr>
            <w:tcW w:w="746" w:type="dxa"/>
            <w:tcBorders>
              <w:top w:val="single" w:color="auto" w:sz="4" w:space="0"/>
              <w:left w:val="single" w:color="auto" w:sz="4" w:space="0"/>
              <w:bottom w:val="single" w:color="auto" w:sz="4" w:space="0"/>
              <w:right w:val="single" w:color="auto" w:sz="4" w:space="0"/>
            </w:tcBorders>
            <w:vAlign w:val="center"/>
          </w:tcPr>
          <w:p w14:paraId="2F799F0F">
            <w:pPr>
              <w:ind w:firstLine="210" w:firstLineChars="100"/>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1</w:t>
            </w:r>
          </w:p>
        </w:tc>
        <w:tc>
          <w:tcPr>
            <w:tcW w:w="1254" w:type="dxa"/>
            <w:tcBorders>
              <w:top w:val="single" w:color="auto" w:sz="4" w:space="0"/>
              <w:left w:val="single" w:color="auto" w:sz="4" w:space="0"/>
              <w:bottom w:val="single" w:color="auto" w:sz="4" w:space="0"/>
              <w:right w:val="single" w:color="auto" w:sz="4" w:space="0"/>
            </w:tcBorders>
            <w:vAlign w:val="center"/>
          </w:tcPr>
          <w:p w14:paraId="40FF037E">
            <w:pPr>
              <w:ind w:firstLine="210" w:firstLineChars="100"/>
              <w:jc w:val="center"/>
              <w:rPr>
                <w:rFonts w:ascii="宋体" w:hAnsi="宋体" w:cs="宋体"/>
                <w:kern w:val="0"/>
                <w:szCs w:val="21"/>
              </w:rPr>
            </w:pPr>
            <w:r>
              <w:rPr>
                <w:rFonts w:hint="eastAsia" w:ascii="宋体" w:hAnsi="宋体" w:cs="宋体"/>
                <w:kern w:val="0"/>
                <w:szCs w:val="21"/>
                <w:lang w:val="en-US" w:eastAsia="zh-CN"/>
              </w:rPr>
              <w:t>套</w:t>
            </w:r>
          </w:p>
        </w:tc>
        <w:tc>
          <w:tcPr>
            <w:tcW w:w="1053" w:type="dxa"/>
            <w:tcBorders>
              <w:top w:val="single" w:color="auto" w:sz="4" w:space="0"/>
              <w:left w:val="nil"/>
              <w:bottom w:val="single" w:color="auto" w:sz="4" w:space="0"/>
              <w:right w:val="single" w:color="auto" w:sz="4" w:space="0"/>
            </w:tcBorders>
            <w:vAlign w:val="center"/>
          </w:tcPr>
          <w:p w14:paraId="2CA1D7D6">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3F6AFC18">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31A3E9B6">
            <w:pPr>
              <w:ind w:firstLine="210" w:firstLineChars="100"/>
              <w:jc w:val="center"/>
              <w:rPr>
                <w:rFonts w:ascii="宋体" w:hAnsi="宋体" w:cs="宋体"/>
                <w:kern w:val="0"/>
                <w:szCs w:val="21"/>
              </w:rPr>
            </w:pPr>
            <w:r>
              <w:rPr>
                <w:rFonts w:hint="eastAsia" w:ascii="宋体" w:hAnsi="宋体" w:cs="宋体"/>
                <w:kern w:val="0"/>
                <w:szCs w:val="21"/>
                <w:lang w:val="en-US" w:eastAsia="zh-CN"/>
              </w:rPr>
              <w:t>工业</w:t>
            </w:r>
          </w:p>
        </w:tc>
      </w:tr>
      <w:tr w14:paraId="1EDAF011">
        <w:tblPrEx>
          <w:tblCellMar>
            <w:top w:w="0" w:type="dxa"/>
            <w:left w:w="108" w:type="dxa"/>
            <w:bottom w:w="0" w:type="dxa"/>
            <w:right w:w="108" w:type="dxa"/>
          </w:tblCellMar>
        </w:tblPrEx>
        <w:trPr>
          <w:trHeight w:val="196" w:hRule="atLeast"/>
        </w:trPr>
        <w:tc>
          <w:tcPr>
            <w:tcW w:w="709" w:type="dxa"/>
            <w:tcBorders>
              <w:top w:val="single" w:color="auto" w:sz="4" w:space="0"/>
              <w:left w:val="single" w:color="auto" w:sz="4" w:space="0"/>
              <w:bottom w:val="single" w:color="auto" w:sz="4" w:space="0"/>
              <w:right w:val="single" w:color="auto" w:sz="4" w:space="0"/>
            </w:tcBorders>
            <w:vAlign w:val="center"/>
          </w:tcPr>
          <w:p w14:paraId="6B83092E">
            <w:pPr>
              <w:ind w:firstLine="210" w:firstLineChars="100"/>
              <w:jc w:val="left"/>
              <w:rPr>
                <w:rFonts w:hint="default" w:ascii="宋体" w:hAnsi="宋体" w:eastAsia="宋体" w:cs="宋体"/>
                <w:kern w:val="0"/>
                <w:szCs w:val="21"/>
                <w:lang w:val="en-US" w:eastAsia="zh-CN"/>
              </w:rPr>
            </w:pPr>
            <w:r>
              <w:rPr>
                <w:rFonts w:hint="eastAsia" w:ascii="宋体" w:hAnsi="宋体" w:cs="宋体"/>
                <w:kern w:val="0"/>
                <w:szCs w:val="21"/>
                <w:lang w:val="en-US" w:eastAsia="zh-CN"/>
              </w:rPr>
              <w:t>21</w:t>
            </w:r>
          </w:p>
        </w:tc>
        <w:tc>
          <w:tcPr>
            <w:tcW w:w="1996" w:type="dxa"/>
            <w:tcBorders>
              <w:top w:val="single" w:color="auto" w:sz="4" w:space="0"/>
              <w:left w:val="nil"/>
              <w:bottom w:val="single" w:color="auto" w:sz="4" w:space="0"/>
              <w:right w:val="single" w:color="auto" w:sz="4" w:space="0"/>
            </w:tcBorders>
            <w:vAlign w:val="center"/>
          </w:tcPr>
          <w:p w14:paraId="6AC8BEFF">
            <w:pPr>
              <w:jc w:val="center"/>
              <w:rPr>
                <w:rFonts w:ascii="宋体" w:hAnsi="宋体" w:cs="宋体"/>
                <w:kern w:val="0"/>
                <w:szCs w:val="21"/>
              </w:rPr>
            </w:pPr>
            <w:r>
              <w:rPr>
                <w:rFonts w:hint="eastAsia" w:ascii="宋体" w:hAnsi="宋体" w:cs="宋体"/>
                <w:kern w:val="0"/>
                <w:szCs w:val="21"/>
              </w:rPr>
              <w:t>可移动白板组件</w:t>
            </w:r>
          </w:p>
        </w:tc>
        <w:tc>
          <w:tcPr>
            <w:tcW w:w="746" w:type="dxa"/>
            <w:tcBorders>
              <w:top w:val="single" w:color="auto" w:sz="4" w:space="0"/>
              <w:left w:val="single" w:color="auto" w:sz="4" w:space="0"/>
              <w:bottom w:val="single" w:color="auto" w:sz="4" w:space="0"/>
              <w:right w:val="single" w:color="auto" w:sz="4" w:space="0"/>
            </w:tcBorders>
            <w:vAlign w:val="center"/>
          </w:tcPr>
          <w:p w14:paraId="3FEFBF90">
            <w:pPr>
              <w:ind w:firstLine="210" w:firstLineChars="100"/>
              <w:jc w:val="center"/>
              <w:rPr>
                <w:rFonts w:hint="default" w:ascii="宋体" w:hAnsi="宋体" w:eastAsia="宋体" w:cs="宋体"/>
                <w:kern w:val="0"/>
                <w:szCs w:val="21"/>
                <w:lang w:val="en-US" w:eastAsia="zh-CN"/>
              </w:rPr>
            </w:pPr>
            <w:r>
              <w:rPr>
                <w:rFonts w:hint="eastAsia" w:ascii="宋体" w:hAnsi="宋体" w:cs="宋体"/>
                <w:kern w:val="0"/>
                <w:szCs w:val="21"/>
                <w:lang w:val="en-US" w:eastAsia="zh-CN"/>
              </w:rPr>
              <w:t>10</w:t>
            </w:r>
          </w:p>
        </w:tc>
        <w:tc>
          <w:tcPr>
            <w:tcW w:w="1254" w:type="dxa"/>
            <w:tcBorders>
              <w:top w:val="single" w:color="auto" w:sz="4" w:space="0"/>
              <w:left w:val="single" w:color="auto" w:sz="4" w:space="0"/>
              <w:bottom w:val="single" w:color="auto" w:sz="4" w:space="0"/>
              <w:right w:val="single" w:color="auto" w:sz="4" w:space="0"/>
            </w:tcBorders>
            <w:vAlign w:val="center"/>
          </w:tcPr>
          <w:p w14:paraId="6A438C10">
            <w:pPr>
              <w:ind w:firstLine="210" w:firstLineChars="100"/>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个</w:t>
            </w:r>
          </w:p>
        </w:tc>
        <w:tc>
          <w:tcPr>
            <w:tcW w:w="1053" w:type="dxa"/>
            <w:tcBorders>
              <w:top w:val="single" w:color="auto" w:sz="4" w:space="0"/>
              <w:left w:val="nil"/>
              <w:bottom w:val="single" w:color="auto" w:sz="4" w:space="0"/>
              <w:right w:val="single" w:color="auto" w:sz="4" w:space="0"/>
            </w:tcBorders>
            <w:vAlign w:val="center"/>
          </w:tcPr>
          <w:p w14:paraId="5F86BF32">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649255D2">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51A30F61">
            <w:pPr>
              <w:ind w:firstLine="210" w:firstLineChars="100"/>
              <w:jc w:val="center"/>
              <w:rPr>
                <w:rFonts w:ascii="宋体" w:hAnsi="宋体" w:cs="宋体"/>
                <w:kern w:val="0"/>
                <w:szCs w:val="21"/>
              </w:rPr>
            </w:pPr>
            <w:r>
              <w:rPr>
                <w:rFonts w:hint="eastAsia" w:ascii="宋体" w:hAnsi="宋体" w:cs="宋体"/>
                <w:kern w:val="0"/>
                <w:szCs w:val="21"/>
                <w:lang w:val="en-US" w:eastAsia="zh-CN"/>
              </w:rPr>
              <w:t>工业</w:t>
            </w:r>
          </w:p>
        </w:tc>
      </w:tr>
      <w:tr w14:paraId="6800210F">
        <w:tblPrEx>
          <w:tblCellMar>
            <w:top w:w="0" w:type="dxa"/>
            <w:left w:w="108" w:type="dxa"/>
            <w:bottom w:w="0" w:type="dxa"/>
            <w:right w:w="108" w:type="dxa"/>
          </w:tblCellMar>
        </w:tblPrEx>
        <w:trPr>
          <w:trHeight w:val="196" w:hRule="atLeast"/>
        </w:trPr>
        <w:tc>
          <w:tcPr>
            <w:tcW w:w="709" w:type="dxa"/>
            <w:tcBorders>
              <w:top w:val="single" w:color="auto" w:sz="4" w:space="0"/>
              <w:left w:val="single" w:color="auto" w:sz="4" w:space="0"/>
              <w:bottom w:val="single" w:color="auto" w:sz="4" w:space="0"/>
              <w:right w:val="single" w:color="auto" w:sz="4" w:space="0"/>
            </w:tcBorders>
            <w:vAlign w:val="center"/>
          </w:tcPr>
          <w:p w14:paraId="2CBF4A65">
            <w:pPr>
              <w:ind w:firstLine="210" w:firstLineChars="100"/>
              <w:jc w:val="left"/>
              <w:rPr>
                <w:rFonts w:hint="default" w:ascii="宋体" w:hAnsi="宋体" w:eastAsia="宋体" w:cs="宋体"/>
                <w:kern w:val="0"/>
                <w:szCs w:val="21"/>
                <w:lang w:val="en-US" w:eastAsia="zh-CN"/>
              </w:rPr>
            </w:pPr>
            <w:r>
              <w:rPr>
                <w:rFonts w:hint="eastAsia" w:ascii="宋体" w:hAnsi="宋体" w:cs="宋体"/>
                <w:kern w:val="0"/>
                <w:szCs w:val="21"/>
                <w:lang w:val="en-US" w:eastAsia="zh-CN"/>
              </w:rPr>
              <w:t>22</w:t>
            </w:r>
          </w:p>
        </w:tc>
        <w:tc>
          <w:tcPr>
            <w:tcW w:w="1996" w:type="dxa"/>
            <w:tcBorders>
              <w:top w:val="single" w:color="auto" w:sz="4" w:space="0"/>
              <w:left w:val="nil"/>
              <w:bottom w:val="single" w:color="auto" w:sz="4" w:space="0"/>
              <w:right w:val="single" w:color="auto" w:sz="4" w:space="0"/>
            </w:tcBorders>
            <w:vAlign w:val="center"/>
          </w:tcPr>
          <w:p w14:paraId="7F62DD91">
            <w:pPr>
              <w:jc w:val="center"/>
              <w:rPr>
                <w:rFonts w:ascii="宋体" w:hAnsi="宋体" w:cs="宋体"/>
                <w:kern w:val="0"/>
                <w:szCs w:val="21"/>
              </w:rPr>
            </w:pPr>
            <w:r>
              <w:rPr>
                <w:rFonts w:hint="eastAsia" w:ascii="宋体" w:hAnsi="宋体" w:cs="宋体"/>
                <w:kern w:val="0"/>
                <w:szCs w:val="21"/>
              </w:rPr>
              <w:t>学生海绵垫</w:t>
            </w:r>
          </w:p>
        </w:tc>
        <w:tc>
          <w:tcPr>
            <w:tcW w:w="746" w:type="dxa"/>
            <w:tcBorders>
              <w:top w:val="single" w:color="auto" w:sz="4" w:space="0"/>
              <w:left w:val="single" w:color="auto" w:sz="4" w:space="0"/>
              <w:bottom w:val="single" w:color="auto" w:sz="4" w:space="0"/>
              <w:right w:val="single" w:color="auto" w:sz="4" w:space="0"/>
            </w:tcBorders>
            <w:vAlign w:val="center"/>
          </w:tcPr>
          <w:p w14:paraId="7283ECB7">
            <w:pPr>
              <w:ind w:firstLine="210" w:firstLineChars="100"/>
              <w:jc w:val="center"/>
              <w:rPr>
                <w:rFonts w:hint="default" w:ascii="宋体" w:hAnsi="宋体" w:eastAsia="宋体" w:cs="宋体"/>
                <w:kern w:val="0"/>
                <w:szCs w:val="21"/>
                <w:lang w:val="en-US" w:eastAsia="zh-CN"/>
              </w:rPr>
            </w:pPr>
            <w:r>
              <w:rPr>
                <w:rFonts w:hint="eastAsia" w:ascii="宋体" w:hAnsi="宋体" w:cs="宋体"/>
                <w:kern w:val="0"/>
                <w:szCs w:val="21"/>
                <w:lang w:val="en-US" w:eastAsia="zh-CN"/>
              </w:rPr>
              <w:t>48</w:t>
            </w:r>
          </w:p>
        </w:tc>
        <w:tc>
          <w:tcPr>
            <w:tcW w:w="1254" w:type="dxa"/>
            <w:tcBorders>
              <w:top w:val="single" w:color="auto" w:sz="4" w:space="0"/>
              <w:left w:val="single" w:color="auto" w:sz="4" w:space="0"/>
              <w:bottom w:val="single" w:color="auto" w:sz="4" w:space="0"/>
              <w:right w:val="single" w:color="auto" w:sz="4" w:space="0"/>
            </w:tcBorders>
            <w:vAlign w:val="center"/>
          </w:tcPr>
          <w:p w14:paraId="781A6AD4">
            <w:pPr>
              <w:ind w:firstLine="210" w:firstLineChars="100"/>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块</w:t>
            </w:r>
          </w:p>
        </w:tc>
        <w:tc>
          <w:tcPr>
            <w:tcW w:w="1053" w:type="dxa"/>
            <w:tcBorders>
              <w:top w:val="single" w:color="auto" w:sz="4" w:space="0"/>
              <w:left w:val="nil"/>
              <w:bottom w:val="single" w:color="auto" w:sz="4" w:space="0"/>
              <w:right w:val="single" w:color="auto" w:sz="4" w:space="0"/>
            </w:tcBorders>
            <w:vAlign w:val="center"/>
          </w:tcPr>
          <w:p w14:paraId="3538EEFC">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0CA96A03">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6F90A855">
            <w:pPr>
              <w:ind w:firstLine="210" w:firstLineChars="100"/>
              <w:jc w:val="center"/>
              <w:rPr>
                <w:rFonts w:ascii="宋体" w:hAnsi="宋体" w:cs="宋体"/>
                <w:kern w:val="0"/>
                <w:szCs w:val="21"/>
              </w:rPr>
            </w:pPr>
            <w:r>
              <w:rPr>
                <w:rFonts w:hint="eastAsia" w:ascii="宋体" w:hAnsi="宋体" w:cs="宋体"/>
                <w:kern w:val="0"/>
                <w:szCs w:val="21"/>
                <w:lang w:val="en-US" w:eastAsia="zh-CN"/>
              </w:rPr>
              <w:t>工业</w:t>
            </w:r>
          </w:p>
        </w:tc>
      </w:tr>
      <w:tr w14:paraId="3CD1429B">
        <w:tblPrEx>
          <w:tblCellMar>
            <w:top w:w="0" w:type="dxa"/>
            <w:left w:w="108" w:type="dxa"/>
            <w:bottom w:w="0" w:type="dxa"/>
            <w:right w:w="108" w:type="dxa"/>
          </w:tblCellMar>
        </w:tblPrEx>
        <w:trPr>
          <w:trHeight w:val="196" w:hRule="atLeast"/>
        </w:trPr>
        <w:tc>
          <w:tcPr>
            <w:tcW w:w="709" w:type="dxa"/>
            <w:tcBorders>
              <w:top w:val="single" w:color="auto" w:sz="4" w:space="0"/>
              <w:left w:val="single" w:color="auto" w:sz="4" w:space="0"/>
              <w:bottom w:val="single" w:color="auto" w:sz="4" w:space="0"/>
              <w:right w:val="single" w:color="auto" w:sz="4" w:space="0"/>
            </w:tcBorders>
            <w:vAlign w:val="center"/>
          </w:tcPr>
          <w:p w14:paraId="5368858B">
            <w:pPr>
              <w:ind w:firstLine="210" w:firstLineChars="100"/>
              <w:jc w:val="left"/>
              <w:rPr>
                <w:rFonts w:hint="default" w:ascii="宋体" w:hAnsi="宋体" w:eastAsia="宋体" w:cs="宋体"/>
                <w:kern w:val="0"/>
                <w:szCs w:val="21"/>
                <w:lang w:val="en-US" w:eastAsia="zh-CN"/>
              </w:rPr>
            </w:pPr>
            <w:r>
              <w:rPr>
                <w:rFonts w:hint="eastAsia" w:ascii="宋体" w:hAnsi="宋体" w:cs="宋体"/>
                <w:kern w:val="0"/>
                <w:szCs w:val="21"/>
                <w:lang w:val="en-US" w:eastAsia="zh-CN"/>
              </w:rPr>
              <w:t>23</w:t>
            </w:r>
          </w:p>
        </w:tc>
        <w:tc>
          <w:tcPr>
            <w:tcW w:w="1996" w:type="dxa"/>
            <w:tcBorders>
              <w:top w:val="single" w:color="auto" w:sz="4" w:space="0"/>
              <w:left w:val="nil"/>
              <w:bottom w:val="single" w:color="auto" w:sz="4" w:space="0"/>
              <w:right w:val="single" w:color="auto" w:sz="4" w:space="0"/>
            </w:tcBorders>
            <w:vAlign w:val="center"/>
          </w:tcPr>
          <w:p w14:paraId="14CDAF65">
            <w:pPr>
              <w:jc w:val="center"/>
              <w:rPr>
                <w:rFonts w:ascii="宋体" w:hAnsi="宋体" w:cs="宋体"/>
                <w:kern w:val="0"/>
                <w:szCs w:val="21"/>
              </w:rPr>
            </w:pPr>
            <w:r>
              <w:rPr>
                <w:rFonts w:hint="eastAsia" w:ascii="宋体" w:hAnsi="宋体" w:cs="宋体"/>
                <w:kern w:val="0"/>
                <w:szCs w:val="21"/>
              </w:rPr>
              <w:t>BOX套件</w:t>
            </w:r>
          </w:p>
        </w:tc>
        <w:tc>
          <w:tcPr>
            <w:tcW w:w="746" w:type="dxa"/>
            <w:tcBorders>
              <w:top w:val="single" w:color="auto" w:sz="4" w:space="0"/>
              <w:left w:val="single" w:color="auto" w:sz="4" w:space="0"/>
              <w:bottom w:val="single" w:color="auto" w:sz="4" w:space="0"/>
              <w:right w:val="single" w:color="auto" w:sz="4" w:space="0"/>
            </w:tcBorders>
            <w:vAlign w:val="center"/>
          </w:tcPr>
          <w:p w14:paraId="761A0A31">
            <w:pPr>
              <w:ind w:firstLine="210" w:firstLineChars="100"/>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5</w:t>
            </w:r>
          </w:p>
        </w:tc>
        <w:tc>
          <w:tcPr>
            <w:tcW w:w="1254" w:type="dxa"/>
            <w:tcBorders>
              <w:top w:val="single" w:color="auto" w:sz="4" w:space="0"/>
              <w:left w:val="single" w:color="auto" w:sz="4" w:space="0"/>
              <w:bottom w:val="single" w:color="auto" w:sz="4" w:space="0"/>
              <w:right w:val="single" w:color="auto" w:sz="4" w:space="0"/>
            </w:tcBorders>
            <w:vAlign w:val="center"/>
          </w:tcPr>
          <w:p w14:paraId="2C9805A3">
            <w:pPr>
              <w:ind w:firstLine="210" w:firstLineChars="100"/>
              <w:jc w:val="center"/>
              <w:rPr>
                <w:rFonts w:hint="eastAsia" w:ascii="宋体" w:hAnsi="宋体" w:eastAsia="宋体" w:cs="宋体"/>
                <w:kern w:val="0"/>
                <w:szCs w:val="21"/>
                <w:lang w:val="en-US" w:eastAsia="zh-CN"/>
              </w:rPr>
            </w:pPr>
            <w:r>
              <w:rPr>
                <w:rFonts w:hint="eastAsia" w:ascii="宋体" w:hAnsi="宋体" w:cs="宋体"/>
                <w:kern w:val="0"/>
                <w:szCs w:val="21"/>
                <w:lang w:val="en-US" w:eastAsia="zh-CN"/>
              </w:rPr>
              <w:t>个</w:t>
            </w:r>
          </w:p>
        </w:tc>
        <w:tc>
          <w:tcPr>
            <w:tcW w:w="1053" w:type="dxa"/>
            <w:tcBorders>
              <w:top w:val="single" w:color="auto" w:sz="4" w:space="0"/>
              <w:left w:val="nil"/>
              <w:bottom w:val="single" w:color="auto" w:sz="4" w:space="0"/>
              <w:right w:val="single" w:color="auto" w:sz="4" w:space="0"/>
            </w:tcBorders>
            <w:vAlign w:val="center"/>
          </w:tcPr>
          <w:p w14:paraId="2D1F8271">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3A8C3A79">
            <w:pPr>
              <w:ind w:firstLine="210" w:firstLineChars="100"/>
              <w:jc w:val="center"/>
              <w:rPr>
                <w:rFonts w:ascii="宋体" w:hAnsi="宋体" w:cs="宋体"/>
                <w:kern w:val="0"/>
                <w:szCs w:val="21"/>
              </w:rPr>
            </w:pPr>
            <w:r>
              <w:rPr>
                <w:rFonts w:hint="eastAsia" w:ascii="宋体" w:hAnsi="宋体" w:cs="宋体"/>
                <w:kern w:val="0"/>
                <w:szCs w:val="21"/>
                <w:lang w:val="en-US" w:eastAsia="zh-CN"/>
              </w:rPr>
              <w:t>否</w:t>
            </w:r>
          </w:p>
        </w:tc>
        <w:tc>
          <w:tcPr>
            <w:tcW w:w="1280" w:type="dxa"/>
            <w:tcBorders>
              <w:top w:val="single" w:color="auto" w:sz="4" w:space="0"/>
              <w:left w:val="nil"/>
              <w:bottom w:val="single" w:color="auto" w:sz="4" w:space="0"/>
              <w:right w:val="single" w:color="auto" w:sz="4" w:space="0"/>
            </w:tcBorders>
            <w:vAlign w:val="center"/>
          </w:tcPr>
          <w:p w14:paraId="24AB3BE7">
            <w:pPr>
              <w:ind w:firstLine="210" w:firstLineChars="100"/>
              <w:jc w:val="center"/>
              <w:rPr>
                <w:rFonts w:ascii="宋体" w:hAnsi="宋体" w:cs="宋体"/>
                <w:kern w:val="0"/>
                <w:szCs w:val="21"/>
              </w:rPr>
            </w:pPr>
            <w:r>
              <w:rPr>
                <w:rFonts w:hint="eastAsia" w:ascii="宋体" w:hAnsi="宋体" w:cs="宋体"/>
                <w:kern w:val="0"/>
                <w:szCs w:val="21"/>
                <w:lang w:val="en-US" w:eastAsia="zh-CN"/>
              </w:rPr>
              <w:t>工业</w:t>
            </w:r>
          </w:p>
        </w:tc>
      </w:tr>
    </w:tbl>
    <w:p w14:paraId="5F01C8CE">
      <w:pPr>
        <w:ind w:firstLine="413" w:firstLineChars="196"/>
        <w:rPr>
          <w:rFonts w:ascii="宋体" w:hAnsi="宋体"/>
          <w:b/>
          <w:color w:val="FF0000"/>
          <w:szCs w:val="21"/>
        </w:rPr>
      </w:pPr>
    </w:p>
    <w:p w14:paraId="5F38A165">
      <w:pPr>
        <w:widowControl/>
        <w:jc w:val="left"/>
        <w:rPr>
          <w:rFonts w:ascii="宋体" w:hAnsi="宋体"/>
          <w:b/>
          <w:color w:val="FF0000"/>
          <w:szCs w:val="21"/>
        </w:rPr>
      </w:pPr>
    </w:p>
    <w:p w14:paraId="5F129374">
      <w:pPr>
        <w:widowControl/>
        <w:jc w:val="left"/>
        <w:rPr>
          <w:rFonts w:ascii="Arial" w:hAnsi="Arial" w:eastAsia="黑体"/>
          <w:b/>
          <w:bCs/>
          <w:color w:val="000000"/>
          <w:sz w:val="24"/>
        </w:rPr>
      </w:pPr>
      <w:r>
        <w:rPr>
          <w:color w:val="000000"/>
          <w:sz w:val="24"/>
        </w:rPr>
        <w:br w:type="page"/>
      </w:r>
    </w:p>
    <w:p w14:paraId="4BC583B3">
      <w:pPr>
        <w:pStyle w:val="4"/>
        <w:jc w:val="center"/>
        <w:rPr>
          <w:b w:val="0"/>
          <w:color w:val="000000"/>
          <w:sz w:val="24"/>
          <w:szCs w:val="24"/>
        </w:rPr>
      </w:pPr>
      <w:r>
        <w:rPr>
          <w:rFonts w:hint="eastAsia"/>
          <w:color w:val="000000"/>
          <w:sz w:val="24"/>
          <w:szCs w:val="24"/>
        </w:rPr>
        <w:t>（</w:t>
      </w:r>
      <w:r>
        <w:rPr>
          <w:rFonts w:hint="eastAsia"/>
          <w:b w:val="0"/>
          <w:color w:val="000000"/>
          <w:sz w:val="24"/>
          <w:szCs w:val="24"/>
        </w:rPr>
        <w:t>二）技术要求</w:t>
      </w:r>
    </w:p>
    <w:p w14:paraId="42DB8215">
      <w:pPr>
        <w:spacing w:line="360" w:lineRule="auto"/>
        <w:ind w:firstLine="555"/>
      </w:pPr>
      <w:r>
        <w:rPr>
          <w:rFonts w:hint="eastAsia"/>
        </w:rPr>
        <w:t>说明： 1、评分时，如对一项招标技术要求（以划分框为准）中的内容存在两处（或以上）负偏离的，在评分时只作一项负偏离扣分。</w:t>
      </w:r>
    </w:p>
    <w:p w14:paraId="48CE86A5">
      <w:pPr>
        <w:spacing w:line="360" w:lineRule="auto"/>
        <w:ind w:firstLine="555"/>
      </w:pPr>
      <w:r>
        <w:rPr>
          <w:rFonts w:hint="eastAsia"/>
        </w:rPr>
        <w:t>2、带★号条款为不可负偏离条款，不作为评分准则中的评分内容，如未响应或出现负偏离的，将作投标无效处理；带“▲”指标项为重要参数条款，负偏离时依相关评分准则内容作重点扣分处理。</w:t>
      </w:r>
    </w:p>
    <w:p w14:paraId="49CBCB3B">
      <w:pPr>
        <w:spacing w:line="360" w:lineRule="auto"/>
        <w:ind w:firstLine="555"/>
      </w:pPr>
      <w:r>
        <w:rPr>
          <w:rFonts w:hint="eastAsia"/>
        </w:rPr>
        <w:t>3、招标技术要求中，用红色加粗字体标注的指标项均要求提供证明资料，</w:t>
      </w:r>
      <w:r>
        <w:rPr>
          <w:rFonts w:hint="eastAsia"/>
          <w:b/>
          <w:color w:val="FF0000"/>
        </w:rPr>
        <w:t>共</w:t>
      </w:r>
      <w:r>
        <w:rPr>
          <w:rFonts w:hint="eastAsia"/>
          <w:b/>
          <w:color w:val="FF0000"/>
          <w:lang w:val="en-US" w:eastAsia="zh-CN"/>
        </w:rPr>
        <w:t>22</w:t>
      </w:r>
      <w:r>
        <w:rPr>
          <w:rFonts w:hint="eastAsia"/>
          <w:b/>
          <w:color w:val="FF0000"/>
        </w:rPr>
        <w:t>项；</w:t>
      </w:r>
      <w:r>
        <w:rPr>
          <w:rFonts w:hint="eastAsia"/>
        </w:rPr>
        <w:t>其余指标项未要求提供证明资料，无需提供相关证明资料。</w:t>
      </w:r>
    </w:p>
    <w:p w14:paraId="34F6E4D7">
      <w:pPr>
        <w:spacing w:line="360" w:lineRule="auto"/>
        <w:ind w:firstLine="555"/>
        <w:rPr>
          <w:rFonts w:hint="eastAsia"/>
        </w:rPr>
      </w:pPr>
      <w:r>
        <w:rPr>
          <w:rFonts w:hint="eastAsia"/>
        </w:rPr>
        <w:t xml:space="preserve">4 、涉及区间的参数，除特别注明以外，产品参数区间与招标要求不一致的均视为负偏离。例：区间要求为 0-20ML,只要响应的不是“0-20ML”，如投标文件响应为 0-15ML 、0-21ML 、1-12ML 、 9-20ML 、6-21ML 、9ML 等情形均视为负偏离。        </w:t>
      </w:r>
    </w:p>
    <w:p w14:paraId="0C3E9673">
      <w:pPr>
        <w:spacing w:line="360" w:lineRule="auto"/>
        <w:ind w:firstLine="555"/>
        <w:rPr>
          <w:rFonts w:ascii="宋体" w:hAnsi="宋体"/>
          <w:b/>
          <w:color w:val="FF0000"/>
        </w:rPr>
      </w:pPr>
      <w:r>
        <w:rPr>
          <w:rFonts w:hint="eastAsia"/>
        </w:rPr>
        <w:t>5 、招标技术要求出现“不少于”“不低于”“不大于”“不超过”“至少”“至多”要求的，均包含本数，“大于”“小于”“低于”“超过”不含本数。</w:t>
      </w:r>
    </w:p>
    <w:tbl>
      <w:tblPr>
        <w:tblStyle w:val="34"/>
        <w:tblW w:w="8460"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188"/>
        <w:gridCol w:w="6372"/>
      </w:tblGrid>
      <w:tr w14:paraId="07CF1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900" w:type="dxa"/>
            <w:vAlign w:val="center"/>
          </w:tcPr>
          <w:p w14:paraId="0C5249D0">
            <w:pPr>
              <w:jc w:val="center"/>
              <w:rPr>
                <w:b/>
                <w:szCs w:val="21"/>
              </w:rPr>
            </w:pPr>
            <w:r>
              <w:rPr>
                <w:rFonts w:hint="eastAsia"/>
                <w:b/>
                <w:szCs w:val="21"/>
              </w:rPr>
              <w:t>序号</w:t>
            </w:r>
          </w:p>
        </w:tc>
        <w:tc>
          <w:tcPr>
            <w:tcW w:w="1188" w:type="dxa"/>
            <w:vAlign w:val="center"/>
          </w:tcPr>
          <w:p w14:paraId="5BA47C60">
            <w:pPr>
              <w:widowControl/>
              <w:jc w:val="center"/>
              <w:rPr>
                <w:b/>
                <w:szCs w:val="21"/>
              </w:rPr>
            </w:pPr>
            <w:r>
              <w:rPr>
                <w:rFonts w:hint="eastAsia"/>
                <w:b/>
                <w:szCs w:val="21"/>
              </w:rPr>
              <w:t>货物名称</w:t>
            </w:r>
          </w:p>
        </w:tc>
        <w:tc>
          <w:tcPr>
            <w:tcW w:w="6372" w:type="dxa"/>
            <w:vAlign w:val="center"/>
          </w:tcPr>
          <w:p w14:paraId="2C8630C7">
            <w:pPr>
              <w:jc w:val="center"/>
              <w:rPr>
                <w:b/>
                <w:szCs w:val="21"/>
              </w:rPr>
            </w:pPr>
            <w:r>
              <w:rPr>
                <w:rFonts w:ascii="宋体" w:hAnsi="宋体" w:cs="Arial"/>
                <w:b/>
                <w:kern w:val="0"/>
              </w:rPr>
              <w:t>招标技术参数</w:t>
            </w:r>
            <w:r>
              <w:rPr>
                <w:rFonts w:hint="eastAsia" w:ascii="宋体" w:hAnsi="宋体" w:cs="Arial"/>
                <w:b/>
                <w:kern w:val="0"/>
              </w:rPr>
              <w:t>要求</w:t>
            </w:r>
          </w:p>
        </w:tc>
      </w:tr>
      <w:tr w14:paraId="72EE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restart"/>
            <w:vAlign w:val="center"/>
          </w:tcPr>
          <w:p w14:paraId="0372F332">
            <w:pPr>
              <w:jc w:val="center"/>
              <w:rPr>
                <w:b/>
                <w:bCs w:val="0"/>
                <w:szCs w:val="21"/>
              </w:rPr>
            </w:pPr>
            <w:r>
              <w:rPr>
                <w:rFonts w:hint="eastAsia"/>
                <w:b/>
                <w:bCs w:val="0"/>
                <w:szCs w:val="21"/>
              </w:rPr>
              <w:t>1</w:t>
            </w:r>
          </w:p>
        </w:tc>
        <w:tc>
          <w:tcPr>
            <w:tcW w:w="1188" w:type="dxa"/>
            <w:vMerge w:val="restart"/>
            <w:vAlign w:val="center"/>
          </w:tcPr>
          <w:p w14:paraId="2E66D84A">
            <w:pPr>
              <w:jc w:val="center"/>
              <w:rPr>
                <w:b/>
                <w:bCs w:val="0"/>
                <w:szCs w:val="21"/>
              </w:rPr>
            </w:pPr>
            <w:r>
              <w:rPr>
                <w:rFonts w:hint="eastAsia"/>
                <w:b/>
                <w:bCs w:val="0"/>
                <w:szCs w:val="21"/>
              </w:rPr>
              <w:t>网络接入设备</w:t>
            </w:r>
          </w:p>
        </w:tc>
        <w:tc>
          <w:tcPr>
            <w:tcW w:w="6372" w:type="dxa"/>
            <w:shd w:val="clear" w:color="auto" w:fill="auto"/>
            <w:vAlign w:val="center"/>
          </w:tcPr>
          <w:p w14:paraId="7B4ECA7D">
            <w:pPr>
              <w:widowControl/>
              <w:jc w:val="left"/>
              <w:rPr>
                <w:rFonts w:hint="eastAsia" w:ascii="宋体" w:hAnsi="宋体" w:eastAsia="宋体" w:cs="宋体"/>
                <w:b w:val="0"/>
                <w:bCs w:val="0"/>
                <w:color w:val="000000"/>
                <w:kern w:val="2"/>
                <w:sz w:val="18"/>
                <w:szCs w:val="18"/>
                <w:lang w:val="en-US" w:eastAsia="zh-CN" w:bidi="ar-SA"/>
              </w:rPr>
            </w:pPr>
            <w:r>
              <w:rPr>
                <w:rFonts w:hint="eastAsia" w:ascii="宋体" w:hAnsi="宋体" w:eastAsia="宋体" w:cs="宋体"/>
                <w:b w:val="0"/>
                <w:bCs w:val="0"/>
                <w:color w:val="000000"/>
                <w:sz w:val="18"/>
                <w:szCs w:val="18"/>
              </w:rPr>
              <w:t>1.支持万兆网络传输；</w:t>
            </w:r>
          </w:p>
        </w:tc>
      </w:tr>
      <w:tr w14:paraId="4F3E4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0E4D8308">
            <w:pPr>
              <w:jc w:val="center"/>
              <w:rPr>
                <w:b/>
                <w:bCs w:val="0"/>
                <w:szCs w:val="21"/>
              </w:rPr>
            </w:pPr>
          </w:p>
        </w:tc>
        <w:tc>
          <w:tcPr>
            <w:tcW w:w="1188" w:type="dxa"/>
            <w:vMerge w:val="continue"/>
            <w:vAlign w:val="center"/>
          </w:tcPr>
          <w:p w14:paraId="2ECCACDE">
            <w:pPr>
              <w:jc w:val="center"/>
              <w:rPr>
                <w:b/>
                <w:bCs w:val="0"/>
                <w:szCs w:val="21"/>
              </w:rPr>
            </w:pPr>
          </w:p>
        </w:tc>
        <w:tc>
          <w:tcPr>
            <w:tcW w:w="6372" w:type="dxa"/>
            <w:shd w:val="clear" w:color="auto" w:fill="auto"/>
            <w:vAlign w:val="center"/>
          </w:tcPr>
          <w:p w14:paraId="45337621">
            <w:pPr>
              <w:widowControl/>
              <w:jc w:val="left"/>
              <w:rPr>
                <w:rFonts w:hint="eastAsia" w:ascii="宋体" w:hAnsi="宋体" w:eastAsia="宋体" w:cs="宋体"/>
                <w:b w:val="0"/>
                <w:bCs w:val="0"/>
                <w:color w:val="000000"/>
                <w:kern w:val="2"/>
                <w:sz w:val="18"/>
                <w:szCs w:val="18"/>
                <w:lang w:val="en-US" w:eastAsia="zh-CN" w:bidi="ar-SA"/>
              </w:rPr>
            </w:pPr>
            <w:r>
              <w:rPr>
                <w:rFonts w:hint="eastAsia" w:ascii="宋体" w:hAnsi="宋体" w:eastAsia="宋体" w:cs="宋体"/>
                <w:b w:val="0"/>
                <w:bCs w:val="0"/>
                <w:color w:val="000000"/>
                <w:sz w:val="18"/>
                <w:szCs w:val="18"/>
              </w:rPr>
              <w:t>2.双2.5GE网口；</w:t>
            </w:r>
          </w:p>
        </w:tc>
      </w:tr>
      <w:tr w14:paraId="5EE83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202AAB1F">
            <w:pPr>
              <w:jc w:val="center"/>
              <w:rPr>
                <w:b/>
                <w:bCs w:val="0"/>
                <w:szCs w:val="21"/>
              </w:rPr>
            </w:pPr>
          </w:p>
        </w:tc>
        <w:tc>
          <w:tcPr>
            <w:tcW w:w="1188" w:type="dxa"/>
            <w:vMerge w:val="continue"/>
            <w:vAlign w:val="center"/>
          </w:tcPr>
          <w:p w14:paraId="74CEEB85">
            <w:pPr>
              <w:jc w:val="center"/>
              <w:rPr>
                <w:b/>
                <w:bCs w:val="0"/>
                <w:szCs w:val="21"/>
              </w:rPr>
            </w:pPr>
          </w:p>
        </w:tc>
        <w:tc>
          <w:tcPr>
            <w:tcW w:w="6372" w:type="dxa"/>
            <w:shd w:val="clear" w:color="auto" w:fill="auto"/>
            <w:vAlign w:val="center"/>
          </w:tcPr>
          <w:p w14:paraId="129AFABB">
            <w:pPr>
              <w:widowControl/>
              <w:jc w:val="left"/>
              <w:rPr>
                <w:rFonts w:hint="eastAsia" w:ascii="宋体" w:hAnsi="宋体" w:eastAsia="宋体" w:cs="宋体"/>
                <w:b w:val="0"/>
                <w:bCs w:val="0"/>
                <w:color w:val="000000"/>
                <w:kern w:val="2"/>
                <w:sz w:val="18"/>
                <w:szCs w:val="18"/>
                <w:lang w:val="en-US" w:eastAsia="zh-CN" w:bidi="ar-SA"/>
              </w:rPr>
            </w:pPr>
            <w:r>
              <w:rPr>
                <w:rFonts w:hint="eastAsia" w:ascii="宋体" w:hAnsi="宋体" w:eastAsia="宋体" w:cs="宋体"/>
                <w:b w:val="0"/>
                <w:bCs w:val="0"/>
                <w:color w:val="000000"/>
                <w:sz w:val="18"/>
                <w:szCs w:val="18"/>
              </w:rPr>
              <w:t>3支持同时连接2.4GHz及5GHz频段上网；</w:t>
            </w:r>
          </w:p>
        </w:tc>
      </w:tr>
      <w:tr w14:paraId="7DF55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6C9BDD51">
            <w:pPr>
              <w:jc w:val="center"/>
              <w:rPr>
                <w:b/>
                <w:bCs w:val="0"/>
                <w:szCs w:val="21"/>
              </w:rPr>
            </w:pPr>
          </w:p>
        </w:tc>
        <w:tc>
          <w:tcPr>
            <w:tcW w:w="1188" w:type="dxa"/>
            <w:vMerge w:val="continue"/>
            <w:vAlign w:val="center"/>
          </w:tcPr>
          <w:p w14:paraId="04CECD34">
            <w:pPr>
              <w:jc w:val="center"/>
              <w:rPr>
                <w:b/>
                <w:bCs w:val="0"/>
                <w:szCs w:val="21"/>
              </w:rPr>
            </w:pPr>
          </w:p>
        </w:tc>
        <w:tc>
          <w:tcPr>
            <w:tcW w:w="6372" w:type="dxa"/>
            <w:shd w:val="clear" w:color="auto" w:fill="auto"/>
            <w:vAlign w:val="center"/>
          </w:tcPr>
          <w:p w14:paraId="6890BA6C">
            <w:pPr>
              <w:widowControl/>
              <w:jc w:val="left"/>
              <w:rPr>
                <w:rFonts w:hint="eastAsia" w:ascii="宋体" w:hAnsi="宋体" w:eastAsia="宋体" w:cs="宋体"/>
                <w:b w:val="0"/>
                <w:bCs w:val="0"/>
                <w:color w:val="000000"/>
                <w:kern w:val="2"/>
                <w:sz w:val="18"/>
                <w:szCs w:val="18"/>
                <w:lang w:val="en-US" w:eastAsia="zh-CN" w:bidi="ar-SA"/>
              </w:rPr>
            </w:pPr>
            <w:r>
              <w:rPr>
                <w:rFonts w:hint="eastAsia" w:ascii="宋体" w:hAnsi="宋体" w:eastAsia="宋体" w:cs="宋体"/>
                <w:b w:val="0"/>
                <w:bCs w:val="0"/>
                <w:color w:val="000000"/>
                <w:sz w:val="18"/>
                <w:szCs w:val="18"/>
              </w:rPr>
              <w:t>4支持100+设备同步连入，实现数据高速传输。</w:t>
            </w:r>
          </w:p>
        </w:tc>
      </w:tr>
      <w:tr w14:paraId="48FA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restart"/>
            <w:vAlign w:val="center"/>
          </w:tcPr>
          <w:p w14:paraId="7349E7A1">
            <w:pPr>
              <w:jc w:val="center"/>
              <w:rPr>
                <w:b/>
                <w:bCs w:val="0"/>
                <w:szCs w:val="21"/>
              </w:rPr>
            </w:pPr>
            <w:r>
              <w:rPr>
                <w:rFonts w:hint="eastAsia"/>
                <w:b/>
                <w:bCs w:val="0"/>
                <w:szCs w:val="21"/>
              </w:rPr>
              <w:t>2</w:t>
            </w:r>
          </w:p>
        </w:tc>
        <w:tc>
          <w:tcPr>
            <w:tcW w:w="1188" w:type="dxa"/>
            <w:vMerge w:val="restart"/>
            <w:vAlign w:val="center"/>
          </w:tcPr>
          <w:p w14:paraId="7D2F2C2D">
            <w:pPr>
              <w:jc w:val="center"/>
              <w:rPr>
                <w:b/>
                <w:bCs w:val="0"/>
                <w:szCs w:val="21"/>
              </w:rPr>
            </w:pPr>
            <w:r>
              <w:rPr>
                <w:rFonts w:hint="eastAsia"/>
                <w:b/>
                <w:bCs w:val="0"/>
                <w:szCs w:val="21"/>
              </w:rPr>
              <w:t>边缘计算主机</w:t>
            </w:r>
          </w:p>
        </w:tc>
        <w:tc>
          <w:tcPr>
            <w:tcW w:w="6372" w:type="dxa"/>
          </w:tcPr>
          <w:p w14:paraId="7B947757">
            <w:pPr>
              <w:rPr>
                <w:rFonts w:hint="eastAsia" w:ascii="宋体" w:hAnsi="宋体" w:eastAsia="宋体" w:cs="宋体"/>
                <w:b w:val="0"/>
                <w:bCs w:val="0"/>
                <w:sz w:val="18"/>
                <w:szCs w:val="18"/>
              </w:rPr>
            </w:pPr>
            <w:r>
              <w:rPr>
                <w:rFonts w:hint="eastAsia" w:ascii="宋体" w:hAnsi="宋体" w:eastAsia="宋体" w:cs="宋体"/>
                <w:b w:val="0"/>
                <w:bCs w:val="0"/>
                <w:i w:val="0"/>
                <w:iCs w:val="0"/>
                <w:color w:val="auto"/>
                <w:kern w:val="0"/>
                <w:sz w:val="18"/>
                <w:szCs w:val="18"/>
                <w:highlight w:val="none"/>
                <w:u w:val="none"/>
                <w:lang w:val="en-US" w:eastAsia="zh-CN" w:bidi="ar"/>
              </w:rPr>
              <w:t>1计算容量≥20GB、CUDA核心数量≥8000个、FP32运算能力≥20TFLOPS、FP16运算能力≥100TFLOPS；</w:t>
            </w:r>
          </w:p>
        </w:tc>
      </w:tr>
      <w:tr w14:paraId="2FF55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0C59D725">
            <w:pPr>
              <w:jc w:val="center"/>
              <w:rPr>
                <w:b/>
                <w:bCs w:val="0"/>
                <w:szCs w:val="21"/>
              </w:rPr>
            </w:pPr>
          </w:p>
        </w:tc>
        <w:tc>
          <w:tcPr>
            <w:tcW w:w="1188" w:type="dxa"/>
            <w:vMerge w:val="continue"/>
            <w:vAlign w:val="center"/>
          </w:tcPr>
          <w:p w14:paraId="4913F1AB">
            <w:pPr>
              <w:jc w:val="center"/>
              <w:rPr>
                <w:b/>
                <w:bCs w:val="0"/>
                <w:szCs w:val="21"/>
              </w:rPr>
            </w:pPr>
          </w:p>
        </w:tc>
        <w:tc>
          <w:tcPr>
            <w:tcW w:w="6372" w:type="dxa"/>
          </w:tcPr>
          <w:p w14:paraId="3DA4A38C">
            <w:pPr>
              <w:rPr>
                <w:rFonts w:hint="eastAsia" w:ascii="宋体" w:hAnsi="宋体" w:eastAsia="宋体" w:cs="宋体"/>
                <w:b w:val="0"/>
                <w:bCs w:val="0"/>
                <w:sz w:val="18"/>
                <w:szCs w:val="18"/>
              </w:rPr>
            </w:pPr>
            <w:r>
              <w:rPr>
                <w:rFonts w:hint="eastAsia" w:ascii="宋体" w:hAnsi="宋体" w:eastAsia="宋体" w:cs="宋体"/>
                <w:b w:val="0"/>
                <w:bCs w:val="0"/>
                <w:i w:val="0"/>
                <w:iCs w:val="0"/>
                <w:color w:val="auto"/>
                <w:kern w:val="0"/>
                <w:sz w:val="18"/>
                <w:szCs w:val="18"/>
                <w:highlight w:val="none"/>
                <w:u w:val="none"/>
                <w:lang w:val="en-US" w:eastAsia="zh-CN" w:bidi="ar"/>
              </w:rPr>
              <w:t>2支持接入IOT传感器，自动采集学生的学习行为数据；运用大数据分析技术，建立学习行为分析模型、成绩预测模型等；分析学生的学习进度、学习效果、学习习惯等，生成详细的分析报告；</w:t>
            </w:r>
          </w:p>
        </w:tc>
      </w:tr>
      <w:tr w14:paraId="49D64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258FF95A">
            <w:pPr>
              <w:jc w:val="both"/>
              <w:rPr>
                <w:b/>
                <w:bCs w:val="0"/>
                <w:szCs w:val="21"/>
              </w:rPr>
            </w:pPr>
          </w:p>
        </w:tc>
        <w:tc>
          <w:tcPr>
            <w:tcW w:w="1188" w:type="dxa"/>
            <w:vMerge w:val="continue"/>
            <w:vAlign w:val="center"/>
          </w:tcPr>
          <w:p w14:paraId="63B79055">
            <w:pPr>
              <w:jc w:val="center"/>
              <w:rPr>
                <w:b/>
                <w:bCs w:val="0"/>
                <w:szCs w:val="21"/>
              </w:rPr>
            </w:pPr>
          </w:p>
        </w:tc>
        <w:tc>
          <w:tcPr>
            <w:tcW w:w="6372" w:type="dxa"/>
          </w:tcPr>
          <w:p w14:paraId="493CC896">
            <w:pPr>
              <w:rPr>
                <w:rFonts w:hint="eastAsia" w:ascii="宋体" w:hAnsi="宋体" w:eastAsia="宋体" w:cs="宋体"/>
                <w:b w:val="0"/>
                <w:bCs w:val="0"/>
                <w:sz w:val="18"/>
                <w:szCs w:val="18"/>
              </w:rPr>
            </w:pPr>
            <w:r>
              <w:rPr>
                <w:rFonts w:hint="eastAsia" w:ascii="宋体" w:hAnsi="宋体" w:eastAsia="宋体" w:cs="宋体"/>
                <w:b w:val="0"/>
                <w:bCs w:val="0"/>
                <w:i w:val="0"/>
                <w:iCs w:val="0"/>
                <w:color w:val="auto"/>
                <w:kern w:val="0"/>
                <w:sz w:val="18"/>
                <w:szCs w:val="18"/>
                <w:highlight w:val="none"/>
                <w:u w:val="none"/>
                <w:lang w:val="en-US" w:eastAsia="zh-CN" w:bidi="ar"/>
              </w:rPr>
              <w:t>3装载即插即用大模型，支持数据分析功能</w:t>
            </w:r>
          </w:p>
        </w:tc>
      </w:tr>
      <w:tr w14:paraId="1CFDB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69DF0188">
            <w:pPr>
              <w:jc w:val="both"/>
              <w:rPr>
                <w:b/>
                <w:bCs w:val="0"/>
                <w:szCs w:val="21"/>
              </w:rPr>
            </w:pPr>
          </w:p>
        </w:tc>
        <w:tc>
          <w:tcPr>
            <w:tcW w:w="1188" w:type="dxa"/>
            <w:vMerge w:val="continue"/>
            <w:vAlign w:val="center"/>
          </w:tcPr>
          <w:p w14:paraId="0F738257">
            <w:pPr>
              <w:jc w:val="center"/>
              <w:rPr>
                <w:b/>
                <w:bCs w:val="0"/>
                <w:szCs w:val="21"/>
              </w:rPr>
            </w:pPr>
          </w:p>
        </w:tc>
        <w:tc>
          <w:tcPr>
            <w:tcW w:w="6372" w:type="dxa"/>
          </w:tcPr>
          <w:p w14:paraId="32950DC6">
            <w:pPr>
              <w:rPr>
                <w:rFonts w:hint="eastAsia" w:ascii="宋体" w:hAnsi="宋体" w:eastAsia="宋体" w:cs="宋体"/>
                <w:b w:val="0"/>
                <w:bCs w:val="0"/>
                <w:sz w:val="18"/>
                <w:szCs w:val="18"/>
              </w:rPr>
            </w:pPr>
            <w:r>
              <w:rPr>
                <w:rFonts w:hint="eastAsia" w:ascii="宋体" w:hAnsi="宋体" w:eastAsia="宋体" w:cs="宋体"/>
                <w:b w:val="0"/>
                <w:bCs w:val="0"/>
                <w:i w:val="0"/>
                <w:iCs w:val="0"/>
                <w:color w:val="auto"/>
                <w:kern w:val="0"/>
                <w:sz w:val="18"/>
                <w:szCs w:val="18"/>
                <w:highlight w:val="none"/>
                <w:u w:val="none"/>
                <w:lang w:val="en-US" w:eastAsia="zh-CN" w:bidi="ar"/>
              </w:rPr>
              <w:t>4支持投影数据、音响数据的传输连回</w:t>
            </w:r>
          </w:p>
        </w:tc>
      </w:tr>
      <w:tr w14:paraId="73135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restart"/>
            <w:vAlign w:val="center"/>
          </w:tcPr>
          <w:p w14:paraId="1DD1629F">
            <w:pPr>
              <w:jc w:val="center"/>
              <w:rPr>
                <w:rFonts w:hint="eastAsia" w:eastAsia="宋体"/>
                <w:b/>
                <w:bCs w:val="0"/>
                <w:szCs w:val="21"/>
                <w:lang w:val="en-US" w:eastAsia="zh-CN"/>
              </w:rPr>
            </w:pPr>
            <w:r>
              <w:rPr>
                <w:rFonts w:hint="eastAsia"/>
                <w:b/>
                <w:bCs w:val="0"/>
                <w:szCs w:val="21"/>
                <w:lang w:val="en-US" w:eastAsia="zh-CN"/>
              </w:rPr>
              <w:t>3</w:t>
            </w:r>
          </w:p>
        </w:tc>
        <w:tc>
          <w:tcPr>
            <w:tcW w:w="1188" w:type="dxa"/>
            <w:vMerge w:val="restart"/>
            <w:vAlign w:val="center"/>
          </w:tcPr>
          <w:p w14:paraId="5E73933A">
            <w:pPr>
              <w:jc w:val="center"/>
              <w:rPr>
                <w:b/>
                <w:bCs w:val="0"/>
                <w:szCs w:val="21"/>
              </w:rPr>
            </w:pPr>
            <w:r>
              <w:rPr>
                <w:rFonts w:hint="eastAsia"/>
                <w:b/>
                <w:bCs w:val="0"/>
                <w:szCs w:val="21"/>
              </w:rPr>
              <w:t>可移动课桌与快速安装连接组件</w:t>
            </w:r>
          </w:p>
        </w:tc>
        <w:tc>
          <w:tcPr>
            <w:tcW w:w="6372" w:type="dxa"/>
          </w:tcPr>
          <w:p w14:paraId="5CD64C15">
            <w:pPr>
              <w:rPr>
                <w:rFonts w:hint="eastAsia" w:ascii="宋体" w:hAnsi="宋体" w:eastAsia="宋体" w:cs="宋体"/>
                <w:b w:val="0"/>
                <w:bCs w:val="0"/>
                <w:sz w:val="18"/>
                <w:szCs w:val="18"/>
              </w:rPr>
            </w:pPr>
            <w:r>
              <w:rPr>
                <w:rFonts w:hint="eastAsia" w:ascii="宋体" w:hAnsi="宋体" w:eastAsia="宋体" w:cs="宋体"/>
                <w:b w:val="0"/>
                <w:bCs w:val="0"/>
                <w:sz w:val="18"/>
                <w:szCs w:val="18"/>
              </w:rPr>
              <w:t>1.外形设计：符合人体生理学原理，结构坚固耐用</w:t>
            </w:r>
          </w:p>
        </w:tc>
      </w:tr>
      <w:tr w14:paraId="65B21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2CF613CC">
            <w:pPr>
              <w:jc w:val="center"/>
              <w:rPr>
                <w:rFonts w:hint="eastAsia"/>
                <w:b/>
                <w:bCs w:val="0"/>
                <w:szCs w:val="21"/>
              </w:rPr>
            </w:pPr>
          </w:p>
        </w:tc>
        <w:tc>
          <w:tcPr>
            <w:tcW w:w="1188" w:type="dxa"/>
            <w:vMerge w:val="continue"/>
            <w:vAlign w:val="center"/>
          </w:tcPr>
          <w:p w14:paraId="1D6F1223">
            <w:pPr>
              <w:jc w:val="center"/>
              <w:rPr>
                <w:b/>
                <w:bCs w:val="0"/>
                <w:szCs w:val="21"/>
              </w:rPr>
            </w:pPr>
          </w:p>
        </w:tc>
        <w:tc>
          <w:tcPr>
            <w:tcW w:w="6372" w:type="dxa"/>
          </w:tcPr>
          <w:p w14:paraId="1D41D637">
            <w:pPr>
              <w:rPr>
                <w:rFonts w:hint="eastAsia" w:ascii="宋体" w:hAnsi="宋体" w:eastAsia="宋体" w:cs="宋体"/>
                <w:b w:val="0"/>
                <w:bCs w:val="0"/>
                <w:sz w:val="18"/>
                <w:szCs w:val="18"/>
              </w:rPr>
            </w:pPr>
            <w:r>
              <w:rPr>
                <w:rFonts w:hint="eastAsia"/>
              </w:rPr>
              <w:t>▲</w:t>
            </w:r>
            <w:r>
              <w:rPr>
                <w:rFonts w:hint="eastAsia" w:ascii="宋体" w:hAnsi="宋体" w:eastAsia="宋体" w:cs="宋体"/>
                <w:b w:val="0"/>
                <w:bCs w:val="0"/>
                <w:sz w:val="18"/>
                <w:szCs w:val="18"/>
              </w:rPr>
              <w:t>2.规格：桌子：600mm(±10mm)(L)*400mm(±10mm)(W)*640mm(H)(±10mm)</w:t>
            </w:r>
          </w:p>
          <w:p w14:paraId="18263135">
            <w:pPr>
              <w:rPr>
                <w:rFonts w:hint="eastAsia" w:ascii="宋体" w:hAnsi="宋体" w:eastAsia="宋体" w:cs="宋体"/>
                <w:b w:val="0"/>
                <w:bCs w:val="0"/>
                <w:sz w:val="18"/>
                <w:szCs w:val="18"/>
              </w:rPr>
            </w:pPr>
            <w:r>
              <w:rPr>
                <w:rFonts w:hint="eastAsia" w:ascii="宋体" w:hAnsi="宋体" w:eastAsia="宋体" w:cs="宋体"/>
                <w:b w:val="0"/>
                <w:bCs w:val="0"/>
                <w:sz w:val="18"/>
                <w:szCs w:val="18"/>
              </w:rPr>
              <w:t>椅子：360mm(±10mm)×320mm(±10mm) 座面高：350mm(±10mm)</w:t>
            </w:r>
          </w:p>
        </w:tc>
      </w:tr>
      <w:tr w14:paraId="50A4D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765FE8A0">
            <w:pPr>
              <w:jc w:val="center"/>
              <w:rPr>
                <w:rFonts w:hint="eastAsia"/>
                <w:b/>
                <w:bCs w:val="0"/>
                <w:szCs w:val="21"/>
              </w:rPr>
            </w:pPr>
          </w:p>
        </w:tc>
        <w:tc>
          <w:tcPr>
            <w:tcW w:w="1188" w:type="dxa"/>
            <w:vMerge w:val="continue"/>
            <w:vAlign w:val="center"/>
          </w:tcPr>
          <w:p w14:paraId="7715DEA1">
            <w:pPr>
              <w:jc w:val="center"/>
              <w:rPr>
                <w:b/>
                <w:bCs w:val="0"/>
                <w:szCs w:val="21"/>
              </w:rPr>
            </w:pPr>
          </w:p>
        </w:tc>
        <w:tc>
          <w:tcPr>
            <w:tcW w:w="6372" w:type="dxa"/>
          </w:tcPr>
          <w:p w14:paraId="047C97EF">
            <w:pPr>
              <w:rPr>
                <w:rFonts w:hint="eastAsia" w:ascii="宋体" w:hAnsi="宋体" w:eastAsia="宋体" w:cs="宋体"/>
                <w:b w:val="0"/>
                <w:bCs w:val="0"/>
                <w:sz w:val="18"/>
                <w:szCs w:val="18"/>
              </w:rPr>
            </w:pPr>
            <w:r>
              <w:rPr>
                <w:rFonts w:hint="eastAsia" w:ascii="宋体" w:hAnsi="宋体" w:eastAsia="宋体" w:cs="宋体"/>
                <w:b w:val="0"/>
                <w:bCs w:val="0"/>
                <w:sz w:val="18"/>
                <w:szCs w:val="18"/>
              </w:rPr>
              <w:t>3.框架结构：</w:t>
            </w:r>
          </w:p>
          <w:p w14:paraId="6A18A781">
            <w:pPr>
              <w:rPr>
                <w:rFonts w:hint="eastAsia" w:ascii="宋体" w:hAnsi="宋体" w:eastAsia="宋体" w:cs="宋体"/>
                <w:b w:val="0"/>
                <w:bCs w:val="0"/>
                <w:sz w:val="18"/>
                <w:szCs w:val="18"/>
              </w:rPr>
            </w:pPr>
            <w:r>
              <w:rPr>
                <w:rFonts w:hint="eastAsia" w:ascii="宋体" w:hAnsi="宋体" w:eastAsia="宋体" w:cs="宋体"/>
                <w:b w:val="0"/>
                <w:bCs w:val="0"/>
                <w:sz w:val="18"/>
                <w:szCs w:val="18"/>
              </w:rPr>
              <w:t>①课桌采用3030铝型材框架、壁厚</w:t>
            </w:r>
            <w:r>
              <w:rPr>
                <w:rFonts w:hint="eastAsia" w:ascii="宋体" w:hAnsi="宋体" w:eastAsia="宋体" w:cs="宋体"/>
                <w:b w:val="0"/>
                <w:bCs w:val="0"/>
                <w:i w:val="0"/>
                <w:iCs w:val="0"/>
                <w:color w:val="auto"/>
                <w:kern w:val="0"/>
                <w:sz w:val="18"/>
                <w:szCs w:val="18"/>
                <w:highlight w:val="none"/>
                <w:u w:val="none"/>
                <w:lang w:val="en-US" w:eastAsia="zh-CN" w:bidi="ar"/>
              </w:rPr>
              <w:t>≥</w:t>
            </w:r>
            <w:r>
              <w:rPr>
                <w:rFonts w:hint="eastAsia" w:ascii="宋体" w:hAnsi="宋体" w:eastAsia="宋体" w:cs="宋体"/>
                <w:b w:val="0"/>
                <w:bCs w:val="0"/>
                <w:sz w:val="18"/>
                <w:szCs w:val="18"/>
              </w:rPr>
              <w:t>1mm；</w:t>
            </w:r>
          </w:p>
        </w:tc>
      </w:tr>
      <w:tr w14:paraId="44ED2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03D6DEB4">
            <w:pPr>
              <w:jc w:val="center"/>
              <w:rPr>
                <w:rFonts w:hint="eastAsia"/>
                <w:b/>
                <w:bCs w:val="0"/>
                <w:szCs w:val="21"/>
              </w:rPr>
            </w:pPr>
          </w:p>
        </w:tc>
        <w:tc>
          <w:tcPr>
            <w:tcW w:w="1188" w:type="dxa"/>
            <w:vMerge w:val="continue"/>
            <w:vAlign w:val="center"/>
          </w:tcPr>
          <w:p w14:paraId="6155EDF2">
            <w:pPr>
              <w:jc w:val="center"/>
              <w:rPr>
                <w:b/>
                <w:bCs w:val="0"/>
                <w:szCs w:val="21"/>
              </w:rPr>
            </w:pPr>
          </w:p>
        </w:tc>
        <w:tc>
          <w:tcPr>
            <w:tcW w:w="6372" w:type="dxa"/>
          </w:tcPr>
          <w:p w14:paraId="2517624D">
            <w:pPr>
              <w:rPr>
                <w:rFonts w:hint="eastAsia" w:ascii="宋体" w:hAnsi="宋体" w:eastAsia="宋体" w:cs="宋体"/>
                <w:b w:val="0"/>
                <w:bCs w:val="0"/>
                <w:sz w:val="18"/>
                <w:szCs w:val="18"/>
              </w:rPr>
            </w:pPr>
            <w:r>
              <w:rPr>
                <w:rFonts w:hint="eastAsia"/>
              </w:rPr>
              <w:t>▲</w:t>
            </w:r>
            <w:r>
              <w:rPr>
                <w:rFonts w:hint="eastAsia" w:ascii="宋体" w:hAnsi="宋体" w:eastAsia="宋体" w:cs="宋体"/>
                <w:b w:val="0"/>
                <w:bCs w:val="0"/>
                <w:sz w:val="18"/>
                <w:szCs w:val="18"/>
              </w:rPr>
              <w:t>4.桌面材质要求：板芯材选用海洋板厚度</w:t>
            </w:r>
            <w:r>
              <w:rPr>
                <w:rFonts w:hint="eastAsia" w:ascii="宋体" w:hAnsi="宋体" w:eastAsia="宋体" w:cs="宋体"/>
                <w:b w:val="0"/>
                <w:bCs w:val="0"/>
                <w:i w:val="0"/>
                <w:iCs w:val="0"/>
                <w:color w:val="auto"/>
                <w:kern w:val="0"/>
                <w:sz w:val="18"/>
                <w:szCs w:val="18"/>
                <w:highlight w:val="none"/>
                <w:u w:val="none"/>
                <w:lang w:val="en-US" w:eastAsia="zh-CN" w:bidi="ar"/>
              </w:rPr>
              <w:t>≥</w:t>
            </w:r>
            <w:r>
              <w:rPr>
                <w:rFonts w:hint="eastAsia" w:ascii="宋体" w:hAnsi="宋体" w:eastAsia="宋体" w:cs="宋体"/>
                <w:b w:val="0"/>
                <w:bCs w:val="0"/>
                <w:sz w:val="18"/>
                <w:szCs w:val="18"/>
              </w:rPr>
              <w:t>12mm；</w:t>
            </w:r>
          </w:p>
        </w:tc>
      </w:tr>
      <w:tr w14:paraId="5C2DD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682045FA">
            <w:pPr>
              <w:jc w:val="center"/>
              <w:rPr>
                <w:rFonts w:hint="eastAsia"/>
                <w:b/>
                <w:bCs w:val="0"/>
                <w:szCs w:val="21"/>
              </w:rPr>
            </w:pPr>
          </w:p>
        </w:tc>
        <w:tc>
          <w:tcPr>
            <w:tcW w:w="1188" w:type="dxa"/>
            <w:vMerge w:val="continue"/>
            <w:vAlign w:val="center"/>
          </w:tcPr>
          <w:p w14:paraId="63C9FAB5">
            <w:pPr>
              <w:jc w:val="center"/>
              <w:rPr>
                <w:b/>
                <w:bCs w:val="0"/>
                <w:szCs w:val="21"/>
              </w:rPr>
            </w:pPr>
          </w:p>
        </w:tc>
        <w:tc>
          <w:tcPr>
            <w:tcW w:w="6372" w:type="dxa"/>
          </w:tcPr>
          <w:p w14:paraId="7DABC753">
            <w:pPr>
              <w:rPr>
                <w:rFonts w:hint="eastAsia" w:ascii="宋体" w:hAnsi="宋体" w:eastAsia="宋体" w:cs="宋体"/>
                <w:b w:val="0"/>
                <w:bCs w:val="0"/>
                <w:sz w:val="18"/>
                <w:szCs w:val="18"/>
              </w:rPr>
            </w:pPr>
            <w:r>
              <w:rPr>
                <w:rFonts w:hint="eastAsia"/>
              </w:rPr>
              <w:t>▲</w:t>
            </w:r>
            <w:r>
              <w:rPr>
                <w:rFonts w:hint="eastAsia" w:ascii="宋体" w:hAnsi="宋体" w:eastAsia="宋体" w:cs="宋体"/>
                <w:b w:val="0"/>
                <w:bCs w:val="0"/>
                <w:sz w:val="18"/>
                <w:szCs w:val="18"/>
              </w:rPr>
              <w:t>5.磁吸结构：桌面至少一侧采取磁吸结构、可保障桌子与桌子之间贴合，形成不同构型；适合不同形态的学生课堂活动。</w:t>
            </w:r>
          </w:p>
        </w:tc>
      </w:tr>
      <w:tr w14:paraId="0C875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02054D9B">
            <w:pPr>
              <w:jc w:val="center"/>
              <w:rPr>
                <w:rFonts w:hint="eastAsia"/>
                <w:b/>
                <w:bCs w:val="0"/>
                <w:szCs w:val="21"/>
              </w:rPr>
            </w:pPr>
          </w:p>
        </w:tc>
        <w:tc>
          <w:tcPr>
            <w:tcW w:w="1188" w:type="dxa"/>
            <w:vMerge w:val="continue"/>
            <w:vAlign w:val="center"/>
          </w:tcPr>
          <w:p w14:paraId="3D912EEC">
            <w:pPr>
              <w:jc w:val="center"/>
              <w:rPr>
                <w:b/>
                <w:bCs w:val="0"/>
                <w:szCs w:val="21"/>
              </w:rPr>
            </w:pPr>
          </w:p>
        </w:tc>
        <w:tc>
          <w:tcPr>
            <w:tcW w:w="6372" w:type="dxa"/>
          </w:tcPr>
          <w:p w14:paraId="64893737">
            <w:pPr>
              <w:rPr>
                <w:rFonts w:hint="eastAsia" w:ascii="宋体" w:hAnsi="宋体" w:eastAsia="宋体" w:cs="宋体"/>
                <w:b w:val="0"/>
                <w:bCs w:val="0"/>
                <w:sz w:val="18"/>
                <w:szCs w:val="18"/>
              </w:rPr>
            </w:pPr>
            <w:r>
              <w:rPr>
                <w:rFonts w:hint="eastAsia"/>
              </w:rPr>
              <w:t>▲</w:t>
            </w:r>
            <w:r>
              <w:rPr>
                <w:rFonts w:hint="eastAsia" w:ascii="宋体" w:hAnsi="宋体" w:eastAsia="宋体" w:cs="宋体"/>
                <w:b w:val="0"/>
                <w:bCs w:val="0"/>
                <w:sz w:val="18"/>
                <w:szCs w:val="18"/>
              </w:rPr>
              <w:t>6.置物板结构：560mm(±10mm)(L)*382mm(±10mm)(W)洞洞结构，要求桌子框架一侧可悬挂、可拆卸;</w:t>
            </w:r>
          </w:p>
        </w:tc>
      </w:tr>
      <w:tr w14:paraId="6B0E6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7FAD6B58">
            <w:pPr>
              <w:jc w:val="center"/>
              <w:rPr>
                <w:rFonts w:hint="eastAsia"/>
                <w:b/>
                <w:bCs w:val="0"/>
                <w:szCs w:val="21"/>
              </w:rPr>
            </w:pPr>
          </w:p>
        </w:tc>
        <w:tc>
          <w:tcPr>
            <w:tcW w:w="1188" w:type="dxa"/>
            <w:vMerge w:val="continue"/>
            <w:vAlign w:val="center"/>
          </w:tcPr>
          <w:p w14:paraId="274274E8">
            <w:pPr>
              <w:jc w:val="center"/>
              <w:rPr>
                <w:b/>
                <w:bCs w:val="0"/>
                <w:szCs w:val="21"/>
              </w:rPr>
            </w:pPr>
          </w:p>
        </w:tc>
        <w:tc>
          <w:tcPr>
            <w:tcW w:w="6372" w:type="dxa"/>
          </w:tcPr>
          <w:p w14:paraId="13BB9A9A">
            <w:pPr>
              <w:rPr>
                <w:rFonts w:hint="eastAsia" w:ascii="宋体" w:hAnsi="宋体" w:eastAsia="宋体" w:cs="宋体"/>
                <w:b w:val="0"/>
                <w:bCs w:val="0"/>
                <w:sz w:val="18"/>
                <w:szCs w:val="18"/>
              </w:rPr>
            </w:pPr>
            <w:r>
              <w:rPr>
                <w:rFonts w:hint="eastAsia" w:ascii="宋体" w:hAnsi="宋体" w:eastAsia="宋体" w:cs="宋体"/>
                <w:b w:val="0"/>
                <w:bCs w:val="0"/>
                <w:sz w:val="18"/>
                <w:szCs w:val="18"/>
              </w:rPr>
              <w:t>7.桌子脚凳：带刹车款螺丝脚轮万向轮</w:t>
            </w:r>
          </w:p>
        </w:tc>
      </w:tr>
      <w:tr w14:paraId="6C7F5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2E3D758D">
            <w:pPr>
              <w:jc w:val="center"/>
              <w:rPr>
                <w:rFonts w:hint="eastAsia"/>
                <w:b/>
                <w:bCs w:val="0"/>
                <w:szCs w:val="21"/>
              </w:rPr>
            </w:pPr>
          </w:p>
        </w:tc>
        <w:tc>
          <w:tcPr>
            <w:tcW w:w="1188" w:type="dxa"/>
            <w:vMerge w:val="continue"/>
            <w:vAlign w:val="center"/>
          </w:tcPr>
          <w:p w14:paraId="248065B7">
            <w:pPr>
              <w:jc w:val="center"/>
              <w:rPr>
                <w:b/>
                <w:bCs w:val="0"/>
                <w:szCs w:val="21"/>
              </w:rPr>
            </w:pPr>
          </w:p>
        </w:tc>
        <w:tc>
          <w:tcPr>
            <w:tcW w:w="6372" w:type="dxa"/>
          </w:tcPr>
          <w:p w14:paraId="7F3E0583">
            <w:pPr>
              <w:rPr>
                <w:rFonts w:hint="eastAsia" w:ascii="宋体" w:hAnsi="宋体" w:eastAsia="宋体" w:cs="宋体"/>
                <w:b w:val="0"/>
                <w:bCs w:val="0"/>
                <w:sz w:val="18"/>
                <w:szCs w:val="18"/>
              </w:rPr>
            </w:pPr>
            <w:r>
              <w:rPr>
                <w:rFonts w:hint="eastAsia" w:ascii="宋体" w:hAnsi="宋体" w:eastAsia="宋体" w:cs="宋体"/>
                <w:b w:val="0"/>
                <w:bCs w:val="0"/>
                <w:sz w:val="18"/>
                <w:szCs w:val="18"/>
              </w:rPr>
              <w:t>8.椅子结构：采用PP环保材质，承重不小于80KG</w:t>
            </w:r>
          </w:p>
        </w:tc>
      </w:tr>
      <w:tr w14:paraId="24E6F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restart"/>
            <w:vAlign w:val="center"/>
          </w:tcPr>
          <w:p w14:paraId="6AAED7A2">
            <w:pPr>
              <w:jc w:val="center"/>
              <w:rPr>
                <w:rFonts w:hint="eastAsia" w:eastAsia="宋体"/>
                <w:b/>
                <w:bCs w:val="0"/>
                <w:szCs w:val="21"/>
                <w:lang w:val="en-US" w:eastAsia="zh-CN"/>
              </w:rPr>
            </w:pPr>
            <w:r>
              <w:rPr>
                <w:rFonts w:hint="eastAsia"/>
                <w:b/>
                <w:bCs w:val="0"/>
                <w:szCs w:val="21"/>
                <w:lang w:val="en-US" w:eastAsia="zh-CN"/>
              </w:rPr>
              <w:t>4</w:t>
            </w:r>
          </w:p>
        </w:tc>
        <w:tc>
          <w:tcPr>
            <w:tcW w:w="1188" w:type="dxa"/>
            <w:vMerge w:val="restart"/>
            <w:vAlign w:val="center"/>
          </w:tcPr>
          <w:p w14:paraId="7AF34C51">
            <w:pPr>
              <w:jc w:val="center"/>
              <w:rPr>
                <w:rFonts w:hint="default" w:eastAsia="宋体"/>
                <w:b/>
                <w:bCs w:val="0"/>
                <w:szCs w:val="21"/>
                <w:lang w:val="en-US" w:eastAsia="zh-CN"/>
              </w:rPr>
            </w:pPr>
            <w:r>
              <w:rPr>
                <w:rFonts w:hint="eastAsia"/>
                <w:b/>
                <w:bCs w:val="0"/>
                <w:szCs w:val="21"/>
              </w:rPr>
              <w:t>可移动课桌与快速安装连接组件</w:t>
            </w:r>
            <w:r>
              <w:rPr>
                <w:rFonts w:hint="eastAsia"/>
                <w:b/>
                <w:bCs w:val="0"/>
                <w:szCs w:val="21"/>
                <w:lang w:val="en-US" w:eastAsia="zh-CN"/>
              </w:rPr>
              <w:t>-配件</w:t>
            </w:r>
          </w:p>
        </w:tc>
        <w:tc>
          <w:tcPr>
            <w:tcW w:w="6372" w:type="dxa"/>
          </w:tcPr>
          <w:p w14:paraId="22812562">
            <w:pPr>
              <w:rPr>
                <w:rFonts w:hint="eastAsia" w:ascii="宋体" w:hAnsi="宋体" w:eastAsia="宋体" w:cs="宋体"/>
                <w:b w:val="0"/>
                <w:bCs w:val="0"/>
                <w:sz w:val="18"/>
                <w:szCs w:val="18"/>
              </w:rPr>
            </w:pPr>
            <w:r>
              <w:rPr>
                <w:rFonts w:hint="eastAsia" w:ascii="宋体" w:hAnsi="宋体" w:eastAsia="宋体" w:cs="宋体"/>
                <w:b w:val="0"/>
                <w:bCs w:val="0"/>
                <w:sz w:val="18"/>
                <w:szCs w:val="18"/>
              </w:rPr>
              <w:t>1</w:t>
            </w:r>
            <w:r>
              <w:rPr>
                <w:rFonts w:hint="eastAsia" w:ascii="宋体" w:hAnsi="宋体" w:eastAsia="宋体" w:cs="宋体"/>
                <w:b w:val="0"/>
                <w:bCs w:val="0"/>
                <w:sz w:val="18"/>
                <w:szCs w:val="18"/>
                <w:lang w:eastAsia="zh-CN"/>
              </w:rPr>
              <w:t>.</w:t>
            </w:r>
            <w:r>
              <w:rPr>
                <w:rFonts w:hint="eastAsia" w:ascii="宋体" w:hAnsi="宋体" w:eastAsia="宋体" w:cs="宋体"/>
                <w:b w:val="0"/>
                <w:bCs w:val="0"/>
                <w:sz w:val="18"/>
                <w:szCs w:val="18"/>
              </w:rPr>
              <w:t>3D打印笔筒</w:t>
            </w:r>
          </w:p>
        </w:tc>
      </w:tr>
      <w:tr w14:paraId="0D16E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712A6926">
            <w:pPr>
              <w:jc w:val="center"/>
              <w:rPr>
                <w:rFonts w:hint="eastAsia"/>
                <w:b/>
                <w:bCs w:val="0"/>
                <w:szCs w:val="21"/>
              </w:rPr>
            </w:pPr>
          </w:p>
        </w:tc>
        <w:tc>
          <w:tcPr>
            <w:tcW w:w="1188" w:type="dxa"/>
            <w:vMerge w:val="continue"/>
            <w:vAlign w:val="center"/>
          </w:tcPr>
          <w:p w14:paraId="455CCB04">
            <w:pPr>
              <w:jc w:val="center"/>
              <w:rPr>
                <w:b/>
                <w:bCs w:val="0"/>
                <w:szCs w:val="21"/>
              </w:rPr>
            </w:pPr>
          </w:p>
        </w:tc>
        <w:tc>
          <w:tcPr>
            <w:tcW w:w="6372" w:type="dxa"/>
          </w:tcPr>
          <w:p w14:paraId="75B312E2">
            <w:pPr>
              <w:rPr>
                <w:rFonts w:hint="eastAsia" w:ascii="宋体" w:hAnsi="宋体" w:eastAsia="宋体" w:cs="宋体"/>
                <w:b w:val="0"/>
                <w:bCs w:val="0"/>
                <w:sz w:val="18"/>
                <w:szCs w:val="18"/>
              </w:rPr>
            </w:pPr>
            <w:r>
              <w:rPr>
                <w:rFonts w:hint="eastAsia" w:ascii="宋体" w:hAnsi="宋体" w:eastAsia="宋体" w:cs="宋体"/>
                <w:b w:val="0"/>
                <w:bCs w:val="0"/>
                <w:sz w:val="18"/>
                <w:szCs w:val="18"/>
              </w:rPr>
              <w:t>2</w:t>
            </w:r>
            <w:r>
              <w:rPr>
                <w:rFonts w:hint="eastAsia" w:ascii="宋体" w:hAnsi="宋体" w:eastAsia="宋体" w:cs="宋体"/>
                <w:b w:val="0"/>
                <w:bCs w:val="0"/>
                <w:sz w:val="18"/>
                <w:szCs w:val="18"/>
                <w:lang w:eastAsia="zh-CN"/>
              </w:rPr>
              <w:t>.</w:t>
            </w:r>
            <w:r>
              <w:rPr>
                <w:rFonts w:hint="eastAsia" w:ascii="宋体" w:hAnsi="宋体" w:eastAsia="宋体" w:cs="宋体"/>
                <w:b w:val="0"/>
                <w:bCs w:val="0"/>
                <w:sz w:val="18"/>
                <w:szCs w:val="18"/>
              </w:rPr>
              <w:t>小零件盒</w:t>
            </w:r>
          </w:p>
        </w:tc>
      </w:tr>
      <w:tr w14:paraId="258CF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118AC620">
            <w:pPr>
              <w:jc w:val="center"/>
              <w:rPr>
                <w:rFonts w:hint="eastAsia"/>
                <w:b/>
                <w:bCs w:val="0"/>
                <w:szCs w:val="21"/>
              </w:rPr>
            </w:pPr>
          </w:p>
        </w:tc>
        <w:tc>
          <w:tcPr>
            <w:tcW w:w="1188" w:type="dxa"/>
            <w:vMerge w:val="continue"/>
            <w:vAlign w:val="center"/>
          </w:tcPr>
          <w:p w14:paraId="2DA73B23">
            <w:pPr>
              <w:jc w:val="center"/>
              <w:rPr>
                <w:b/>
                <w:bCs w:val="0"/>
                <w:szCs w:val="21"/>
              </w:rPr>
            </w:pPr>
          </w:p>
        </w:tc>
        <w:tc>
          <w:tcPr>
            <w:tcW w:w="6372" w:type="dxa"/>
          </w:tcPr>
          <w:p w14:paraId="5A05800A">
            <w:pPr>
              <w:rPr>
                <w:rFonts w:hint="eastAsia" w:ascii="宋体" w:hAnsi="宋体" w:eastAsia="宋体" w:cs="宋体"/>
                <w:b w:val="0"/>
                <w:bCs w:val="0"/>
                <w:sz w:val="18"/>
                <w:szCs w:val="18"/>
              </w:rPr>
            </w:pPr>
            <w:r>
              <w:rPr>
                <w:rFonts w:hint="eastAsia" w:ascii="宋体" w:hAnsi="宋体" w:eastAsia="宋体" w:cs="宋体"/>
                <w:b w:val="0"/>
                <w:bCs w:val="0"/>
                <w:sz w:val="18"/>
                <w:szCs w:val="18"/>
              </w:rPr>
              <w:t>3</w:t>
            </w:r>
            <w:r>
              <w:rPr>
                <w:rFonts w:hint="eastAsia" w:ascii="宋体" w:hAnsi="宋体" w:eastAsia="宋体" w:cs="宋体"/>
                <w:b w:val="0"/>
                <w:bCs w:val="0"/>
                <w:sz w:val="18"/>
                <w:szCs w:val="18"/>
                <w:lang w:eastAsia="zh-CN"/>
              </w:rPr>
              <w:t>.</w:t>
            </w:r>
            <w:r>
              <w:rPr>
                <w:rFonts w:hint="eastAsia" w:ascii="宋体" w:hAnsi="宋体" w:eastAsia="宋体" w:cs="宋体"/>
                <w:b w:val="0"/>
                <w:bCs w:val="0"/>
                <w:sz w:val="18"/>
                <w:szCs w:val="18"/>
              </w:rPr>
              <w:t>挂钩</w:t>
            </w:r>
          </w:p>
        </w:tc>
      </w:tr>
      <w:tr w14:paraId="39EED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restart"/>
            <w:vAlign w:val="center"/>
          </w:tcPr>
          <w:p w14:paraId="2BFDA9B1">
            <w:pPr>
              <w:jc w:val="center"/>
              <w:rPr>
                <w:rFonts w:hint="eastAsia" w:eastAsia="宋体"/>
                <w:b/>
                <w:bCs w:val="0"/>
                <w:szCs w:val="21"/>
                <w:lang w:val="en-US" w:eastAsia="zh-CN"/>
              </w:rPr>
            </w:pPr>
            <w:r>
              <w:rPr>
                <w:rFonts w:hint="eastAsia"/>
                <w:b/>
                <w:bCs w:val="0"/>
                <w:szCs w:val="21"/>
                <w:lang w:val="en-US" w:eastAsia="zh-CN"/>
              </w:rPr>
              <w:t>5</w:t>
            </w:r>
          </w:p>
        </w:tc>
        <w:tc>
          <w:tcPr>
            <w:tcW w:w="1188" w:type="dxa"/>
            <w:vMerge w:val="restart"/>
            <w:vAlign w:val="center"/>
          </w:tcPr>
          <w:p w14:paraId="7ECEAA6F">
            <w:pPr>
              <w:jc w:val="center"/>
              <w:rPr>
                <w:b/>
                <w:bCs w:val="0"/>
                <w:szCs w:val="21"/>
              </w:rPr>
            </w:pPr>
            <w:r>
              <w:rPr>
                <w:rFonts w:hint="eastAsia"/>
                <w:b/>
                <w:bCs w:val="0"/>
                <w:szCs w:val="21"/>
              </w:rPr>
              <w:t>收纳组件套装</w:t>
            </w:r>
          </w:p>
        </w:tc>
        <w:tc>
          <w:tcPr>
            <w:tcW w:w="6372" w:type="dxa"/>
          </w:tcPr>
          <w:p w14:paraId="2006B2E7">
            <w:pPr>
              <w:rPr>
                <w:rFonts w:hint="eastAsia" w:ascii="宋体" w:hAnsi="宋体" w:eastAsia="宋体" w:cs="宋体"/>
                <w:b w:val="0"/>
                <w:bCs w:val="0"/>
                <w:sz w:val="18"/>
                <w:szCs w:val="18"/>
              </w:rPr>
            </w:pPr>
            <w:r>
              <w:rPr>
                <w:rFonts w:hint="eastAsia" w:ascii="宋体" w:hAnsi="宋体" w:eastAsia="宋体" w:cs="宋体"/>
                <w:b w:val="0"/>
                <w:bCs w:val="0"/>
                <w:sz w:val="18"/>
                <w:szCs w:val="18"/>
              </w:rPr>
              <w:t>1.框架尺寸：下半部分尺寸1435mm(±10mm)（L）*660mm(±10mm)（W）*750mm(±10mm)（H)；上半部分尺寸1435mm(±10mm)(L)*380mm(±10mm)(W)*1200mm(±10mm)(H)；</w:t>
            </w:r>
          </w:p>
        </w:tc>
      </w:tr>
      <w:tr w14:paraId="3441B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3B70333E">
            <w:pPr>
              <w:jc w:val="center"/>
              <w:rPr>
                <w:rFonts w:hint="eastAsia"/>
                <w:b/>
                <w:bCs w:val="0"/>
                <w:szCs w:val="21"/>
              </w:rPr>
            </w:pPr>
          </w:p>
        </w:tc>
        <w:tc>
          <w:tcPr>
            <w:tcW w:w="1188" w:type="dxa"/>
            <w:vMerge w:val="continue"/>
            <w:vAlign w:val="center"/>
          </w:tcPr>
          <w:p w14:paraId="653ACEBD">
            <w:pPr>
              <w:jc w:val="center"/>
              <w:rPr>
                <w:b/>
                <w:bCs w:val="0"/>
                <w:szCs w:val="21"/>
              </w:rPr>
            </w:pPr>
          </w:p>
        </w:tc>
        <w:tc>
          <w:tcPr>
            <w:tcW w:w="6372" w:type="dxa"/>
          </w:tcPr>
          <w:p w14:paraId="6C016719">
            <w:pPr>
              <w:rPr>
                <w:rFonts w:hint="eastAsia" w:ascii="宋体" w:hAnsi="宋体" w:eastAsia="宋体" w:cs="宋体"/>
                <w:b w:val="0"/>
                <w:bCs w:val="0"/>
                <w:sz w:val="18"/>
                <w:szCs w:val="18"/>
              </w:rPr>
            </w:pPr>
            <w:r>
              <w:rPr>
                <w:rFonts w:hint="eastAsia" w:ascii="宋体" w:hAnsi="宋体" w:eastAsia="宋体" w:cs="宋体"/>
                <w:b w:val="0"/>
                <w:bCs w:val="0"/>
                <w:sz w:val="18"/>
                <w:szCs w:val="18"/>
              </w:rPr>
              <w:t>2.桌面材质要求：一体化台面，采用水磨石板加工制作，厚度≥12mm，没有锋利边缘；</w:t>
            </w:r>
          </w:p>
        </w:tc>
      </w:tr>
      <w:tr w14:paraId="465DF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34AC9342">
            <w:pPr>
              <w:jc w:val="center"/>
              <w:rPr>
                <w:rFonts w:hint="eastAsia"/>
                <w:b/>
                <w:bCs w:val="0"/>
                <w:szCs w:val="21"/>
              </w:rPr>
            </w:pPr>
          </w:p>
        </w:tc>
        <w:tc>
          <w:tcPr>
            <w:tcW w:w="1188" w:type="dxa"/>
            <w:vMerge w:val="continue"/>
            <w:vAlign w:val="center"/>
          </w:tcPr>
          <w:p w14:paraId="0CB63CBC">
            <w:pPr>
              <w:jc w:val="center"/>
              <w:rPr>
                <w:b/>
                <w:bCs w:val="0"/>
                <w:szCs w:val="21"/>
              </w:rPr>
            </w:pPr>
          </w:p>
        </w:tc>
        <w:tc>
          <w:tcPr>
            <w:tcW w:w="6372" w:type="dxa"/>
          </w:tcPr>
          <w:p w14:paraId="42F99439">
            <w:pPr>
              <w:rPr>
                <w:rFonts w:hint="eastAsia" w:ascii="宋体" w:hAnsi="宋体" w:eastAsia="宋体" w:cs="宋体"/>
                <w:b w:val="0"/>
                <w:bCs w:val="0"/>
                <w:sz w:val="18"/>
                <w:szCs w:val="18"/>
              </w:rPr>
            </w:pPr>
            <w:r>
              <w:rPr>
                <w:rFonts w:hint="eastAsia"/>
              </w:rPr>
              <w:t>▲</w:t>
            </w:r>
            <w:r>
              <w:rPr>
                <w:rFonts w:hint="eastAsia" w:ascii="宋体" w:hAnsi="宋体" w:eastAsia="宋体" w:cs="宋体"/>
                <w:b w:val="0"/>
                <w:bCs w:val="0"/>
                <w:sz w:val="18"/>
                <w:szCs w:val="18"/>
              </w:rPr>
              <w:t>3.框架结构：基础框架采用4040铝型材框架、壁厚≥1mm</w:t>
            </w:r>
          </w:p>
        </w:tc>
      </w:tr>
      <w:tr w14:paraId="69C0C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40CDF61B">
            <w:pPr>
              <w:jc w:val="center"/>
              <w:rPr>
                <w:rFonts w:hint="eastAsia"/>
                <w:b/>
                <w:bCs w:val="0"/>
                <w:szCs w:val="21"/>
              </w:rPr>
            </w:pPr>
          </w:p>
        </w:tc>
        <w:tc>
          <w:tcPr>
            <w:tcW w:w="1188" w:type="dxa"/>
            <w:vMerge w:val="continue"/>
            <w:vAlign w:val="center"/>
          </w:tcPr>
          <w:p w14:paraId="7F64A567">
            <w:pPr>
              <w:jc w:val="center"/>
              <w:rPr>
                <w:b/>
                <w:bCs w:val="0"/>
                <w:szCs w:val="21"/>
              </w:rPr>
            </w:pPr>
          </w:p>
        </w:tc>
        <w:tc>
          <w:tcPr>
            <w:tcW w:w="6372" w:type="dxa"/>
          </w:tcPr>
          <w:p w14:paraId="5F0CAC94">
            <w:pPr>
              <w:rPr>
                <w:rFonts w:hint="eastAsia" w:ascii="宋体" w:hAnsi="宋体" w:eastAsia="宋体" w:cs="宋体"/>
                <w:b w:val="0"/>
                <w:bCs w:val="0"/>
                <w:sz w:val="18"/>
                <w:szCs w:val="18"/>
              </w:rPr>
            </w:pPr>
            <w:r>
              <w:rPr>
                <w:rFonts w:hint="eastAsia"/>
              </w:rPr>
              <w:t>▲</w:t>
            </w:r>
            <w:r>
              <w:rPr>
                <w:rFonts w:hint="eastAsia" w:ascii="宋体" w:hAnsi="宋体" w:eastAsia="宋体" w:cs="宋体"/>
                <w:b w:val="0"/>
                <w:bCs w:val="0"/>
                <w:sz w:val="18"/>
                <w:szCs w:val="18"/>
              </w:rPr>
              <w:t>4.收纳结构：铝型材框架内包含长度420mm的滑轨，需容纳420mm(±10mm)*300mm(±10mm)*100mm(±10mm)的收纳盒空间</w:t>
            </w:r>
          </w:p>
        </w:tc>
      </w:tr>
      <w:tr w14:paraId="2861C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5803F1E7">
            <w:pPr>
              <w:jc w:val="center"/>
              <w:rPr>
                <w:rFonts w:hint="eastAsia"/>
                <w:b/>
                <w:bCs w:val="0"/>
                <w:szCs w:val="21"/>
              </w:rPr>
            </w:pPr>
          </w:p>
        </w:tc>
        <w:tc>
          <w:tcPr>
            <w:tcW w:w="1188" w:type="dxa"/>
            <w:vMerge w:val="continue"/>
            <w:vAlign w:val="center"/>
          </w:tcPr>
          <w:p w14:paraId="000DEC1E">
            <w:pPr>
              <w:jc w:val="center"/>
              <w:rPr>
                <w:b/>
                <w:bCs w:val="0"/>
                <w:szCs w:val="21"/>
              </w:rPr>
            </w:pPr>
          </w:p>
        </w:tc>
        <w:tc>
          <w:tcPr>
            <w:tcW w:w="6372" w:type="dxa"/>
          </w:tcPr>
          <w:p w14:paraId="620DB3E1">
            <w:pPr>
              <w:rPr>
                <w:rFonts w:hint="eastAsia" w:ascii="宋体" w:hAnsi="宋体" w:eastAsia="宋体" w:cs="宋体"/>
                <w:b w:val="0"/>
                <w:bCs w:val="0"/>
                <w:sz w:val="18"/>
                <w:szCs w:val="18"/>
              </w:rPr>
            </w:pPr>
            <w:r>
              <w:rPr>
                <w:rFonts w:hint="eastAsia" w:ascii="宋体" w:hAnsi="宋体" w:eastAsia="宋体" w:cs="宋体"/>
                <w:b w:val="0"/>
                <w:bCs w:val="0"/>
                <w:sz w:val="18"/>
                <w:szCs w:val="18"/>
              </w:rPr>
              <w:t>5.收纳盒：至少包含18个，长420</w:t>
            </w:r>
            <w:r>
              <w:rPr>
                <w:rFonts w:hint="eastAsia" w:ascii="宋体" w:hAnsi="宋体" w:cs="宋体"/>
                <w:b w:val="0"/>
                <w:bCs w:val="0"/>
                <w:sz w:val="18"/>
                <w:szCs w:val="18"/>
                <w:lang w:val="en-US" w:eastAsia="zh-CN"/>
              </w:rPr>
              <w:t>m</w:t>
            </w:r>
            <w:r>
              <w:rPr>
                <w:rFonts w:hint="eastAsia" w:ascii="宋体" w:hAnsi="宋体" w:eastAsia="宋体" w:cs="宋体"/>
                <w:b w:val="0"/>
                <w:bCs w:val="0"/>
                <w:sz w:val="18"/>
                <w:szCs w:val="18"/>
              </w:rPr>
              <w:t>m*宽300mm(±10mm)*高100mm(±10mm)的收纳盒套件</w:t>
            </w:r>
          </w:p>
        </w:tc>
      </w:tr>
      <w:tr w14:paraId="0FD0C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restart"/>
            <w:vAlign w:val="center"/>
          </w:tcPr>
          <w:p w14:paraId="05C5313B">
            <w:pPr>
              <w:jc w:val="center"/>
              <w:rPr>
                <w:rFonts w:hint="eastAsia" w:eastAsia="宋体"/>
                <w:b/>
                <w:bCs w:val="0"/>
                <w:szCs w:val="21"/>
                <w:lang w:val="en-US" w:eastAsia="zh-CN"/>
              </w:rPr>
            </w:pPr>
            <w:r>
              <w:rPr>
                <w:rFonts w:hint="eastAsia"/>
                <w:b/>
                <w:bCs w:val="0"/>
                <w:szCs w:val="21"/>
                <w:lang w:val="en-US" w:eastAsia="zh-CN"/>
              </w:rPr>
              <w:t>6</w:t>
            </w:r>
          </w:p>
        </w:tc>
        <w:tc>
          <w:tcPr>
            <w:tcW w:w="1188" w:type="dxa"/>
            <w:vMerge w:val="restart"/>
            <w:vAlign w:val="center"/>
          </w:tcPr>
          <w:p w14:paraId="0EDD1DBB">
            <w:pPr>
              <w:jc w:val="center"/>
              <w:rPr>
                <w:b/>
                <w:bCs w:val="0"/>
                <w:szCs w:val="21"/>
              </w:rPr>
            </w:pPr>
            <w:r>
              <w:rPr>
                <w:rFonts w:hint="eastAsia"/>
                <w:b/>
                <w:bCs w:val="0"/>
                <w:szCs w:val="21"/>
              </w:rPr>
              <w:t>收纳及阅读组件套装</w:t>
            </w:r>
          </w:p>
        </w:tc>
        <w:tc>
          <w:tcPr>
            <w:tcW w:w="6372" w:type="dxa"/>
          </w:tcPr>
          <w:p w14:paraId="4B25D122">
            <w:pPr>
              <w:rPr>
                <w:rFonts w:hint="eastAsia" w:ascii="宋体" w:hAnsi="宋体" w:eastAsia="宋体" w:cs="宋体"/>
                <w:b w:val="0"/>
                <w:bCs w:val="0"/>
                <w:sz w:val="18"/>
                <w:szCs w:val="18"/>
              </w:rPr>
            </w:pPr>
            <w:r>
              <w:rPr>
                <w:rFonts w:hint="eastAsia" w:ascii="宋体" w:hAnsi="宋体" w:eastAsia="宋体" w:cs="宋体"/>
                <w:b w:val="0"/>
                <w:bCs w:val="0"/>
                <w:sz w:val="18"/>
                <w:szCs w:val="18"/>
              </w:rPr>
              <w:t>1.基础规格：下半部分尺寸1435mm(±10mm)（L）*660mm(±10mm)（W）*750mm(±10mm)（H)(±10mm)；</w:t>
            </w:r>
          </w:p>
        </w:tc>
      </w:tr>
      <w:tr w14:paraId="0EA82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900" w:type="dxa"/>
            <w:vMerge w:val="continue"/>
            <w:vAlign w:val="center"/>
          </w:tcPr>
          <w:p w14:paraId="1981365D">
            <w:pPr>
              <w:jc w:val="center"/>
              <w:rPr>
                <w:rFonts w:hint="eastAsia"/>
                <w:b/>
                <w:bCs w:val="0"/>
                <w:szCs w:val="21"/>
              </w:rPr>
            </w:pPr>
          </w:p>
        </w:tc>
        <w:tc>
          <w:tcPr>
            <w:tcW w:w="1188" w:type="dxa"/>
            <w:vMerge w:val="continue"/>
            <w:vAlign w:val="center"/>
          </w:tcPr>
          <w:p w14:paraId="7F92C3B8">
            <w:pPr>
              <w:jc w:val="center"/>
              <w:rPr>
                <w:b/>
                <w:bCs w:val="0"/>
                <w:szCs w:val="21"/>
              </w:rPr>
            </w:pPr>
          </w:p>
        </w:tc>
        <w:tc>
          <w:tcPr>
            <w:tcW w:w="6372" w:type="dxa"/>
          </w:tcPr>
          <w:p w14:paraId="004936BE">
            <w:pPr>
              <w:rPr>
                <w:rFonts w:hint="eastAsia" w:ascii="宋体" w:hAnsi="宋体" w:eastAsia="宋体" w:cs="宋体"/>
                <w:b w:val="0"/>
                <w:bCs w:val="0"/>
                <w:sz w:val="18"/>
                <w:szCs w:val="18"/>
              </w:rPr>
            </w:pPr>
            <w:r>
              <w:rPr>
                <w:rFonts w:hint="eastAsia"/>
              </w:rPr>
              <w:t>▲</w:t>
            </w:r>
            <w:r>
              <w:rPr>
                <w:rFonts w:hint="eastAsia" w:ascii="宋体" w:hAnsi="宋体" w:eastAsia="宋体" w:cs="宋体"/>
                <w:b w:val="0"/>
                <w:bCs w:val="0"/>
                <w:sz w:val="18"/>
                <w:szCs w:val="18"/>
              </w:rPr>
              <w:t>2.框架结构：基础框架采用4040铝型材框架、壁厚≥1mm</w:t>
            </w:r>
          </w:p>
        </w:tc>
      </w:tr>
      <w:tr w14:paraId="50563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00" w:type="dxa"/>
            <w:vMerge w:val="continue"/>
            <w:vAlign w:val="center"/>
          </w:tcPr>
          <w:p w14:paraId="3B079D49">
            <w:pPr>
              <w:jc w:val="center"/>
              <w:rPr>
                <w:rFonts w:hint="eastAsia"/>
                <w:b/>
                <w:bCs w:val="0"/>
                <w:szCs w:val="21"/>
              </w:rPr>
            </w:pPr>
          </w:p>
        </w:tc>
        <w:tc>
          <w:tcPr>
            <w:tcW w:w="1188" w:type="dxa"/>
            <w:vMerge w:val="continue"/>
            <w:vAlign w:val="center"/>
          </w:tcPr>
          <w:p w14:paraId="161853BA">
            <w:pPr>
              <w:jc w:val="center"/>
              <w:rPr>
                <w:b/>
                <w:bCs w:val="0"/>
                <w:szCs w:val="21"/>
              </w:rPr>
            </w:pPr>
          </w:p>
        </w:tc>
        <w:tc>
          <w:tcPr>
            <w:tcW w:w="6372" w:type="dxa"/>
          </w:tcPr>
          <w:p w14:paraId="09399EF6">
            <w:pPr>
              <w:rPr>
                <w:rFonts w:hint="eastAsia" w:ascii="宋体" w:hAnsi="宋体" w:eastAsia="宋体" w:cs="宋体"/>
                <w:b w:val="0"/>
                <w:bCs w:val="0"/>
                <w:sz w:val="18"/>
                <w:szCs w:val="18"/>
              </w:rPr>
            </w:pPr>
            <w:r>
              <w:rPr>
                <w:rFonts w:hint="eastAsia" w:ascii="宋体" w:hAnsi="宋体" w:eastAsia="宋体" w:cs="宋体"/>
                <w:b w:val="0"/>
                <w:bCs w:val="0"/>
                <w:sz w:val="18"/>
                <w:szCs w:val="18"/>
              </w:rPr>
              <w:t>3.桌面材质要求:一体化台面，采用水磨石板加工制作，厚度≥12mm，没有锋利边缘;</w:t>
            </w:r>
          </w:p>
        </w:tc>
      </w:tr>
      <w:tr w14:paraId="4821F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2AD36BFE">
            <w:pPr>
              <w:jc w:val="center"/>
              <w:rPr>
                <w:rFonts w:hint="eastAsia"/>
                <w:b/>
                <w:bCs w:val="0"/>
                <w:szCs w:val="21"/>
              </w:rPr>
            </w:pPr>
          </w:p>
        </w:tc>
        <w:tc>
          <w:tcPr>
            <w:tcW w:w="1188" w:type="dxa"/>
            <w:vMerge w:val="continue"/>
            <w:vAlign w:val="center"/>
          </w:tcPr>
          <w:p w14:paraId="28FA72D4">
            <w:pPr>
              <w:jc w:val="center"/>
              <w:rPr>
                <w:b/>
                <w:bCs w:val="0"/>
                <w:szCs w:val="21"/>
              </w:rPr>
            </w:pPr>
          </w:p>
        </w:tc>
        <w:tc>
          <w:tcPr>
            <w:tcW w:w="6372" w:type="dxa"/>
          </w:tcPr>
          <w:p w14:paraId="7CB31C20">
            <w:pPr>
              <w:rPr>
                <w:rFonts w:hint="eastAsia" w:ascii="宋体" w:hAnsi="宋体" w:eastAsia="宋体" w:cs="宋体"/>
                <w:b w:val="0"/>
                <w:bCs w:val="0"/>
                <w:sz w:val="18"/>
                <w:szCs w:val="18"/>
              </w:rPr>
            </w:pPr>
            <w:r>
              <w:rPr>
                <w:rFonts w:hint="eastAsia" w:ascii="宋体" w:hAnsi="宋体" w:eastAsia="宋体" w:cs="宋体"/>
                <w:b w:val="0"/>
                <w:bCs w:val="0"/>
                <w:sz w:val="18"/>
                <w:szCs w:val="18"/>
              </w:rPr>
              <w:t>4.台面上方框架规格：上半部分尺寸1435mm(±10mm)(L)*380mm(±10mm)(W)*1200mm(±10mm)(H)；分为三层书架，6块海洋板层板，海洋板尺寸：425长mm(±5mm)*宽340mm(±5mm)*厚15mm(±5mm)</w:t>
            </w:r>
          </w:p>
        </w:tc>
      </w:tr>
      <w:tr w14:paraId="074AE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2D149496">
            <w:pPr>
              <w:jc w:val="center"/>
              <w:rPr>
                <w:rFonts w:hint="eastAsia"/>
                <w:b/>
                <w:bCs w:val="0"/>
                <w:szCs w:val="21"/>
              </w:rPr>
            </w:pPr>
          </w:p>
        </w:tc>
        <w:tc>
          <w:tcPr>
            <w:tcW w:w="1188" w:type="dxa"/>
            <w:vMerge w:val="continue"/>
            <w:vAlign w:val="center"/>
          </w:tcPr>
          <w:p w14:paraId="24D380B7">
            <w:pPr>
              <w:jc w:val="center"/>
              <w:rPr>
                <w:b/>
                <w:bCs w:val="0"/>
                <w:szCs w:val="21"/>
              </w:rPr>
            </w:pPr>
          </w:p>
        </w:tc>
        <w:tc>
          <w:tcPr>
            <w:tcW w:w="6372" w:type="dxa"/>
          </w:tcPr>
          <w:p w14:paraId="1C2BAD83">
            <w:pPr>
              <w:rPr>
                <w:rFonts w:hint="eastAsia" w:ascii="宋体" w:hAnsi="宋体" w:eastAsia="宋体" w:cs="宋体"/>
                <w:b w:val="0"/>
                <w:bCs w:val="0"/>
                <w:sz w:val="18"/>
                <w:szCs w:val="18"/>
              </w:rPr>
            </w:pPr>
            <w:r>
              <w:rPr>
                <w:rFonts w:hint="eastAsia" w:ascii="宋体" w:hAnsi="宋体" w:eastAsia="宋体" w:cs="宋体"/>
                <w:b w:val="0"/>
                <w:bCs w:val="0"/>
                <w:sz w:val="18"/>
                <w:szCs w:val="18"/>
              </w:rPr>
              <w:t>5..台面下方结构：铝型材框架内包含420mm的滑轨，需容纳420mm*300mm*100mm(±10mm)的收纳盒空间</w:t>
            </w:r>
          </w:p>
        </w:tc>
      </w:tr>
      <w:tr w14:paraId="03FB5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1C2DB60B">
            <w:pPr>
              <w:jc w:val="center"/>
              <w:rPr>
                <w:rFonts w:hint="eastAsia"/>
                <w:b/>
                <w:bCs w:val="0"/>
                <w:szCs w:val="21"/>
              </w:rPr>
            </w:pPr>
          </w:p>
        </w:tc>
        <w:tc>
          <w:tcPr>
            <w:tcW w:w="1188" w:type="dxa"/>
            <w:vMerge w:val="continue"/>
            <w:vAlign w:val="center"/>
          </w:tcPr>
          <w:p w14:paraId="3E901D70">
            <w:pPr>
              <w:jc w:val="center"/>
              <w:rPr>
                <w:b/>
                <w:bCs w:val="0"/>
                <w:szCs w:val="21"/>
              </w:rPr>
            </w:pPr>
          </w:p>
        </w:tc>
        <w:tc>
          <w:tcPr>
            <w:tcW w:w="6372" w:type="dxa"/>
          </w:tcPr>
          <w:p w14:paraId="001AD890">
            <w:pPr>
              <w:rPr>
                <w:rFonts w:hint="eastAsia" w:ascii="宋体" w:hAnsi="宋体" w:eastAsia="宋体" w:cs="宋体"/>
                <w:b w:val="0"/>
                <w:bCs w:val="0"/>
                <w:sz w:val="18"/>
                <w:szCs w:val="18"/>
              </w:rPr>
            </w:pPr>
            <w:r>
              <w:rPr>
                <w:rFonts w:hint="eastAsia" w:ascii="宋体" w:hAnsi="宋体" w:eastAsia="宋体" w:cs="宋体"/>
                <w:b w:val="0"/>
                <w:bCs w:val="0"/>
                <w:sz w:val="18"/>
                <w:szCs w:val="18"/>
              </w:rPr>
              <w:t>6.收纳盒：包含6套长420</w:t>
            </w:r>
            <w:r>
              <w:rPr>
                <w:rFonts w:hint="eastAsia" w:ascii="宋体" w:hAnsi="宋体" w:cs="宋体"/>
                <w:b w:val="0"/>
                <w:bCs w:val="0"/>
                <w:sz w:val="18"/>
                <w:szCs w:val="18"/>
                <w:lang w:val="en-US" w:eastAsia="zh-CN"/>
              </w:rPr>
              <w:t>m</w:t>
            </w:r>
            <w:r>
              <w:rPr>
                <w:rFonts w:hint="eastAsia" w:ascii="宋体" w:hAnsi="宋体" w:eastAsia="宋体" w:cs="宋体"/>
                <w:b w:val="0"/>
                <w:bCs w:val="0"/>
                <w:sz w:val="18"/>
                <w:szCs w:val="18"/>
              </w:rPr>
              <w:t>m*宽300mm(±10mm)*高100mm(±10mm)的收纳盒套件</w:t>
            </w:r>
          </w:p>
        </w:tc>
      </w:tr>
      <w:tr w14:paraId="157D3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restart"/>
            <w:vAlign w:val="center"/>
          </w:tcPr>
          <w:p w14:paraId="6BB0CC36">
            <w:pPr>
              <w:jc w:val="center"/>
              <w:rPr>
                <w:rFonts w:hint="eastAsia" w:eastAsia="宋体"/>
                <w:b/>
                <w:bCs w:val="0"/>
                <w:szCs w:val="21"/>
                <w:lang w:val="en-US" w:eastAsia="zh-CN"/>
              </w:rPr>
            </w:pPr>
            <w:r>
              <w:rPr>
                <w:rFonts w:hint="eastAsia"/>
                <w:b/>
                <w:bCs w:val="0"/>
                <w:szCs w:val="21"/>
                <w:lang w:val="en-US" w:eastAsia="zh-CN"/>
              </w:rPr>
              <w:t>7</w:t>
            </w:r>
          </w:p>
        </w:tc>
        <w:tc>
          <w:tcPr>
            <w:tcW w:w="1188" w:type="dxa"/>
            <w:vMerge w:val="restart"/>
            <w:vAlign w:val="center"/>
          </w:tcPr>
          <w:p w14:paraId="6BEB5A46">
            <w:pPr>
              <w:jc w:val="center"/>
              <w:rPr>
                <w:b/>
                <w:bCs w:val="0"/>
                <w:szCs w:val="21"/>
              </w:rPr>
            </w:pPr>
            <w:r>
              <w:rPr>
                <w:rFonts w:hint="eastAsia"/>
                <w:b/>
                <w:bCs w:val="0"/>
                <w:szCs w:val="21"/>
              </w:rPr>
              <w:t>阅读组件套装</w:t>
            </w:r>
          </w:p>
        </w:tc>
        <w:tc>
          <w:tcPr>
            <w:tcW w:w="6372" w:type="dxa"/>
          </w:tcPr>
          <w:p w14:paraId="375E3CEC">
            <w:pPr>
              <w:rPr>
                <w:rFonts w:hint="eastAsia" w:ascii="宋体" w:hAnsi="宋体" w:eastAsia="宋体" w:cs="宋体"/>
                <w:b w:val="0"/>
                <w:bCs w:val="0"/>
                <w:sz w:val="18"/>
                <w:szCs w:val="18"/>
              </w:rPr>
            </w:pPr>
            <w:r>
              <w:rPr>
                <w:rFonts w:hint="eastAsia" w:ascii="宋体" w:hAnsi="宋体" w:eastAsia="宋体" w:cs="宋体"/>
                <w:b w:val="0"/>
                <w:bCs w:val="0"/>
                <w:sz w:val="18"/>
                <w:szCs w:val="18"/>
              </w:rPr>
              <w:t>1.基础规格：下半部分尺寸1435mm(±10mm)（L）*660mm(±10mm)（W）*750mm(±10mm)（H)；</w:t>
            </w:r>
          </w:p>
        </w:tc>
      </w:tr>
      <w:tr w14:paraId="76602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3303D447">
            <w:pPr>
              <w:jc w:val="center"/>
              <w:rPr>
                <w:rFonts w:hint="eastAsia"/>
                <w:b/>
                <w:bCs w:val="0"/>
                <w:szCs w:val="21"/>
              </w:rPr>
            </w:pPr>
          </w:p>
        </w:tc>
        <w:tc>
          <w:tcPr>
            <w:tcW w:w="1188" w:type="dxa"/>
            <w:vMerge w:val="continue"/>
            <w:vAlign w:val="center"/>
          </w:tcPr>
          <w:p w14:paraId="45CBA826">
            <w:pPr>
              <w:jc w:val="center"/>
              <w:rPr>
                <w:b/>
                <w:bCs w:val="0"/>
                <w:szCs w:val="21"/>
              </w:rPr>
            </w:pPr>
          </w:p>
        </w:tc>
        <w:tc>
          <w:tcPr>
            <w:tcW w:w="6372" w:type="dxa"/>
          </w:tcPr>
          <w:p w14:paraId="2953DC29">
            <w:pPr>
              <w:rPr>
                <w:rFonts w:hint="eastAsia" w:ascii="宋体" w:hAnsi="宋体" w:eastAsia="宋体" w:cs="宋体"/>
                <w:b w:val="0"/>
                <w:bCs w:val="0"/>
                <w:sz w:val="18"/>
                <w:szCs w:val="18"/>
              </w:rPr>
            </w:pPr>
            <w:r>
              <w:rPr>
                <w:rFonts w:hint="eastAsia"/>
              </w:rPr>
              <w:t>▲</w:t>
            </w:r>
            <w:r>
              <w:rPr>
                <w:rFonts w:hint="eastAsia" w:ascii="宋体" w:hAnsi="宋体" w:eastAsia="宋体" w:cs="宋体"/>
                <w:b w:val="0"/>
                <w:bCs w:val="0"/>
                <w:sz w:val="18"/>
                <w:szCs w:val="18"/>
              </w:rPr>
              <w:t>2.框架结构：基础框架采用4040铝型材框架、壁厚≥1mm</w:t>
            </w:r>
          </w:p>
        </w:tc>
      </w:tr>
      <w:tr w14:paraId="35A78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105944E3">
            <w:pPr>
              <w:jc w:val="center"/>
              <w:rPr>
                <w:rFonts w:hint="eastAsia"/>
                <w:b/>
                <w:bCs w:val="0"/>
                <w:szCs w:val="21"/>
              </w:rPr>
            </w:pPr>
          </w:p>
        </w:tc>
        <w:tc>
          <w:tcPr>
            <w:tcW w:w="1188" w:type="dxa"/>
            <w:vMerge w:val="continue"/>
            <w:vAlign w:val="center"/>
          </w:tcPr>
          <w:p w14:paraId="5B6EB9D3">
            <w:pPr>
              <w:jc w:val="center"/>
              <w:rPr>
                <w:b/>
                <w:bCs w:val="0"/>
                <w:szCs w:val="21"/>
              </w:rPr>
            </w:pPr>
          </w:p>
        </w:tc>
        <w:tc>
          <w:tcPr>
            <w:tcW w:w="6372" w:type="dxa"/>
          </w:tcPr>
          <w:p w14:paraId="50F49E81">
            <w:pPr>
              <w:rPr>
                <w:rFonts w:hint="eastAsia" w:ascii="宋体" w:hAnsi="宋体" w:eastAsia="宋体" w:cs="宋体"/>
                <w:b w:val="0"/>
                <w:bCs w:val="0"/>
                <w:sz w:val="18"/>
                <w:szCs w:val="18"/>
              </w:rPr>
            </w:pPr>
            <w:r>
              <w:rPr>
                <w:rFonts w:hint="eastAsia" w:ascii="宋体" w:hAnsi="宋体" w:eastAsia="宋体" w:cs="宋体"/>
                <w:b w:val="0"/>
                <w:bCs w:val="0"/>
                <w:sz w:val="18"/>
                <w:szCs w:val="18"/>
              </w:rPr>
              <w:t>3.桌面材质要求:一体化台面，采用水磨石板加工制作，厚度≥12mm，没有锋利边缘;</w:t>
            </w:r>
          </w:p>
        </w:tc>
      </w:tr>
      <w:tr w14:paraId="1CB74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484284EE">
            <w:pPr>
              <w:jc w:val="center"/>
              <w:rPr>
                <w:rFonts w:hint="eastAsia"/>
                <w:b/>
                <w:bCs w:val="0"/>
                <w:szCs w:val="21"/>
              </w:rPr>
            </w:pPr>
          </w:p>
        </w:tc>
        <w:tc>
          <w:tcPr>
            <w:tcW w:w="1188" w:type="dxa"/>
            <w:vMerge w:val="continue"/>
            <w:vAlign w:val="center"/>
          </w:tcPr>
          <w:p w14:paraId="7DF04115">
            <w:pPr>
              <w:jc w:val="center"/>
              <w:rPr>
                <w:b/>
                <w:bCs w:val="0"/>
                <w:szCs w:val="21"/>
              </w:rPr>
            </w:pPr>
          </w:p>
        </w:tc>
        <w:tc>
          <w:tcPr>
            <w:tcW w:w="6372" w:type="dxa"/>
          </w:tcPr>
          <w:p w14:paraId="18F6C39B">
            <w:pPr>
              <w:rPr>
                <w:rFonts w:hint="eastAsia" w:ascii="宋体" w:hAnsi="宋体" w:eastAsia="宋体" w:cs="宋体"/>
                <w:b w:val="0"/>
                <w:bCs w:val="0"/>
                <w:sz w:val="18"/>
                <w:szCs w:val="18"/>
              </w:rPr>
            </w:pPr>
            <w:r>
              <w:rPr>
                <w:rFonts w:hint="eastAsia" w:ascii="宋体" w:hAnsi="宋体" w:eastAsia="宋体" w:cs="宋体"/>
                <w:b w:val="0"/>
                <w:bCs w:val="0"/>
                <w:sz w:val="18"/>
                <w:szCs w:val="18"/>
              </w:rPr>
              <w:t>4.台面上方框架总规格：上半部分尺寸1435mm(±10mm)(L)*380mm(±10mm)(W)*1200mm(±10mm)(H)；分为三层书架，6块海洋板层板，海洋板尺寸：425长mm(±5mm)*宽340mm(±5mm)*厚15mm(±5mm)</w:t>
            </w:r>
          </w:p>
        </w:tc>
      </w:tr>
      <w:tr w14:paraId="47F72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5A657012">
            <w:pPr>
              <w:jc w:val="center"/>
              <w:rPr>
                <w:rFonts w:hint="eastAsia"/>
                <w:b/>
                <w:bCs w:val="0"/>
                <w:szCs w:val="21"/>
              </w:rPr>
            </w:pPr>
          </w:p>
        </w:tc>
        <w:tc>
          <w:tcPr>
            <w:tcW w:w="1188" w:type="dxa"/>
            <w:vMerge w:val="continue"/>
            <w:vAlign w:val="center"/>
          </w:tcPr>
          <w:p w14:paraId="60934AA2">
            <w:pPr>
              <w:jc w:val="center"/>
              <w:rPr>
                <w:b/>
                <w:bCs w:val="0"/>
                <w:szCs w:val="21"/>
              </w:rPr>
            </w:pPr>
          </w:p>
        </w:tc>
        <w:tc>
          <w:tcPr>
            <w:tcW w:w="6372" w:type="dxa"/>
          </w:tcPr>
          <w:p w14:paraId="53684318">
            <w:pPr>
              <w:rPr>
                <w:rFonts w:hint="eastAsia" w:ascii="宋体" w:hAnsi="宋体" w:eastAsia="宋体" w:cs="宋体"/>
                <w:b w:val="0"/>
                <w:bCs w:val="0"/>
                <w:sz w:val="18"/>
                <w:szCs w:val="18"/>
              </w:rPr>
            </w:pPr>
            <w:r>
              <w:rPr>
                <w:rFonts w:hint="eastAsia"/>
              </w:rPr>
              <w:t>▲</w:t>
            </w:r>
            <w:r>
              <w:rPr>
                <w:rFonts w:hint="eastAsia" w:ascii="宋体" w:hAnsi="宋体" w:eastAsia="宋体" w:cs="宋体"/>
                <w:b w:val="0"/>
                <w:bCs w:val="0"/>
                <w:sz w:val="18"/>
                <w:szCs w:val="18"/>
              </w:rPr>
              <w:t>6.阅读车：1台，实木多层板，长900mm(±10mm)*宽400mm(±10mm)*高400mm(±10mm)，不锈钢把手</w:t>
            </w:r>
          </w:p>
        </w:tc>
      </w:tr>
      <w:tr w14:paraId="5D560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restart"/>
            <w:vAlign w:val="center"/>
          </w:tcPr>
          <w:p w14:paraId="1B711CE6">
            <w:pPr>
              <w:jc w:val="center"/>
              <w:rPr>
                <w:rFonts w:hint="eastAsia" w:eastAsia="宋体"/>
                <w:b/>
                <w:bCs w:val="0"/>
                <w:szCs w:val="21"/>
                <w:lang w:val="en-US" w:eastAsia="zh-CN"/>
              </w:rPr>
            </w:pPr>
            <w:r>
              <w:rPr>
                <w:rFonts w:hint="eastAsia"/>
                <w:b/>
                <w:bCs w:val="0"/>
                <w:szCs w:val="21"/>
                <w:lang w:val="en-US" w:eastAsia="zh-CN"/>
              </w:rPr>
              <w:t>8</w:t>
            </w:r>
          </w:p>
        </w:tc>
        <w:tc>
          <w:tcPr>
            <w:tcW w:w="1188" w:type="dxa"/>
            <w:vMerge w:val="restart"/>
            <w:vAlign w:val="center"/>
          </w:tcPr>
          <w:p w14:paraId="1B45F19A">
            <w:pPr>
              <w:jc w:val="center"/>
              <w:rPr>
                <w:b/>
                <w:bCs w:val="0"/>
                <w:szCs w:val="21"/>
              </w:rPr>
            </w:pPr>
            <w:r>
              <w:rPr>
                <w:rFonts w:hint="eastAsia" w:ascii="宋体" w:hAnsi="宋体" w:cs="宋体"/>
                <w:b/>
                <w:bCs w:val="0"/>
                <w:kern w:val="0"/>
                <w:szCs w:val="21"/>
              </w:rPr>
              <w:t>移动学习框架组件</w:t>
            </w:r>
            <w:r>
              <w:rPr>
                <w:rFonts w:hint="eastAsia" w:ascii="宋体" w:hAnsi="宋体" w:cs="宋体"/>
                <w:b/>
                <w:bCs w:val="0"/>
                <w:kern w:val="0"/>
                <w:szCs w:val="21"/>
                <w:lang w:val="en-US" w:eastAsia="zh-CN"/>
              </w:rPr>
              <w:t>-洞洞板背板</w:t>
            </w:r>
          </w:p>
        </w:tc>
        <w:tc>
          <w:tcPr>
            <w:tcW w:w="6372" w:type="dxa"/>
          </w:tcPr>
          <w:p w14:paraId="260DD851">
            <w:pPr>
              <w:rPr>
                <w:rFonts w:hint="eastAsia" w:ascii="宋体" w:hAnsi="宋体" w:eastAsia="宋体" w:cs="宋体"/>
                <w:b w:val="0"/>
                <w:bCs w:val="0"/>
                <w:sz w:val="18"/>
                <w:szCs w:val="18"/>
              </w:rPr>
            </w:pPr>
            <w:r>
              <w:rPr>
                <w:rFonts w:hint="eastAsia" w:ascii="宋体" w:hAnsi="宋体" w:eastAsia="宋体" w:cs="宋体"/>
                <w:b w:val="0"/>
                <w:bCs w:val="0"/>
                <w:sz w:val="18"/>
                <w:szCs w:val="18"/>
              </w:rPr>
              <w:t>1.基础框架尺寸：1435mm(±10mm)(L)*660mm(±10mm)(W)*800mm(±10mm)(H)；</w:t>
            </w:r>
          </w:p>
        </w:tc>
      </w:tr>
      <w:tr w14:paraId="50D2B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344230E5">
            <w:pPr>
              <w:jc w:val="center"/>
              <w:rPr>
                <w:rFonts w:hint="eastAsia"/>
                <w:b/>
                <w:bCs w:val="0"/>
                <w:szCs w:val="21"/>
              </w:rPr>
            </w:pPr>
          </w:p>
        </w:tc>
        <w:tc>
          <w:tcPr>
            <w:tcW w:w="1188" w:type="dxa"/>
            <w:vMerge w:val="continue"/>
            <w:vAlign w:val="center"/>
          </w:tcPr>
          <w:p w14:paraId="29D6B1BD">
            <w:pPr>
              <w:jc w:val="center"/>
              <w:rPr>
                <w:b/>
                <w:bCs w:val="0"/>
                <w:szCs w:val="21"/>
              </w:rPr>
            </w:pPr>
          </w:p>
        </w:tc>
        <w:tc>
          <w:tcPr>
            <w:tcW w:w="6372" w:type="dxa"/>
          </w:tcPr>
          <w:p w14:paraId="476CBE3F">
            <w:pPr>
              <w:rPr>
                <w:rFonts w:hint="eastAsia" w:ascii="宋体" w:hAnsi="宋体" w:eastAsia="宋体" w:cs="宋体"/>
                <w:b w:val="0"/>
                <w:bCs w:val="0"/>
                <w:sz w:val="18"/>
                <w:szCs w:val="18"/>
                <w:highlight w:val="none"/>
              </w:rPr>
            </w:pPr>
            <w:r>
              <w:rPr>
                <w:rFonts w:hint="eastAsia" w:ascii="宋体" w:hAnsi="宋体" w:eastAsia="宋体" w:cs="宋体"/>
                <w:b w:val="0"/>
                <w:bCs w:val="0"/>
                <w:sz w:val="18"/>
                <w:szCs w:val="18"/>
                <w:highlight w:val="none"/>
              </w:rPr>
              <w:t>2.桌面材质要求：一体化台面，采用厚实芯水磨石板加工制作，厚度≥12mm、机械精打磨边缘。</w:t>
            </w:r>
          </w:p>
        </w:tc>
      </w:tr>
      <w:tr w14:paraId="2D2E5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2C2D0ECE">
            <w:pPr>
              <w:jc w:val="center"/>
              <w:rPr>
                <w:rFonts w:hint="eastAsia"/>
                <w:b/>
                <w:bCs w:val="0"/>
                <w:szCs w:val="21"/>
              </w:rPr>
            </w:pPr>
          </w:p>
        </w:tc>
        <w:tc>
          <w:tcPr>
            <w:tcW w:w="1188" w:type="dxa"/>
            <w:vMerge w:val="continue"/>
            <w:vAlign w:val="center"/>
          </w:tcPr>
          <w:p w14:paraId="68B00097">
            <w:pPr>
              <w:jc w:val="center"/>
              <w:rPr>
                <w:b/>
                <w:bCs w:val="0"/>
                <w:szCs w:val="21"/>
              </w:rPr>
            </w:pPr>
          </w:p>
        </w:tc>
        <w:tc>
          <w:tcPr>
            <w:tcW w:w="6372" w:type="dxa"/>
          </w:tcPr>
          <w:p w14:paraId="1A1ABAC7">
            <w:pPr>
              <w:rPr>
                <w:rFonts w:hint="eastAsia" w:ascii="宋体" w:hAnsi="宋体" w:eastAsia="宋体" w:cs="宋体"/>
                <w:b w:val="0"/>
                <w:bCs w:val="0"/>
                <w:sz w:val="18"/>
                <w:szCs w:val="18"/>
                <w:highlight w:val="none"/>
              </w:rPr>
            </w:pPr>
            <w:r>
              <w:rPr>
                <w:rFonts w:hint="eastAsia"/>
                <w:highlight w:val="none"/>
              </w:rPr>
              <w:t>▲</w:t>
            </w:r>
            <w:r>
              <w:rPr>
                <w:rFonts w:hint="eastAsia" w:ascii="宋体" w:hAnsi="宋体" w:eastAsia="宋体" w:cs="宋体"/>
                <w:b w:val="0"/>
                <w:bCs w:val="0"/>
                <w:sz w:val="18"/>
                <w:szCs w:val="18"/>
                <w:highlight w:val="none"/>
              </w:rPr>
              <w:t>3.框架结构：基础框架采用4040铝型材框架、壁厚≥1mm；</w:t>
            </w:r>
          </w:p>
        </w:tc>
      </w:tr>
      <w:tr w14:paraId="7D17A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5A54744E">
            <w:pPr>
              <w:jc w:val="center"/>
              <w:rPr>
                <w:rFonts w:hint="eastAsia"/>
                <w:b/>
                <w:bCs w:val="0"/>
                <w:szCs w:val="21"/>
              </w:rPr>
            </w:pPr>
          </w:p>
        </w:tc>
        <w:tc>
          <w:tcPr>
            <w:tcW w:w="1188" w:type="dxa"/>
            <w:vMerge w:val="continue"/>
            <w:vAlign w:val="center"/>
          </w:tcPr>
          <w:p w14:paraId="5E6B5AA6">
            <w:pPr>
              <w:jc w:val="center"/>
              <w:rPr>
                <w:b/>
                <w:bCs w:val="0"/>
                <w:szCs w:val="21"/>
              </w:rPr>
            </w:pPr>
          </w:p>
        </w:tc>
        <w:tc>
          <w:tcPr>
            <w:tcW w:w="6372" w:type="dxa"/>
          </w:tcPr>
          <w:p w14:paraId="06AF925F">
            <w:pPr>
              <w:rPr>
                <w:rFonts w:hint="eastAsia" w:ascii="宋体" w:hAnsi="宋体" w:eastAsia="宋体" w:cs="宋体"/>
                <w:b w:val="0"/>
                <w:bCs w:val="0"/>
                <w:sz w:val="18"/>
                <w:szCs w:val="18"/>
              </w:rPr>
            </w:pPr>
            <w:r>
              <w:rPr>
                <w:rFonts w:hint="eastAsia" w:ascii="宋体" w:hAnsi="宋体" w:eastAsia="宋体" w:cs="宋体"/>
                <w:b w:val="0"/>
                <w:bCs w:val="0"/>
                <w:sz w:val="18"/>
                <w:szCs w:val="18"/>
              </w:rPr>
              <w:t>4.收纳结构：铝型材框架内安装500mm(L)(±10mm)的U型卡槽，支持容纳400mm(L)*400mm(W)*35mm(H)(±10mm)的垫子收纳空间；</w:t>
            </w:r>
          </w:p>
        </w:tc>
      </w:tr>
      <w:tr w14:paraId="22138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30B08BC6">
            <w:pPr>
              <w:jc w:val="center"/>
              <w:rPr>
                <w:rFonts w:hint="eastAsia"/>
                <w:b/>
                <w:bCs w:val="0"/>
                <w:szCs w:val="21"/>
              </w:rPr>
            </w:pPr>
          </w:p>
        </w:tc>
        <w:tc>
          <w:tcPr>
            <w:tcW w:w="1188" w:type="dxa"/>
            <w:vMerge w:val="continue"/>
            <w:vAlign w:val="center"/>
          </w:tcPr>
          <w:p w14:paraId="7CA50360">
            <w:pPr>
              <w:jc w:val="center"/>
              <w:rPr>
                <w:b/>
                <w:bCs w:val="0"/>
                <w:szCs w:val="21"/>
              </w:rPr>
            </w:pPr>
          </w:p>
        </w:tc>
        <w:tc>
          <w:tcPr>
            <w:tcW w:w="6372" w:type="dxa"/>
          </w:tcPr>
          <w:p w14:paraId="5B1951E9">
            <w:pPr>
              <w:rPr>
                <w:rFonts w:hint="eastAsia" w:ascii="宋体" w:hAnsi="宋体" w:eastAsia="宋体" w:cs="宋体"/>
                <w:b w:val="0"/>
                <w:bCs w:val="0"/>
                <w:sz w:val="18"/>
                <w:szCs w:val="18"/>
              </w:rPr>
            </w:pPr>
            <w:r>
              <w:rPr>
                <w:rFonts w:hint="eastAsia"/>
              </w:rPr>
              <w:t>▲</w:t>
            </w:r>
            <w:r>
              <w:rPr>
                <w:rFonts w:hint="eastAsia" w:ascii="宋体" w:hAnsi="宋体" w:eastAsia="宋体" w:cs="宋体"/>
                <w:b w:val="0"/>
                <w:bCs w:val="0"/>
                <w:sz w:val="18"/>
                <w:szCs w:val="18"/>
              </w:rPr>
              <w:t>5.洞洞板规格：尺寸700mm(W)(±10mm)*1355mm(L)(±10mm)，主板材选用海洋板，板芯采用桦木多层板，孔眼尺寸15mm*5mm(±2mm)。</w:t>
            </w:r>
          </w:p>
        </w:tc>
      </w:tr>
      <w:tr w14:paraId="3DA65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restart"/>
            <w:vAlign w:val="center"/>
          </w:tcPr>
          <w:p w14:paraId="14CB43F3">
            <w:pPr>
              <w:jc w:val="center"/>
              <w:rPr>
                <w:rFonts w:hint="eastAsia" w:eastAsia="宋体"/>
                <w:b/>
                <w:bCs w:val="0"/>
                <w:szCs w:val="21"/>
                <w:lang w:val="en-US" w:eastAsia="zh-CN"/>
              </w:rPr>
            </w:pPr>
            <w:r>
              <w:rPr>
                <w:rFonts w:hint="eastAsia"/>
                <w:b/>
                <w:bCs w:val="0"/>
                <w:szCs w:val="21"/>
                <w:lang w:val="en-US" w:eastAsia="zh-CN"/>
              </w:rPr>
              <w:t>9</w:t>
            </w:r>
          </w:p>
        </w:tc>
        <w:tc>
          <w:tcPr>
            <w:tcW w:w="1188" w:type="dxa"/>
            <w:vMerge w:val="restart"/>
            <w:vAlign w:val="center"/>
          </w:tcPr>
          <w:p w14:paraId="2D40B363">
            <w:pPr>
              <w:jc w:val="center"/>
              <w:rPr>
                <w:b/>
                <w:bCs w:val="0"/>
                <w:szCs w:val="21"/>
              </w:rPr>
            </w:pPr>
            <w:r>
              <w:rPr>
                <w:rFonts w:hint="eastAsia" w:ascii="宋体" w:hAnsi="宋体" w:cs="宋体"/>
                <w:b/>
                <w:bCs w:val="0"/>
                <w:kern w:val="0"/>
                <w:szCs w:val="21"/>
              </w:rPr>
              <w:t>移动学习框架组件</w:t>
            </w:r>
            <w:r>
              <w:rPr>
                <w:rFonts w:hint="eastAsia" w:ascii="宋体" w:hAnsi="宋体" w:cs="宋体"/>
                <w:b/>
                <w:bCs w:val="0"/>
                <w:kern w:val="0"/>
                <w:szCs w:val="21"/>
                <w:lang w:val="en-US" w:eastAsia="zh-CN"/>
              </w:rPr>
              <w:t>-白板背板</w:t>
            </w:r>
          </w:p>
        </w:tc>
        <w:tc>
          <w:tcPr>
            <w:tcW w:w="6372" w:type="dxa"/>
          </w:tcPr>
          <w:p w14:paraId="0820A958">
            <w:pPr>
              <w:rPr>
                <w:rFonts w:hint="eastAsia" w:ascii="宋体" w:hAnsi="宋体" w:eastAsia="宋体" w:cs="宋体"/>
                <w:b w:val="0"/>
                <w:bCs w:val="0"/>
                <w:sz w:val="18"/>
                <w:szCs w:val="18"/>
              </w:rPr>
            </w:pPr>
            <w:r>
              <w:rPr>
                <w:rFonts w:hint="eastAsia" w:ascii="宋体" w:hAnsi="宋体" w:eastAsia="宋体" w:cs="宋体"/>
                <w:b w:val="0"/>
                <w:bCs w:val="0"/>
                <w:sz w:val="18"/>
                <w:szCs w:val="18"/>
              </w:rPr>
              <w:t>1.基础框架尺寸：1435mm(L)*660mm(W)*800mm(H)(±10mm)；</w:t>
            </w:r>
          </w:p>
        </w:tc>
      </w:tr>
      <w:tr w14:paraId="083D8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6BE0FC48">
            <w:pPr>
              <w:jc w:val="center"/>
              <w:rPr>
                <w:rFonts w:hint="eastAsia"/>
                <w:b/>
                <w:bCs w:val="0"/>
                <w:szCs w:val="21"/>
              </w:rPr>
            </w:pPr>
          </w:p>
        </w:tc>
        <w:tc>
          <w:tcPr>
            <w:tcW w:w="1188" w:type="dxa"/>
            <w:vMerge w:val="continue"/>
            <w:vAlign w:val="center"/>
          </w:tcPr>
          <w:p w14:paraId="6A407BC1">
            <w:pPr>
              <w:jc w:val="center"/>
              <w:rPr>
                <w:b/>
                <w:bCs w:val="0"/>
                <w:szCs w:val="21"/>
              </w:rPr>
            </w:pPr>
          </w:p>
        </w:tc>
        <w:tc>
          <w:tcPr>
            <w:tcW w:w="6372" w:type="dxa"/>
          </w:tcPr>
          <w:p w14:paraId="71107F69">
            <w:pPr>
              <w:rPr>
                <w:rFonts w:hint="eastAsia" w:ascii="宋体" w:hAnsi="宋体" w:eastAsia="宋体" w:cs="宋体"/>
                <w:b w:val="0"/>
                <w:bCs w:val="0"/>
                <w:sz w:val="18"/>
                <w:szCs w:val="18"/>
              </w:rPr>
            </w:pPr>
            <w:r>
              <w:rPr>
                <w:rFonts w:hint="eastAsia" w:ascii="宋体" w:hAnsi="宋体" w:eastAsia="宋体" w:cs="宋体"/>
                <w:b w:val="0"/>
                <w:bCs w:val="0"/>
                <w:sz w:val="18"/>
                <w:szCs w:val="18"/>
              </w:rPr>
              <w:t>2.桌面材质要求：一体化台面，采用厚实芯水磨石板加工制作，厚度不低于12mm、机械精打磨边缘。</w:t>
            </w:r>
          </w:p>
        </w:tc>
      </w:tr>
      <w:tr w14:paraId="3434E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44BB3677">
            <w:pPr>
              <w:jc w:val="center"/>
              <w:rPr>
                <w:rFonts w:hint="eastAsia"/>
                <w:b/>
                <w:bCs w:val="0"/>
                <w:szCs w:val="21"/>
              </w:rPr>
            </w:pPr>
          </w:p>
        </w:tc>
        <w:tc>
          <w:tcPr>
            <w:tcW w:w="1188" w:type="dxa"/>
            <w:vMerge w:val="continue"/>
            <w:vAlign w:val="center"/>
          </w:tcPr>
          <w:p w14:paraId="5FE47120">
            <w:pPr>
              <w:jc w:val="center"/>
              <w:rPr>
                <w:b/>
                <w:bCs w:val="0"/>
                <w:szCs w:val="21"/>
              </w:rPr>
            </w:pPr>
          </w:p>
        </w:tc>
        <w:tc>
          <w:tcPr>
            <w:tcW w:w="6372" w:type="dxa"/>
          </w:tcPr>
          <w:p w14:paraId="7302BE09">
            <w:pPr>
              <w:rPr>
                <w:rFonts w:hint="eastAsia" w:ascii="宋体" w:hAnsi="宋体" w:eastAsia="宋体" w:cs="宋体"/>
                <w:b w:val="0"/>
                <w:bCs w:val="0"/>
                <w:sz w:val="18"/>
                <w:szCs w:val="18"/>
              </w:rPr>
            </w:pPr>
            <w:r>
              <w:rPr>
                <w:rFonts w:hint="eastAsia" w:ascii="宋体" w:hAnsi="宋体" w:eastAsia="宋体" w:cs="宋体"/>
                <w:b w:val="0"/>
                <w:bCs w:val="0"/>
                <w:sz w:val="18"/>
                <w:szCs w:val="18"/>
              </w:rPr>
              <w:t>3.框架结构：基础框架采用4040铝型材框架、壁厚不小于1mm</w:t>
            </w:r>
          </w:p>
        </w:tc>
      </w:tr>
      <w:tr w14:paraId="5253A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0E66E5C6">
            <w:pPr>
              <w:jc w:val="center"/>
              <w:rPr>
                <w:rFonts w:hint="eastAsia"/>
                <w:b/>
                <w:bCs w:val="0"/>
                <w:szCs w:val="21"/>
              </w:rPr>
            </w:pPr>
          </w:p>
        </w:tc>
        <w:tc>
          <w:tcPr>
            <w:tcW w:w="1188" w:type="dxa"/>
            <w:vMerge w:val="continue"/>
            <w:vAlign w:val="center"/>
          </w:tcPr>
          <w:p w14:paraId="7449F6B9">
            <w:pPr>
              <w:jc w:val="center"/>
              <w:rPr>
                <w:b/>
                <w:bCs w:val="0"/>
                <w:szCs w:val="21"/>
              </w:rPr>
            </w:pPr>
          </w:p>
        </w:tc>
        <w:tc>
          <w:tcPr>
            <w:tcW w:w="6372" w:type="dxa"/>
          </w:tcPr>
          <w:p w14:paraId="7EA3D788">
            <w:pPr>
              <w:rPr>
                <w:rFonts w:hint="eastAsia" w:ascii="宋体" w:hAnsi="宋体" w:eastAsia="宋体" w:cs="宋体"/>
                <w:b w:val="0"/>
                <w:bCs w:val="0"/>
                <w:sz w:val="18"/>
                <w:szCs w:val="18"/>
              </w:rPr>
            </w:pPr>
            <w:r>
              <w:rPr>
                <w:rFonts w:hint="eastAsia"/>
              </w:rPr>
              <w:t>▲</w:t>
            </w:r>
            <w:r>
              <w:rPr>
                <w:rFonts w:hint="eastAsia" w:ascii="宋体" w:hAnsi="宋体" w:eastAsia="宋体" w:cs="宋体"/>
                <w:b w:val="0"/>
                <w:bCs w:val="0"/>
                <w:sz w:val="18"/>
                <w:szCs w:val="18"/>
              </w:rPr>
              <w:t>4.收纳结构：铝型材框架内安装500mm(L)(±10mm)的U型卡槽，支持容纳1340mm(L)*400mm(W)(±10mm)的收纳可移动白板组件空间；</w:t>
            </w:r>
          </w:p>
        </w:tc>
      </w:tr>
      <w:tr w14:paraId="01987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20D99930">
            <w:pPr>
              <w:jc w:val="center"/>
              <w:rPr>
                <w:rFonts w:hint="eastAsia"/>
                <w:b/>
                <w:bCs w:val="0"/>
                <w:szCs w:val="21"/>
              </w:rPr>
            </w:pPr>
          </w:p>
        </w:tc>
        <w:tc>
          <w:tcPr>
            <w:tcW w:w="1188" w:type="dxa"/>
            <w:vMerge w:val="continue"/>
            <w:vAlign w:val="center"/>
          </w:tcPr>
          <w:p w14:paraId="77722904">
            <w:pPr>
              <w:jc w:val="center"/>
              <w:rPr>
                <w:b/>
                <w:bCs w:val="0"/>
                <w:szCs w:val="21"/>
              </w:rPr>
            </w:pPr>
          </w:p>
        </w:tc>
        <w:tc>
          <w:tcPr>
            <w:tcW w:w="6372" w:type="dxa"/>
          </w:tcPr>
          <w:p w14:paraId="7AA5B0BC">
            <w:pPr>
              <w:rPr>
                <w:rFonts w:hint="eastAsia" w:ascii="宋体" w:hAnsi="宋体" w:eastAsia="宋体" w:cs="宋体"/>
                <w:b w:val="0"/>
                <w:bCs w:val="0"/>
                <w:sz w:val="18"/>
                <w:szCs w:val="18"/>
              </w:rPr>
            </w:pPr>
            <w:r>
              <w:rPr>
                <w:rFonts w:hint="eastAsia" w:ascii="宋体" w:hAnsi="宋体" w:eastAsia="宋体" w:cs="宋体"/>
                <w:b w:val="0"/>
                <w:bCs w:val="0"/>
                <w:sz w:val="18"/>
                <w:szCs w:val="18"/>
              </w:rPr>
              <w:t>5.白板规格：尺寸700mm(W)*1355mm(L)(±10mm)，专用书写膜，带磁吸功能。</w:t>
            </w:r>
          </w:p>
        </w:tc>
      </w:tr>
      <w:tr w14:paraId="48A92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restart"/>
            <w:vAlign w:val="center"/>
          </w:tcPr>
          <w:p w14:paraId="5E28D73D">
            <w:pPr>
              <w:jc w:val="center"/>
              <w:rPr>
                <w:rFonts w:hint="default" w:eastAsia="宋体"/>
                <w:b/>
                <w:bCs w:val="0"/>
                <w:szCs w:val="21"/>
                <w:lang w:val="en-US" w:eastAsia="zh-CN"/>
              </w:rPr>
            </w:pPr>
            <w:r>
              <w:rPr>
                <w:rFonts w:hint="eastAsia"/>
                <w:b/>
                <w:bCs w:val="0"/>
                <w:szCs w:val="21"/>
                <w:lang w:val="en-US" w:eastAsia="zh-CN"/>
              </w:rPr>
              <w:t>10</w:t>
            </w:r>
          </w:p>
        </w:tc>
        <w:tc>
          <w:tcPr>
            <w:tcW w:w="1188" w:type="dxa"/>
            <w:vMerge w:val="restart"/>
            <w:vAlign w:val="center"/>
          </w:tcPr>
          <w:p w14:paraId="3DCD117F">
            <w:pPr>
              <w:jc w:val="center"/>
              <w:rPr>
                <w:rFonts w:hint="default"/>
                <w:b/>
                <w:bCs w:val="0"/>
                <w:szCs w:val="21"/>
                <w:lang w:val="en-US"/>
              </w:rPr>
            </w:pPr>
            <w:r>
              <w:rPr>
                <w:rFonts w:hint="eastAsia" w:ascii="宋体" w:hAnsi="宋体" w:cs="宋体"/>
                <w:b/>
                <w:bCs w:val="0"/>
                <w:kern w:val="0"/>
                <w:szCs w:val="21"/>
              </w:rPr>
              <w:t>移动学习框架组件</w:t>
            </w:r>
            <w:r>
              <w:rPr>
                <w:rFonts w:hint="eastAsia" w:ascii="宋体" w:hAnsi="宋体" w:cs="宋体"/>
                <w:b/>
                <w:bCs w:val="0"/>
                <w:kern w:val="0"/>
                <w:szCs w:val="21"/>
                <w:lang w:val="en-US" w:eastAsia="zh-CN"/>
              </w:rPr>
              <w:t>-软木板背板</w:t>
            </w:r>
          </w:p>
        </w:tc>
        <w:tc>
          <w:tcPr>
            <w:tcW w:w="6372" w:type="dxa"/>
          </w:tcPr>
          <w:p w14:paraId="27978C9A">
            <w:pPr>
              <w:rPr>
                <w:rFonts w:hint="eastAsia" w:ascii="宋体" w:hAnsi="宋体" w:eastAsia="宋体" w:cs="宋体"/>
                <w:b w:val="0"/>
                <w:bCs w:val="0"/>
                <w:sz w:val="18"/>
                <w:szCs w:val="18"/>
              </w:rPr>
            </w:pPr>
            <w:r>
              <w:rPr>
                <w:rFonts w:hint="eastAsia" w:ascii="宋体" w:hAnsi="宋体" w:eastAsia="宋体" w:cs="宋体"/>
                <w:b w:val="0"/>
                <w:bCs w:val="0"/>
                <w:sz w:val="18"/>
                <w:szCs w:val="18"/>
              </w:rPr>
              <w:t>1.基础框架尺寸：1435mm（±10mm）*660mm（±10mm）*800mm(±10mm)；</w:t>
            </w:r>
          </w:p>
        </w:tc>
      </w:tr>
      <w:tr w14:paraId="67D5C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20E90805">
            <w:pPr>
              <w:jc w:val="center"/>
              <w:rPr>
                <w:rFonts w:hint="eastAsia"/>
                <w:b/>
                <w:bCs w:val="0"/>
                <w:szCs w:val="21"/>
              </w:rPr>
            </w:pPr>
          </w:p>
        </w:tc>
        <w:tc>
          <w:tcPr>
            <w:tcW w:w="1188" w:type="dxa"/>
            <w:vMerge w:val="continue"/>
            <w:vAlign w:val="center"/>
          </w:tcPr>
          <w:p w14:paraId="0B072DF5">
            <w:pPr>
              <w:jc w:val="center"/>
              <w:rPr>
                <w:b/>
                <w:bCs w:val="0"/>
                <w:szCs w:val="21"/>
              </w:rPr>
            </w:pPr>
          </w:p>
        </w:tc>
        <w:tc>
          <w:tcPr>
            <w:tcW w:w="6372" w:type="dxa"/>
          </w:tcPr>
          <w:p w14:paraId="729D505B">
            <w:pPr>
              <w:rPr>
                <w:rFonts w:hint="eastAsia" w:ascii="宋体" w:hAnsi="宋体" w:eastAsia="宋体" w:cs="宋体"/>
                <w:b w:val="0"/>
                <w:bCs w:val="0"/>
                <w:sz w:val="18"/>
                <w:szCs w:val="18"/>
              </w:rPr>
            </w:pPr>
            <w:r>
              <w:rPr>
                <w:rFonts w:hint="eastAsia" w:ascii="宋体" w:hAnsi="宋体" w:eastAsia="宋体" w:cs="宋体"/>
                <w:b w:val="0"/>
                <w:bCs w:val="0"/>
                <w:sz w:val="18"/>
                <w:szCs w:val="18"/>
              </w:rPr>
              <w:t>2.桌面材质要求：一体化台面，采用厚实芯水磨石板加工制作，厚度≥12mm，没有锋利边缘；</w:t>
            </w:r>
          </w:p>
        </w:tc>
      </w:tr>
      <w:tr w14:paraId="2E5D7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367C848B">
            <w:pPr>
              <w:jc w:val="center"/>
              <w:rPr>
                <w:rFonts w:hint="eastAsia"/>
                <w:b/>
                <w:bCs w:val="0"/>
                <w:szCs w:val="21"/>
              </w:rPr>
            </w:pPr>
          </w:p>
        </w:tc>
        <w:tc>
          <w:tcPr>
            <w:tcW w:w="1188" w:type="dxa"/>
            <w:vMerge w:val="continue"/>
            <w:vAlign w:val="center"/>
          </w:tcPr>
          <w:p w14:paraId="30F2F500">
            <w:pPr>
              <w:jc w:val="center"/>
              <w:rPr>
                <w:b/>
                <w:bCs w:val="0"/>
                <w:szCs w:val="21"/>
              </w:rPr>
            </w:pPr>
          </w:p>
        </w:tc>
        <w:tc>
          <w:tcPr>
            <w:tcW w:w="6372" w:type="dxa"/>
          </w:tcPr>
          <w:p w14:paraId="0E16A8D3">
            <w:pPr>
              <w:rPr>
                <w:rFonts w:hint="eastAsia" w:ascii="宋体" w:hAnsi="宋体" w:eastAsia="宋体" w:cs="宋体"/>
                <w:b w:val="0"/>
                <w:bCs w:val="0"/>
                <w:sz w:val="18"/>
                <w:szCs w:val="18"/>
              </w:rPr>
            </w:pPr>
            <w:r>
              <w:rPr>
                <w:rFonts w:hint="eastAsia"/>
              </w:rPr>
              <w:t>▲</w:t>
            </w:r>
            <w:r>
              <w:rPr>
                <w:rFonts w:hint="eastAsia" w:ascii="宋体" w:hAnsi="宋体" w:eastAsia="宋体" w:cs="宋体"/>
                <w:b w:val="0"/>
                <w:bCs w:val="0"/>
                <w:sz w:val="18"/>
                <w:szCs w:val="18"/>
              </w:rPr>
              <w:t>3.框架结构：基础框架均采用规格40mm(±5mm)*40mm(±5mm)规格铝型材框架，型材壁厚≥1mm；</w:t>
            </w:r>
          </w:p>
        </w:tc>
      </w:tr>
      <w:tr w14:paraId="444F0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2D5E772F">
            <w:pPr>
              <w:jc w:val="center"/>
              <w:rPr>
                <w:rFonts w:hint="eastAsia"/>
                <w:b/>
                <w:bCs w:val="0"/>
                <w:szCs w:val="21"/>
              </w:rPr>
            </w:pPr>
          </w:p>
        </w:tc>
        <w:tc>
          <w:tcPr>
            <w:tcW w:w="1188" w:type="dxa"/>
            <w:vMerge w:val="continue"/>
            <w:vAlign w:val="center"/>
          </w:tcPr>
          <w:p w14:paraId="5ADF6FC0">
            <w:pPr>
              <w:jc w:val="center"/>
              <w:rPr>
                <w:b/>
                <w:bCs w:val="0"/>
                <w:szCs w:val="21"/>
              </w:rPr>
            </w:pPr>
          </w:p>
        </w:tc>
        <w:tc>
          <w:tcPr>
            <w:tcW w:w="6372" w:type="dxa"/>
          </w:tcPr>
          <w:p w14:paraId="094FDFC4">
            <w:pPr>
              <w:rPr>
                <w:rFonts w:hint="eastAsia" w:ascii="宋体" w:hAnsi="宋体" w:eastAsia="宋体" w:cs="宋体"/>
                <w:b w:val="0"/>
                <w:bCs w:val="0"/>
                <w:sz w:val="18"/>
                <w:szCs w:val="18"/>
              </w:rPr>
            </w:pPr>
            <w:r>
              <w:rPr>
                <w:rFonts w:hint="eastAsia" w:ascii="宋体" w:hAnsi="宋体" w:eastAsia="宋体" w:cs="宋体"/>
                <w:b w:val="0"/>
                <w:bCs w:val="0"/>
                <w:sz w:val="18"/>
                <w:szCs w:val="18"/>
              </w:rPr>
              <w:t>4.收纳结构：铝型材框架内安装≥两根塑料滑轨，长度尺寸420mm(±10mm)，塑料滑轨可支持悬挂收纳盒，收纳尺寸420mm(±10mm)*300mm(±10mm)*100mm(±10mm)；</w:t>
            </w:r>
          </w:p>
        </w:tc>
      </w:tr>
      <w:tr w14:paraId="750D5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132D781D">
            <w:pPr>
              <w:jc w:val="center"/>
              <w:rPr>
                <w:rFonts w:hint="eastAsia"/>
                <w:b/>
                <w:bCs w:val="0"/>
                <w:szCs w:val="21"/>
              </w:rPr>
            </w:pPr>
          </w:p>
        </w:tc>
        <w:tc>
          <w:tcPr>
            <w:tcW w:w="1188" w:type="dxa"/>
            <w:vMerge w:val="continue"/>
            <w:vAlign w:val="center"/>
          </w:tcPr>
          <w:p w14:paraId="4255F42B">
            <w:pPr>
              <w:jc w:val="center"/>
              <w:rPr>
                <w:b/>
                <w:bCs w:val="0"/>
                <w:szCs w:val="21"/>
              </w:rPr>
            </w:pPr>
          </w:p>
        </w:tc>
        <w:tc>
          <w:tcPr>
            <w:tcW w:w="6372" w:type="dxa"/>
          </w:tcPr>
          <w:p w14:paraId="6833308C">
            <w:pPr>
              <w:rPr>
                <w:rFonts w:hint="eastAsia" w:ascii="宋体" w:hAnsi="宋体" w:eastAsia="宋体" w:cs="宋体"/>
                <w:b w:val="0"/>
                <w:bCs w:val="0"/>
                <w:sz w:val="18"/>
                <w:szCs w:val="18"/>
              </w:rPr>
            </w:pPr>
            <w:r>
              <w:rPr>
                <w:rFonts w:hint="eastAsia"/>
              </w:rPr>
              <w:t>▲</w:t>
            </w:r>
            <w:r>
              <w:rPr>
                <w:rFonts w:hint="eastAsia" w:ascii="宋体" w:hAnsi="宋体" w:eastAsia="宋体" w:cs="宋体"/>
                <w:b w:val="0"/>
                <w:bCs w:val="0"/>
                <w:sz w:val="18"/>
                <w:szCs w:val="18"/>
              </w:rPr>
              <w:t>5. 软木板规格： 700mm(±10mm)*1355mm(±10mm)，背板材质选取软质纤维板，厚度6mm(±2mm)。</w:t>
            </w:r>
          </w:p>
        </w:tc>
      </w:tr>
      <w:tr w14:paraId="4A928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restart"/>
            <w:vAlign w:val="center"/>
          </w:tcPr>
          <w:p w14:paraId="79B3855F">
            <w:pPr>
              <w:jc w:val="center"/>
              <w:rPr>
                <w:rFonts w:hint="default" w:eastAsia="宋体"/>
                <w:b/>
                <w:bCs w:val="0"/>
                <w:szCs w:val="21"/>
                <w:lang w:val="en-US" w:eastAsia="zh-CN"/>
              </w:rPr>
            </w:pPr>
            <w:r>
              <w:rPr>
                <w:rFonts w:hint="eastAsia"/>
                <w:b/>
                <w:bCs w:val="0"/>
                <w:szCs w:val="21"/>
                <w:lang w:val="en-US" w:eastAsia="zh-CN"/>
              </w:rPr>
              <w:t>11</w:t>
            </w:r>
          </w:p>
        </w:tc>
        <w:tc>
          <w:tcPr>
            <w:tcW w:w="1188" w:type="dxa"/>
            <w:vMerge w:val="restart"/>
            <w:shd w:val="clear" w:color="auto" w:fill="auto"/>
            <w:vAlign w:val="center"/>
          </w:tcPr>
          <w:p w14:paraId="1A61BC00">
            <w:pPr>
              <w:jc w:val="center"/>
              <w:rPr>
                <w:rFonts w:hint="default" w:ascii="宋体" w:hAnsi="宋体" w:eastAsia="宋体" w:cs="宋体"/>
                <w:b/>
                <w:bCs w:val="0"/>
                <w:kern w:val="0"/>
                <w:sz w:val="21"/>
                <w:szCs w:val="21"/>
                <w:lang w:val="en-US" w:eastAsia="zh-CN" w:bidi="ar-SA"/>
              </w:rPr>
            </w:pPr>
            <w:r>
              <w:rPr>
                <w:rFonts w:hint="eastAsia" w:ascii="宋体" w:hAnsi="宋体" w:cs="宋体"/>
                <w:b/>
                <w:bCs w:val="0"/>
                <w:kern w:val="0"/>
                <w:szCs w:val="21"/>
                <w:lang w:val="en-US" w:eastAsia="zh-CN"/>
              </w:rPr>
              <w:t>实验操作台组件-操作台</w:t>
            </w:r>
          </w:p>
        </w:tc>
        <w:tc>
          <w:tcPr>
            <w:tcW w:w="6372" w:type="dxa"/>
          </w:tcPr>
          <w:p w14:paraId="5FCF2F05">
            <w:pPr>
              <w:rPr>
                <w:rFonts w:hint="eastAsia" w:ascii="宋体" w:hAnsi="宋体" w:eastAsia="宋体" w:cs="宋体"/>
                <w:b w:val="0"/>
                <w:bCs w:val="0"/>
                <w:sz w:val="18"/>
                <w:szCs w:val="18"/>
              </w:rPr>
            </w:pPr>
            <w:r>
              <w:rPr>
                <w:rFonts w:hint="eastAsia" w:ascii="宋体" w:hAnsi="宋体" w:eastAsia="宋体" w:cs="宋体"/>
                <w:b w:val="0"/>
                <w:bCs w:val="0"/>
                <w:sz w:val="18"/>
                <w:szCs w:val="18"/>
              </w:rPr>
              <w:t>1.规格： 1355mmm(±10mm)(L)*540mm(±10mm)W)*790mm(±10mm)(H)；</w:t>
            </w:r>
          </w:p>
        </w:tc>
      </w:tr>
      <w:tr w14:paraId="7E334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66C05333">
            <w:pPr>
              <w:jc w:val="center"/>
              <w:rPr>
                <w:rFonts w:hint="eastAsia"/>
                <w:b/>
                <w:bCs w:val="0"/>
                <w:szCs w:val="21"/>
              </w:rPr>
            </w:pPr>
          </w:p>
        </w:tc>
        <w:tc>
          <w:tcPr>
            <w:tcW w:w="1188" w:type="dxa"/>
            <w:vMerge w:val="continue"/>
            <w:shd w:val="clear" w:color="auto" w:fill="auto"/>
            <w:vAlign w:val="center"/>
          </w:tcPr>
          <w:p w14:paraId="5B54E24B">
            <w:pPr>
              <w:jc w:val="center"/>
              <w:rPr>
                <w:rFonts w:hint="default" w:ascii="宋体" w:hAnsi="宋体" w:eastAsia="宋体" w:cs="宋体"/>
                <w:b/>
                <w:bCs w:val="0"/>
                <w:kern w:val="0"/>
                <w:sz w:val="21"/>
                <w:szCs w:val="21"/>
                <w:lang w:val="en-US" w:eastAsia="zh-CN" w:bidi="ar-SA"/>
              </w:rPr>
            </w:pPr>
          </w:p>
        </w:tc>
        <w:tc>
          <w:tcPr>
            <w:tcW w:w="6372" w:type="dxa"/>
          </w:tcPr>
          <w:p w14:paraId="46AD5D15">
            <w:pPr>
              <w:rPr>
                <w:rFonts w:hint="eastAsia" w:ascii="宋体" w:hAnsi="宋体" w:eastAsia="宋体" w:cs="宋体"/>
                <w:b w:val="0"/>
                <w:bCs w:val="0"/>
                <w:sz w:val="18"/>
                <w:szCs w:val="18"/>
              </w:rPr>
            </w:pPr>
            <w:r>
              <w:rPr>
                <w:rFonts w:hint="eastAsia" w:ascii="宋体" w:hAnsi="宋体" w:eastAsia="宋体" w:cs="宋体"/>
                <w:b w:val="0"/>
                <w:bCs w:val="0"/>
                <w:sz w:val="18"/>
                <w:szCs w:val="18"/>
              </w:rPr>
              <w:t>2.桌面材质要求：一体化台面，采用厚实芯水磨石板加工制作，厚度不低于12mm、机械精打磨边缘。</w:t>
            </w:r>
          </w:p>
        </w:tc>
      </w:tr>
      <w:tr w14:paraId="33743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6D8DDD41">
            <w:pPr>
              <w:jc w:val="center"/>
              <w:rPr>
                <w:rFonts w:hint="eastAsia"/>
                <w:b/>
                <w:bCs w:val="0"/>
                <w:szCs w:val="21"/>
              </w:rPr>
            </w:pPr>
          </w:p>
        </w:tc>
        <w:tc>
          <w:tcPr>
            <w:tcW w:w="1188" w:type="dxa"/>
            <w:vMerge w:val="continue"/>
            <w:vAlign w:val="center"/>
          </w:tcPr>
          <w:p w14:paraId="67C58D83">
            <w:pPr>
              <w:jc w:val="center"/>
              <w:rPr>
                <w:b/>
                <w:bCs w:val="0"/>
                <w:szCs w:val="21"/>
              </w:rPr>
            </w:pPr>
          </w:p>
        </w:tc>
        <w:tc>
          <w:tcPr>
            <w:tcW w:w="6372" w:type="dxa"/>
          </w:tcPr>
          <w:p w14:paraId="4DA17B09">
            <w:pPr>
              <w:rPr>
                <w:rFonts w:hint="eastAsia" w:ascii="宋体" w:hAnsi="宋体" w:eastAsia="宋体" w:cs="宋体"/>
                <w:b w:val="0"/>
                <w:bCs w:val="0"/>
                <w:sz w:val="18"/>
                <w:szCs w:val="18"/>
              </w:rPr>
            </w:pPr>
            <w:r>
              <w:rPr>
                <w:rFonts w:hint="eastAsia" w:ascii="宋体" w:hAnsi="宋体" w:eastAsia="宋体" w:cs="宋体"/>
                <w:b w:val="0"/>
                <w:bCs w:val="0"/>
                <w:sz w:val="18"/>
                <w:szCs w:val="18"/>
              </w:rPr>
              <w:t>3.框架结构：基础框架均采用4040铝型材框架、壁厚不小于1mm</w:t>
            </w:r>
          </w:p>
        </w:tc>
      </w:tr>
      <w:tr w14:paraId="4B941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280123FA">
            <w:pPr>
              <w:jc w:val="center"/>
              <w:rPr>
                <w:rFonts w:hint="eastAsia"/>
                <w:b/>
                <w:bCs w:val="0"/>
                <w:szCs w:val="21"/>
              </w:rPr>
            </w:pPr>
          </w:p>
        </w:tc>
        <w:tc>
          <w:tcPr>
            <w:tcW w:w="1188" w:type="dxa"/>
            <w:vMerge w:val="continue"/>
            <w:vAlign w:val="center"/>
          </w:tcPr>
          <w:p w14:paraId="0C300117">
            <w:pPr>
              <w:jc w:val="center"/>
              <w:rPr>
                <w:b/>
                <w:bCs w:val="0"/>
                <w:szCs w:val="21"/>
              </w:rPr>
            </w:pPr>
          </w:p>
        </w:tc>
        <w:tc>
          <w:tcPr>
            <w:tcW w:w="6372" w:type="dxa"/>
          </w:tcPr>
          <w:p w14:paraId="3ACB913B">
            <w:pPr>
              <w:rPr>
                <w:rFonts w:hint="eastAsia" w:ascii="宋体" w:hAnsi="宋体" w:eastAsia="宋体" w:cs="宋体"/>
                <w:b w:val="0"/>
                <w:bCs w:val="0"/>
                <w:sz w:val="18"/>
                <w:szCs w:val="18"/>
              </w:rPr>
            </w:pPr>
            <w:r>
              <w:rPr>
                <w:rFonts w:hint="eastAsia" w:ascii="宋体" w:hAnsi="宋体" w:eastAsia="宋体" w:cs="宋体"/>
                <w:b w:val="0"/>
                <w:bCs w:val="0"/>
                <w:sz w:val="18"/>
                <w:szCs w:val="18"/>
              </w:rPr>
              <w:t>4.收纳结构：铝型材框架内包含长度420mm的塑料滑轨，需容纳420mm(±10mm)*300mm(±10mm)*100mm(±10mm)的收纳盒空间</w:t>
            </w:r>
          </w:p>
        </w:tc>
      </w:tr>
      <w:tr w14:paraId="2E6AA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restart"/>
            <w:vAlign w:val="center"/>
          </w:tcPr>
          <w:p w14:paraId="0E1F27B4">
            <w:pPr>
              <w:jc w:val="center"/>
              <w:rPr>
                <w:rFonts w:hint="default" w:eastAsia="宋体"/>
                <w:b/>
                <w:bCs w:val="0"/>
                <w:szCs w:val="21"/>
                <w:lang w:val="en-US" w:eastAsia="zh-CN"/>
              </w:rPr>
            </w:pPr>
            <w:r>
              <w:rPr>
                <w:rFonts w:hint="eastAsia"/>
                <w:b/>
                <w:bCs w:val="0"/>
                <w:szCs w:val="21"/>
                <w:lang w:val="en-US" w:eastAsia="zh-CN"/>
              </w:rPr>
              <w:t>12</w:t>
            </w:r>
          </w:p>
        </w:tc>
        <w:tc>
          <w:tcPr>
            <w:tcW w:w="1188" w:type="dxa"/>
            <w:vMerge w:val="restart"/>
            <w:vAlign w:val="center"/>
          </w:tcPr>
          <w:p w14:paraId="7EE371A6">
            <w:pPr>
              <w:jc w:val="center"/>
              <w:rPr>
                <w:b/>
                <w:bCs w:val="0"/>
                <w:szCs w:val="21"/>
              </w:rPr>
            </w:pPr>
            <w:r>
              <w:rPr>
                <w:rFonts w:hint="eastAsia" w:ascii="宋体" w:hAnsi="宋体" w:cs="宋体"/>
                <w:b/>
                <w:bCs w:val="0"/>
                <w:kern w:val="0"/>
                <w:szCs w:val="21"/>
                <w:lang w:val="en-US" w:eastAsia="zh-CN"/>
              </w:rPr>
              <w:t>实验操作台组件-设备柜</w:t>
            </w:r>
          </w:p>
        </w:tc>
        <w:tc>
          <w:tcPr>
            <w:tcW w:w="6372" w:type="dxa"/>
          </w:tcPr>
          <w:p w14:paraId="04D6762D">
            <w:pPr>
              <w:rPr>
                <w:rFonts w:hint="eastAsia" w:ascii="宋体" w:hAnsi="宋体" w:eastAsia="宋体" w:cs="宋体"/>
                <w:b w:val="0"/>
                <w:bCs w:val="0"/>
                <w:sz w:val="18"/>
                <w:szCs w:val="18"/>
              </w:rPr>
            </w:pPr>
            <w:r>
              <w:rPr>
                <w:rFonts w:hint="eastAsia" w:ascii="宋体" w:hAnsi="宋体" w:eastAsia="宋体" w:cs="宋体"/>
                <w:b w:val="0"/>
                <w:bCs w:val="0"/>
                <w:sz w:val="18"/>
                <w:szCs w:val="18"/>
              </w:rPr>
              <w:t>1.规格：1080mm(±10mm)（L）*540mm(±10mm)（W）*790mm(±10mm)（H）；</w:t>
            </w:r>
          </w:p>
        </w:tc>
      </w:tr>
      <w:tr w14:paraId="6280C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72BE960F">
            <w:pPr>
              <w:jc w:val="center"/>
              <w:rPr>
                <w:rFonts w:hint="eastAsia"/>
                <w:b/>
                <w:bCs w:val="0"/>
                <w:szCs w:val="21"/>
              </w:rPr>
            </w:pPr>
          </w:p>
        </w:tc>
        <w:tc>
          <w:tcPr>
            <w:tcW w:w="1188" w:type="dxa"/>
            <w:vMerge w:val="continue"/>
            <w:vAlign w:val="center"/>
          </w:tcPr>
          <w:p w14:paraId="6D66D4BB">
            <w:pPr>
              <w:jc w:val="center"/>
              <w:rPr>
                <w:b/>
                <w:bCs w:val="0"/>
                <w:szCs w:val="21"/>
              </w:rPr>
            </w:pPr>
          </w:p>
        </w:tc>
        <w:tc>
          <w:tcPr>
            <w:tcW w:w="6372" w:type="dxa"/>
          </w:tcPr>
          <w:p w14:paraId="73A20ADC">
            <w:pPr>
              <w:rPr>
                <w:rFonts w:hint="eastAsia" w:ascii="宋体" w:hAnsi="宋体" w:eastAsia="宋体" w:cs="宋体"/>
                <w:b w:val="0"/>
                <w:bCs w:val="0"/>
                <w:sz w:val="18"/>
                <w:szCs w:val="18"/>
              </w:rPr>
            </w:pPr>
            <w:r>
              <w:rPr>
                <w:rFonts w:hint="eastAsia" w:ascii="宋体" w:hAnsi="宋体" w:eastAsia="宋体" w:cs="宋体"/>
                <w:b w:val="0"/>
                <w:bCs w:val="0"/>
                <w:sz w:val="18"/>
                <w:szCs w:val="18"/>
              </w:rPr>
              <w:t>2.桌面材质要求：一体化台面，采用厚实芯水磨石板加工制作，厚度不低于12mm、机械精打磨边缘。</w:t>
            </w:r>
          </w:p>
        </w:tc>
      </w:tr>
      <w:tr w14:paraId="4B5F0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32D7D3DE">
            <w:pPr>
              <w:jc w:val="center"/>
              <w:rPr>
                <w:rFonts w:hint="eastAsia"/>
                <w:b/>
                <w:bCs w:val="0"/>
                <w:szCs w:val="21"/>
              </w:rPr>
            </w:pPr>
          </w:p>
        </w:tc>
        <w:tc>
          <w:tcPr>
            <w:tcW w:w="1188" w:type="dxa"/>
            <w:vMerge w:val="continue"/>
            <w:vAlign w:val="center"/>
          </w:tcPr>
          <w:p w14:paraId="3CB0AA87">
            <w:pPr>
              <w:jc w:val="center"/>
              <w:rPr>
                <w:b/>
                <w:bCs w:val="0"/>
                <w:szCs w:val="21"/>
              </w:rPr>
            </w:pPr>
          </w:p>
        </w:tc>
        <w:tc>
          <w:tcPr>
            <w:tcW w:w="6372" w:type="dxa"/>
          </w:tcPr>
          <w:p w14:paraId="0596A1C9">
            <w:pPr>
              <w:rPr>
                <w:rFonts w:hint="eastAsia" w:ascii="宋体" w:hAnsi="宋体" w:eastAsia="宋体" w:cs="宋体"/>
                <w:b w:val="0"/>
                <w:bCs w:val="0"/>
                <w:sz w:val="18"/>
                <w:szCs w:val="18"/>
              </w:rPr>
            </w:pPr>
            <w:r>
              <w:rPr>
                <w:rFonts w:hint="eastAsia"/>
              </w:rPr>
              <w:t>▲</w:t>
            </w:r>
            <w:r>
              <w:rPr>
                <w:rFonts w:hint="eastAsia" w:ascii="宋体" w:hAnsi="宋体" w:eastAsia="宋体" w:cs="宋体"/>
                <w:b w:val="0"/>
                <w:bCs w:val="0"/>
                <w:sz w:val="18"/>
                <w:szCs w:val="18"/>
              </w:rPr>
              <w:t>3.框架结构：基础框架采用4040铝型材框架、壁厚≥1mm</w:t>
            </w:r>
          </w:p>
        </w:tc>
      </w:tr>
      <w:tr w14:paraId="087C6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63D92973">
            <w:pPr>
              <w:jc w:val="center"/>
              <w:rPr>
                <w:rFonts w:hint="eastAsia"/>
                <w:b/>
                <w:bCs w:val="0"/>
                <w:szCs w:val="21"/>
              </w:rPr>
            </w:pPr>
          </w:p>
        </w:tc>
        <w:tc>
          <w:tcPr>
            <w:tcW w:w="1188" w:type="dxa"/>
            <w:vMerge w:val="continue"/>
            <w:vAlign w:val="center"/>
          </w:tcPr>
          <w:p w14:paraId="1E71198D">
            <w:pPr>
              <w:jc w:val="center"/>
              <w:rPr>
                <w:b/>
                <w:bCs w:val="0"/>
                <w:szCs w:val="21"/>
              </w:rPr>
            </w:pPr>
          </w:p>
        </w:tc>
        <w:tc>
          <w:tcPr>
            <w:tcW w:w="6372" w:type="dxa"/>
          </w:tcPr>
          <w:p w14:paraId="0E2ED9C2">
            <w:pPr>
              <w:rPr>
                <w:rFonts w:hint="eastAsia" w:ascii="宋体" w:hAnsi="宋体" w:eastAsia="宋体" w:cs="宋体"/>
                <w:b w:val="0"/>
                <w:bCs w:val="0"/>
                <w:sz w:val="18"/>
                <w:szCs w:val="18"/>
              </w:rPr>
            </w:pPr>
            <w:r>
              <w:rPr>
                <w:rFonts w:hint="eastAsia"/>
              </w:rPr>
              <w:t>▲</w:t>
            </w:r>
            <w:r>
              <w:rPr>
                <w:rFonts w:hint="eastAsia" w:ascii="宋体" w:hAnsi="宋体" w:eastAsia="宋体" w:cs="宋体"/>
                <w:b w:val="0"/>
                <w:bCs w:val="0"/>
                <w:sz w:val="18"/>
                <w:szCs w:val="18"/>
              </w:rPr>
              <w:t>4.柜门结构：采用规格30*30mm规格铝型材框架，型材壁厚≥1mm；柜门配备钢化玻璃，厚度≥6mm；</w:t>
            </w:r>
          </w:p>
        </w:tc>
      </w:tr>
      <w:tr w14:paraId="30B54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restart"/>
            <w:vAlign w:val="center"/>
          </w:tcPr>
          <w:p w14:paraId="2CEE70A8">
            <w:pPr>
              <w:jc w:val="center"/>
              <w:rPr>
                <w:rFonts w:hint="default" w:eastAsia="宋体"/>
                <w:b/>
                <w:bCs w:val="0"/>
                <w:szCs w:val="21"/>
                <w:lang w:val="en-US" w:eastAsia="zh-CN"/>
              </w:rPr>
            </w:pPr>
            <w:r>
              <w:rPr>
                <w:rFonts w:hint="eastAsia"/>
                <w:b/>
                <w:bCs w:val="0"/>
                <w:szCs w:val="21"/>
                <w:lang w:val="en-US" w:eastAsia="zh-CN"/>
              </w:rPr>
              <w:t>13</w:t>
            </w:r>
          </w:p>
        </w:tc>
        <w:tc>
          <w:tcPr>
            <w:tcW w:w="1188" w:type="dxa"/>
            <w:vMerge w:val="restart"/>
            <w:vAlign w:val="center"/>
          </w:tcPr>
          <w:p w14:paraId="386517CD">
            <w:pPr>
              <w:jc w:val="center"/>
              <w:rPr>
                <w:b/>
                <w:bCs w:val="0"/>
                <w:szCs w:val="21"/>
              </w:rPr>
            </w:pPr>
            <w:r>
              <w:rPr>
                <w:rFonts w:hint="eastAsia"/>
                <w:b/>
                <w:bCs w:val="0"/>
                <w:szCs w:val="21"/>
              </w:rPr>
              <w:t>智能温室组件</w:t>
            </w:r>
          </w:p>
        </w:tc>
        <w:tc>
          <w:tcPr>
            <w:tcW w:w="6372" w:type="dxa"/>
          </w:tcPr>
          <w:p w14:paraId="36B43ADA">
            <w:pPr>
              <w:rPr>
                <w:rFonts w:hint="eastAsia" w:ascii="宋体" w:hAnsi="宋体" w:eastAsia="宋体" w:cs="宋体"/>
                <w:b w:val="0"/>
                <w:bCs w:val="0"/>
                <w:sz w:val="18"/>
                <w:szCs w:val="18"/>
              </w:rPr>
            </w:pPr>
            <w:r>
              <w:rPr>
                <w:rFonts w:hint="eastAsia" w:ascii="宋体" w:hAnsi="宋体" w:eastAsia="宋体" w:cs="宋体"/>
                <w:b w:val="0"/>
                <w:bCs w:val="0"/>
                <w:sz w:val="18"/>
                <w:szCs w:val="18"/>
              </w:rPr>
              <w:t>1.规格：整体框架尺寸：尺寸2365mm(±10mm)(L)*660mm(±10mm)(W)*2100mm(±10mm)(H);洞洞板尺寸： 2285mm(±10mm)(L)*1000mm(±10mm)(W),厚8mm(±2mm);隔板尺寸：604mm(±10mm)(L)*669mm(±10mm)(W),厚8mm(±2mm);底板尺寸：423mm(±10mm)(L)*578mm(±10mm)(W)，厚8mm(±2mm)，侧板尺寸：604mm(±10mm)(L)*694mm(±10mm)(W),厚8mm(±2mm);背板尺寸：449mm(±10mm)(L)*694mm(±10mm)(W),厚8mm(±2mm)；</w:t>
            </w:r>
          </w:p>
        </w:tc>
      </w:tr>
      <w:tr w14:paraId="487E0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3706A0EE">
            <w:pPr>
              <w:jc w:val="center"/>
              <w:rPr>
                <w:rFonts w:hint="eastAsia"/>
                <w:b/>
                <w:bCs w:val="0"/>
                <w:szCs w:val="21"/>
              </w:rPr>
            </w:pPr>
          </w:p>
        </w:tc>
        <w:tc>
          <w:tcPr>
            <w:tcW w:w="1188" w:type="dxa"/>
            <w:vMerge w:val="continue"/>
            <w:vAlign w:val="center"/>
          </w:tcPr>
          <w:p w14:paraId="772FBB10">
            <w:pPr>
              <w:jc w:val="center"/>
              <w:rPr>
                <w:b/>
                <w:bCs w:val="0"/>
                <w:szCs w:val="21"/>
              </w:rPr>
            </w:pPr>
          </w:p>
        </w:tc>
        <w:tc>
          <w:tcPr>
            <w:tcW w:w="6372" w:type="dxa"/>
          </w:tcPr>
          <w:p w14:paraId="141D58E9">
            <w:pPr>
              <w:rPr>
                <w:rFonts w:hint="eastAsia" w:ascii="宋体" w:hAnsi="宋体" w:eastAsia="宋体" w:cs="宋体"/>
                <w:b w:val="0"/>
                <w:bCs w:val="0"/>
                <w:sz w:val="18"/>
                <w:szCs w:val="18"/>
              </w:rPr>
            </w:pPr>
            <w:r>
              <w:rPr>
                <w:rFonts w:hint="eastAsia" w:ascii="宋体" w:hAnsi="宋体" w:eastAsia="宋体" w:cs="宋体"/>
                <w:b w:val="0"/>
                <w:bCs w:val="0"/>
                <w:sz w:val="18"/>
                <w:szCs w:val="18"/>
              </w:rPr>
              <w:t>2.桌面材质要求：一体化台面，采用水磨石板加工制作，厚度不小于12mm，没有锋利边缘，防污、耐刮损、耐磨性强；</w:t>
            </w:r>
          </w:p>
        </w:tc>
      </w:tr>
      <w:tr w14:paraId="4E20C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47971683">
            <w:pPr>
              <w:jc w:val="center"/>
              <w:rPr>
                <w:rFonts w:hint="eastAsia"/>
                <w:b/>
                <w:bCs w:val="0"/>
                <w:szCs w:val="21"/>
              </w:rPr>
            </w:pPr>
          </w:p>
        </w:tc>
        <w:tc>
          <w:tcPr>
            <w:tcW w:w="1188" w:type="dxa"/>
            <w:vMerge w:val="continue"/>
            <w:vAlign w:val="center"/>
          </w:tcPr>
          <w:p w14:paraId="50C6CE93">
            <w:pPr>
              <w:jc w:val="center"/>
              <w:rPr>
                <w:b/>
                <w:bCs w:val="0"/>
                <w:szCs w:val="21"/>
              </w:rPr>
            </w:pPr>
          </w:p>
        </w:tc>
        <w:tc>
          <w:tcPr>
            <w:tcW w:w="6372" w:type="dxa"/>
          </w:tcPr>
          <w:p w14:paraId="7BB8CACE">
            <w:pPr>
              <w:rPr>
                <w:rFonts w:hint="eastAsia" w:ascii="宋体" w:hAnsi="宋体" w:eastAsia="宋体" w:cs="宋体"/>
                <w:b w:val="0"/>
                <w:bCs w:val="0"/>
                <w:sz w:val="18"/>
                <w:szCs w:val="18"/>
              </w:rPr>
            </w:pPr>
            <w:r>
              <w:rPr>
                <w:rFonts w:hint="eastAsia" w:ascii="宋体" w:hAnsi="宋体" w:eastAsia="宋体" w:cs="宋体"/>
                <w:b w:val="0"/>
                <w:bCs w:val="0"/>
                <w:sz w:val="18"/>
                <w:szCs w:val="18"/>
              </w:rPr>
              <w:t>3.洞洞板基材：芯板为海洋板，厚8mm(±2mm)，符合环保标准；</w:t>
            </w:r>
          </w:p>
        </w:tc>
      </w:tr>
      <w:tr w14:paraId="23477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4EB6A944">
            <w:pPr>
              <w:jc w:val="center"/>
              <w:rPr>
                <w:rFonts w:hint="eastAsia"/>
                <w:b/>
                <w:bCs w:val="0"/>
                <w:szCs w:val="21"/>
              </w:rPr>
            </w:pPr>
          </w:p>
        </w:tc>
        <w:tc>
          <w:tcPr>
            <w:tcW w:w="1188" w:type="dxa"/>
            <w:vMerge w:val="continue"/>
            <w:vAlign w:val="center"/>
          </w:tcPr>
          <w:p w14:paraId="2097F980">
            <w:pPr>
              <w:jc w:val="center"/>
              <w:rPr>
                <w:b/>
                <w:bCs w:val="0"/>
                <w:szCs w:val="21"/>
              </w:rPr>
            </w:pPr>
          </w:p>
        </w:tc>
        <w:tc>
          <w:tcPr>
            <w:tcW w:w="6372" w:type="dxa"/>
          </w:tcPr>
          <w:p w14:paraId="193B2928">
            <w:pPr>
              <w:rPr>
                <w:rFonts w:hint="eastAsia" w:ascii="宋体" w:hAnsi="宋体" w:eastAsia="宋体" w:cs="宋体"/>
                <w:b w:val="0"/>
                <w:bCs w:val="0"/>
                <w:sz w:val="18"/>
                <w:szCs w:val="18"/>
              </w:rPr>
            </w:pPr>
            <w:r>
              <w:rPr>
                <w:rFonts w:hint="eastAsia"/>
              </w:rPr>
              <w:t>▲</w:t>
            </w:r>
            <w:r>
              <w:rPr>
                <w:rFonts w:hint="eastAsia" w:ascii="宋体" w:hAnsi="宋体" w:eastAsia="宋体" w:cs="宋体"/>
                <w:b w:val="0"/>
                <w:bCs w:val="0"/>
                <w:sz w:val="18"/>
                <w:szCs w:val="18"/>
              </w:rPr>
              <w:t>4.框架结构：主体框架采用4040铝型材框架、壁厚≥1mm；</w:t>
            </w:r>
          </w:p>
        </w:tc>
      </w:tr>
      <w:tr w14:paraId="793E1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61E7AB66">
            <w:pPr>
              <w:jc w:val="center"/>
              <w:rPr>
                <w:rFonts w:hint="eastAsia"/>
                <w:b/>
                <w:bCs w:val="0"/>
                <w:szCs w:val="21"/>
              </w:rPr>
            </w:pPr>
          </w:p>
        </w:tc>
        <w:tc>
          <w:tcPr>
            <w:tcW w:w="1188" w:type="dxa"/>
            <w:vMerge w:val="continue"/>
            <w:vAlign w:val="center"/>
          </w:tcPr>
          <w:p w14:paraId="77475BAE">
            <w:pPr>
              <w:jc w:val="center"/>
              <w:rPr>
                <w:b/>
                <w:bCs w:val="0"/>
                <w:szCs w:val="21"/>
              </w:rPr>
            </w:pPr>
          </w:p>
        </w:tc>
        <w:tc>
          <w:tcPr>
            <w:tcW w:w="6372" w:type="dxa"/>
          </w:tcPr>
          <w:p w14:paraId="1426177A">
            <w:pPr>
              <w:rPr>
                <w:rFonts w:hint="eastAsia" w:ascii="宋体" w:hAnsi="宋体" w:eastAsia="宋体" w:cs="宋体"/>
                <w:b w:val="0"/>
                <w:bCs w:val="0"/>
                <w:sz w:val="18"/>
                <w:szCs w:val="18"/>
              </w:rPr>
            </w:pPr>
            <w:r>
              <w:rPr>
                <w:rFonts w:hint="eastAsia" w:ascii="宋体" w:hAnsi="宋体" w:eastAsia="宋体" w:cs="宋体"/>
                <w:b w:val="0"/>
                <w:bCs w:val="0"/>
                <w:sz w:val="18"/>
                <w:szCs w:val="18"/>
              </w:rPr>
              <w:t>5.水槽套装：符合国标；</w:t>
            </w:r>
          </w:p>
        </w:tc>
      </w:tr>
      <w:tr w14:paraId="4B17F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2CFFB28A">
            <w:pPr>
              <w:jc w:val="center"/>
              <w:rPr>
                <w:rFonts w:hint="eastAsia"/>
                <w:b/>
                <w:bCs w:val="0"/>
                <w:szCs w:val="21"/>
              </w:rPr>
            </w:pPr>
          </w:p>
        </w:tc>
        <w:tc>
          <w:tcPr>
            <w:tcW w:w="1188" w:type="dxa"/>
            <w:vMerge w:val="continue"/>
            <w:vAlign w:val="center"/>
          </w:tcPr>
          <w:p w14:paraId="237B9528">
            <w:pPr>
              <w:jc w:val="center"/>
              <w:rPr>
                <w:b/>
                <w:bCs w:val="0"/>
                <w:szCs w:val="21"/>
              </w:rPr>
            </w:pPr>
          </w:p>
        </w:tc>
        <w:tc>
          <w:tcPr>
            <w:tcW w:w="6372" w:type="dxa"/>
          </w:tcPr>
          <w:p w14:paraId="51E3DB63">
            <w:pPr>
              <w:rPr>
                <w:rFonts w:hint="eastAsia" w:ascii="宋体" w:hAnsi="宋体" w:eastAsia="宋体" w:cs="宋体"/>
                <w:b w:val="0"/>
                <w:bCs w:val="0"/>
                <w:sz w:val="18"/>
                <w:szCs w:val="18"/>
              </w:rPr>
            </w:pPr>
            <w:r>
              <w:rPr>
                <w:rFonts w:hint="eastAsia" w:ascii="宋体" w:hAnsi="宋体" w:eastAsia="宋体" w:cs="宋体"/>
                <w:b w:val="0"/>
                <w:bCs w:val="0"/>
                <w:sz w:val="18"/>
                <w:szCs w:val="18"/>
              </w:rPr>
              <w:t>6.配有醒目标识灯箱，主体材料：拉丝不锈钢和亚克力；</w:t>
            </w:r>
          </w:p>
        </w:tc>
      </w:tr>
      <w:tr w14:paraId="761BB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6947E702">
            <w:pPr>
              <w:jc w:val="center"/>
              <w:rPr>
                <w:rFonts w:hint="eastAsia"/>
                <w:b/>
                <w:bCs w:val="0"/>
                <w:szCs w:val="21"/>
              </w:rPr>
            </w:pPr>
          </w:p>
        </w:tc>
        <w:tc>
          <w:tcPr>
            <w:tcW w:w="1188" w:type="dxa"/>
            <w:vMerge w:val="continue"/>
            <w:vAlign w:val="center"/>
          </w:tcPr>
          <w:p w14:paraId="777E2F25">
            <w:pPr>
              <w:jc w:val="center"/>
              <w:rPr>
                <w:b/>
                <w:bCs w:val="0"/>
                <w:szCs w:val="21"/>
              </w:rPr>
            </w:pPr>
          </w:p>
        </w:tc>
        <w:tc>
          <w:tcPr>
            <w:tcW w:w="6372" w:type="dxa"/>
          </w:tcPr>
          <w:p w14:paraId="456C55E6">
            <w:pPr>
              <w:rPr>
                <w:rFonts w:hint="eastAsia" w:ascii="宋体" w:hAnsi="宋体" w:eastAsia="宋体" w:cs="宋体"/>
                <w:b w:val="0"/>
                <w:bCs w:val="0"/>
                <w:sz w:val="18"/>
                <w:szCs w:val="18"/>
              </w:rPr>
            </w:pPr>
            <w:r>
              <w:rPr>
                <w:rFonts w:hint="eastAsia" w:ascii="宋体" w:hAnsi="宋体" w:eastAsia="宋体" w:cs="宋体"/>
                <w:b w:val="0"/>
                <w:bCs w:val="0"/>
                <w:sz w:val="18"/>
                <w:szCs w:val="18"/>
              </w:rPr>
              <w:t>7.植物生长灯规格：输入电压：220v50hz；额定功</w:t>
            </w:r>
            <w:r>
              <w:rPr>
                <w:rFonts w:hint="eastAsia" w:ascii="宋体" w:hAnsi="宋体" w:eastAsia="宋体" w:cs="宋体"/>
                <w:b w:val="0"/>
                <w:bCs w:val="0"/>
                <w:sz w:val="18"/>
                <w:szCs w:val="18"/>
                <w:highlight w:val="none"/>
              </w:rPr>
              <w:t>率：不大于10w；</w:t>
            </w:r>
            <w:r>
              <w:rPr>
                <w:rFonts w:hint="eastAsia" w:ascii="宋体" w:hAnsi="宋体" w:eastAsia="宋体" w:cs="宋体"/>
                <w:b w:val="0"/>
                <w:bCs w:val="0"/>
                <w:sz w:val="18"/>
                <w:szCs w:val="18"/>
              </w:rPr>
              <w:t>光谱类型：全光谱；工作环境温度：-10℃~+40℃。</w:t>
            </w:r>
          </w:p>
        </w:tc>
      </w:tr>
      <w:tr w14:paraId="0C129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restart"/>
            <w:vAlign w:val="center"/>
          </w:tcPr>
          <w:p w14:paraId="650618B1">
            <w:pPr>
              <w:jc w:val="center"/>
              <w:rPr>
                <w:rFonts w:hint="default" w:eastAsia="宋体"/>
                <w:b/>
                <w:bCs w:val="0"/>
                <w:szCs w:val="21"/>
                <w:lang w:val="en-US" w:eastAsia="zh-CN"/>
              </w:rPr>
            </w:pPr>
            <w:r>
              <w:rPr>
                <w:rFonts w:hint="eastAsia"/>
                <w:b/>
                <w:bCs w:val="0"/>
                <w:szCs w:val="21"/>
                <w:lang w:val="en-US" w:eastAsia="zh-CN"/>
              </w:rPr>
              <w:t>14</w:t>
            </w:r>
          </w:p>
        </w:tc>
        <w:tc>
          <w:tcPr>
            <w:tcW w:w="1188" w:type="dxa"/>
            <w:vMerge w:val="restart"/>
            <w:vAlign w:val="center"/>
          </w:tcPr>
          <w:p w14:paraId="07681387">
            <w:pPr>
              <w:jc w:val="center"/>
              <w:rPr>
                <w:b/>
                <w:bCs w:val="0"/>
                <w:szCs w:val="21"/>
              </w:rPr>
            </w:pPr>
            <w:r>
              <w:rPr>
                <w:rFonts w:hint="eastAsia"/>
                <w:b/>
                <w:bCs w:val="0"/>
                <w:szCs w:val="21"/>
              </w:rPr>
              <w:t>可移动讲台</w:t>
            </w:r>
          </w:p>
        </w:tc>
        <w:tc>
          <w:tcPr>
            <w:tcW w:w="6372" w:type="dxa"/>
          </w:tcPr>
          <w:p w14:paraId="35951114">
            <w:pPr>
              <w:rPr>
                <w:rFonts w:hint="eastAsia" w:ascii="宋体" w:hAnsi="宋体" w:eastAsia="宋体" w:cs="宋体"/>
                <w:b w:val="0"/>
                <w:bCs w:val="0"/>
                <w:sz w:val="18"/>
                <w:szCs w:val="18"/>
              </w:rPr>
            </w:pPr>
            <w:r>
              <w:rPr>
                <w:rFonts w:hint="eastAsia"/>
              </w:rPr>
              <w:t>▲</w:t>
            </w:r>
            <w:r>
              <w:rPr>
                <w:rFonts w:hint="eastAsia" w:ascii="宋体" w:hAnsi="宋体" w:eastAsia="宋体" w:cs="宋体"/>
                <w:b w:val="0"/>
                <w:bCs w:val="0"/>
                <w:sz w:val="18"/>
                <w:szCs w:val="18"/>
              </w:rPr>
              <w:t>1、规格：可上下伸缩，桌面可平放可倾斜；</w:t>
            </w:r>
          </w:p>
        </w:tc>
      </w:tr>
      <w:tr w14:paraId="367C4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5C56A3DE">
            <w:pPr>
              <w:jc w:val="center"/>
              <w:rPr>
                <w:rFonts w:hint="eastAsia"/>
                <w:b/>
                <w:bCs w:val="0"/>
                <w:szCs w:val="21"/>
              </w:rPr>
            </w:pPr>
          </w:p>
        </w:tc>
        <w:tc>
          <w:tcPr>
            <w:tcW w:w="1188" w:type="dxa"/>
            <w:vMerge w:val="continue"/>
            <w:vAlign w:val="center"/>
          </w:tcPr>
          <w:p w14:paraId="6F6166E6">
            <w:pPr>
              <w:jc w:val="center"/>
              <w:rPr>
                <w:b/>
                <w:bCs w:val="0"/>
                <w:szCs w:val="21"/>
              </w:rPr>
            </w:pPr>
          </w:p>
        </w:tc>
        <w:tc>
          <w:tcPr>
            <w:tcW w:w="6372" w:type="dxa"/>
          </w:tcPr>
          <w:p w14:paraId="66B60083">
            <w:pPr>
              <w:rPr>
                <w:rFonts w:hint="eastAsia" w:ascii="宋体" w:hAnsi="宋体" w:eastAsia="宋体" w:cs="宋体"/>
                <w:b w:val="0"/>
                <w:bCs w:val="0"/>
                <w:sz w:val="18"/>
                <w:szCs w:val="18"/>
              </w:rPr>
            </w:pPr>
            <w:r>
              <w:rPr>
                <w:rFonts w:hint="eastAsia" w:ascii="宋体" w:hAnsi="宋体" w:eastAsia="宋体" w:cs="宋体"/>
                <w:b w:val="0"/>
                <w:bCs w:val="0"/>
                <w:sz w:val="18"/>
                <w:szCs w:val="18"/>
              </w:rPr>
              <w:t>2、台面材质及规格要求：桌面尺寸700mm(±10mm)（L）*500mm(±10mm)（W），主板材选用海洋板，板芯采用桦木多层板，厚度≥12mm；</w:t>
            </w:r>
          </w:p>
        </w:tc>
      </w:tr>
      <w:tr w14:paraId="16525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1A8668A2">
            <w:pPr>
              <w:jc w:val="center"/>
              <w:rPr>
                <w:rFonts w:hint="eastAsia"/>
                <w:b/>
                <w:bCs w:val="0"/>
                <w:szCs w:val="21"/>
              </w:rPr>
            </w:pPr>
          </w:p>
        </w:tc>
        <w:tc>
          <w:tcPr>
            <w:tcW w:w="1188" w:type="dxa"/>
            <w:vMerge w:val="continue"/>
            <w:vAlign w:val="center"/>
          </w:tcPr>
          <w:p w14:paraId="6562AA1D">
            <w:pPr>
              <w:jc w:val="center"/>
              <w:rPr>
                <w:b/>
                <w:bCs w:val="0"/>
                <w:szCs w:val="21"/>
              </w:rPr>
            </w:pPr>
          </w:p>
        </w:tc>
        <w:tc>
          <w:tcPr>
            <w:tcW w:w="6372" w:type="dxa"/>
          </w:tcPr>
          <w:p w14:paraId="0645CE7B">
            <w:pPr>
              <w:rPr>
                <w:rFonts w:hint="eastAsia" w:ascii="宋体" w:hAnsi="宋体" w:eastAsia="宋体" w:cs="宋体"/>
                <w:b w:val="0"/>
                <w:bCs w:val="0"/>
                <w:sz w:val="18"/>
                <w:szCs w:val="18"/>
              </w:rPr>
            </w:pPr>
            <w:r>
              <w:rPr>
                <w:rFonts w:hint="eastAsia" w:ascii="宋体" w:hAnsi="宋体" w:eastAsia="宋体" w:cs="宋体"/>
                <w:b w:val="0"/>
                <w:bCs w:val="0"/>
                <w:sz w:val="18"/>
                <w:szCs w:val="18"/>
              </w:rPr>
              <w:t>3.台面可前倾，台面下安装有调节气杆按钮，可通过气杆按钮控制台面升降和台面前倾角度。</w:t>
            </w:r>
          </w:p>
        </w:tc>
      </w:tr>
      <w:tr w14:paraId="0B00A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restart"/>
            <w:vAlign w:val="center"/>
          </w:tcPr>
          <w:p w14:paraId="713BCF95">
            <w:pPr>
              <w:jc w:val="center"/>
              <w:rPr>
                <w:rFonts w:hint="default" w:eastAsia="宋体"/>
                <w:b/>
                <w:bCs w:val="0"/>
                <w:szCs w:val="21"/>
                <w:lang w:val="en-US" w:eastAsia="zh-CN"/>
              </w:rPr>
            </w:pPr>
            <w:r>
              <w:rPr>
                <w:rFonts w:hint="eastAsia"/>
                <w:b/>
                <w:bCs w:val="0"/>
                <w:szCs w:val="21"/>
                <w:lang w:val="en-US" w:eastAsia="zh-CN"/>
              </w:rPr>
              <w:t>15</w:t>
            </w:r>
          </w:p>
        </w:tc>
        <w:tc>
          <w:tcPr>
            <w:tcW w:w="1188" w:type="dxa"/>
            <w:vMerge w:val="restart"/>
            <w:vAlign w:val="center"/>
          </w:tcPr>
          <w:p w14:paraId="010651FC">
            <w:pPr>
              <w:jc w:val="center"/>
              <w:rPr>
                <w:b/>
                <w:bCs w:val="0"/>
                <w:szCs w:val="21"/>
              </w:rPr>
            </w:pPr>
            <w:r>
              <w:rPr>
                <w:rFonts w:hint="eastAsia"/>
                <w:b/>
                <w:bCs w:val="0"/>
                <w:szCs w:val="21"/>
              </w:rPr>
              <w:t>互动触摸系统</w:t>
            </w:r>
          </w:p>
        </w:tc>
        <w:tc>
          <w:tcPr>
            <w:tcW w:w="6372" w:type="dxa"/>
          </w:tcPr>
          <w:p w14:paraId="45E33F5F">
            <w:pPr>
              <w:rPr>
                <w:rFonts w:hint="eastAsia" w:ascii="宋体" w:hAnsi="宋体" w:eastAsia="宋体" w:cs="宋体"/>
                <w:b w:val="0"/>
                <w:bCs w:val="0"/>
                <w:sz w:val="18"/>
                <w:szCs w:val="18"/>
              </w:rPr>
            </w:pPr>
            <w:r>
              <w:rPr>
                <w:rFonts w:hint="eastAsia" w:ascii="宋体" w:hAnsi="宋体" w:eastAsia="宋体" w:cs="宋体"/>
                <w:b w:val="0"/>
                <w:bCs w:val="0"/>
                <w:sz w:val="18"/>
                <w:szCs w:val="18"/>
              </w:rPr>
              <w:t>1.将任意大小的知形换成多点触控区域，实现用户与影像的触控互动；可达到触屏的效果，形成与屏幕内容的互动。</w:t>
            </w:r>
          </w:p>
        </w:tc>
      </w:tr>
      <w:tr w14:paraId="4A36E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15856518">
            <w:pPr>
              <w:jc w:val="center"/>
              <w:rPr>
                <w:rFonts w:hint="eastAsia"/>
                <w:b/>
                <w:bCs w:val="0"/>
                <w:szCs w:val="21"/>
              </w:rPr>
            </w:pPr>
          </w:p>
        </w:tc>
        <w:tc>
          <w:tcPr>
            <w:tcW w:w="1188" w:type="dxa"/>
            <w:vMerge w:val="continue"/>
            <w:vAlign w:val="center"/>
          </w:tcPr>
          <w:p w14:paraId="052D8BF9">
            <w:pPr>
              <w:jc w:val="center"/>
              <w:rPr>
                <w:b/>
                <w:bCs w:val="0"/>
                <w:szCs w:val="21"/>
              </w:rPr>
            </w:pPr>
          </w:p>
        </w:tc>
        <w:tc>
          <w:tcPr>
            <w:tcW w:w="6372" w:type="dxa"/>
          </w:tcPr>
          <w:p w14:paraId="3695BD5F">
            <w:pPr>
              <w:rPr>
                <w:rFonts w:hint="eastAsia" w:ascii="宋体" w:hAnsi="宋体" w:eastAsia="宋体" w:cs="宋体"/>
                <w:b w:val="0"/>
                <w:bCs w:val="0"/>
                <w:sz w:val="18"/>
                <w:szCs w:val="18"/>
              </w:rPr>
            </w:pPr>
            <w:r>
              <w:rPr>
                <w:rFonts w:hint="eastAsia" w:ascii="宋体" w:hAnsi="宋体" w:eastAsia="宋体" w:cs="宋体"/>
                <w:b w:val="0"/>
                <w:bCs w:val="0"/>
                <w:sz w:val="18"/>
                <w:szCs w:val="18"/>
              </w:rPr>
              <w:t>2.由红外像机和激光器组成；</w:t>
            </w:r>
          </w:p>
        </w:tc>
      </w:tr>
      <w:tr w14:paraId="29309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3293AB3C">
            <w:pPr>
              <w:jc w:val="center"/>
              <w:rPr>
                <w:rFonts w:hint="eastAsia"/>
                <w:b/>
                <w:bCs w:val="0"/>
                <w:szCs w:val="21"/>
              </w:rPr>
            </w:pPr>
          </w:p>
        </w:tc>
        <w:tc>
          <w:tcPr>
            <w:tcW w:w="1188" w:type="dxa"/>
            <w:vMerge w:val="continue"/>
            <w:vAlign w:val="center"/>
          </w:tcPr>
          <w:p w14:paraId="34875A4C">
            <w:pPr>
              <w:jc w:val="center"/>
              <w:rPr>
                <w:b/>
                <w:bCs w:val="0"/>
                <w:szCs w:val="21"/>
              </w:rPr>
            </w:pPr>
          </w:p>
        </w:tc>
        <w:tc>
          <w:tcPr>
            <w:tcW w:w="6372" w:type="dxa"/>
          </w:tcPr>
          <w:p w14:paraId="65091F7D">
            <w:pPr>
              <w:rPr>
                <w:rFonts w:hint="eastAsia" w:ascii="宋体" w:hAnsi="宋体" w:eastAsia="宋体" w:cs="宋体"/>
                <w:b w:val="0"/>
                <w:bCs w:val="0"/>
                <w:sz w:val="18"/>
                <w:szCs w:val="18"/>
              </w:rPr>
            </w:pPr>
            <w:r>
              <w:rPr>
                <w:rFonts w:hint="eastAsia" w:ascii="宋体" w:hAnsi="宋体" w:eastAsia="宋体" w:cs="宋体"/>
                <w:b w:val="0"/>
                <w:bCs w:val="0"/>
                <w:sz w:val="18"/>
                <w:szCs w:val="18"/>
              </w:rPr>
              <w:t>3.打造出多场景适配，高精准度的触控交互体系。</w:t>
            </w:r>
          </w:p>
        </w:tc>
      </w:tr>
      <w:tr w14:paraId="26C79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0" w:type="dxa"/>
            <w:vMerge w:val="restart"/>
            <w:vAlign w:val="center"/>
          </w:tcPr>
          <w:p w14:paraId="2F2D9AD0">
            <w:pPr>
              <w:jc w:val="center"/>
              <w:rPr>
                <w:rFonts w:hint="default" w:eastAsia="宋体"/>
                <w:b/>
                <w:bCs w:val="0"/>
                <w:szCs w:val="21"/>
                <w:lang w:val="en-US" w:eastAsia="zh-CN"/>
              </w:rPr>
            </w:pPr>
            <w:r>
              <w:rPr>
                <w:rFonts w:hint="eastAsia"/>
                <w:b/>
                <w:bCs w:val="0"/>
                <w:szCs w:val="21"/>
                <w:lang w:val="en-US" w:eastAsia="zh-CN"/>
              </w:rPr>
              <w:t>16</w:t>
            </w:r>
          </w:p>
        </w:tc>
        <w:tc>
          <w:tcPr>
            <w:tcW w:w="1188" w:type="dxa"/>
            <w:vMerge w:val="restart"/>
            <w:vAlign w:val="center"/>
          </w:tcPr>
          <w:p w14:paraId="62EE206B">
            <w:pPr>
              <w:jc w:val="center"/>
              <w:rPr>
                <w:b/>
                <w:bCs w:val="0"/>
                <w:szCs w:val="21"/>
              </w:rPr>
            </w:pPr>
            <w:r>
              <w:rPr>
                <w:rFonts w:hint="eastAsia"/>
                <w:b/>
                <w:bCs w:val="0"/>
                <w:szCs w:val="21"/>
              </w:rPr>
              <w:t>边缘融合拼接系统</w:t>
            </w:r>
          </w:p>
        </w:tc>
        <w:tc>
          <w:tcPr>
            <w:tcW w:w="6372" w:type="dxa"/>
          </w:tcPr>
          <w:p w14:paraId="28DDAF74">
            <w:pPr>
              <w:rPr>
                <w:rFonts w:hint="eastAsia" w:ascii="宋体" w:hAnsi="宋体" w:eastAsia="宋体" w:cs="宋体"/>
                <w:b w:val="0"/>
                <w:bCs w:val="0"/>
                <w:sz w:val="18"/>
                <w:szCs w:val="18"/>
              </w:rPr>
            </w:pPr>
            <w:r>
              <w:rPr>
                <w:rFonts w:hint="eastAsia" w:ascii="宋体" w:hAnsi="宋体" w:eastAsia="宋体" w:cs="宋体"/>
                <w:b w:val="0"/>
                <w:bCs w:val="0"/>
                <w:sz w:val="18"/>
                <w:szCs w:val="18"/>
              </w:rPr>
              <w:t>1.将多台投影机的画面无缝衔接成一个整体大画面；矫正不规则画面进行对位调整产通道平面/外面融合/S形曲面及不规则幕面校正；</w:t>
            </w:r>
          </w:p>
        </w:tc>
      </w:tr>
      <w:tr w14:paraId="6CB85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551705F3">
            <w:pPr>
              <w:jc w:val="center"/>
              <w:rPr>
                <w:rFonts w:hint="eastAsia"/>
                <w:b/>
                <w:bCs w:val="0"/>
                <w:szCs w:val="21"/>
              </w:rPr>
            </w:pPr>
          </w:p>
        </w:tc>
        <w:tc>
          <w:tcPr>
            <w:tcW w:w="1188" w:type="dxa"/>
            <w:vMerge w:val="continue"/>
            <w:vAlign w:val="center"/>
          </w:tcPr>
          <w:p w14:paraId="7D08777C">
            <w:pPr>
              <w:jc w:val="center"/>
              <w:rPr>
                <w:b/>
                <w:bCs w:val="0"/>
                <w:szCs w:val="21"/>
              </w:rPr>
            </w:pPr>
          </w:p>
        </w:tc>
        <w:tc>
          <w:tcPr>
            <w:tcW w:w="6372" w:type="dxa"/>
          </w:tcPr>
          <w:p w14:paraId="0BE19AD2">
            <w:pPr>
              <w:rPr>
                <w:rFonts w:hint="eastAsia" w:ascii="宋体" w:hAnsi="宋体" w:eastAsia="宋体" w:cs="宋体"/>
                <w:b w:val="0"/>
                <w:bCs w:val="0"/>
                <w:sz w:val="18"/>
                <w:szCs w:val="18"/>
              </w:rPr>
            </w:pPr>
            <w:r>
              <w:rPr>
                <w:rFonts w:hint="eastAsia" w:ascii="宋体" w:hAnsi="宋体" w:eastAsia="宋体" w:cs="宋体"/>
                <w:b w:val="0"/>
                <w:bCs w:val="0"/>
                <w:sz w:val="18"/>
                <w:szCs w:val="18"/>
              </w:rPr>
              <w:t>2.支持像素级别几何校正;融合精度:1/16个像素；最高分辨率:8K;</w:t>
            </w:r>
          </w:p>
        </w:tc>
      </w:tr>
      <w:tr w14:paraId="4DBB0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46D6D71F">
            <w:pPr>
              <w:jc w:val="center"/>
              <w:rPr>
                <w:rFonts w:hint="eastAsia"/>
                <w:b/>
                <w:bCs w:val="0"/>
                <w:szCs w:val="21"/>
              </w:rPr>
            </w:pPr>
          </w:p>
        </w:tc>
        <w:tc>
          <w:tcPr>
            <w:tcW w:w="1188" w:type="dxa"/>
            <w:vMerge w:val="continue"/>
            <w:vAlign w:val="center"/>
          </w:tcPr>
          <w:p w14:paraId="18DA3700">
            <w:pPr>
              <w:jc w:val="center"/>
              <w:rPr>
                <w:b/>
                <w:bCs w:val="0"/>
                <w:szCs w:val="21"/>
              </w:rPr>
            </w:pPr>
          </w:p>
        </w:tc>
        <w:tc>
          <w:tcPr>
            <w:tcW w:w="6372" w:type="dxa"/>
          </w:tcPr>
          <w:p w14:paraId="55C41E97">
            <w:pPr>
              <w:rPr>
                <w:rFonts w:hint="eastAsia" w:ascii="宋体" w:hAnsi="宋体" w:eastAsia="宋体" w:cs="宋体"/>
                <w:b w:val="0"/>
                <w:bCs w:val="0"/>
                <w:sz w:val="18"/>
                <w:szCs w:val="18"/>
              </w:rPr>
            </w:pPr>
            <w:r>
              <w:rPr>
                <w:rFonts w:hint="eastAsia" w:ascii="宋体" w:hAnsi="宋体" w:eastAsia="宋体" w:cs="宋体"/>
                <w:b w:val="0"/>
                <w:bCs w:val="0"/>
                <w:sz w:val="18"/>
                <w:szCs w:val="18"/>
              </w:rPr>
              <w:t>3.支持局域网控制;支持重启自动恢复;CJ-NetPlayer播放控制系统(调用显卡PureVdeoHD功能，高速解码高分辨率视频);CJ-Sync交互控制系统;CJ-PixelStorm(优化CPU运算):</w:t>
            </w:r>
          </w:p>
        </w:tc>
      </w:tr>
      <w:tr w14:paraId="62FE5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restart"/>
            <w:vAlign w:val="center"/>
          </w:tcPr>
          <w:p w14:paraId="7BCDCA07">
            <w:pPr>
              <w:jc w:val="center"/>
              <w:rPr>
                <w:rFonts w:hint="default" w:eastAsia="宋体"/>
                <w:b/>
                <w:bCs w:val="0"/>
                <w:szCs w:val="21"/>
                <w:lang w:val="en-US" w:eastAsia="zh-CN"/>
              </w:rPr>
            </w:pPr>
            <w:r>
              <w:rPr>
                <w:rFonts w:hint="eastAsia"/>
                <w:b/>
                <w:bCs w:val="0"/>
                <w:szCs w:val="21"/>
                <w:lang w:val="en-US" w:eastAsia="zh-CN"/>
              </w:rPr>
              <w:t>17</w:t>
            </w:r>
          </w:p>
        </w:tc>
        <w:tc>
          <w:tcPr>
            <w:tcW w:w="1188" w:type="dxa"/>
            <w:vMerge w:val="restart"/>
            <w:vAlign w:val="center"/>
          </w:tcPr>
          <w:p w14:paraId="5351E128">
            <w:pPr>
              <w:jc w:val="center"/>
              <w:rPr>
                <w:b/>
                <w:bCs w:val="0"/>
                <w:szCs w:val="21"/>
              </w:rPr>
            </w:pPr>
            <w:r>
              <w:rPr>
                <w:rFonts w:hint="eastAsia"/>
                <w:b/>
                <w:bCs w:val="0"/>
                <w:szCs w:val="21"/>
              </w:rPr>
              <w:t>磁吸白板墙面</w:t>
            </w:r>
          </w:p>
        </w:tc>
        <w:tc>
          <w:tcPr>
            <w:tcW w:w="6372" w:type="dxa"/>
          </w:tcPr>
          <w:p w14:paraId="3B9F67CF">
            <w:pPr>
              <w:rPr>
                <w:rFonts w:hint="eastAsia" w:ascii="宋体" w:hAnsi="宋体" w:eastAsia="宋体" w:cs="宋体"/>
                <w:b w:val="0"/>
                <w:bCs w:val="0"/>
                <w:sz w:val="18"/>
                <w:szCs w:val="18"/>
              </w:rPr>
            </w:pPr>
            <w:r>
              <w:rPr>
                <w:rFonts w:hint="eastAsia"/>
              </w:rPr>
              <w:t>▲</w:t>
            </w:r>
            <w:r>
              <w:rPr>
                <w:rFonts w:hint="eastAsia" w:ascii="宋体" w:hAnsi="宋体" w:eastAsia="宋体" w:cs="宋体"/>
                <w:b w:val="0"/>
                <w:bCs w:val="0"/>
                <w:sz w:val="18"/>
                <w:szCs w:val="18"/>
              </w:rPr>
              <w:t>1.墙面至少存在四层复合结构，至少包含1层磁力涂层</w:t>
            </w:r>
          </w:p>
        </w:tc>
      </w:tr>
      <w:tr w14:paraId="329C4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1C9C95D4">
            <w:pPr>
              <w:jc w:val="center"/>
              <w:rPr>
                <w:rFonts w:hint="eastAsia"/>
                <w:b/>
                <w:bCs w:val="0"/>
                <w:szCs w:val="21"/>
              </w:rPr>
            </w:pPr>
          </w:p>
        </w:tc>
        <w:tc>
          <w:tcPr>
            <w:tcW w:w="1188" w:type="dxa"/>
            <w:vMerge w:val="continue"/>
            <w:vAlign w:val="center"/>
          </w:tcPr>
          <w:p w14:paraId="1D560B8C">
            <w:pPr>
              <w:jc w:val="center"/>
              <w:rPr>
                <w:b/>
                <w:bCs w:val="0"/>
                <w:szCs w:val="21"/>
              </w:rPr>
            </w:pPr>
          </w:p>
        </w:tc>
        <w:tc>
          <w:tcPr>
            <w:tcW w:w="6372" w:type="dxa"/>
          </w:tcPr>
          <w:p w14:paraId="60365347">
            <w:pPr>
              <w:rPr>
                <w:rFonts w:hint="eastAsia" w:ascii="宋体" w:hAnsi="宋体" w:eastAsia="宋体" w:cs="宋体"/>
                <w:b w:val="0"/>
                <w:bCs w:val="0"/>
                <w:sz w:val="18"/>
                <w:szCs w:val="18"/>
              </w:rPr>
            </w:pPr>
            <w:r>
              <w:rPr>
                <w:rFonts w:hint="eastAsia" w:ascii="宋体" w:hAnsi="宋体" w:eastAsia="宋体" w:cs="宋体"/>
                <w:b w:val="0"/>
                <w:bCs w:val="0"/>
                <w:sz w:val="18"/>
                <w:szCs w:val="18"/>
              </w:rPr>
              <w:t>2.板漆材质选取丙烯酸酯共聚物、无铅颜料墙面、水性酵酸；</w:t>
            </w:r>
          </w:p>
        </w:tc>
      </w:tr>
      <w:tr w14:paraId="4B79A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7D653222">
            <w:pPr>
              <w:jc w:val="center"/>
              <w:rPr>
                <w:rFonts w:hint="eastAsia"/>
                <w:b/>
                <w:bCs w:val="0"/>
                <w:szCs w:val="21"/>
              </w:rPr>
            </w:pPr>
          </w:p>
        </w:tc>
        <w:tc>
          <w:tcPr>
            <w:tcW w:w="1188" w:type="dxa"/>
            <w:vMerge w:val="continue"/>
            <w:vAlign w:val="center"/>
          </w:tcPr>
          <w:p w14:paraId="23A3EAC8">
            <w:pPr>
              <w:jc w:val="center"/>
              <w:rPr>
                <w:b/>
                <w:bCs w:val="0"/>
                <w:szCs w:val="21"/>
              </w:rPr>
            </w:pPr>
          </w:p>
        </w:tc>
        <w:tc>
          <w:tcPr>
            <w:tcW w:w="6372" w:type="dxa"/>
          </w:tcPr>
          <w:p w14:paraId="4D520AC2">
            <w:pPr>
              <w:rPr>
                <w:rFonts w:hint="eastAsia" w:ascii="宋体" w:hAnsi="宋体" w:eastAsia="宋体" w:cs="宋体"/>
                <w:b w:val="0"/>
                <w:bCs w:val="0"/>
                <w:sz w:val="18"/>
                <w:szCs w:val="18"/>
              </w:rPr>
            </w:pPr>
            <w:r>
              <w:rPr>
                <w:rFonts w:hint="eastAsia" w:ascii="宋体" w:hAnsi="宋体" w:eastAsia="宋体" w:cs="宋体"/>
                <w:b w:val="0"/>
                <w:bCs w:val="0"/>
                <w:sz w:val="18"/>
                <w:szCs w:val="18"/>
              </w:rPr>
              <w:t>3.板漆施工不可出现明显开裂、掉漆等影响使用的现象</w:t>
            </w:r>
          </w:p>
        </w:tc>
      </w:tr>
      <w:tr w14:paraId="66C36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6D990C39">
            <w:pPr>
              <w:jc w:val="center"/>
              <w:rPr>
                <w:rFonts w:hint="eastAsia"/>
                <w:b/>
                <w:bCs w:val="0"/>
                <w:szCs w:val="21"/>
              </w:rPr>
            </w:pPr>
          </w:p>
        </w:tc>
        <w:tc>
          <w:tcPr>
            <w:tcW w:w="1188" w:type="dxa"/>
            <w:vMerge w:val="continue"/>
            <w:vAlign w:val="center"/>
          </w:tcPr>
          <w:p w14:paraId="202F5E80">
            <w:pPr>
              <w:jc w:val="center"/>
              <w:rPr>
                <w:b/>
                <w:bCs w:val="0"/>
                <w:szCs w:val="21"/>
              </w:rPr>
            </w:pPr>
          </w:p>
        </w:tc>
        <w:tc>
          <w:tcPr>
            <w:tcW w:w="6372" w:type="dxa"/>
          </w:tcPr>
          <w:p w14:paraId="2CE389D5">
            <w:pPr>
              <w:rPr>
                <w:rFonts w:hint="eastAsia" w:ascii="宋体" w:hAnsi="宋体" w:eastAsia="宋体" w:cs="宋体"/>
                <w:b w:val="0"/>
                <w:bCs w:val="0"/>
                <w:sz w:val="18"/>
                <w:szCs w:val="18"/>
              </w:rPr>
            </w:pPr>
            <w:r>
              <w:rPr>
                <w:rFonts w:hint="eastAsia"/>
              </w:rPr>
              <w:t>▲</w:t>
            </w:r>
            <w:r>
              <w:rPr>
                <w:rFonts w:hint="eastAsia" w:ascii="宋体" w:hAnsi="宋体" w:eastAsia="宋体" w:cs="宋体"/>
                <w:b w:val="0"/>
                <w:bCs w:val="0"/>
                <w:sz w:val="18"/>
                <w:szCs w:val="18"/>
              </w:rPr>
              <w:t>4.功能：（1）磁吸墙面需支持磁铁磁吸功能 （2）磁吸墙面需支持手写擦除功能 （3）磁吸墙面需不影响投影使用，包含但不仅限于强烈反光、视频出缝等 （4）支持触控与投影相结合</w:t>
            </w:r>
          </w:p>
        </w:tc>
      </w:tr>
      <w:tr w14:paraId="402C3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restart"/>
            <w:vAlign w:val="center"/>
          </w:tcPr>
          <w:p w14:paraId="743C5CBC">
            <w:pPr>
              <w:jc w:val="center"/>
              <w:rPr>
                <w:rFonts w:hint="default" w:eastAsia="宋体"/>
                <w:b/>
                <w:bCs w:val="0"/>
                <w:szCs w:val="21"/>
                <w:lang w:val="en-US" w:eastAsia="zh-CN"/>
              </w:rPr>
            </w:pPr>
            <w:r>
              <w:rPr>
                <w:rFonts w:hint="eastAsia"/>
                <w:b/>
                <w:bCs w:val="0"/>
                <w:szCs w:val="21"/>
                <w:lang w:val="en-US" w:eastAsia="zh-CN"/>
              </w:rPr>
              <w:t>18</w:t>
            </w:r>
          </w:p>
        </w:tc>
        <w:tc>
          <w:tcPr>
            <w:tcW w:w="1188" w:type="dxa"/>
            <w:vMerge w:val="restart"/>
            <w:vAlign w:val="center"/>
          </w:tcPr>
          <w:p w14:paraId="4F8A1EF5">
            <w:pPr>
              <w:jc w:val="center"/>
              <w:rPr>
                <w:b/>
                <w:bCs w:val="0"/>
                <w:szCs w:val="21"/>
              </w:rPr>
            </w:pPr>
            <w:r>
              <w:rPr>
                <w:rFonts w:hint="eastAsia"/>
                <w:b/>
                <w:bCs w:val="0"/>
                <w:szCs w:val="21"/>
              </w:rPr>
              <w:t>无感拾音扩音系统</w:t>
            </w:r>
          </w:p>
        </w:tc>
        <w:tc>
          <w:tcPr>
            <w:tcW w:w="6372" w:type="dxa"/>
          </w:tcPr>
          <w:p w14:paraId="500B95DA">
            <w:pP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1.音响：频率响应:125HZ-12KHZ(±3DB)全频单元:5x4.25"(108MM)/1"(25MM音圈)标称阻抗:40HM灵 敏 度:99DB SPL额定功率:15OW (AES)最大声压级:121DB SPL/127DB SPL PEAK</w:t>
            </w:r>
          </w:p>
        </w:tc>
      </w:tr>
      <w:tr w14:paraId="524AA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71B73F37">
            <w:pPr>
              <w:jc w:val="center"/>
              <w:rPr>
                <w:rFonts w:hint="eastAsia"/>
                <w:b/>
                <w:bCs w:val="0"/>
                <w:szCs w:val="21"/>
              </w:rPr>
            </w:pPr>
          </w:p>
        </w:tc>
        <w:tc>
          <w:tcPr>
            <w:tcW w:w="1188" w:type="dxa"/>
            <w:vMerge w:val="continue"/>
            <w:vAlign w:val="center"/>
          </w:tcPr>
          <w:p w14:paraId="316092DC">
            <w:pPr>
              <w:jc w:val="center"/>
              <w:rPr>
                <w:b/>
                <w:bCs w:val="0"/>
                <w:szCs w:val="21"/>
              </w:rPr>
            </w:pPr>
          </w:p>
        </w:tc>
        <w:tc>
          <w:tcPr>
            <w:tcW w:w="6372" w:type="dxa"/>
          </w:tcPr>
          <w:p w14:paraId="78057A4E">
            <w:pPr>
              <w:rPr>
                <w:rFonts w:hint="eastAsia" w:ascii="宋体" w:hAnsi="宋体" w:eastAsia="宋体" w:cs="宋体"/>
                <w:b w:val="0"/>
                <w:bCs w:val="0"/>
                <w:sz w:val="18"/>
                <w:szCs w:val="18"/>
                <w:lang w:val="en-US" w:eastAsia="zh-CN"/>
              </w:rPr>
            </w:pPr>
            <w:r>
              <w:rPr>
                <w:rFonts w:hint="eastAsia" w:ascii="宋体" w:hAnsi="宋体" w:eastAsia="宋体" w:cs="宋体"/>
                <w:b w:val="0"/>
                <w:bCs w:val="0"/>
                <w:sz w:val="18"/>
                <w:szCs w:val="18"/>
                <w:lang w:val="en-US" w:eastAsia="zh-CN"/>
              </w:rPr>
              <w:t>2.阵列麦克风：拾音距离:6米清晰拾音，麦克风数量:2个（内置阵列麦克风个数共计6个），频率响应:100-20KHZ，失真度:小于等于0.1%，存储温度:-20°C~70°C，麦克风阵列指向性:180°扇形指向拾音，灵 敏 度:-37DB士3DB，信噪比:70DB，工作温度:-10°C~50°C</w:t>
            </w:r>
          </w:p>
        </w:tc>
      </w:tr>
      <w:tr w14:paraId="1F889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restart"/>
            <w:vAlign w:val="center"/>
          </w:tcPr>
          <w:p w14:paraId="63A39DB6">
            <w:pPr>
              <w:jc w:val="center"/>
              <w:rPr>
                <w:rFonts w:hint="default" w:eastAsia="宋体"/>
                <w:b/>
                <w:bCs w:val="0"/>
                <w:szCs w:val="21"/>
                <w:lang w:val="en-US" w:eastAsia="zh-CN"/>
              </w:rPr>
            </w:pPr>
            <w:r>
              <w:rPr>
                <w:rFonts w:hint="eastAsia"/>
                <w:b/>
                <w:bCs w:val="0"/>
                <w:szCs w:val="21"/>
                <w:lang w:val="en-US" w:eastAsia="zh-CN"/>
              </w:rPr>
              <w:t>19</w:t>
            </w:r>
          </w:p>
        </w:tc>
        <w:tc>
          <w:tcPr>
            <w:tcW w:w="1188" w:type="dxa"/>
            <w:vMerge w:val="restart"/>
            <w:vAlign w:val="center"/>
          </w:tcPr>
          <w:p w14:paraId="56BACD14">
            <w:pPr>
              <w:jc w:val="center"/>
              <w:rPr>
                <w:b/>
                <w:bCs w:val="0"/>
                <w:szCs w:val="21"/>
              </w:rPr>
            </w:pPr>
            <w:r>
              <w:rPr>
                <w:rFonts w:hint="eastAsia"/>
                <w:b/>
                <w:bCs w:val="0"/>
                <w:szCs w:val="21"/>
              </w:rPr>
              <w:t>物联系统</w:t>
            </w:r>
          </w:p>
        </w:tc>
        <w:tc>
          <w:tcPr>
            <w:tcW w:w="6372" w:type="dxa"/>
          </w:tcPr>
          <w:p w14:paraId="6F1622B3">
            <w:pPr>
              <w:rPr>
                <w:rFonts w:hint="eastAsia" w:ascii="宋体" w:hAnsi="宋体" w:eastAsia="宋体" w:cs="宋体"/>
                <w:b w:val="0"/>
                <w:bCs w:val="0"/>
                <w:sz w:val="18"/>
                <w:szCs w:val="18"/>
                <w:highlight w:val="none"/>
              </w:rPr>
            </w:pPr>
            <w:r>
              <w:rPr>
                <w:rFonts w:hint="eastAsia" w:ascii="宋体" w:hAnsi="宋体" w:eastAsia="宋体" w:cs="宋体"/>
                <w:b w:val="0"/>
                <w:bCs w:val="0"/>
                <w:sz w:val="18"/>
                <w:szCs w:val="18"/>
                <w:highlight w:val="none"/>
                <w:lang w:val="en-US" w:eastAsia="zh-CN"/>
              </w:rPr>
              <w:t>1.</w:t>
            </w:r>
            <w:r>
              <w:rPr>
                <w:rFonts w:hint="eastAsia" w:ascii="宋体" w:hAnsi="宋体" w:eastAsia="宋体" w:cs="宋体"/>
                <w:b w:val="0"/>
                <w:bCs w:val="0"/>
                <w:sz w:val="18"/>
                <w:szCs w:val="18"/>
                <w:highlight w:val="none"/>
              </w:rPr>
              <w:t>类型与功能：配备温湿度传感器、光照传感器、空气质量传感器等多种环境监测传感器。各类传感器须具备高精度的实时监测能力，能够准确采集教室环境中的温湿度、光照强度、空气质量（如 PM2.5、二氧化碳浓度等）数据，并通过物联网技术实时传输至智能系统。能与教室智能系统实现无缝联动，具有通过物联网技术实时传输至核心系统和软件运行平台的功能</w:t>
            </w:r>
          </w:p>
        </w:tc>
      </w:tr>
      <w:tr w14:paraId="042CC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307A1D44">
            <w:pPr>
              <w:jc w:val="center"/>
              <w:rPr>
                <w:rFonts w:hint="eastAsia"/>
                <w:b/>
                <w:bCs w:val="0"/>
                <w:szCs w:val="21"/>
              </w:rPr>
            </w:pPr>
          </w:p>
        </w:tc>
        <w:tc>
          <w:tcPr>
            <w:tcW w:w="1188" w:type="dxa"/>
            <w:vMerge w:val="continue"/>
            <w:vAlign w:val="center"/>
          </w:tcPr>
          <w:p w14:paraId="14F350FF">
            <w:pPr>
              <w:jc w:val="center"/>
              <w:rPr>
                <w:b/>
                <w:bCs w:val="0"/>
                <w:szCs w:val="21"/>
              </w:rPr>
            </w:pPr>
          </w:p>
        </w:tc>
        <w:tc>
          <w:tcPr>
            <w:tcW w:w="6372" w:type="dxa"/>
          </w:tcPr>
          <w:p w14:paraId="57BEEE7E">
            <w:pPr>
              <w:rPr>
                <w:rFonts w:hint="eastAsia" w:ascii="宋体" w:hAnsi="宋体" w:eastAsia="宋体" w:cs="宋体"/>
                <w:b w:val="0"/>
                <w:bCs w:val="0"/>
                <w:sz w:val="18"/>
                <w:szCs w:val="18"/>
                <w:highlight w:val="none"/>
              </w:rPr>
            </w:pPr>
            <w:r>
              <w:rPr>
                <w:rFonts w:hint="eastAsia" w:ascii="宋体" w:hAnsi="宋体" w:eastAsia="宋体" w:cs="宋体"/>
                <w:b w:val="0"/>
                <w:bCs w:val="0"/>
                <w:sz w:val="18"/>
                <w:szCs w:val="18"/>
                <w:highlight w:val="none"/>
                <w:lang w:val="en-US" w:eastAsia="zh-CN"/>
              </w:rPr>
              <w:t>2.</w:t>
            </w:r>
            <w:r>
              <w:rPr>
                <w:rFonts w:hint="eastAsia" w:ascii="宋体" w:hAnsi="宋体" w:eastAsia="宋体" w:cs="宋体"/>
                <w:b w:val="0"/>
                <w:bCs w:val="0"/>
                <w:sz w:val="18"/>
                <w:szCs w:val="18"/>
                <w:highlight w:val="none"/>
              </w:rPr>
              <w:t>各类传感器须具备高精度的实时监测能力，能够准确采集教室环境中的温湿度、光照强度、空气质量（如 PM2.5、二氧化碳浓度等）数据，并通过物联网技术实时传输至智能系统。RFID 数字资产标签应能准确识别和追踪教室中的设备、教具等资产信息。能与教室智能系统实现无缝联动，具有通过物联网技术实时传输至核心系统和软件运行平台的功能</w:t>
            </w:r>
          </w:p>
        </w:tc>
      </w:tr>
      <w:tr w14:paraId="61F54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restart"/>
            <w:vAlign w:val="center"/>
          </w:tcPr>
          <w:p w14:paraId="142F66DA">
            <w:pPr>
              <w:jc w:val="center"/>
              <w:rPr>
                <w:rFonts w:hint="default" w:eastAsia="宋体"/>
                <w:b/>
                <w:bCs w:val="0"/>
                <w:szCs w:val="21"/>
                <w:lang w:val="en-US" w:eastAsia="zh-CN"/>
              </w:rPr>
            </w:pPr>
            <w:r>
              <w:rPr>
                <w:rFonts w:hint="eastAsia"/>
                <w:b/>
                <w:bCs w:val="0"/>
                <w:szCs w:val="21"/>
                <w:lang w:val="en-US" w:eastAsia="zh-CN"/>
              </w:rPr>
              <w:t>20</w:t>
            </w:r>
          </w:p>
        </w:tc>
        <w:tc>
          <w:tcPr>
            <w:tcW w:w="1188" w:type="dxa"/>
            <w:vMerge w:val="restart"/>
            <w:vAlign w:val="center"/>
          </w:tcPr>
          <w:p w14:paraId="42F6B63D">
            <w:pPr>
              <w:jc w:val="center"/>
              <w:rPr>
                <w:b/>
                <w:bCs w:val="0"/>
                <w:szCs w:val="21"/>
              </w:rPr>
            </w:pPr>
            <w:r>
              <w:rPr>
                <w:rFonts w:hint="eastAsia"/>
                <w:b/>
                <w:bCs w:val="0"/>
                <w:szCs w:val="21"/>
              </w:rPr>
              <w:t>录播系统</w:t>
            </w:r>
          </w:p>
        </w:tc>
        <w:tc>
          <w:tcPr>
            <w:tcW w:w="6372" w:type="dxa"/>
          </w:tcPr>
          <w:p w14:paraId="0C38D10F">
            <w:pPr>
              <w:rPr>
                <w:rFonts w:hint="eastAsia" w:ascii="宋体" w:hAnsi="宋体" w:eastAsia="宋体" w:cs="宋体"/>
                <w:b w:val="0"/>
                <w:bCs w:val="0"/>
                <w:sz w:val="18"/>
                <w:szCs w:val="18"/>
              </w:rPr>
            </w:pPr>
            <w:r>
              <w:rPr>
                <w:rFonts w:hint="eastAsia" w:ascii="宋体" w:hAnsi="宋体" w:eastAsia="宋体" w:cs="宋体"/>
                <w:b w:val="0"/>
                <w:bCs w:val="0"/>
                <w:sz w:val="18"/>
                <w:szCs w:val="18"/>
              </w:rPr>
              <w:t>1.录播主机：录播主机功能高度集成化需同时具备录制、导播、存储、点播、互动多功能功于一体；（1）具备数据采集、整合、分析教学过程行为音视频数据信息的教学课程录播功能。</w:t>
            </w:r>
          </w:p>
          <w:p w14:paraId="7F7CB548">
            <w:pPr>
              <w:rPr>
                <w:rFonts w:hint="eastAsia" w:ascii="宋体" w:hAnsi="宋体" w:eastAsia="宋体" w:cs="宋体"/>
                <w:b w:val="0"/>
                <w:bCs w:val="0"/>
                <w:sz w:val="18"/>
                <w:szCs w:val="18"/>
              </w:rPr>
            </w:pPr>
            <w:r>
              <w:rPr>
                <w:rFonts w:hint="eastAsia" w:ascii="宋体" w:hAnsi="宋体" w:eastAsia="宋体" w:cs="宋体"/>
                <w:b w:val="0"/>
                <w:bCs w:val="0"/>
                <w:sz w:val="18"/>
                <w:szCs w:val="18"/>
              </w:rPr>
              <w:t>（2）满足课堂录制、同步课堂、协同共享、互动教学、直播点播的使用需求。</w:t>
            </w:r>
          </w:p>
          <w:p w14:paraId="52E04F91">
            <w:pPr>
              <w:rPr>
                <w:rFonts w:hint="eastAsia" w:ascii="宋体" w:hAnsi="宋体" w:eastAsia="宋体" w:cs="宋体"/>
                <w:b w:val="0"/>
                <w:bCs w:val="0"/>
                <w:sz w:val="18"/>
                <w:szCs w:val="18"/>
              </w:rPr>
            </w:pPr>
            <w:r>
              <w:rPr>
                <w:rFonts w:hint="eastAsia" w:ascii="宋体" w:hAnsi="宋体" w:eastAsia="宋体" w:cs="宋体"/>
                <w:b w:val="0"/>
                <w:bCs w:val="0"/>
                <w:sz w:val="18"/>
                <w:szCs w:val="18"/>
              </w:rPr>
              <w:t>（3）具有AI语音识别、教师授课与学生课堂学习行为分析功能。</w:t>
            </w:r>
          </w:p>
          <w:p w14:paraId="2A99D2D4">
            <w:pPr>
              <w:rPr>
                <w:rFonts w:hint="eastAsia" w:ascii="宋体" w:hAnsi="宋体" w:eastAsia="宋体" w:cs="宋体"/>
                <w:b w:val="0"/>
                <w:bCs w:val="0"/>
                <w:sz w:val="18"/>
                <w:szCs w:val="18"/>
              </w:rPr>
            </w:pPr>
            <w:r>
              <w:rPr>
                <w:rFonts w:hint="eastAsia" w:ascii="宋体" w:hAnsi="宋体" w:eastAsia="宋体" w:cs="宋体"/>
                <w:b w:val="0"/>
                <w:bCs w:val="0"/>
                <w:sz w:val="18"/>
                <w:szCs w:val="18"/>
              </w:rPr>
              <w:t>（4）具备可实现AI自动评课功能与评价，快速生成评价报告的扩展功能。（5）嵌入式架构的录播主机应具有环保特性，需采用不高于DC60V的电压供电，整机正常工作状态下功耗不超过50W；（6）主机支持≥4路D-Video输入、≥2路HDMI输入；≥2路HDMI输出，且输入输出分辨率均支持1080P@30fps；</w:t>
            </w:r>
          </w:p>
        </w:tc>
      </w:tr>
      <w:tr w14:paraId="4FA3B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2BDA601E">
            <w:pPr>
              <w:jc w:val="center"/>
              <w:rPr>
                <w:rFonts w:hint="eastAsia"/>
                <w:b/>
                <w:bCs w:val="0"/>
                <w:szCs w:val="21"/>
              </w:rPr>
            </w:pPr>
          </w:p>
        </w:tc>
        <w:tc>
          <w:tcPr>
            <w:tcW w:w="1188" w:type="dxa"/>
            <w:vMerge w:val="continue"/>
            <w:vAlign w:val="center"/>
          </w:tcPr>
          <w:p w14:paraId="3B12704D">
            <w:pPr>
              <w:jc w:val="center"/>
              <w:rPr>
                <w:b/>
                <w:bCs w:val="0"/>
                <w:szCs w:val="21"/>
              </w:rPr>
            </w:pPr>
          </w:p>
        </w:tc>
        <w:tc>
          <w:tcPr>
            <w:tcW w:w="6372" w:type="dxa"/>
          </w:tcPr>
          <w:p w14:paraId="265070C4">
            <w:pPr>
              <w:rPr>
                <w:rFonts w:hint="eastAsia" w:ascii="宋体" w:hAnsi="宋体" w:eastAsia="宋体" w:cs="宋体"/>
                <w:b w:val="0"/>
                <w:bCs w:val="0"/>
                <w:sz w:val="18"/>
                <w:szCs w:val="18"/>
              </w:rPr>
            </w:pPr>
            <w:r>
              <w:rPr>
                <w:rFonts w:hint="eastAsia" w:ascii="宋体" w:hAnsi="宋体" w:eastAsia="宋体" w:cs="宋体"/>
                <w:b w:val="0"/>
                <w:bCs w:val="0"/>
                <w:sz w:val="18"/>
                <w:szCs w:val="18"/>
              </w:rPr>
              <w:t>2.学生高清摄像机：传感器类型：CMOS、≥1/2.5英寸；采用逐行扫描模式，有效像素≥1100万；采用2D和基于运动估计的3D降噪算法；最大水平视场角≥80°，最大垂直视场角≥50°；网络接口：RJ45接口≥1，10/100/1000M自适应；视频接口：D-Video数字视频接口（RJ45）≥1；编码技术：视频H.264/H.265；支持DC12V电源适配器供电与RJ45双绞线供电；</w:t>
            </w:r>
          </w:p>
        </w:tc>
      </w:tr>
      <w:tr w14:paraId="62BCB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6B9E64A4">
            <w:pPr>
              <w:jc w:val="center"/>
              <w:rPr>
                <w:rFonts w:hint="eastAsia"/>
                <w:b/>
                <w:bCs w:val="0"/>
                <w:szCs w:val="21"/>
              </w:rPr>
            </w:pPr>
          </w:p>
        </w:tc>
        <w:tc>
          <w:tcPr>
            <w:tcW w:w="1188" w:type="dxa"/>
            <w:vMerge w:val="continue"/>
            <w:vAlign w:val="center"/>
          </w:tcPr>
          <w:p w14:paraId="32DEE77E">
            <w:pPr>
              <w:jc w:val="center"/>
              <w:rPr>
                <w:b/>
                <w:bCs w:val="0"/>
                <w:szCs w:val="21"/>
              </w:rPr>
            </w:pPr>
          </w:p>
        </w:tc>
        <w:tc>
          <w:tcPr>
            <w:tcW w:w="6372" w:type="dxa"/>
          </w:tcPr>
          <w:p w14:paraId="230D95CC">
            <w:pPr>
              <w:rPr>
                <w:rFonts w:hint="eastAsia" w:ascii="宋体" w:hAnsi="宋体" w:eastAsia="宋体" w:cs="宋体"/>
                <w:b w:val="0"/>
                <w:bCs w:val="0"/>
                <w:sz w:val="18"/>
                <w:szCs w:val="18"/>
              </w:rPr>
            </w:pPr>
            <w:r>
              <w:rPr>
                <w:rFonts w:hint="eastAsia" w:ascii="宋体" w:hAnsi="宋体" w:eastAsia="宋体" w:cs="宋体"/>
                <w:b w:val="0"/>
                <w:bCs w:val="0"/>
                <w:sz w:val="18"/>
                <w:szCs w:val="18"/>
              </w:rPr>
              <w:t>3.教师高清摄像机：传感器：要求采用CMOS类型图像传感器，尺寸≥1/2.5英寸；像素：有效像素≥800万；视频分辨率：最大可支持3840×2160并向下兼容；变焦：要求支持自动和手动变焦，综合变焦倍数≥22倍；云台转动：要求具备机械云台可进行转动跟踪。水平转动速度最大≥90°/s，垂直转动速度最大不少70°/s；快门速度：要求支持高速与慢速快门速度，最快≥1/10000s，最慢≥1/25s；视场角大小：支持水平视场角≥70°，垂直视场角≥43°；视频编码：要求支持H.265、H.264高清视频编码协议；视频输出：要求具备数字视频输出口（RJ45）≥1，HDMI视频输出口≥1；通讯接口：要求具备RS232/RS422≥1；网络接入：RJ45网络接口≥1，并支持100M/1000M自适应以太网接入与RTSP协议网络视频输出；音频接口：Linein输入口≥1；音频编码：要求支持OPUS、G.711A、AAC等常用音频编码协议；USB接口：要求具备USBType-A≥1；协议支持：要求支持VISCA/ONVIF协议满足多种场景控制要求；背光补偿：要求具备背光补偿功能；数字降噪：支持2D/3D数字降噪，信噪比≥55dB；AI跟踪：要求内置跟踪算法，摄像机内无额外辅助摄像头也无需增加任何设备即可实现人像自动跟踪，包括水平运动、俯仰运动、变焦、聚焦四维实时跟踪；跟踪逻辑自选：要求支持根据AI智能算法，同一摄像机可根据部署使用场景智能应用为教师、学生跟踪模式，无需手动设置；AI抗干扰：支持在拍摄画面有显示设备或其他动态视频播放的情况下，自动启用AI抗干扰能力，保障画面始终锁定被跟踪对象，且跟踪效果不受影响；PTZ自适应：需支持PTZ实时跟焦，AI跟踪的状态下能实现摄像机水平旋转、垂直旋转、变焦的实时同步变化，无需等待拍摄对象稳定后再变焦调整画面，移动过程不虚焦，实现拍摄画面的自适应稳定调整；AI分析模型：要求摄像机内置AI课堂教学分析模型，在拍摄不同老师、学生、黑板等不同目标时，能完成不同的分析任务，包括但不限于老师的表情、姿态、板书情况、学生的表情、动作行为；电源支持：支持录播主机供电和DC12V电源适配器等供电方式；</w:t>
            </w:r>
          </w:p>
        </w:tc>
      </w:tr>
      <w:tr w14:paraId="28CBA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restart"/>
            <w:vAlign w:val="center"/>
          </w:tcPr>
          <w:p w14:paraId="7E1745F8">
            <w:pPr>
              <w:jc w:val="center"/>
              <w:rPr>
                <w:rFonts w:hint="default" w:eastAsia="宋体"/>
                <w:b/>
                <w:bCs w:val="0"/>
                <w:szCs w:val="21"/>
                <w:lang w:val="en-US" w:eastAsia="zh-CN"/>
              </w:rPr>
            </w:pPr>
            <w:r>
              <w:rPr>
                <w:rFonts w:hint="eastAsia"/>
                <w:b/>
                <w:bCs w:val="0"/>
                <w:szCs w:val="21"/>
                <w:lang w:val="en-US" w:eastAsia="zh-CN"/>
              </w:rPr>
              <w:t>21</w:t>
            </w:r>
          </w:p>
        </w:tc>
        <w:tc>
          <w:tcPr>
            <w:tcW w:w="1188" w:type="dxa"/>
            <w:vMerge w:val="restart"/>
            <w:vAlign w:val="center"/>
          </w:tcPr>
          <w:p w14:paraId="1009EF84">
            <w:pPr>
              <w:jc w:val="center"/>
              <w:rPr>
                <w:b/>
                <w:bCs w:val="0"/>
                <w:szCs w:val="21"/>
              </w:rPr>
            </w:pPr>
            <w:r>
              <w:rPr>
                <w:rFonts w:hint="eastAsia"/>
                <w:b/>
                <w:bCs w:val="0"/>
                <w:szCs w:val="21"/>
              </w:rPr>
              <w:t>可移动白板组件</w:t>
            </w:r>
          </w:p>
        </w:tc>
        <w:tc>
          <w:tcPr>
            <w:tcW w:w="6372" w:type="dxa"/>
          </w:tcPr>
          <w:p w14:paraId="1F19B306">
            <w:pPr>
              <w:rPr>
                <w:rFonts w:hint="eastAsia" w:ascii="宋体" w:hAnsi="宋体" w:eastAsia="宋体" w:cs="宋体"/>
                <w:b w:val="0"/>
                <w:bCs w:val="0"/>
                <w:sz w:val="18"/>
                <w:szCs w:val="18"/>
              </w:rPr>
            </w:pPr>
            <w:r>
              <w:rPr>
                <w:rFonts w:hint="eastAsia" w:ascii="宋体" w:hAnsi="宋体" w:eastAsia="宋体" w:cs="宋体"/>
                <w:b w:val="0"/>
                <w:bCs w:val="0"/>
                <w:sz w:val="18"/>
                <w:szCs w:val="18"/>
              </w:rPr>
              <w:t>1</w:t>
            </w:r>
            <w:r>
              <w:rPr>
                <w:rFonts w:hint="eastAsia" w:ascii="宋体" w:hAnsi="宋体" w:eastAsia="宋体" w:cs="宋体"/>
                <w:b w:val="0"/>
                <w:bCs w:val="0"/>
                <w:sz w:val="18"/>
                <w:szCs w:val="18"/>
                <w:lang w:eastAsia="zh-CN"/>
              </w:rPr>
              <w:t>.</w:t>
            </w:r>
            <w:r>
              <w:rPr>
                <w:rFonts w:hint="eastAsia" w:ascii="宋体" w:hAnsi="宋体" w:eastAsia="宋体" w:cs="宋体"/>
                <w:b w:val="0"/>
                <w:bCs w:val="0"/>
                <w:sz w:val="18"/>
                <w:szCs w:val="18"/>
              </w:rPr>
              <w:t>规格：尺寸1340mm(±10mm)(L)*400mm(±10mm)(W)，厚15mm(±2mm)，双面可书写白板版面；</w:t>
            </w:r>
          </w:p>
        </w:tc>
      </w:tr>
      <w:tr w14:paraId="5A690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593E7787">
            <w:pPr>
              <w:jc w:val="center"/>
              <w:rPr>
                <w:rFonts w:hint="eastAsia"/>
                <w:b/>
                <w:bCs w:val="0"/>
                <w:szCs w:val="21"/>
              </w:rPr>
            </w:pPr>
          </w:p>
        </w:tc>
        <w:tc>
          <w:tcPr>
            <w:tcW w:w="1188" w:type="dxa"/>
            <w:vMerge w:val="continue"/>
            <w:vAlign w:val="center"/>
          </w:tcPr>
          <w:p w14:paraId="73D2EA85">
            <w:pPr>
              <w:jc w:val="center"/>
              <w:rPr>
                <w:b/>
                <w:bCs w:val="0"/>
                <w:szCs w:val="21"/>
              </w:rPr>
            </w:pPr>
          </w:p>
        </w:tc>
        <w:tc>
          <w:tcPr>
            <w:tcW w:w="6372" w:type="dxa"/>
          </w:tcPr>
          <w:p w14:paraId="0D142D35">
            <w:pPr>
              <w:rPr>
                <w:rFonts w:hint="eastAsia" w:ascii="宋体" w:hAnsi="宋体" w:eastAsia="宋体" w:cs="宋体"/>
                <w:b w:val="0"/>
                <w:bCs w:val="0"/>
                <w:sz w:val="18"/>
                <w:szCs w:val="18"/>
              </w:rPr>
            </w:pPr>
            <w:r>
              <w:rPr>
                <w:rFonts w:hint="eastAsia" w:ascii="宋体" w:hAnsi="宋体" w:eastAsia="宋体" w:cs="宋体"/>
                <w:b w:val="0"/>
                <w:bCs w:val="0"/>
                <w:sz w:val="18"/>
                <w:szCs w:val="18"/>
              </w:rPr>
              <w:t>2</w:t>
            </w:r>
            <w:r>
              <w:rPr>
                <w:rFonts w:hint="eastAsia" w:ascii="宋体" w:hAnsi="宋体" w:eastAsia="宋体" w:cs="宋体"/>
                <w:b w:val="0"/>
                <w:bCs w:val="0"/>
                <w:sz w:val="18"/>
                <w:szCs w:val="18"/>
                <w:lang w:eastAsia="zh-CN"/>
              </w:rPr>
              <w:t>.</w:t>
            </w:r>
            <w:r>
              <w:rPr>
                <w:rFonts w:hint="eastAsia" w:ascii="宋体" w:hAnsi="宋体" w:eastAsia="宋体" w:cs="宋体"/>
                <w:b w:val="0"/>
                <w:bCs w:val="0"/>
                <w:sz w:val="18"/>
                <w:szCs w:val="18"/>
              </w:rPr>
              <w:t>材料：优质竖瓦楞纸板，平均强度≥160Kpa，使用玉米淀粉胶粘合；</w:t>
            </w:r>
          </w:p>
        </w:tc>
      </w:tr>
      <w:tr w14:paraId="4AC6A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11711D84">
            <w:pPr>
              <w:jc w:val="center"/>
              <w:rPr>
                <w:rFonts w:hint="eastAsia"/>
                <w:b/>
                <w:bCs w:val="0"/>
                <w:szCs w:val="21"/>
              </w:rPr>
            </w:pPr>
          </w:p>
        </w:tc>
        <w:tc>
          <w:tcPr>
            <w:tcW w:w="1188" w:type="dxa"/>
            <w:vMerge w:val="continue"/>
            <w:vAlign w:val="center"/>
          </w:tcPr>
          <w:p w14:paraId="403AB473">
            <w:pPr>
              <w:jc w:val="center"/>
              <w:rPr>
                <w:b/>
                <w:bCs w:val="0"/>
                <w:szCs w:val="21"/>
              </w:rPr>
            </w:pPr>
          </w:p>
        </w:tc>
        <w:tc>
          <w:tcPr>
            <w:tcW w:w="6372" w:type="dxa"/>
          </w:tcPr>
          <w:p w14:paraId="45B9C054">
            <w:pPr>
              <w:rPr>
                <w:rFonts w:hint="eastAsia" w:ascii="宋体" w:hAnsi="宋体" w:eastAsia="宋体" w:cs="宋体"/>
                <w:b w:val="0"/>
                <w:bCs w:val="0"/>
                <w:sz w:val="18"/>
                <w:szCs w:val="18"/>
              </w:rPr>
            </w:pPr>
            <w:r>
              <w:rPr>
                <w:rFonts w:hint="eastAsia"/>
              </w:rPr>
              <w:t>▲</w:t>
            </w:r>
            <w:r>
              <w:rPr>
                <w:rFonts w:hint="eastAsia" w:ascii="宋体" w:hAnsi="宋体" w:eastAsia="宋体" w:cs="宋体"/>
                <w:b w:val="0"/>
                <w:bCs w:val="0"/>
                <w:sz w:val="18"/>
                <w:szCs w:val="18"/>
              </w:rPr>
              <w:t>3</w:t>
            </w:r>
            <w:r>
              <w:rPr>
                <w:rFonts w:hint="eastAsia" w:ascii="宋体" w:hAnsi="宋体" w:eastAsia="宋体" w:cs="宋体"/>
                <w:b w:val="0"/>
                <w:bCs w:val="0"/>
                <w:sz w:val="18"/>
                <w:szCs w:val="18"/>
                <w:lang w:eastAsia="zh-CN"/>
              </w:rPr>
              <w:t>.</w:t>
            </w:r>
            <w:r>
              <w:rPr>
                <w:rFonts w:hint="eastAsia" w:ascii="宋体" w:hAnsi="宋体" w:eastAsia="宋体" w:cs="宋体"/>
                <w:b w:val="0"/>
                <w:bCs w:val="0"/>
                <w:sz w:val="18"/>
                <w:szCs w:val="18"/>
              </w:rPr>
              <w:t>可通过榫卯结构实现多块白板拼接；</w:t>
            </w:r>
          </w:p>
        </w:tc>
      </w:tr>
      <w:tr w14:paraId="2E1E8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restart"/>
            <w:vAlign w:val="center"/>
          </w:tcPr>
          <w:p w14:paraId="143A31E9">
            <w:pPr>
              <w:jc w:val="center"/>
              <w:rPr>
                <w:rFonts w:hint="default" w:eastAsia="宋体"/>
                <w:b/>
                <w:bCs w:val="0"/>
                <w:szCs w:val="21"/>
                <w:lang w:val="en-US" w:eastAsia="zh-CN"/>
              </w:rPr>
            </w:pPr>
            <w:r>
              <w:rPr>
                <w:rFonts w:hint="eastAsia"/>
                <w:b/>
                <w:bCs w:val="0"/>
                <w:szCs w:val="21"/>
                <w:lang w:val="en-US" w:eastAsia="zh-CN"/>
              </w:rPr>
              <w:t>22</w:t>
            </w:r>
          </w:p>
        </w:tc>
        <w:tc>
          <w:tcPr>
            <w:tcW w:w="1188" w:type="dxa"/>
            <w:vMerge w:val="restart"/>
            <w:vAlign w:val="center"/>
          </w:tcPr>
          <w:p w14:paraId="639A06F5">
            <w:pPr>
              <w:jc w:val="center"/>
              <w:rPr>
                <w:b/>
                <w:bCs w:val="0"/>
                <w:szCs w:val="21"/>
              </w:rPr>
            </w:pPr>
            <w:r>
              <w:rPr>
                <w:rFonts w:hint="eastAsia"/>
                <w:b/>
                <w:bCs w:val="0"/>
                <w:szCs w:val="21"/>
              </w:rPr>
              <w:t>学生海绵垫</w:t>
            </w:r>
          </w:p>
        </w:tc>
        <w:tc>
          <w:tcPr>
            <w:tcW w:w="6372" w:type="dxa"/>
          </w:tcPr>
          <w:p w14:paraId="20EA4A13">
            <w:pPr>
              <w:rPr>
                <w:rFonts w:hint="eastAsia" w:ascii="宋体" w:hAnsi="宋体" w:eastAsia="宋体" w:cs="宋体"/>
                <w:b w:val="0"/>
                <w:bCs w:val="0"/>
                <w:sz w:val="18"/>
                <w:szCs w:val="18"/>
              </w:rPr>
            </w:pPr>
            <w:r>
              <w:rPr>
                <w:rFonts w:hint="eastAsia" w:ascii="宋体" w:hAnsi="宋体" w:eastAsia="宋体" w:cs="宋体"/>
                <w:b w:val="0"/>
                <w:bCs w:val="0"/>
                <w:sz w:val="18"/>
                <w:szCs w:val="18"/>
              </w:rPr>
              <w:t>1</w:t>
            </w:r>
            <w:r>
              <w:rPr>
                <w:rFonts w:hint="eastAsia" w:ascii="宋体" w:hAnsi="宋体" w:eastAsia="宋体" w:cs="宋体"/>
                <w:b w:val="0"/>
                <w:bCs w:val="0"/>
                <w:sz w:val="18"/>
                <w:szCs w:val="18"/>
                <w:lang w:eastAsia="zh-CN"/>
              </w:rPr>
              <w:t>.</w:t>
            </w:r>
            <w:r>
              <w:rPr>
                <w:rFonts w:hint="eastAsia" w:ascii="宋体" w:hAnsi="宋体" w:eastAsia="宋体" w:cs="宋体"/>
                <w:b w:val="0"/>
                <w:bCs w:val="0"/>
                <w:sz w:val="18"/>
                <w:szCs w:val="18"/>
              </w:rPr>
              <w:t>基础规格：400mmmm(±5mm)*400mmmm(±5mm)*35mm(±5mm)</w:t>
            </w:r>
          </w:p>
        </w:tc>
      </w:tr>
      <w:tr w14:paraId="426B8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0E653FFF">
            <w:pPr>
              <w:jc w:val="center"/>
              <w:rPr>
                <w:rFonts w:hint="eastAsia"/>
                <w:b/>
                <w:bCs w:val="0"/>
                <w:szCs w:val="21"/>
              </w:rPr>
            </w:pPr>
          </w:p>
        </w:tc>
        <w:tc>
          <w:tcPr>
            <w:tcW w:w="1188" w:type="dxa"/>
            <w:vMerge w:val="continue"/>
            <w:vAlign w:val="center"/>
          </w:tcPr>
          <w:p w14:paraId="10E5C674">
            <w:pPr>
              <w:jc w:val="center"/>
              <w:rPr>
                <w:b/>
                <w:bCs w:val="0"/>
                <w:szCs w:val="21"/>
              </w:rPr>
            </w:pPr>
          </w:p>
        </w:tc>
        <w:tc>
          <w:tcPr>
            <w:tcW w:w="6372" w:type="dxa"/>
          </w:tcPr>
          <w:p w14:paraId="076D321A">
            <w:pPr>
              <w:rPr>
                <w:rFonts w:hint="eastAsia" w:ascii="宋体" w:hAnsi="宋体" w:eastAsia="宋体" w:cs="宋体"/>
                <w:b w:val="0"/>
                <w:bCs w:val="0"/>
                <w:sz w:val="18"/>
                <w:szCs w:val="18"/>
              </w:rPr>
            </w:pPr>
            <w:r>
              <w:rPr>
                <w:rFonts w:hint="eastAsia" w:ascii="宋体" w:hAnsi="宋体" w:eastAsia="宋体" w:cs="宋体"/>
                <w:b w:val="0"/>
                <w:bCs w:val="0"/>
                <w:sz w:val="18"/>
                <w:szCs w:val="18"/>
              </w:rPr>
              <w:t>2</w:t>
            </w:r>
            <w:r>
              <w:rPr>
                <w:rFonts w:hint="eastAsia" w:ascii="宋体" w:hAnsi="宋体" w:eastAsia="宋体" w:cs="宋体"/>
                <w:b w:val="0"/>
                <w:bCs w:val="0"/>
                <w:sz w:val="18"/>
                <w:szCs w:val="18"/>
                <w:lang w:eastAsia="zh-CN"/>
              </w:rPr>
              <w:t>.</w:t>
            </w:r>
            <w:r>
              <w:rPr>
                <w:rFonts w:hint="eastAsia" w:ascii="宋体" w:hAnsi="宋体" w:eastAsia="宋体" w:cs="宋体"/>
                <w:b w:val="0"/>
                <w:bCs w:val="0"/>
                <w:sz w:val="18"/>
                <w:szCs w:val="18"/>
              </w:rPr>
              <w:t>材质：无害PU皮革材质</w:t>
            </w:r>
          </w:p>
        </w:tc>
      </w:tr>
      <w:tr w14:paraId="7F302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restart"/>
            <w:vAlign w:val="center"/>
          </w:tcPr>
          <w:p w14:paraId="60E1A77A">
            <w:pPr>
              <w:jc w:val="center"/>
              <w:rPr>
                <w:rFonts w:hint="default" w:eastAsia="宋体"/>
                <w:b/>
                <w:bCs w:val="0"/>
                <w:szCs w:val="21"/>
                <w:lang w:val="en-US" w:eastAsia="zh-CN"/>
              </w:rPr>
            </w:pPr>
            <w:r>
              <w:rPr>
                <w:rFonts w:hint="eastAsia"/>
                <w:b/>
                <w:bCs w:val="0"/>
                <w:szCs w:val="21"/>
                <w:lang w:val="en-US" w:eastAsia="zh-CN"/>
              </w:rPr>
              <w:t>23</w:t>
            </w:r>
          </w:p>
        </w:tc>
        <w:tc>
          <w:tcPr>
            <w:tcW w:w="1188" w:type="dxa"/>
            <w:vMerge w:val="restart"/>
            <w:vAlign w:val="center"/>
          </w:tcPr>
          <w:p w14:paraId="1993F0FF">
            <w:pPr>
              <w:jc w:val="center"/>
              <w:rPr>
                <w:b/>
                <w:bCs w:val="0"/>
                <w:szCs w:val="21"/>
              </w:rPr>
            </w:pPr>
            <w:r>
              <w:rPr>
                <w:rFonts w:hint="eastAsia"/>
                <w:b/>
                <w:bCs w:val="0"/>
                <w:szCs w:val="21"/>
              </w:rPr>
              <w:t>BOX套件</w:t>
            </w:r>
          </w:p>
        </w:tc>
        <w:tc>
          <w:tcPr>
            <w:tcW w:w="6372" w:type="dxa"/>
          </w:tcPr>
          <w:p w14:paraId="73358491">
            <w:pPr>
              <w:rPr>
                <w:rFonts w:hint="eastAsia" w:ascii="宋体" w:hAnsi="宋体" w:eastAsia="宋体" w:cs="宋体"/>
                <w:b w:val="0"/>
                <w:bCs w:val="0"/>
                <w:sz w:val="18"/>
                <w:szCs w:val="18"/>
              </w:rPr>
            </w:pPr>
            <w:r>
              <w:rPr>
                <w:rFonts w:hint="eastAsia" w:ascii="宋体" w:hAnsi="宋体" w:eastAsia="宋体" w:cs="宋体"/>
                <w:b w:val="0"/>
                <w:bCs w:val="0"/>
                <w:sz w:val="18"/>
                <w:szCs w:val="18"/>
              </w:rPr>
              <w:t>1</w:t>
            </w:r>
            <w:r>
              <w:rPr>
                <w:rFonts w:hint="eastAsia" w:ascii="宋体" w:hAnsi="宋体" w:eastAsia="宋体" w:cs="宋体"/>
                <w:b w:val="0"/>
                <w:bCs w:val="0"/>
                <w:sz w:val="18"/>
                <w:szCs w:val="18"/>
                <w:lang w:eastAsia="zh-CN"/>
              </w:rPr>
              <w:t>.</w:t>
            </w:r>
            <w:r>
              <w:rPr>
                <w:rFonts w:hint="eastAsia" w:ascii="宋体" w:hAnsi="宋体" w:eastAsia="宋体" w:cs="宋体"/>
                <w:b w:val="0"/>
                <w:bCs w:val="0"/>
                <w:sz w:val="18"/>
                <w:szCs w:val="18"/>
              </w:rPr>
              <w:t>基础规格：360mm(±10mm)(L)*360mm(±10mm)(W)*360mm(±10mm)(H);</w:t>
            </w:r>
          </w:p>
        </w:tc>
      </w:tr>
      <w:tr w14:paraId="2BC9A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57843FFC">
            <w:pPr>
              <w:jc w:val="center"/>
              <w:rPr>
                <w:rFonts w:hint="eastAsia"/>
                <w:b/>
                <w:bCs w:val="0"/>
                <w:szCs w:val="21"/>
              </w:rPr>
            </w:pPr>
          </w:p>
        </w:tc>
        <w:tc>
          <w:tcPr>
            <w:tcW w:w="1188" w:type="dxa"/>
            <w:vMerge w:val="continue"/>
            <w:vAlign w:val="center"/>
          </w:tcPr>
          <w:p w14:paraId="537B209C">
            <w:pPr>
              <w:jc w:val="center"/>
              <w:rPr>
                <w:b/>
                <w:bCs w:val="0"/>
                <w:szCs w:val="21"/>
              </w:rPr>
            </w:pPr>
          </w:p>
        </w:tc>
        <w:tc>
          <w:tcPr>
            <w:tcW w:w="6372" w:type="dxa"/>
          </w:tcPr>
          <w:p w14:paraId="729E5C57">
            <w:pPr>
              <w:rPr>
                <w:rFonts w:hint="eastAsia" w:ascii="宋体" w:hAnsi="宋体" w:eastAsia="宋体" w:cs="宋体"/>
                <w:b w:val="0"/>
                <w:bCs w:val="0"/>
                <w:sz w:val="18"/>
                <w:szCs w:val="18"/>
                <w:lang w:eastAsia="zh-CN"/>
              </w:rPr>
            </w:pPr>
            <w:r>
              <w:rPr>
                <w:rFonts w:hint="eastAsia" w:ascii="宋体" w:hAnsi="宋体" w:eastAsia="宋体" w:cs="宋体"/>
                <w:b w:val="0"/>
                <w:bCs w:val="0"/>
                <w:sz w:val="18"/>
                <w:szCs w:val="18"/>
              </w:rPr>
              <w:t>2.面板材质要求：板材选用海洋板，板芯采用桦木多层板，厚度6mm(±2mm)</w:t>
            </w:r>
            <w:r>
              <w:rPr>
                <w:rFonts w:hint="eastAsia" w:ascii="宋体" w:hAnsi="宋体" w:eastAsia="宋体" w:cs="宋体"/>
                <w:b w:val="0"/>
                <w:bCs w:val="0"/>
                <w:sz w:val="18"/>
                <w:szCs w:val="18"/>
                <w:lang w:eastAsia="zh-CN"/>
              </w:rPr>
              <w:t>；</w:t>
            </w:r>
          </w:p>
        </w:tc>
      </w:tr>
      <w:tr w14:paraId="461C0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900" w:type="dxa"/>
            <w:vMerge w:val="continue"/>
            <w:vAlign w:val="center"/>
          </w:tcPr>
          <w:p w14:paraId="685B5466">
            <w:pPr>
              <w:jc w:val="center"/>
              <w:rPr>
                <w:rFonts w:hint="eastAsia"/>
                <w:b/>
                <w:bCs w:val="0"/>
                <w:szCs w:val="21"/>
              </w:rPr>
            </w:pPr>
          </w:p>
        </w:tc>
        <w:tc>
          <w:tcPr>
            <w:tcW w:w="1188" w:type="dxa"/>
            <w:vMerge w:val="continue"/>
            <w:vAlign w:val="center"/>
          </w:tcPr>
          <w:p w14:paraId="39275592">
            <w:pPr>
              <w:jc w:val="center"/>
              <w:rPr>
                <w:b/>
                <w:bCs w:val="0"/>
                <w:szCs w:val="21"/>
              </w:rPr>
            </w:pPr>
          </w:p>
        </w:tc>
        <w:tc>
          <w:tcPr>
            <w:tcW w:w="6372" w:type="dxa"/>
          </w:tcPr>
          <w:p w14:paraId="4C352938">
            <w:pPr>
              <w:rPr>
                <w:rFonts w:hint="eastAsia" w:ascii="宋体" w:hAnsi="宋体" w:eastAsia="宋体" w:cs="宋体"/>
                <w:b w:val="0"/>
                <w:bCs w:val="0"/>
                <w:sz w:val="18"/>
                <w:szCs w:val="18"/>
                <w:lang w:eastAsia="zh-CN"/>
              </w:rPr>
            </w:pPr>
            <w:r>
              <w:rPr>
                <w:rFonts w:hint="eastAsia"/>
              </w:rPr>
              <w:t>▲</w:t>
            </w:r>
            <w:r>
              <w:rPr>
                <w:rFonts w:hint="eastAsia" w:ascii="宋体" w:hAnsi="宋体" w:eastAsia="宋体" w:cs="宋体"/>
                <w:b w:val="0"/>
                <w:bCs w:val="0"/>
                <w:sz w:val="18"/>
                <w:szCs w:val="18"/>
              </w:rPr>
              <w:t>3.框架结构：基础框架采用3030铝型材框架、壁厚不小于1mm</w:t>
            </w:r>
            <w:r>
              <w:rPr>
                <w:rFonts w:hint="eastAsia" w:ascii="宋体" w:hAnsi="宋体" w:eastAsia="宋体" w:cs="宋体"/>
                <w:b w:val="0"/>
                <w:bCs w:val="0"/>
                <w:sz w:val="18"/>
                <w:szCs w:val="18"/>
                <w:lang w:eastAsia="zh-CN"/>
              </w:rPr>
              <w:t>；</w:t>
            </w:r>
          </w:p>
        </w:tc>
      </w:tr>
      <w:bookmarkEnd w:id="11"/>
    </w:tbl>
    <w:p w14:paraId="473EC833">
      <w:pPr>
        <w:pStyle w:val="4"/>
        <w:jc w:val="center"/>
        <w:rPr>
          <w:b w:val="0"/>
          <w:color w:val="000000"/>
          <w:sz w:val="24"/>
          <w:szCs w:val="24"/>
        </w:rPr>
      </w:pPr>
      <w:bookmarkStart w:id="13" w:name="_Toc194467280"/>
      <w:bookmarkStart w:id="14" w:name="_Toc128884465"/>
      <w:r>
        <w:rPr>
          <w:b/>
          <w:color w:val="000000"/>
          <w:sz w:val="24"/>
        </w:rPr>
        <w:br w:type="page"/>
      </w:r>
      <w:r>
        <w:rPr>
          <w:rFonts w:hint="eastAsia"/>
          <w:color w:val="000000"/>
          <w:sz w:val="24"/>
          <w:szCs w:val="24"/>
        </w:rPr>
        <w:t>（三）交货要求</w:t>
      </w:r>
    </w:p>
    <w:p w14:paraId="09C0E621">
      <w:pPr>
        <w:ind w:firstLine="210" w:firstLineChars="100"/>
      </w:pPr>
      <w:r>
        <w:rPr>
          <w:rFonts w:hint="eastAsia"/>
        </w:rPr>
        <w:t>1、产品交货要求：提供产品合格证及货物清单；</w:t>
      </w:r>
    </w:p>
    <w:p w14:paraId="2FDEFA61">
      <w:r>
        <w:rPr>
          <w:rFonts w:hint="eastAsia"/>
          <w:color w:val="FF0000"/>
          <w:highlight w:val="yellow"/>
        </w:rPr>
        <w:t>★2、交货期的要求：签订合同后</w:t>
      </w:r>
      <w:r>
        <w:rPr>
          <w:rFonts w:hint="eastAsia"/>
          <w:color w:val="FF0000"/>
          <w:highlight w:val="yellow"/>
          <w:lang w:val="en-US" w:eastAsia="zh-CN"/>
        </w:rPr>
        <w:t>60</w:t>
      </w:r>
      <w:r>
        <w:rPr>
          <w:rFonts w:hint="eastAsia"/>
          <w:color w:val="FF0000"/>
          <w:highlight w:val="yellow"/>
        </w:rPr>
        <w:t>日历日内在交货地点交货；投标供应商在投标时对其所投项目应提交详细的《交货进度表》，列明交货计划等，在合同规定的时间内完工验收。</w:t>
      </w:r>
    </w:p>
    <w:p w14:paraId="76ACA0E5">
      <w:pPr>
        <w:ind w:firstLine="210" w:firstLineChars="100"/>
      </w:pPr>
      <w:r>
        <w:rPr>
          <w:rFonts w:hint="eastAsia"/>
        </w:rPr>
        <w:t>3、交货地点：采购单位指定的地点；</w:t>
      </w:r>
    </w:p>
    <w:p w14:paraId="22C860B0">
      <w:pPr>
        <w:ind w:firstLine="210" w:firstLineChars="100"/>
      </w:pPr>
      <w:r>
        <w:rPr>
          <w:rFonts w:hint="eastAsia"/>
        </w:rPr>
        <w:t>4、包装要求和运输方式：常规包装，运输方式由供应商自定。由于不适当包装或不适当装运而造成货物在运输过程中有任何损失的，一律由供应商负责。</w:t>
      </w:r>
    </w:p>
    <w:p w14:paraId="4F8297CB">
      <w:pPr>
        <w:ind w:firstLine="210" w:firstLineChars="100"/>
      </w:pPr>
      <w:r>
        <w:rPr>
          <w:rFonts w:hint="eastAsia"/>
        </w:rPr>
        <w:t>5、风险承担：货物交付给采购单位验收合格前的所有风险由供应商承担。</w:t>
      </w:r>
    </w:p>
    <w:p w14:paraId="5F4138EC"/>
    <w:p w14:paraId="48E42FFD">
      <w:pPr>
        <w:pStyle w:val="3"/>
        <w:jc w:val="center"/>
        <w:rPr>
          <w:rFonts w:ascii="黑体" w:eastAsia="黑体"/>
          <w:b w:val="0"/>
          <w:kern w:val="0"/>
          <w:sz w:val="24"/>
        </w:rPr>
      </w:pPr>
      <w:bookmarkStart w:id="15" w:name="_Toc194467279"/>
      <w:r>
        <w:rPr>
          <w:rFonts w:hint="eastAsia" w:ascii="黑体" w:eastAsia="黑体"/>
          <w:b w:val="0"/>
          <w:kern w:val="0"/>
          <w:sz w:val="24"/>
        </w:rPr>
        <w:t>二、项目商务要求</w:t>
      </w:r>
      <w:bookmarkEnd w:id="15"/>
    </w:p>
    <w:p w14:paraId="39E72F85">
      <w:pPr>
        <w:pStyle w:val="4"/>
        <w:jc w:val="center"/>
        <w:rPr>
          <w:b w:val="0"/>
          <w:bCs w:val="0"/>
          <w:sz w:val="24"/>
          <w:szCs w:val="24"/>
        </w:rPr>
      </w:pPr>
      <w:r>
        <w:rPr>
          <w:rFonts w:hint="eastAsia"/>
          <w:b w:val="0"/>
          <w:bCs w:val="0"/>
          <w:sz w:val="24"/>
          <w:szCs w:val="24"/>
        </w:rPr>
        <w:t>（一）关于验收及付款</w:t>
      </w:r>
    </w:p>
    <w:p w14:paraId="15967397">
      <w:pPr>
        <w:ind w:firstLine="420" w:firstLineChars="200"/>
      </w:pPr>
      <w:r>
        <w:t>1</w:t>
      </w:r>
      <w:r>
        <w:rPr>
          <w:rFonts w:hint="eastAsia"/>
        </w:rPr>
        <w:t>、中标供应商负责将货物运到合同约定地点，由双方负责验收，验收方式按合同约定方式进行；国家有规范要求强制送检的，还应送国家认可的检测机构进行检测。</w:t>
      </w:r>
    </w:p>
    <w:p w14:paraId="1BAFF458">
      <w:pPr>
        <w:ind w:firstLine="420" w:firstLineChars="200"/>
      </w:pPr>
      <w:r>
        <w:rPr>
          <w:rFonts w:hint="eastAsia"/>
        </w:rPr>
        <w:t>2、当满足以下条件时，采购单位才向中标供应商签发货物验收报告：</w:t>
      </w:r>
    </w:p>
    <w:p w14:paraId="609795ED">
      <w:pPr>
        <w:ind w:firstLine="359" w:firstLineChars="171"/>
      </w:pPr>
      <w:r>
        <w:t>a</w:t>
      </w:r>
      <w:r>
        <w:rPr>
          <w:rFonts w:hint="eastAsia"/>
        </w:rPr>
        <w:t>、中标供应商已按照合同规定提供了全部产品及完整的技术资料。</w:t>
      </w:r>
    </w:p>
    <w:p w14:paraId="79653037">
      <w:pPr>
        <w:ind w:firstLine="359" w:firstLineChars="171"/>
      </w:pPr>
      <w:r>
        <w:t>b</w:t>
      </w:r>
      <w:r>
        <w:rPr>
          <w:rFonts w:hint="eastAsia"/>
        </w:rPr>
        <w:t>、货物符合采购文件技术规格的要求，性能满足要求。</w:t>
      </w:r>
    </w:p>
    <w:p w14:paraId="32E7843D">
      <w:pPr>
        <w:ind w:firstLine="359" w:firstLineChars="171"/>
      </w:pPr>
      <w:r>
        <w:t>c</w:t>
      </w:r>
      <w:r>
        <w:rPr>
          <w:rFonts w:hint="eastAsia"/>
        </w:rPr>
        <w:t>、货物具备产品合格证。</w:t>
      </w:r>
    </w:p>
    <w:p w14:paraId="3C5B407E">
      <w:pPr>
        <w:ind w:firstLine="420" w:firstLineChars="200"/>
      </w:pPr>
      <w:r>
        <w:rPr>
          <w:rFonts w:hint="eastAsia"/>
        </w:rPr>
        <w:t>3、中标供应商货物经过双方检验认可后，签署验收报告。</w:t>
      </w:r>
    </w:p>
    <w:p w14:paraId="319DEE4A">
      <w:pPr>
        <w:ind w:firstLine="420" w:firstLineChars="200"/>
      </w:pPr>
      <w:r>
        <w:rPr>
          <w:rFonts w:hint="eastAsia"/>
        </w:rPr>
        <w:t>4、付款：按拨款部门的相关规定执行。</w:t>
      </w:r>
    </w:p>
    <w:p w14:paraId="69DFA1F0">
      <w:pPr>
        <w:pStyle w:val="4"/>
        <w:jc w:val="center"/>
        <w:rPr>
          <w:b w:val="0"/>
          <w:bCs w:val="0"/>
          <w:sz w:val="24"/>
          <w:szCs w:val="24"/>
        </w:rPr>
      </w:pPr>
      <w:r>
        <w:rPr>
          <w:rFonts w:hint="eastAsia"/>
          <w:b w:val="0"/>
          <w:bCs w:val="0"/>
          <w:sz w:val="24"/>
          <w:szCs w:val="24"/>
        </w:rPr>
        <w:t>（二）免费保修期内售后服务要求</w:t>
      </w:r>
    </w:p>
    <w:p w14:paraId="055A7525">
      <w:pPr>
        <w:ind w:firstLine="420" w:firstLineChars="200"/>
        <w:rPr>
          <w:color w:val="FF0000"/>
          <w:highlight w:val="yellow"/>
        </w:rPr>
      </w:pPr>
      <w:r>
        <w:rPr>
          <w:rFonts w:hint="eastAsia"/>
          <w:color w:val="FF0000"/>
          <w:highlight w:val="yellow"/>
        </w:rPr>
        <w:t>★1、提</w:t>
      </w:r>
      <w:r>
        <w:rPr>
          <w:rFonts w:hint="eastAsia"/>
          <w:color w:val="FF0000"/>
          <w:highlight w:val="yellow"/>
          <w:lang w:val="en-US" w:eastAsia="zh-CN"/>
        </w:rPr>
        <w:t>供</w:t>
      </w:r>
      <w:r>
        <w:rPr>
          <w:rFonts w:hint="eastAsia"/>
          <w:color w:val="FF0000"/>
          <w:highlight w:val="yellow"/>
          <w:u w:val="single"/>
          <w:lang w:val="en-US" w:eastAsia="zh-CN"/>
        </w:rPr>
        <w:t>3</w:t>
      </w:r>
      <w:r>
        <w:rPr>
          <w:rFonts w:hint="eastAsia"/>
          <w:color w:val="FF0000"/>
          <w:highlight w:val="yellow"/>
        </w:rPr>
        <w:t>年的免费保修服务，本地化</w:t>
      </w:r>
      <w:r>
        <w:rPr>
          <w:rFonts w:hint="eastAsia"/>
          <w:color w:val="FF0000"/>
          <w:highlight w:val="yellow"/>
          <w:u w:val="single"/>
        </w:rPr>
        <w:t xml:space="preserve">　7*24  </w:t>
      </w:r>
      <w:r>
        <w:rPr>
          <w:rFonts w:hint="eastAsia"/>
          <w:color w:val="FF0000"/>
          <w:highlight w:val="yellow"/>
        </w:rPr>
        <w:t>小时服务，免费保修服务自验收合格之日起算。</w:t>
      </w:r>
    </w:p>
    <w:p w14:paraId="2967F8A5">
      <w:pPr>
        <w:ind w:firstLine="420" w:firstLineChars="200"/>
      </w:pPr>
      <w:r>
        <w:rPr>
          <w:rFonts w:hint="eastAsia"/>
        </w:rPr>
        <w:t>2、保修期内</w:t>
      </w:r>
      <w:r>
        <w:t>的承诺</w:t>
      </w:r>
      <w:r>
        <w:rPr>
          <w:rFonts w:hint="eastAsia"/>
        </w:rPr>
        <w:t>：</w:t>
      </w:r>
      <w:r>
        <w:t>保修期内</w:t>
      </w:r>
      <w:r>
        <w:rPr>
          <w:rFonts w:hint="eastAsia"/>
        </w:rPr>
        <w:t>，</w:t>
      </w:r>
      <w:r>
        <w:t>设备如发生故障，</w:t>
      </w:r>
      <w:r>
        <w:rPr>
          <w:rFonts w:hint="eastAsia"/>
        </w:rPr>
        <w:t>中标供应商</w:t>
      </w:r>
      <w:r>
        <w:t>维修人员应在接到故障通知后</w:t>
      </w:r>
      <w:r>
        <w:rPr>
          <w:rFonts w:hint="eastAsia"/>
          <w:u w:val="single"/>
        </w:rPr>
        <w:t xml:space="preserve">  8  </w:t>
      </w:r>
      <w:r>
        <w:t>小时内赴故障现场对设备进行</w:t>
      </w:r>
      <w:r>
        <w:rPr>
          <w:rFonts w:hint="eastAsia"/>
        </w:rPr>
        <w:t>抢</w:t>
      </w:r>
      <w:r>
        <w:t>修；如需更换小部件，应在接到故障通知</w:t>
      </w:r>
      <w:r>
        <w:rPr>
          <w:rFonts w:hint="eastAsia"/>
          <w:u w:val="single"/>
        </w:rPr>
        <w:t xml:space="preserve"> 24 </w:t>
      </w:r>
      <w:r>
        <w:t>小时内更换修理完毕；如要更换大部件，应在接到故障通知</w:t>
      </w:r>
      <w:r>
        <w:rPr>
          <w:rFonts w:hint="eastAsia"/>
          <w:u w:val="single"/>
        </w:rPr>
        <w:t xml:space="preserve">  3  </w:t>
      </w:r>
      <w:r>
        <w:t>天内更换修理完毕。</w:t>
      </w:r>
    </w:p>
    <w:p w14:paraId="091E11A7">
      <w:pPr>
        <w:pStyle w:val="4"/>
        <w:jc w:val="center"/>
        <w:rPr>
          <w:b w:val="0"/>
          <w:bCs w:val="0"/>
          <w:sz w:val="24"/>
          <w:szCs w:val="24"/>
        </w:rPr>
      </w:pPr>
      <w:r>
        <w:rPr>
          <w:rFonts w:hint="eastAsia"/>
          <w:b w:val="0"/>
          <w:bCs w:val="0"/>
          <w:sz w:val="24"/>
          <w:szCs w:val="24"/>
        </w:rPr>
        <w:t>（三）其他售后服务要求</w:t>
      </w:r>
    </w:p>
    <w:p w14:paraId="47C42EBB">
      <w:pPr>
        <w:ind w:firstLine="420" w:firstLineChars="200"/>
      </w:pPr>
      <w:r>
        <w:rPr>
          <w:rFonts w:hint="eastAsia"/>
        </w:rPr>
        <w:t>1、</w:t>
      </w:r>
      <w:r>
        <w:t>在保</w:t>
      </w:r>
      <w:r>
        <w:rPr>
          <w:rFonts w:hint="eastAsia"/>
        </w:rPr>
        <w:t>修</w:t>
      </w:r>
      <w:r>
        <w:t>期满以后，中标</w:t>
      </w:r>
      <w:r>
        <w:rPr>
          <w:rFonts w:hint="eastAsia"/>
        </w:rPr>
        <w:t>供应商</w:t>
      </w:r>
      <w:r>
        <w:t>应按其在深圳地区同类产品的最优惠价格提供保修服务。</w:t>
      </w:r>
    </w:p>
    <w:p w14:paraId="0EDAA617">
      <w:pPr>
        <w:ind w:firstLine="420" w:firstLineChars="200"/>
      </w:pPr>
      <w:r>
        <w:rPr>
          <w:rFonts w:hint="eastAsia"/>
        </w:rPr>
        <w:t>2、</w:t>
      </w:r>
      <w:r>
        <w:t>中标</w:t>
      </w:r>
      <w:r>
        <w:rPr>
          <w:rFonts w:hint="eastAsia"/>
        </w:rPr>
        <w:t>供应商</w:t>
      </w:r>
      <w:r>
        <w:t>应负责免费对用户的操作、维修、保养</w:t>
      </w:r>
      <w:r>
        <w:rPr>
          <w:rFonts w:hint="eastAsia"/>
        </w:rPr>
        <w:t>的</w:t>
      </w:r>
      <w:r>
        <w:t>人员</w:t>
      </w:r>
      <w:r>
        <w:rPr>
          <w:rFonts w:hint="eastAsia"/>
        </w:rPr>
        <w:t>（至少2名）</w:t>
      </w:r>
      <w:r>
        <w:t>进行培训(并提供设备使用维护说明书)</w:t>
      </w:r>
      <w:r>
        <w:rPr>
          <w:rFonts w:hint="eastAsia"/>
        </w:rPr>
        <w:t>，具体培训时间和培训方案应由双方协商制定。</w:t>
      </w:r>
    </w:p>
    <w:p w14:paraId="24E318E9">
      <w:pPr>
        <w:ind w:firstLine="420" w:firstLineChars="200"/>
      </w:pPr>
      <w:r>
        <w:rPr>
          <w:rFonts w:hint="eastAsia"/>
        </w:rPr>
        <w:t>3、售后服务机构的名称、地址、联系电话</w:t>
      </w:r>
      <w:r>
        <w:t>。</w:t>
      </w:r>
    </w:p>
    <w:p w14:paraId="2CED233B">
      <w:pPr>
        <w:pStyle w:val="4"/>
        <w:jc w:val="center"/>
        <w:rPr>
          <w:b w:val="0"/>
          <w:bCs w:val="0"/>
          <w:sz w:val="24"/>
          <w:szCs w:val="24"/>
        </w:rPr>
      </w:pPr>
      <w:r>
        <w:rPr>
          <w:rFonts w:hint="eastAsia"/>
          <w:b w:val="0"/>
          <w:bCs w:val="0"/>
          <w:sz w:val="24"/>
          <w:szCs w:val="24"/>
        </w:rPr>
        <w:t>（四）履约保证金</w:t>
      </w:r>
    </w:p>
    <w:p w14:paraId="11BCF116">
      <w:pPr>
        <w:spacing w:before="78" w:beforeLines="25" w:after="78" w:afterLines="25" w:line="360" w:lineRule="exact"/>
        <w:ind w:firstLine="392" w:firstLineChars="187"/>
        <w:rPr>
          <w:rFonts w:ascii="宋体" w:hAnsi="宋体" w:eastAsiaTheme="minorEastAsia" w:cstheme="minorBidi"/>
          <w:color w:val="000000"/>
          <w:szCs w:val="21"/>
        </w:rPr>
      </w:pPr>
      <w:r>
        <w:rPr>
          <w:rFonts w:hint="eastAsia" w:ascii="宋体" w:hAnsi="宋体" w:eastAsiaTheme="minorEastAsia" w:cstheme="minorBidi"/>
          <w:color w:val="000000"/>
          <w:szCs w:val="21"/>
        </w:rPr>
        <w:t>本项目无需提供履约保证金。</w:t>
      </w:r>
    </w:p>
    <w:p w14:paraId="10FA6CFC">
      <w:pPr>
        <w:widowControl/>
        <w:jc w:val="left"/>
      </w:pPr>
    </w:p>
    <w:p w14:paraId="73972749">
      <w:pPr>
        <w:pStyle w:val="3"/>
        <w:jc w:val="center"/>
        <w:rPr>
          <w:rFonts w:ascii="黑体" w:eastAsia="黑体"/>
          <w:b w:val="0"/>
          <w:kern w:val="0"/>
          <w:sz w:val="24"/>
        </w:rPr>
      </w:pPr>
      <w:r>
        <w:rPr>
          <w:rFonts w:hint="eastAsia"/>
          <w:kern w:val="0"/>
        </w:rPr>
        <w:t>三、项目管理要求</w:t>
      </w:r>
    </w:p>
    <w:p w14:paraId="15FC69D0">
      <w:pPr>
        <w:pStyle w:val="4"/>
        <w:jc w:val="center"/>
        <w:rPr>
          <w:b w:val="0"/>
          <w:bCs w:val="0"/>
          <w:sz w:val="24"/>
          <w:szCs w:val="24"/>
        </w:rPr>
      </w:pPr>
      <w:r>
        <w:rPr>
          <w:rFonts w:hint="eastAsia"/>
          <w:b w:val="0"/>
          <w:bCs w:val="0"/>
          <w:sz w:val="24"/>
          <w:szCs w:val="24"/>
        </w:rPr>
        <w:t>（一）合格的货物和服务</w:t>
      </w:r>
    </w:p>
    <w:p w14:paraId="2A23EE77">
      <w:pPr>
        <w:ind w:firstLine="210" w:firstLineChars="100"/>
      </w:pPr>
      <w:r>
        <w:rPr>
          <w:rFonts w:hint="eastAsia"/>
        </w:rPr>
        <w:t>1、投标产品必须是</w:t>
      </w:r>
      <w:r>
        <w:rPr>
          <w:rFonts w:hint="eastAsia"/>
          <w:color w:val="FF0000"/>
        </w:rPr>
        <w:t>全新的原装合格正品</w:t>
      </w:r>
      <w:r>
        <w:rPr>
          <w:rFonts w:hint="eastAsia"/>
        </w:rPr>
        <w:t>，如安装或配置了软件的，须为正版软件，</w:t>
      </w:r>
      <w:r>
        <w:rPr>
          <w:rFonts w:hint="eastAsia"/>
          <w:color w:val="FF0000"/>
        </w:rPr>
        <w:t>软件有序列号的，须提供序列号。</w:t>
      </w:r>
    </w:p>
    <w:p w14:paraId="4B11CA98">
      <w:pPr>
        <w:ind w:firstLine="210" w:firstLineChars="100"/>
      </w:pPr>
      <w:r>
        <w:rPr>
          <w:rFonts w:hint="eastAsia"/>
        </w:rPr>
        <w:t>2、国产的货物及其有关服务必须符合中华人民共和国的设计、生产或服务的行业标准。</w:t>
      </w:r>
    </w:p>
    <w:p w14:paraId="638856A9">
      <w:pPr>
        <w:ind w:firstLine="210" w:firstLineChars="100"/>
      </w:pPr>
      <w:r>
        <w:rPr>
          <w:rFonts w:hint="eastAsia"/>
        </w:rPr>
        <w:t>3、投标供应商应保证，其所提供的货物在提供给采购单位前具有完全的所有权，采购单位在中华人民共和国使用该货物或货物的任何一部分时，免受第三方提出的包括但不限于侵犯其专利权、商标权、服务标志和工业设计权等知识产权和抵押权在内的担保物权的索赔或起诉。</w:t>
      </w:r>
    </w:p>
    <w:p w14:paraId="1527CB06">
      <w:pPr>
        <w:ind w:firstLine="210" w:firstLineChars="100"/>
      </w:pPr>
      <w:r>
        <w:rPr>
          <w:rFonts w:hint="eastAsia"/>
        </w:rPr>
        <w:t>4、投标供应商应保证，其所提供的货物应具有</w:t>
      </w:r>
      <w:r>
        <w:rPr>
          <w:rFonts w:hint="eastAsia"/>
          <w:color w:val="FF0000"/>
        </w:rPr>
        <w:t>质量监督部门或质量检测机构</w:t>
      </w:r>
      <w:r>
        <w:rPr>
          <w:rFonts w:hint="eastAsia"/>
        </w:rPr>
        <w:t>提供的产品《检验报告》或证明产品合格证书。设备到货验收时，还必须提供设备的产品合格证、质量保证文件。若中标后，必须按合同规定完成设备的安装，并达到验收标准。</w:t>
      </w:r>
    </w:p>
    <w:p w14:paraId="49FC3014">
      <w:pPr>
        <w:ind w:firstLine="210" w:firstLineChars="100"/>
      </w:pPr>
      <w:r>
        <w:rPr>
          <w:rFonts w:hint="eastAsia"/>
        </w:rPr>
        <w:t>5、除非下文另有规定，产品</w:t>
      </w:r>
      <w:r>
        <w:t>有效期</w:t>
      </w:r>
      <w:r>
        <w:rPr>
          <w:rFonts w:hint="eastAsia"/>
        </w:rPr>
        <w:t>为：</w:t>
      </w:r>
      <w:r>
        <w:t>密封存放在阴凉、干燥、通风、温度为</w:t>
      </w:r>
      <w:r>
        <w:rPr>
          <w:rFonts w:hint="eastAsia"/>
        </w:rPr>
        <w:t>-5</w:t>
      </w:r>
      <w:r>
        <w:t>°Ｃ～４０°Ｃ的环境中，有效期</w:t>
      </w:r>
      <w:r>
        <w:rPr>
          <w:rFonts w:hint="eastAsia"/>
        </w:rPr>
        <w:t>应符合行业相关规范</w:t>
      </w:r>
      <w:r>
        <w:t>。</w:t>
      </w:r>
      <w:r>
        <w:rPr>
          <w:rFonts w:hint="eastAsia"/>
        </w:rPr>
        <w:t>特殊要求的另行规定。</w:t>
      </w:r>
    </w:p>
    <w:p w14:paraId="148CD94F">
      <w:pPr>
        <w:ind w:firstLine="210" w:firstLineChars="100"/>
      </w:pPr>
      <w:r>
        <w:rPr>
          <w:rFonts w:hint="eastAsia"/>
        </w:rPr>
        <w:t xml:space="preserve">6、投标供应商必须承担的设备运输、安装调试、验收检测和提供设备操作说明书、图纸等其他类似的义务。 </w:t>
      </w:r>
    </w:p>
    <w:p w14:paraId="179D718C">
      <w:pPr>
        <w:rPr>
          <w:rFonts w:ascii="宋体" w:hAnsi="宋体"/>
          <w:szCs w:val="21"/>
        </w:rPr>
      </w:pPr>
      <w:r>
        <w:rPr>
          <w:rFonts w:hint="eastAsia" w:ascii="宋体" w:hAnsi="宋体"/>
          <w:szCs w:val="21"/>
        </w:rPr>
        <w:t xml:space="preserve">  7、</w:t>
      </w:r>
      <w:r>
        <w:rPr>
          <w:rFonts w:ascii="宋体" w:hAnsi="宋体"/>
          <w:szCs w:val="21"/>
        </w:rPr>
        <w:t xml:space="preserve"> </w:t>
      </w:r>
      <w:r>
        <w:rPr>
          <w:rFonts w:hint="eastAsia" w:ascii="宋体" w:hAnsi="宋体"/>
          <w:szCs w:val="21"/>
        </w:rPr>
        <w:t>投标人应提交证明文件证明其投标技术方案项下的货物、工程和服务的合格性，符合采购文件规定。该投标技术方案及其证明文件作为应答文件的一部分。</w:t>
      </w:r>
    </w:p>
    <w:p w14:paraId="3D2AD747">
      <w:r>
        <w:rPr>
          <w:rFonts w:hint="eastAsia"/>
        </w:rPr>
        <w:t xml:space="preserve">  8、投标人提供的证明文件，可以是文字资料、图纸、数据或数码照片、制造商公布的产品说明书、产品彩页和我国政府机构出具的产品检验和核准证件等，以证明投标人响应的真实性。它包括并应符合以下要求：</w:t>
      </w:r>
    </w:p>
    <w:p w14:paraId="00998251">
      <w:pPr>
        <w:ind w:firstLine="210" w:firstLineChars="100"/>
      </w:pPr>
      <w:r>
        <w:rPr>
          <w:rFonts w:hint="eastAsia"/>
        </w:rPr>
        <w:t>8.1、主要技术指标和性能的详细说明。</w:t>
      </w:r>
    </w:p>
    <w:p w14:paraId="0CD00091">
      <w:pPr>
        <w:ind w:firstLine="210" w:firstLineChars="100"/>
      </w:pPr>
      <w:r>
        <w:rPr>
          <w:rFonts w:hint="eastAsia"/>
        </w:rPr>
        <w:t>8.2、投标产品从采购单位开始使用至采购文件中规定的周期内正常、连续地使用所必须的备件和专用工具清单，包括备件和专用工具的货源及现行价格。</w:t>
      </w:r>
    </w:p>
    <w:p w14:paraId="6180A9F9">
      <w:pPr>
        <w:ind w:firstLine="210" w:firstLineChars="100"/>
      </w:pPr>
      <w:r>
        <w:rPr>
          <w:rFonts w:hint="eastAsia"/>
        </w:rPr>
        <w:t>8.3、对照采购文件技术规格，逐条说明投标技术方案已对采购单位的技术规格、服务标准做出了实质性的响应，或申明偏差和例外。投标人应详细说明投标技术方案中产品的具体参数。</w:t>
      </w:r>
    </w:p>
    <w:p w14:paraId="12C5DD47">
      <w:pPr>
        <w:ind w:firstLine="210" w:firstLineChars="100"/>
      </w:pPr>
      <w:r>
        <w:rPr>
          <w:rFonts w:hint="eastAsia"/>
        </w:rPr>
        <w:t>8.4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清晰度应该能够在电脑上被阅读、识别和判断，提供原件扫描件；</w:t>
      </w:r>
    </w:p>
    <w:p w14:paraId="2203F671">
      <w:pPr>
        <w:ind w:firstLine="210" w:firstLineChars="100"/>
      </w:pPr>
      <w:r>
        <w:rPr>
          <w:rFonts w:hint="eastAsia"/>
        </w:rPr>
        <w:t>8.5、我国政府机构出具的产品检验和核准证件应为证件正面、背面和附件标注的全部具体内容；产品检验和核准证件的尺寸和清晰度应该能够在电脑上被阅读、识别和判断，提供原件扫描件。</w:t>
      </w:r>
    </w:p>
    <w:p w14:paraId="5B20B22F">
      <w:pPr>
        <w:ind w:firstLine="210" w:firstLineChars="100"/>
      </w:pPr>
      <w:r>
        <w:rPr>
          <w:rFonts w:hint="eastAsia"/>
        </w:rPr>
        <w:t>9、相关资料不符合8款要求的，评标委员会有权认定为投标技术方案不合格响应，其相关分数予以扣减或按采购文件相关规定作投标无效处理。</w:t>
      </w:r>
    </w:p>
    <w:p w14:paraId="52E4E89F">
      <w:pPr>
        <w:ind w:firstLine="210" w:firstLineChars="100"/>
      </w:pPr>
      <w:r>
        <w:rPr>
          <w:rFonts w:hint="eastAsia"/>
        </w:rPr>
        <w:t>10、评标委员会有权对以谋取中标为目的的技术规格模糊响应或虚假响应予以认定。供应商上述行为一经发现或查实，除扣分或投标无效外，</w:t>
      </w:r>
      <w:r>
        <w:rPr>
          <w:rFonts w:hint="eastAsia" w:ascii="宋体" w:hAnsi="宋体"/>
        </w:rPr>
        <w:t>将依法承担相应责任</w:t>
      </w:r>
      <w:r>
        <w:rPr>
          <w:rFonts w:hint="eastAsia"/>
        </w:rPr>
        <w:t>。</w:t>
      </w:r>
    </w:p>
    <w:p w14:paraId="67F83795">
      <w:pPr>
        <w:ind w:firstLine="210" w:firstLineChars="100"/>
      </w:pPr>
      <w:r>
        <w:rPr>
          <w:rFonts w:hint="eastAsia"/>
        </w:rPr>
        <w:t>11、投标人在阐述上述第8时应注意采购单位在技术规格中指出的工艺、材料和设备的标准以及参照的牌号或分类号仅起说明作用，并没有任何限制性。投标人在投标中可以选用替代标准、牌号或分类号，但这些替代要实质上满足采购文件中技术规格的要求，是否满足要求，由评标委员会来评判。</w:t>
      </w:r>
    </w:p>
    <w:bookmarkEnd w:id="13"/>
    <w:bookmarkEnd w:id="14"/>
    <w:p w14:paraId="4BEC2045">
      <w:pPr>
        <w:pStyle w:val="4"/>
        <w:jc w:val="center"/>
        <w:rPr>
          <w:b w:val="0"/>
          <w:bCs w:val="0"/>
          <w:sz w:val="24"/>
          <w:szCs w:val="24"/>
        </w:rPr>
      </w:pPr>
      <w:r>
        <w:rPr>
          <w:rFonts w:hint="eastAsia"/>
          <w:b w:val="0"/>
          <w:bCs w:val="0"/>
          <w:sz w:val="24"/>
          <w:szCs w:val="24"/>
        </w:rPr>
        <w:t>（二）投标报价及合同方式</w:t>
      </w:r>
    </w:p>
    <w:p w14:paraId="7019BD37">
      <w:pPr>
        <w:pStyle w:val="8"/>
        <w:spacing w:before="78" w:beforeLines="25" w:after="78" w:afterLines="25"/>
        <w:ind w:firstLine="392" w:firstLineChars="187"/>
        <w:rPr>
          <w:rFonts w:ascii="宋体" w:hAnsi="宋体"/>
          <w:color w:val="000000"/>
          <w:szCs w:val="21"/>
        </w:rPr>
      </w:pPr>
      <w:r>
        <w:rPr>
          <w:rFonts w:hint="eastAsia" w:ascii="宋体" w:hAnsi="宋体"/>
          <w:color w:val="000000"/>
          <w:szCs w:val="21"/>
        </w:rPr>
        <w:t>1、合同方式：</w:t>
      </w:r>
      <w:r>
        <w:rPr>
          <w:rFonts w:hint="eastAsia" w:ascii="宋体" w:hAnsi="宋体"/>
          <w:szCs w:val="21"/>
        </w:rPr>
        <w:t>本项目</w:t>
      </w:r>
      <w:r>
        <w:rPr>
          <w:rFonts w:hint="eastAsia" w:ascii="宋体" w:hAnsi="宋体"/>
          <w:color w:val="FF0000"/>
          <w:szCs w:val="21"/>
        </w:rPr>
        <w:t>采用总价合同</w:t>
      </w:r>
      <w:r>
        <w:rPr>
          <w:rFonts w:hint="eastAsia" w:ascii="宋体" w:hAnsi="宋体"/>
          <w:color w:val="000000"/>
          <w:szCs w:val="21"/>
        </w:rPr>
        <w:t>,设计图纸与工程量清单不一致的，以最有利于采购单位的为准，请投标供应商报价时综合考虑。</w:t>
      </w:r>
    </w:p>
    <w:p w14:paraId="19506077">
      <w:pPr>
        <w:pStyle w:val="8"/>
        <w:spacing w:before="78" w:beforeLines="25" w:after="78" w:afterLines="25"/>
        <w:ind w:firstLine="392" w:firstLineChars="187"/>
        <w:rPr>
          <w:rFonts w:ascii="宋体" w:hAnsi="宋体"/>
          <w:color w:val="000000"/>
          <w:szCs w:val="21"/>
        </w:rPr>
      </w:pPr>
      <w:r>
        <w:rPr>
          <w:rFonts w:hint="eastAsia" w:ascii="宋体" w:hAnsi="宋体"/>
          <w:color w:val="000000"/>
          <w:szCs w:val="21"/>
        </w:rPr>
        <w:t>2、投标报价构成</w:t>
      </w:r>
    </w:p>
    <w:p w14:paraId="391F48E9">
      <w:pPr>
        <w:pStyle w:val="8"/>
        <w:spacing w:before="78" w:beforeLines="25" w:after="78" w:afterLines="25"/>
        <w:ind w:firstLine="392" w:firstLineChars="187"/>
        <w:rPr>
          <w:rFonts w:ascii="宋体" w:hAnsi="宋体"/>
          <w:color w:val="000000"/>
          <w:szCs w:val="21"/>
        </w:rPr>
      </w:pPr>
      <w:r>
        <w:rPr>
          <w:rFonts w:hint="eastAsia" w:ascii="宋体" w:hAnsi="宋体"/>
          <w:color w:val="000000"/>
          <w:szCs w:val="21"/>
        </w:rPr>
        <w:t>①企业根据成本自行决定报价，但不得以低于其企业成本的报价投标；</w:t>
      </w:r>
    </w:p>
    <w:p w14:paraId="7943FF16">
      <w:pPr>
        <w:pStyle w:val="8"/>
        <w:spacing w:before="78" w:beforeLines="25" w:after="78" w:afterLines="25"/>
        <w:ind w:firstLine="392" w:firstLineChars="187"/>
        <w:rPr>
          <w:rFonts w:ascii="宋体" w:hAnsi="宋体"/>
          <w:color w:val="FF6600"/>
          <w:szCs w:val="21"/>
        </w:rPr>
      </w:pPr>
      <w:r>
        <w:rPr>
          <w:rFonts w:hint="eastAsia" w:ascii="宋体" w:hAnsi="宋体"/>
          <w:color w:val="000000"/>
          <w:szCs w:val="21"/>
        </w:rPr>
        <w:t>②投标供应商的投标报价不得超过采购文件规定的项目预算金额；</w:t>
      </w:r>
    </w:p>
    <w:p w14:paraId="4B4971D8">
      <w:pPr>
        <w:ind w:firstLine="420" w:firstLineChars="200"/>
        <w:rPr>
          <w:rFonts w:ascii="宋体" w:hAnsi="宋体"/>
          <w:color w:val="000000"/>
          <w:szCs w:val="21"/>
        </w:rPr>
      </w:pPr>
      <w:r>
        <w:rPr>
          <w:rFonts w:hint="eastAsia" w:ascii="宋体" w:hAnsi="宋体"/>
          <w:color w:val="000000"/>
          <w:szCs w:val="21"/>
        </w:rPr>
        <w:t>③投标报价为到货物到达采购单位指定的</w:t>
      </w:r>
      <w:r>
        <w:rPr>
          <w:rFonts w:hint="eastAsia" w:ascii="宋体" w:hAnsi="宋体"/>
          <w:color w:val="FF0000"/>
          <w:szCs w:val="21"/>
        </w:rPr>
        <w:t>地点并安装</w:t>
      </w:r>
      <w:r>
        <w:rPr>
          <w:rFonts w:hint="eastAsia" w:ascii="宋体" w:hAnsi="宋体"/>
          <w:color w:val="000000"/>
          <w:szCs w:val="21"/>
        </w:rPr>
        <w:t>的价格。包括设备价（包括硬件、软件）、运至合同指定地点的运输费（包括海外运输、内陆运输、工地场地内水平和垂直运输等所有运输）、采购保管费、安装费（包括损耗、额外材料等）、保险费、税金、安装、技术培训费、风险金、（预埋件）的材料、制作、安装、施工、检测等费用，投标报价还应包括施工组织措施费、文明施工费、设备和材料二次搬运费、现场保管费、吊装费、工地环保费、治安费、施工垃圾外运费、与其他相关单位配合管理费等所有在采购单位可以使用货物之前的应尽的费用。中标单位所需要的办公室、工人宿舍等须自行解决。其费用采购单位认为已包含在中标单位的报价中。</w:t>
      </w:r>
    </w:p>
    <w:p w14:paraId="5A493988">
      <w:pPr>
        <w:ind w:firstLine="420" w:firstLineChars="200"/>
        <w:rPr>
          <w:rFonts w:ascii="宋体" w:hAnsi="宋体"/>
          <w:color w:val="000000"/>
          <w:szCs w:val="21"/>
        </w:rPr>
      </w:pPr>
      <w:r>
        <w:rPr>
          <w:rFonts w:hint="eastAsia" w:ascii="宋体" w:hAnsi="宋体"/>
          <w:color w:val="000000"/>
          <w:szCs w:val="21"/>
        </w:rPr>
        <w:t>④国产的货物及其有关服务的报价应包括要向中华人民共和国政府缴纳的增值税和其他税。</w:t>
      </w:r>
    </w:p>
    <w:p w14:paraId="30D1675F">
      <w:pPr>
        <w:ind w:firstLine="420" w:firstLineChars="200"/>
        <w:rPr>
          <w:rFonts w:ascii="宋体" w:hAnsi="宋体"/>
          <w:color w:val="000000"/>
          <w:szCs w:val="21"/>
        </w:rPr>
      </w:pPr>
      <w:r>
        <w:rPr>
          <w:rFonts w:hint="eastAsia" w:ascii="宋体" w:hAnsi="宋体"/>
          <w:color w:val="000000"/>
          <w:szCs w:val="21"/>
        </w:rPr>
        <w:t>⑤</w:t>
      </w:r>
      <w:r>
        <w:rPr>
          <w:rFonts w:ascii="宋体" w:hAnsi="宋体"/>
          <w:color w:val="000000"/>
          <w:szCs w:val="21"/>
        </w:rPr>
        <w:t>在中华人民共和国境内提供的</w:t>
      </w:r>
      <w:r>
        <w:rPr>
          <w:rFonts w:hint="eastAsia" w:ascii="宋体" w:hAnsi="宋体"/>
          <w:color w:val="000000"/>
          <w:szCs w:val="21"/>
        </w:rPr>
        <w:t>进口货物及其有关服务的报价应包括要向中华人民共和国政府缴纳的关税、增值税和其他税。</w:t>
      </w:r>
    </w:p>
    <w:p w14:paraId="1D82475A">
      <w:pPr>
        <w:pStyle w:val="8"/>
        <w:spacing w:before="78" w:beforeLines="25" w:after="78" w:afterLines="25"/>
        <w:ind w:firstLine="392" w:firstLineChars="187"/>
        <w:rPr>
          <w:rFonts w:ascii="宋体" w:hAnsi="宋体"/>
          <w:color w:val="000000"/>
          <w:szCs w:val="21"/>
        </w:rPr>
      </w:pPr>
      <w:r>
        <w:rPr>
          <w:rFonts w:hint="eastAsia" w:ascii="宋体" w:hAnsi="宋体"/>
          <w:color w:val="000000"/>
          <w:szCs w:val="21"/>
        </w:rPr>
        <w:t>⑥投标供应商的投标报价，应是本项目招标范围和采购文件及合同条款上所列的各项内容中所述的全部，不得以任何理由予以重复，并以投标供应商在价格标中提出的单价或总价为依据；</w:t>
      </w:r>
    </w:p>
    <w:p w14:paraId="6E0FF26D">
      <w:pPr>
        <w:pStyle w:val="8"/>
        <w:spacing w:before="78" w:beforeLines="25" w:after="78" w:afterLines="25"/>
        <w:ind w:firstLine="392" w:firstLineChars="187"/>
        <w:rPr>
          <w:rFonts w:ascii="宋体" w:hAnsi="宋体"/>
          <w:color w:val="000000"/>
          <w:szCs w:val="21"/>
        </w:rPr>
      </w:pPr>
      <w:r>
        <w:rPr>
          <w:rFonts w:hint="eastAsia" w:ascii="宋体" w:hAnsi="宋体"/>
          <w:color w:val="000000"/>
          <w:szCs w:val="21"/>
        </w:rPr>
        <w:t>⑦本项目费用采用包干制，应包括成本、法定税费和企业管理费、利润。</w:t>
      </w:r>
    </w:p>
    <w:p w14:paraId="33FBB535">
      <w:pPr>
        <w:pStyle w:val="8"/>
        <w:spacing w:before="78" w:beforeLines="25" w:after="78" w:afterLines="25"/>
        <w:ind w:firstLine="392" w:firstLineChars="187"/>
        <w:rPr>
          <w:rFonts w:ascii="宋体" w:hAnsi="宋体"/>
          <w:color w:val="000000"/>
          <w:szCs w:val="21"/>
        </w:rPr>
      </w:pPr>
      <w:r>
        <w:rPr>
          <w:rFonts w:hint="eastAsia" w:ascii="宋体" w:hAnsi="宋体"/>
          <w:color w:val="000000"/>
          <w:szCs w:val="21"/>
        </w:rPr>
        <w:t>⑧除非深圳公共资源交易中心（深圳交易集团有限公司罗湖分公司）通过修改采购文件予以更正，否则，投标供应商应毫无例外地按采购文件所列的清单中项目和数量填报单价和合价。投标供应商未填单价或合价的项目，在实施后，将不得以支付，并视作该项费用已包括在其它有价款的单价或合价内；</w:t>
      </w:r>
    </w:p>
    <w:p w14:paraId="51F943BE">
      <w:pPr>
        <w:pStyle w:val="8"/>
        <w:spacing w:before="78" w:beforeLines="25" w:after="78" w:afterLines="25"/>
        <w:ind w:firstLine="392" w:firstLineChars="187"/>
        <w:rPr>
          <w:rFonts w:hint="eastAsia" w:ascii="宋体" w:hAnsi="宋体"/>
          <w:color w:val="000000"/>
          <w:szCs w:val="21"/>
        </w:rPr>
      </w:pPr>
      <w:r>
        <w:rPr>
          <w:rFonts w:hint="eastAsia" w:ascii="宋体" w:hAnsi="宋体"/>
          <w:color w:val="000000"/>
          <w:szCs w:val="21"/>
        </w:rPr>
        <w:t>⑨投标供应商投标报价总额一经中标后，中标价即为该项目的合同总价。</w:t>
      </w:r>
    </w:p>
    <w:p w14:paraId="653E143D">
      <w:pPr>
        <w:pStyle w:val="4"/>
        <w:spacing w:line="400" w:lineRule="exact"/>
        <w:jc w:val="center"/>
        <w:rPr>
          <w:rFonts w:hint="default" w:eastAsia="黑体"/>
          <w:b w:val="0"/>
          <w:bCs w:val="0"/>
          <w:sz w:val="24"/>
          <w:szCs w:val="24"/>
          <w:lang w:val="en-US" w:eastAsia="zh-CN"/>
        </w:rPr>
      </w:pPr>
      <w:r>
        <w:rPr>
          <w:rFonts w:hint="eastAsia"/>
          <w:b w:val="0"/>
          <w:bCs w:val="0"/>
          <w:sz w:val="24"/>
          <w:szCs w:val="24"/>
        </w:rPr>
        <w:t>（</w:t>
      </w:r>
      <w:r>
        <w:rPr>
          <w:rFonts w:hint="eastAsia"/>
          <w:b w:val="0"/>
          <w:bCs w:val="0"/>
          <w:sz w:val="24"/>
          <w:szCs w:val="24"/>
          <w:lang w:val="en-US" w:eastAsia="zh-CN"/>
        </w:rPr>
        <w:t>三</w:t>
      </w:r>
      <w:r>
        <w:rPr>
          <w:rFonts w:hint="eastAsia"/>
          <w:b w:val="0"/>
          <w:bCs w:val="0"/>
          <w:sz w:val="24"/>
          <w:szCs w:val="24"/>
        </w:rPr>
        <w:t>）</w:t>
      </w:r>
      <w:r>
        <w:rPr>
          <w:rFonts w:hint="eastAsia"/>
          <w:b w:val="0"/>
          <w:bCs w:val="0"/>
          <w:sz w:val="24"/>
          <w:szCs w:val="24"/>
          <w:lang w:val="en-US" w:eastAsia="zh-CN"/>
        </w:rPr>
        <w:t>其他重要条款</w:t>
      </w:r>
    </w:p>
    <w:p w14:paraId="715DD0F6">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lang w:val="en-US" w:eastAsia="zh-CN"/>
        </w:rPr>
        <w:t>1</w:t>
      </w:r>
      <w:r>
        <w:rPr>
          <w:rFonts w:hint="eastAsia" w:ascii="宋体" w:hAnsi="宋体" w:eastAsiaTheme="minorEastAsia" w:cstheme="minorBidi"/>
          <w:color w:val="000000"/>
          <w:szCs w:val="21"/>
        </w:rPr>
        <w:t>、“信用中国”中“信用服务”栏的“重大税收违法失信主体”“失信被执行人”，“中国政府采购网”中的“政府采购严重违法失信行为记录名单”，“深圳市政府采购监管网”以及财政部门认可的“供应商诚信档案库”为供应商信用信息的查询渠道，相关信息以开标当日的查询结果为准</w:t>
      </w:r>
      <w:r>
        <w:rPr>
          <w:rFonts w:hint="eastAsia" w:ascii="宋体" w:hAnsi="宋体"/>
        </w:rPr>
        <w:t>；</w:t>
      </w:r>
      <w:r>
        <w:rPr>
          <w:rFonts w:hint="eastAsia" w:ascii="宋体" w:hAnsi="宋体" w:eastAsiaTheme="minorEastAsia" w:cstheme="minorBidi"/>
          <w:color w:val="000000"/>
          <w:szCs w:val="21"/>
        </w:rPr>
        <w:t>如开标当日网站出现网站无法打开的特殊情况，相关信息则以中标通知书发出前的查询结果为准。</w:t>
      </w:r>
    </w:p>
    <w:p w14:paraId="16DF4B00">
      <w:pPr>
        <w:widowControl/>
        <w:spacing w:line="360" w:lineRule="exact"/>
        <w:ind w:firstLine="420" w:firstLineChars="200"/>
        <w:jc w:val="left"/>
        <w:rPr>
          <w:rFonts w:ascii="宋体" w:hAnsi="宋体" w:eastAsiaTheme="minorEastAsia" w:cstheme="minorBidi"/>
          <w:color w:val="000000"/>
          <w:szCs w:val="21"/>
        </w:rPr>
      </w:pPr>
      <w:r>
        <w:rPr>
          <w:rFonts w:hint="eastAsia" w:ascii="宋体" w:hAnsi="宋体" w:eastAsiaTheme="minorEastAsia" w:cstheme="minorBidi"/>
          <w:color w:val="000000"/>
          <w:szCs w:val="21"/>
          <w:lang w:val="en-US" w:eastAsia="zh-CN"/>
        </w:rPr>
        <w:t>2</w:t>
      </w:r>
      <w:r>
        <w:rPr>
          <w:rFonts w:hint="eastAsia" w:ascii="宋体" w:hAnsi="宋体" w:eastAsiaTheme="minorEastAsia" w:cstheme="minorBidi"/>
          <w:color w:val="000000"/>
          <w:szCs w:val="21"/>
        </w:rPr>
        <w:t>、供应商提供报价合理性、澄清、说明、补正或者错误的修正的方式，包括但不限于现场提交（地址：深圳市罗湖区深南东路1076号党群服务中心4楼）、电邮提交（邮箱：szexlhfgs@szexgrp.com）等便捷方式。</w:t>
      </w:r>
    </w:p>
    <w:p w14:paraId="58AA4636">
      <w:pPr>
        <w:pStyle w:val="8"/>
        <w:spacing w:before="78" w:beforeLines="25" w:after="78" w:afterLines="25"/>
        <w:ind w:firstLine="392" w:firstLineChars="187"/>
        <w:rPr>
          <w:rFonts w:ascii="宋体" w:hAnsi="宋体"/>
          <w:color w:val="000000"/>
          <w:szCs w:val="21"/>
        </w:rPr>
      </w:pPr>
      <w:r>
        <w:rPr>
          <w:rFonts w:ascii="宋体" w:hAnsi="宋体"/>
          <w:color w:val="000000"/>
          <w:szCs w:val="21"/>
        </w:rPr>
        <w:br w:type="page"/>
      </w:r>
    </w:p>
    <w:p w14:paraId="33086B9C">
      <w:pPr>
        <w:pStyle w:val="3"/>
        <w:jc w:val="center"/>
        <w:rPr>
          <w:rFonts w:ascii="黑体" w:eastAsia="黑体"/>
          <w:b w:val="0"/>
          <w:kern w:val="0"/>
          <w:sz w:val="24"/>
        </w:rPr>
      </w:pPr>
      <w:bookmarkStart w:id="16" w:name="_Toc194467282"/>
      <w:r>
        <w:rPr>
          <w:rFonts w:hint="eastAsia"/>
          <w:kern w:val="0"/>
        </w:rPr>
        <w:t>四、投标文件组成</w:t>
      </w:r>
    </w:p>
    <w:p w14:paraId="3CF1C10B">
      <w:pPr>
        <w:ind w:firstLine="422" w:firstLineChars="200"/>
        <w:rPr>
          <w:rFonts w:ascii="宋体" w:hAnsi="宋体"/>
          <w:b/>
          <w:snapToGrid w:val="0"/>
          <w:color w:val="FF0000"/>
          <w:kern w:val="0"/>
        </w:rPr>
      </w:pPr>
      <w:r>
        <w:rPr>
          <w:rFonts w:hint="eastAsia" w:ascii="宋体" w:hAnsi="宋体"/>
          <w:b/>
          <w:snapToGrid w:val="0"/>
          <w:color w:val="FF0000"/>
          <w:kern w:val="0"/>
          <w:highlight w:val="yellow"/>
        </w:rPr>
        <w:t>投标文件扫描成.pdf同时上传至“报名方案”、“报名附件”。（注意：投标供应商上传至“报名方案”、“报名附件”的投标文件内容需一致，上传不一致的，以“报名方案”的投标文件为准。）</w:t>
      </w:r>
    </w:p>
    <w:p w14:paraId="4B45DEDC">
      <w:pPr>
        <w:ind w:firstLine="422" w:firstLineChars="200"/>
        <w:rPr>
          <w:b/>
          <w:color w:val="FF0000"/>
          <w:highlight w:val="yellow"/>
        </w:rPr>
      </w:pPr>
    </w:p>
    <w:p w14:paraId="28B8BFA2">
      <w:pPr>
        <w:ind w:firstLine="422" w:firstLineChars="200"/>
        <w:rPr>
          <w:b/>
          <w:color w:val="FF0000"/>
        </w:rPr>
      </w:pPr>
      <w:r>
        <w:rPr>
          <w:rFonts w:hint="eastAsia"/>
          <w:b/>
          <w:color w:val="FF0000"/>
          <w:highlight w:val="yellow"/>
        </w:rPr>
        <w:t>重要提醒：投标供应商在编辑投标文件时，在投标文件目录中属于本节点内容的必须在本节点中填写，填写到其他节点将可能导致投标无效，一切后果由供应商自行承担。</w:t>
      </w:r>
    </w:p>
    <w:p w14:paraId="1F1B0BDE">
      <w:pPr>
        <w:rPr>
          <w:rFonts w:ascii="宋体" w:hAnsi="宋体"/>
          <w:color w:val="000000"/>
          <w:szCs w:val="21"/>
        </w:rPr>
      </w:pPr>
    </w:p>
    <w:p w14:paraId="433419AD">
      <w:pPr>
        <w:spacing w:line="400" w:lineRule="exact"/>
        <w:ind w:firstLine="420" w:firstLineChars="200"/>
        <w:rPr>
          <w:rFonts w:ascii="宋体" w:hAnsi="宋体"/>
          <w:color w:val="000000"/>
          <w:szCs w:val="21"/>
        </w:rPr>
      </w:pPr>
      <w:r>
        <w:rPr>
          <w:rFonts w:hint="eastAsia" w:ascii="宋体" w:hAnsi="宋体"/>
          <w:color w:val="000000"/>
          <w:szCs w:val="21"/>
        </w:rPr>
        <w:t>投标供应商编写的投标文件应包括下列部分：</w:t>
      </w:r>
    </w:p>
    <w:p w14:paraId="43016C5F">
      <w:pPr>
        <w:spacing w:line="400" w:lineRule="exact"/>
        <w:ind w:firstLine="843" w:firstLineChars="400"/>
        <w:rPr>
          <w:rFonts w:ascii="宋体" w:hAnsi="宋体"/>
          <w:b/>
          <w:color w:val="000000"/>
          <w:szCs w:val="21"/>
        </w:rPr>
      </w:pPr>
      <w:r>
        <w:rPr>
          <w:rFonts w:hint="eastAsia" w:ascii="宋体" w:hAnsi="宋体"/>
          <w:b/>
          <w:color w:val="000000"/>
          <w:szCs w:val="21"/>
        </w:rPr>
        <w:t>一、关键信息</w:t>
      </w:r>
    </w:p>
    <w:p w14:paraId="3976A5BD">
      <w:pPr>
        <w:spacing w:line="400" w:lineRule="exact"/>
        <w:ind w:firstLine="840" w:firstLineChars="400"/>
        <w:rPr>
          <w:rFonts w:ascii="宋体" w:hAnsi="宋体"/>
          <w:color w:val="000000"/>
          <w:szCs w:val="21"/>
        </w:rPr>
      </w:pPr>
      <w:r>
        <w:rPr>
          <w:rFonts w:hint="eastAsia" w:ascii="宋体" w:hAnsi="宋体"/>
          <w:color w:val="000000"/>
          <w:szCs w:val="21"/>
        </w:rPr>
        <w:t>（1）开标一览表</w:t>
      </w:r>
    </w:p>
    <w:p w14:paraId="7C1B96A7">
      <w:pPr>
        <w:spacing w:line="400" w:lineRule="exact"/>
        <w:ind w:firstLine="840" w:firstLineChars="400"/>
        <w:rPr>
          <w:rFonts w:ascii="宋体" w:hAnsi="宋体"/>
          <w:color w:val="000000"/>
          <w:szCs w:val="21"/>
        </w:rPr>
      </w:pPr>
      <w:r>
        <w:rPr>
          <w:rFonts w:hint="eastAsia" w:ascii="宋体" w:hAnsi="宋体"/>
          <w:color w:val="000000"/>
          <w:szCs w:val="21"/>
        </w:rPr>
        <w:t>（2）投标承诺书</w:t>
      </w:r>
    </w:p>
    <w:p w14:paraId="48DF82F5">
      <w:pPr>
        <w:spacing w:line="400" w:lineRule="exact"/>
        <w:ind w:firstLine="840" w:firstLineChars="400"/>
        <w:rPr>
          <w:rFonts w:ascii="宋体" w:hAnsi="宋体"/>
          <w:color w:val="000000"/>
          <w:szCs w:val="21"/>
        </w:rPr>
      </w:pPr>
      <w:r>
        <w:rPr>
          <w:rFonts w:hint="eastAsia" w:ascii="宋体" w:hAnsi="宋体"/>
          <w:color w:val="000000"/>
          <w:szCs w:val="21"/>
        </w:rPr>
        <w:t>（3）供应商资格证明文件</w:t>
      </w:r>
    </w:p>
    <w:p w14:paraId="317B119F">
      <w:pPr>
        <w:spacing w:line="400" w:lineRule="exact"/>
        <w:ind w:firstLine="840" w:firstLineChars="400"/>
        <w:rPr>
          <w:rFonts w:ascii="宋体" w:hAnsi="宋体"/>
          <w:color w:val="000000"/>
          <w:szCs w:val="21"/>
        </w:rPr>
      </w:pPr>
      <w:r>
        <w:rPr>
          <w:rFonts w:hint="eastAsia" w:ascii="宋体" w:hAnsi="宋体"/>
          <w:color w:val="000000"/>
          <w:szCs w:val="21"/>
        </w:rPr>
        <w:t>（4）实质性服务条款（以★号标注）证明文件（如有）</w:t>
      </w:r>
    </w:p>
    <w:p w14:paraId="71D2C43E">
      <w:pPr>
        <w:spacing w:line="400" w:lineRule="exact"/>
        <w:ind w:firstLine="840" w:firstLineChars="400"/>
        <w:rPr>
          <w:rFonts w:ascii="宋体" w:hAnsi="宋体"/>
          <w:color w:val="000000"/>
          <w:szCs w:val="21"/>
        </w:rPr>
      </w:pPr>
      <w:r>
        <w:rPr>
          <w:rFonts w:hint="eastAsia" w:ascii="宋体" w:hAnsi="宋体"/>
          <w:color w:val="000000"/>
          <w:szCs w:val="21"/>
        </w:rPr>
        <w:t>（5）法定代表人（负责人）资格证明书</w:t>
      </w:r>
    </w:p>
    <w:p w14:paraId="2580EA40">
      <w:pPr>
        <w:spacing w:line="400" w:lineRule="exact"/>
        <w:ind w:firstLine="840" w:firstLineChars="400"/>
        <w:rPr>
          <w:rFonts w:ascii="宋体" w:hAnsi="宋体"/>
          <w:color w:val="000000"/>
          <w:szCs w:val="21"/>
        </w:rPr>
      </w:pPr>
      <w:r>
        <w:rPr>
          <w:rFonts w:hint="eastAsia" w:ascii="宋体" w:hAnsi="宋体"/>
          <w:color w:val="000000"/>
          <w:szCs w:val="21"/>
        </w:rPr>
        <w:t>（6）投标文件签署授权委托书</w:t>
      </w:r>
    </w:p>
    <w:p w14:paraId="60D7C8EE">
      <w:pPr>
        <w:spacing w:line="400" w:lineRule="exact"/>
        <w:ind w:firstLine="840" w:firstLineChars="400"/>
        <w:rPr>
          <w:rFonts w:ascii="宋体" w:hAnsi="宋体"/>
          <w:color w:val="000000"/>
          <w:szCs w:val="21"/>
        </w:rPr>
      </w:pPr>
      <w:r>
        <w:rPr>
          <w:rFonts w:hint="eastAsia" w:ascii="宋体" w:hAnsi="宋体"/>
          <w:color w:val="000000"/>
          <w:szCs w:val="21"/>
        </w:rPr>
        <w:t>（7）分项报价清单</w:t>
      </w:r>
    </w:p>
    <w:p w14:paraId="55C6F963">
      <w:pPr>
        <w:spacing w:line="400" w:lineRule="exact"/>
        <w:ind w:firstLine="843" w:firstLineChars="400"/>
        <w:rPr>
          <w:rFonts w:ascii="宋体" w:hAnsi="宋体"/>
          <w:b/>
          <w:color w:val="000000"/>
          <w:szCs w:val="21"/>
        </w:rPr>
      </w:pPr>
      <w:r>
        <w:rPr>
          <w:rFonts w:hint="eastAsia" w:ascii="宋体" w:hAnsi="宋体"/>
          <w:b/>
          <w:color w:val="000000"/>
          <w:szCs w:val="21"/>
        </w:rPr>
        <w:t>二、技术服务部分</w:t>
      </w:r>
    </w:p>
    <w:p w14:paraId="1405204B">
      <w:pPr>
        <w:spacing w:line="400" w:lineRule="exact"/>
        <w:ind w:firstLine="840" w:firstLineChars="400"/>
        <w:rPr>
          <w:rFonts w:hint="eastAsia" w:ascii="宋体" w:hAnsi="宋体"/>
          <w:color w:val="000000"/>
          <w:szCs w:val="21"/>
        </w:rPr>
      </w:pPr>
      <w:r>
        <w:rPr>
          <w:rFonts w:hint="eastAsia" w:ascii="宋体" w:hAnsi="宋体"/>
          <w:color w:val="000000"/>
          <w:szCs w:val="21"/>
        </w:rPr>
        <w:t>（1）技术要求符合性评价</w:t>
      </w:r>
    </w:p>
    <w:p w14:paraId="17D45FC4">
      <w:pPr>
        <w:spacing w:line="400" w:lineRule="exact"/>
        <w:ind w:firstLine="840" w:firstLineChars="400"/>
        <w:rPr>
          <w:rFonts w:hint="eastAsia" w:ascii="宋体" w:hAnsi="宋体"/>
          <w:color w:val="000000"/>
          <w:szCs w:val="21"/>
        </w:rPr>
      </w:pPr>
      <w:r>
        <w:rPr>
          <w:rFonts w:hint="eastAsia" w:ascii="宋体" w:hAnsi="宋体"/>
          <w:color w:val="000000"/>
          <w:szCs w:val="21"/>
        </w:rPr>
        <w:t>（2）</w:t>
      </w:r>
      <w:r>
        <w:rPr>
          <w:rFonts w:hint="eastAsia" w:ascii="宋体" w:hAnsi="宋体" w:eastAsia="宋体" w:cs="Times New Roman"/>
          <w:szCs w:val="21"/>
        </w:rPr>
        <w:t>实施方案</w:t>
      </w:r>
    </w:p>
    <w:p w14:paraId="71344094">
      <w:pPr>
        <w:spacing w:line="400" w:lineRule="exact"/>
        <w:ind w:firstLine="840" w:firstLineChars="400"/>
        <w:rPr>
          <w:rFonts w:hint="eastAsia" w:ascii="Times New Roman" w:hAnsi="Times New Roman" w:eastAsia="宋体" w:cs="Times New Roman"/>
          <w:color w:val="000000"/>
          <w:kern w:val="2"/>
          <w:sz w:val="21"/>
          <w:szCs w:val="24"/>
          <w:lang w:val="en-US" w:eastAsia="zh-CN" w:bidi="ar-SA"/>
        </w:rPr>
      </w:pPr>
      <w:r>
        <w:rPr>
          <w:rFonts w:hint="eastAsia" w:ascii="宋体" w:hAnsi="宋体"/>
          <w:color w:val="000000"/>
          <w:szCs w:val="21"/>
        </w:rPr>
        <w:t>（</w:t>
      </w:r>
      <w:r>
        <w:rPr>
          <w:rFonts w:hint="eastAsia" w:ascii="宋体" w:hAnsi="宋体"/>
          <w:color w:val="000000"/>
          <w:szCs w:val="21"/>
          <w:lang w:val="en-US" w:eastAsia="zh-CN"/>
        </w:rPr>
        <w:t>3</w:t>
      </w:r>
      <w:r>
        <w:rPr>
          <w:rFonts w:hint="eastAsia" w:ascii="宋体" w:hAnsi="宋体"/>
          <w:color w:val="000000"/>
          <w:szCs w:val="21"/>
        </w:rPr>
        <w:t>）</w:t>
      </w:r>
      <w:r>
        <w:rPr>
          <w:rFonts w:hint="eastAsia" w:cs="宋体" w:asciiTheme="minorHAnsi" w:hAnsiTheme="minorHAnsi"/>
          <w:szCs w:val="22"/>
        </w:rPr>
        <w:t>项目重点难点分析、应对措施及相关的合理化建议</w:t>
      </w:r>
    </w:p>
    <w:p w14:paraId="00C4C891">
      <w:pPr>
        <w:spacing w:line="400" w:lineRule="exact"/>
        <w:ind w:firstLine="840" w:firstLineChars="400"/>
        <w:rPr>
          <w:rFonts w:hint="eastAsia" w:ascii="Times New Roman" w:hAnsi="Times New Roman" w:eastAsia="宋体" w:cs="Times New Roman"/>
          <w:color w:val="000000"/>
          <w:kern w:val="2"/>
          <w:sz w:val="21"/>
          <w:szCs w:val="24"/>
          <w:lang w:val="en-US" w:eastAsia="zh-CN" w:bidi="ar-SA"/>
        </w:rPr>
      </w:pPr>
      <w:r>
        <w:rPr>
          <w:rFonts w:hint="eastAsia" w:cs="Times New Roman"/>
          <w:color w:val="000000"/>
          <w:kern w:val="2"/>
          <w:sz w:val="21"/>
          <w:szCs w:val="24"/>
          <w:lang w:val="en-US" w:eastAsia="zh-CN" w:bidi="ar-SA"/>
        </w:rPr>
        <w:t>（4）</w:t>
      </w:r>
      <w:r>
        <w:rPr>
          <w:rFonts w:hint="eastAsia"/>
          <w:color w:val="000000"/>
        </w:rPr>
        <w:t>售后服务方案</w:t>
      </w:r>
    </w:p>
    <w:p w14:paraId="2CBD373E">
      <w:pPr>
        <w:spacing w:line="400" w:lineRule="exact"/>
        <w:ind w:firstLine="843" w:firstLineChars="400"/>
        <w:rPr>
          <w:rFonts w:ascii="宋体" w:hAnsi="宋体"/>
          <w:b/>
          <w:color w:val="000000"/>
          <w:szCs w:val="21"/>
        </w:rPr>
      </w:pPr>
      <w:r>
        <w:rPr>
          <w:rFonts w:hint="eastAsia" w:ascii="宋体" w:hAnsi="宋体"/>
          <w:b/>
          <w:color w:val="000000"/>
          <w:szCs w:val="21"/>
        </w:rPr>
        <w:t>三、综合实力部分</w:t>
      </w:r>
    </w:p>
    <w:p w14:paraId="726B422D">
      <w:pPr>
        <w:spacing w:line="400" w:lineRule="exact"/>
        <w:ind w:firstLine="840" w:firstLineChars="400"/>
        <w:rPr>
          <w:rFonts w:ascii="宋体" w:hAnsi="宋体"/>
          <w:color w:val="000000"/>
          <w:szCs w:val="21"/>
        </w:rPr>
      </w:pPr>
      <w:r>
        <w:rPr>
          <w:rFonts w:hint="eastAsia" w:ascii="宋体" w:hAnsi="宋体"/>
          <w:color w:val="000000"/>
          <w:szCs w:val="21"/>
        </w:rPr>
        <w:t>（1）</w:t>
      </w:r>
      <w:r>
        <w:rPr>
          <w:rFonts w:hint="eastAsia"/>
          <w:color w:val="000000"/>
        </w:rPr>
        <w:t>免费保修服务偏离情况</w:t>
      </w:r>
    </w:p>
    <w:p w14:paraId="3FC2641E">
      <w:pPr>
        <w:spacing w:line="400" w:lineRule="exact"/>
        <w:ind w:firstLine="840" w:firstLineChars="400"/>
        <w:rPr>
          <w:rFonts w:ascii="宋体" w:hAnsi="宋体"/>
          <w:szCs w:val="21"/>
        </w:rPr>
      </w:pPr>
      <w:r>
        <w:rPr>
          <w:rFonts w:hint="eastAsia" w:ascii="宋体" w:hAnsi="宋体"/>
          <w:color w:val="000000"/>
          <w:szCs w:val="21"/>
        </w:rPr>
        <w:t>（2）</w:t>
      </w:r>
      <w:r>
        <w:rPr>
          <w:rFonts w:hint="eastAsia" w:ascii="Times New Roman" w:hAnsi="Times New Roman" w:eastAsia="宋体" w:cs="Times New Roman"/>
          <w:color w:val="000000"/>
        </w:rPr>
        <w:t>商务需求偏离情况</w:t>
      </w:r>
    </w:p>
    <w:p w14:paraId="17FA0C41">
      <w:pPr>
        <w:spacing w:line="400" w:lineRule="exact"/>
        <w:ind w:firstLine="843" w:firstLineChars="400"/>
        <w:rPr>
          <w:rFonts w:ascii="宋体" w:hAnsi="宋体"/>
          <w:b/>
          <w:color w:val="000000"/>
          <w:szCs w:val="21"/>
        </w:rPr>
      </w:pPr>
      <w:r>
        <w:rPr>
          <w:rFonts w:hint="eastAsia" w:ascii="宋体" w:hAnsi="宋体"/>
          <w:b/>
          <w:color w:val="000000"/>
          <w:szCs w:val="21"/>
        </w:rPr>
        <w:t>四、招标</w:t>
      </w:r>
      <w:r>
        <w:rPr>
          <w:rFonts w:ascii="宋体" w:hAnsi="宋体"/>
          <w:b/>
          <w:color w:val="000000"/>
          <w:szCs w:val="21"/>
        </w:rPr>
        <w:t>文件要求的其它内容及投标</w:t>
      </w:r>
      <w:r>
        <w:rPr>
          <w:rFonts w:hint="eastAsia" w:ascii="宋体" w:hAnsi="宋体"/>
          <w:b/>
          <w:color w:val="000000"/>
          <w:szCs w:val="21"/>
        </w:rPr>
        <w:t>供应商</w:t>
      </w:r>
      <w:r>
        <w:rPr>
          <w:rFonts w:ascii="宋体" w:hAnsi="宋体"/>
          <w:b/>
          <w:color w:val="000000"/>
          <w:szCs w:val="21"/>
        </w:rPr>
        <w:t>认为需要补充的内容</w:t>
      </w:r>
    </w:p>
    <w:p w14:paraId="565F0FCB">
      <w:pPr>
        <w:spacing w:line="400" w:lineRule="exact"/>
        <w:ind w:firstLine="840" w:firstLineChars="400"/>
        <w:rPr>
          <w:rFonts w:ascii="宋体" w:hAnsi="宋体"/>
          <w:color w:val="000000"/>
          <w:szCs w:val="21"/>
        </w:rPr>
      </w:pPr>
      <w:r>
        <w:rPr>
          <w:rFonts w:hint="eastAsia" w:ascii="宋体" w:hAnsi="宋体"/>
          <w:color w:val="000000"/>
          <w:szCs w:val="21"/>
        </w:rPr>
        <w:t>（1）政府采购违法行为风险知悉确认书</w:t>
      </w:r>
    </w:p>
    <w:p w14:paraId="7FEB4863"/>
    <w:p w14:paraId="2E270310"/>
    <w:bookmarkEnd w:id="16"/>
    <w:p w14:paraId="72DD89DF">
      <w:pPr>
        <w:widowControl/>
        <w:wordWrap w:val="0"/>
        <w:ind w:firstLine="420" w:firstLineChars="200"/>
        <w:jc w:val="left"/>
        <w:rPr>
          <w:rFonts w:eastAsiaTheme="minorEastAsia"/>
        </w:rPr>
      </w:pPr>
    </w:p>
    <w:p w14:paraId="66060772">
      <w:pPr>
        <w:widowControl/>
        <w:jc w:val="left"/>
        <w:rPr>
          <w:rFonts w:cs="宋体" w:asciiTheme="minorEastAsia" w:hAnsiTheme="minorEastAsia" w:eastAsiaTheme="minorEastAsia"/>
          <w:kern w:val="0"/>
        </w:rPr>
      </w:pPr>
      <w:r>
        <w:rPr>
          <w:rFonts w:cs="宋体" w:asciiTheme="minorEastAsia" w:hAnsiTheme="minorEastAsia" w:eastAsiaTheme="minorEastAsia"/>
          <w:kern w:val="0"/>
        </w:rPr>
        <w:br w:type="page"/>
      </w:r>
    </w:p>
    <w:p w14:paraId="464468B3">
      <w:pPr>
        <w:pStyle w:val="2"/>
        <w:rPr>
          <w:sz w:val="24"/>
        </w:rPr>
      </w:pPr>
      <w:bookmarkStart w:id="17" w:name="_Toc194467283"/>
      <w:r>
        <w:rPr>
          <w:rFonts w:hint="eastAsia"/>
        </w:rPr>
        <w:t>第二册  格式及附件</w:t>
      </w:r>
      <w:bookmarkEnd w:id="17"/>
    </w:p>
    <w:p w14:paraId="7DB5C774">
      <w:pPr>
        <w:keepNext/>
        <w:keepLines/>
        <w:adjustRightInd w:val="0"/>
        <w:spacing w:before="260" w:after="260"/>
        <w:jc w:val="center"/>
        <w:outlineLvl w:val="1"/>
        <w:rPr>
          <w:rFonts w:ascii="宋体" w:hAnsi="宋体" w:cs="宋体"/>
          <w:bCs/>
          <w:color w:val="000000"/>
          <w:kern w:val="0"/>
          <w:sz w:val="24"/>
          <w:szCs w:val="20"/>
        </w:rPr>
      </w:pPr>
      <w:bookmarkStart w:id="18" w:name="bt附件"/>
      <w:bookmarkEnd w:id="18"/>
      <w:bookmarkStart w:id="19" w:name="bt投标书"/>
      <w:bookmarkEnd w:id="19"/>
      <w:bookmarkStart w:id="20" w:name="_Toc194467285"/>
      <w:r>
        <w:rPr>
          <w:rFonts w:hint="eastAsia" w:ascii="宋体" w:hAnsi="宋体" w:cs="宋体"/>
          <w:b/>
          <w:bCs/>
          <w:sz w:val="24"/>
          <w:szCs w:val="20"/>
        </w:rPr>
        <w:t>第一章  投标文件的格式</w:t>
      </w:r>
      <w:bookmarkEnd w:id="20"/>
    </w:p>
    <w:p w14:paraId="5C21D2FD">
      <w:pPr>
        <w:spacing w:line="360" w:lineRule="exact"/>
        <w:ind w:firstLine="422" w:firstLineChars="200"/>
        <w:rPr>
          <w:rFonts w:ascii="宋体" w:hAnsi="宋体"/>
          <w:b/>
          <w:snapToGrid w:val="0"/>
          <w:color w:val="FF0000"/>
          <w:kern w:val="0"/>
        </w:rPr>
      </w:pPr>
      <w:r>
        <w:rPr>
          <w:rFonts w:hint="eastAsia" w:ascii="宋体" w:hAnsi="宋体"/>
          <w:b/>
          <w:snapToGrid w:val="0"/>
          <w:color w:val="FF0000"/>
          <w:kern w:val="0"/>
          <w:highlight w:val="yellow"/>
        </w:rPr>
        <w:t>投标文件扫描成.pdf同时上传至“报名方案”、“报名附件”。（注意：投标供应商上传至“报名方案”、“报名附件”的投标文件内容需一致，上传不一致的，以“报名方案”的投标文件为准。）</w:t>
      </w:r>
    </w:p>
    <w:p w14:paraId="66C8C427">
      <w:pPr>
        <w:spacing w:line="360" w:lineRule="exact"/>
        <w:rPr>
          <w:rFonts w:ascii="仿宋_GB2312" w:eastAsia="仿宋_GB2312"/>
          <w:color w:val="FF0000"/>
          <w:sz w:val="24"/>
        </w:rPr>
      </w:pPr>
    </w:p>
    <w:p w14:paraId="496C6622">
      <w:pPr>
        <w:spacing w:line="360" w:lineRule="exact"/>
        <w:ind w:firstLine="422" w:firstLineChars="200"/>
        <w:rPr>
          <w:b/>
          <w:color w:val="FF0000"/>
          <w:szCs w:val="21"/>
        </w:rPr>
      </w:pPr>
      <w:r>
        <w:rPr>
          <w:rFonts w:hint="eastAsia"/>
          <w:b/>
          <w:color w:val="FF0000"/>
          <w:szCs w:val="21"/>
        </w:rPr>
        <w:t>温馨提示：</w:t>
      </w:r>
    </w:p>
    <w:p w14:paraId="08093425">
      <w:pPr>
        <w:spacing w:line="360" w:lineRule="exact"/>
        <w:ind w:firstLine="422" w:firstLineChars="200"/>
        <w:rPr>
          <w:rFonts w:ascii="宋体" w:hAnsi="宋体"/>
          <w:color w:val="FF0000"/>
          <w:szCs w:val="21"/>
        </w:rPr>
      </w:pPr>
      <w:r>
        <w:rPr>
          <w:rFonts w:hint="eastAsia"/>
          <w:b/>
          <w:color w:val="FF0000"/>
          <w:szCs w:val="21"/>
        </w:rPr>
        <w:t>以下内容请供应商编写投标文件时重点关注，避免因格式问题出现失误，进而导致投标无效。以下内容属于常见失误情形：</w:t>
      </w:r>
    </w:p>
    <w:p w14:paraId="4D5F1A2D">
      <w:pPr>
        <w:spacing w:line="360" w:lineRule="exact"/>
        <w:ind w:firstLine="480"/>
        <w:rPr>
          <w:rFonts w:ascii="宋体" w:hAnsi="宋体"/>
          <w:color w:val="000000"/>
          <w:szCs w:val="21"/>
        </w:rPr>
      </w:pPr>
      <w:r>
        <w:rPr>
          <w:rFonts w:hint="eastAsia" w:ascii="宋体" w:hAnsi="宋体"/>
          <w:color w:val="000000"/>
          <w:szCs w:val="21"/>
        </w:rPr>
        <w:t>1.《</w:t>
      </w:r>
      <w:r>
        <w:rPr>
          <w:rFonts w:hint="eastAsia" w:ascii="宋体" w:hAnsi="宋体"/>
          <w:color w:val="000000"/>
          <w:szCs w:val="21"/>
          <w:lang w:eastAsia="zh-CN"/>
        </w:rPr>
        <w:t>政府采购投标及履约承诺函</w:t>
      </w:r>
      <w:r>
        <w:rPr>
          <w:rFonts w:hint="eastAsia" w:ascii="宋体" w:hAnsi="宋体"/>
          <w:color w:val="000000"/>
          <w:szCs w:val="21"/>
        </w:rPr>
        <w:t>》、《法定代表人（负责人）资格证明书》、《投标文件签署授权委托书》、《分项报价清单》未按照招标文件规定的样式及要求填写；</w:t>
      </w:r>
    </w:p>
    <w:p w14:paraId="68DBACAD">
      <w:pPr>
        <w:spacing w:line="360" w:lineRule="exact"/>
        <w:ind w:firstLine="480"/>
        <w:rPr>
          <w:rFonts w:ascii="宋体" w:hAnsi="宋体"/>
          <w:color w:val="000000"/>
          <w:szCs w:val="21"/>
        </w:rPr>
      </w:pPr>
      <w:r>
        <w:rPr>
          <w:rFonts w:hint="eastAsia" w:ascii="宋体" w:hAnsi="宋体"/>
          <w:color w:val="000000"/>
          <w:szCs w:val="21"/>
        </w:rPr>
        <w:t>2.《</w:t>
      </w:r>
      <w:r>
        <w:rPr>
          <w:rFonts w:hint="eastAsia" w:ascii="宋体" w:hAnsi="宋体"/>
          <w:color w:val="000000"/>
          <w:szCs w:val="21"/>
          <w:lang w:eastAsia="zh-CN"/>
        </w:rPr>
        <w:t>政府采购投标及履约承诺函</w:t>
      </w:r>
      <w:r>
        <w:rPr>
          <w:rFonts w:hint="eastAsia" w:ascii="宋体" w:hAnsi="宋体"/>
          <w:color w:val="000000"/>
          <w:szCs w:val="21"/>
        </w:rPr>
        <w:t>》中的抬头、项目编号、项目名称、投标供应商名称、法定代表人或其委托代理人的名称、日期填写错误；</w:t>
      </w:r>
    </w:p>
    <w:p w14:paraId="0362A745">
      <w:pPr>
        <w:spacing w:line="360" w:lineRule="exact"/>
        <w:rPr>
          <w:rFonts w:ascii="宋体" w:hAnsi="宋体"/>
          <w:color w:val="000000"/>
          <w:szCs w:val="21"/>
        </w:rPr>
      </w:pPr>
      <w:r>
        <w:rPr>
          <w:rFonts w:hint="eastAsia" w:ascii="宋体" w:hAnsi="宋体"/>
          <w:color w:val="000000"/>
          <w:szCs w:val="21"/>
        </w:rPr>
        <w:t>　　3.《法定代表人（负责人）资格证明书》中的姓名、身份证号填写错误，未附法定代表人（负责人）的身份证扫描件（正反两面）；</w:t>
      </w:r>
    </w:p>
    <w:p w14:paraId="735F48A0">
      <w:pPr>
        <w:spacing w:line="360" w:lineRule="exact"/>
        <w:rPr>
          <w:rFonts w:ascii="宋体" w:hAnsi="宋体"/>
          <w:color w:val="000000"/>
          <w:szCs w:val="21"/>
        </w:rPr>
      </w:pPr>
      <w:r>
        <w:rPr>
          <w:rFonts w:hint="eastAsia" w:ascii="宋体" w:hAnsi="宋体"/>
          <w:color w:val="000000"/>
          <w:szCs w:val="21"/>
        </w:rPr>
        <w:t>　　4.《投标文件签署授权委托书》中的委托人的姓名、身份证号填写错误，受托人（代理人）的姓名、身份证号填写错误，授权委托日期填写错误，未附受托人（代理人）的身份证扫描件（正反两面）。</w:t>
      </w:r>
    </w:p>
    <w:p w14:paraId="33E83ACB">
      <w:pPr>
        <w:rPr>
          <w:rFonts w:ascii="仿宋_GB2312" w:eastAsia="仿宋_GB2312"/>
          <w:sz w:val="24"/>
          <w:lang w:val="en"/>
        </w:rPr>
      </w:pPr>
    </w:p>
    <w:p w14:paraId="0D38B8EB">
      <w:pPr>
        <w:widowControl/>
        <w:jc w:val="left"/>
        <w:rPr>
          <w:rFonts w:ascii="宋体" w:hAnsi="宋体" w:cs="宋体"/>
          <w:b/>
          <w:sz w:val="28"/>
          <w:szCs w:val="32"/>
        </w:rPr>
      </w:pPr>
      <w:r>
        <w:br w:type="page"/>
      </w:r>
    </w:p>
    <w:p w14:paraId="296AC224">
      <w:pPr>
        <w:pStyle w:val="3"/>
        <w:jc w:val="center"/>
        <w:rPr>
          <w:rFonts w:ascii="Arial" w:hAnsi="Arial" w:eastAsia="黑体"/>
          <w:b w:val="0"/>
          <w:szCs w:val="28"/>
        </w:rPr>
      </w:pPr>
      <w:r>
        <w:rPr>
          <w:rFonts w:hint="eastAsia" w:ascii="Arial" w:hAnsi="Arial" w:eastAsia="黑体"/>
          <w:b w:val="0"/>
          <w:szCs w:val="28"/>
        </w:rPr>
        <w:t>一、关键信息</w:t>
      </w:r>
    </w:p>
    <w:p w14:paraId="2A56EBAF">
      <w:pPr>
        <w:pStyle w:val="4"/>
        <w:jc w:val="center"/>
        <w:rPr>
          <w:b w:val="0"/>
          <w:sz w:val="24"/>
          <w:szCs w:val="24"/>
        </w:rPr>
      </w:pPr>
      <w:r>
        <w:rPr>
          <w:rFonts w:hint="eastAsia"/>
          <w:b w:val="0"/>
          <w:sz w:val="24"/>
          <w:szCs w:val="24"/>
        </w:rPr>
        <w:t>（一）开标一览表</w:t>
      </w:r>
    </w:p>
    <w:tbl>
      <w:tblPr>
        <w:tblStyle w:val="34"/>
        <w:tblW w:w="8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7"/>
        <w:gridCol w:w="2527"/>
        <w:gridCol w:w="1680"/>
        <w:gridCol w:w="1849"/>
      </w:tblGrid>
      <w:tr w14:paraId="377F6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287" w:type="dxa"/>
            <w:tcBorders>
              <w:top w:val="single" w:color="auto" w:sz="4" w:space="0"/>
              <w:left w:val="single" w:color="auto" w:sz="4" w:space="0"/>
              <w:bottom w:val="single" w:color="auto" w:sz="4" w:space="0"/>
              <w:right w:val="single" w:color="auto" w:sz="4" w:space="0"/>
            </w:tcBorders>
            <w:shd w:val="clear" w:color="auto" w:fill="DBEEF3" w:themeFill="accent5" w:themeFillTint="32"/>
            <w:vAlign w:val="center"/>
          </w:tcPr>
          <w:p w14:paraId="7D96C645">
            <w:pPr>
              <w:tabs>
                <w:tab w:val="left" w:pos="654"/>
                <w:tab w:val="left" w:pos="1734"/>
                <w:tab w:val="left" w:pos="2814"/>
                <w:tab w:val="left" w:pos="3894"/>
                <w:tab w:val="left" w:pos="5334"/>
                <w:tab w:val="left" w:pos="6414"/>
                <w:tab w:val="left" w:pos="7254"/>
                <w:tab w:val="left" w:pos="8574"/>
                <w:tab w:val="left" w:pos="9654"/>
              </w:tabs>
              <w:spacing w:line="360" w:lineRule="auto"/>
              <w:jc w:val="center"/>
            </w:pPr>
            <w:r>
              <w:t>项目名称</w:t>
            </w:r>
          </w:p>
        </w:tc>
        <w:tc>
          <w:tcPr>
            <w:tcW w:w="2527" w:type="dxa"/>
            <w:tcBorders>
              <w:top w:val="single" w:color="auto" w:sz="4" w:space="0"/>
              <w:left w:val="single" w:color="auto" w:sz="4" w:space="0"/>
              <w:bottom w:val="single" w:color="auto" w:sz="4" w:space="0"/>
              <w:right w:val="single" w:color="auto" w:sz="4" w:space="0"/>
            </w:tcBorders>
            <w:shd w:val="clear" w:color="auto" w:fill="DBEEF3" w:themeFill="accent5" w:themeFillTint="32"/>
            <w:vAlign w:val="center"/>
          </w:tcPr>
          <w:p w14:paraId="331B4EC8">
            <w:pPr>
              <w:tabs>
                <w:tab w:val="left" w:pos="654"/>
                <w:tab w:val="left" w:pos="1734"/>
                <w:tab w:val="left" w:pos="2814"/>
                <w:tab w:val="left" w:pos="3894"/>
                <w:tab w:val="left" w:pos="5334"/>
                <w:tab w:val="left" w:pos="6414"/>
                <w:tab w:val="left" w:pos="7254"/>
                <w:tab w:val="left" w:pos="8574"/>
                <w:tab w:val="left" w:pos="9654"/>
              </w:tabs>
              <w:spacing w:line="360" w:lineRule="auto"/>
              <w:jc w:val="center"/>
            </w:pPr>
            <w:r>
              <w:t>投标总价</w:t>
            </w:r>
          </w:p>
        </w:tc>
        <w:tc>
          <w:tcPr>
            <w:tcW w:w="1680" w:type="dxa"/>
            <w:tcBorders>
              <w:top w:val="single" w:color="auto" w:sz="4" w:space="0"/>
              <w:left w:val="single" w:color="auto" w:sz="4" w:space="0"/>
              <w:bottom w:val="single" w:color="auto" w:sz="4" w:space="0"/>
              <w:right w:val="single" w:color="auto" w:sz="4" w:space="0"/>
            </w:tcBorders>
            <w:shd w:val="clear" w:color="auto" w:fill="DBEEF3" w:themeFill="accent5" w:themeFillTint="32"/>
            <w:vAlign w:val="center"/>
          </w:tcPr>
          <w:p w14:paraId="7CB3A7B2">
            <w:pPr>
              <w:tabs>
                <w:tab w:val="left" w:pos="654"/>
                <w:tab w:val="left" w:pos="1734"/>
                <w:tab w:val="left" w:pos="2814"/>
                <w:tab w:val="left" w:pos="3894"/>
                <w:tab w:val="left" w:pos="5334"/>
                <w:tab w:val="left" w:pos="6414"/>
                <w:tab w:val="left" w:pos="7254"/>
                <w:tab w:val="left" w:pos="8574"/>
                <w:tab w:val="left" w:pos="9654"/>
              </w:tabs>
              <w:spacing w:line="360" w:lineRule="auto"/>
              <w:jc w:val="center"/>
            </w:pPr>
            <w:r>
              <w:rPr>
                <w:rFonts w:hint="eastAsia"/>
              </w:rPr>
              <w:t>交货期</w:t>
            </w:r>
          </w:p>
        </w:tc>
        <w:tc>
          <w:tcPr>
            <w:tcW w:w="1849" w:type="dxa"/>
            <w:tcBorders>
              <w:top w:val="single" w:color="auto" w:sz="4" w:space="0"/>
              <w:left w:val="single" w:color="auto" w:sz="4" w:space="0"/>
              <w:bottom w:val="single" w:color="auto" w:sz="4" w:space="0"/>
              <w:right w:val="single" w:color="auto" w:sz="4" w:space="0"/>
            </w:tcBorders>
            <w:shd w:val="clear" w:color="auto" w:fill="DBEEF3" w:themeFill="accent5" w:themeFillTint="32"/>
            <w:vAlign w:val="center"/>
          </w:tcPr>
          <w:p w14:paraId="0F752648">
            <w:pPr>
              <w:tabs>
                <w:tab w:val="left" w:pos="654"/>
                <w:tab w:val="left" w:pos="1734"/>
                <w:tab w:val="left" w:pos="2814"/>
                <w:tab w:val="left" w:pos="3894"/>
                <w:tab w:val="left" w:pos="5334"/>
                <w:tab w:val="left" w:pos="6414"/>
                <w:tab w:val="left" w:pos="7254"/>
                <w:tab w:val="left" w:pos="8574"/>
                <w:tab w:val="left" w:pos="9654"/>
              </w:tabs>
              <w:spacing w:line="360" w:lineRule="auto"/>
              <w:jc w:val="center"/>
            </w:pPr>
            <w:r>
              <w:t>备注</w:t>
            </w:r>
            <w:r>
              <w:rPr>
                <w:rFonts w:hint="eastAsia"/>
              </w:rPr>
              <w:t>（</w:t>
            </w:r>
            <w:r>
              <w:rPr>
                <w:rFonts w:hint="eastAsia" w:ascii="宋体" w:hAnsi="宋体"/>
                <w:szCs w:val="21"/>
              </w:rPr>
              <w:t>可选填</w:t>
            </w:r>
            <w:r>
              <w:rPr>
                <w:rFonts w:hint="eastAsia"/>
              </w:rPr>
              <w:t>）</w:t>
            </w:r>
          </w:p>
        </w:tc>
      </w:tr>
      <w:tr w14:paraId="62C9C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287" w:type="dxa"/>
            <w:tcBorders>
              <w:top w:val="single" w:color="auto" w:sz="4" w:space="0"/>
              <w:left w:val="single" w:color="auto" w:sz="4" w:space="0"/>
              <w:bottom w:val="single" w:color="auto" w:sz="4" w:space="0"/>
              <w:right w:val="single" w:color="auto" w:sz="4" w:space="0"/>
            </w:tcBorders>
          </w:tcPr>
          <w:p w14:paraId="007D7DE4">
            <w:pPr>
              <w:tabs>
                <w:tab w:val="left" w:pos="654"/>
                <w:tab w:val="left" w:pos="1734"/>
                <w:tab w:val="left" w:pos="2814"/>
                <w:tab w:val="left" w:pos="3894"/>
                <w:tab w:val="left" w:pos="5334"/>
                <w:tab w:val="left" w:pos="6414"/>
                <w:tab w:val="left" w:pos="7254"/>
                <w:tab w:val="left" w:pos="8574"/>
                <w:tab w:val="left" w:pos="9654"/>
              </w:tabs>
              <w:spacing w:line="360" w:lineRule="auto"/>
            </w:pPr>
          </w:p>
        </w:tc>
        <w:tc>
          <w:tcPr>
            <w:tcW w:w="2527" w:type="dxa"/>
            <w:tcBorders>
              <w:top w:val="single" w:color="auto" w:sz="4" w:space="0"/>
              <w:left w:val="single" w:color="auto" w:sz="4" w:space="0"/>
              <w:bottom w:val="single" w:color="auto" w:sz="4" w:space="0"/>
              <w:right w:val="single" w:color="auto" w:sz="4" w:space="0"/>
            </w:tcBorders>
          </w:tcPr>
          <w:p w14:paraId="49EA62E1">
            <w:pPr>
              <w:tabs>
                <w:tab w:val="left" w:pos="654"/>
                <w:tab w:val="left" w:pos="1734"/>
                <w:tab w:val="left" w:pos="2814"/>
                <w:tab w:val="left" w:pos="3894"/>
                <w:tab w:val="left" w:pos="5334"/>
                <w:tab w:val="left" w:pos="6414"/>
                <w:tab w:val="left" w:pos="7254"/>
                <w:tab w:val="left" w:pos="8574"/>
                <w:tab w:val="left" w:pos="9654"/>
              </w:tabs>
              <w:spacing w:line="360" w:lineRule="auto"/>
            </w:pPr>
            <w:r>
              <w:t>大写：</w:t>
            </w:r>
          </w:p>
          <w:p w14:paraId="55DFA746">
            <w:pPr>
              <w:tabs>
                <w:tab w:val="left" w:pos="654"/>
                <w:tab w:val="left" w:pos="1734"/>
                <w:tab w:val="left" w:pos="2814"/>
                <w:tab w:val="left" w:pos="3894"/>
                <w:tab w:val="left" w:pos="5334"/>
                <w:tab w:val="left" w:pos="6414"/>
                <w:tab w:val="left" w:pos="7254"/>
                <w:tab w:val="left" w:pos="8574"/>
                <w:tab w:val="left" w:pos="9654"/>
              </w:tabs>
              <w:spacing w:line="360" w:lineRule="auto"/>
            </w:pPr>
            <w:r>
              <w:t>小写：</w:t>
            </w:r>
          </w:p>
        </w:tc>
        <w:tc>
          <w:tcPr>
            <w:tcW w:w="1680" w:type="dxa"/>
            <w:tcBorders>
              <w:top w:val="single" w:color="auto" w:sz="4" w:space="0"/>
              <w:left w:val="single" w:color="auto" w:sz="4" w:space="0"/>
              <w:bottom w:val="single" w:color="auto" w:sz="4" w:space="0"/>
              <w:right w:val="single" w:color="auto" w:sz="4" w:space="0"/>
            </w:tcBorders>
          </w:tcPr>
          <w:p w14:paraId="1A628050">
            <w:pPr>
              <w:tabs>
                <w:tab w:val="left" w:pos="654"/>
                <w:tab w:val="left" w:pos="1734"/>
                <w:tab w:val="left" w:pos="2814"/>
                <w:tab w:val="left" w:pos="3894"/>
                <w:tab w:val="left" w:pos="5334"/>
                <w:tab w:val="left" w:pos="6414"/>
                <w:tab w:val="left" w:pos="7254"/>
                <w:tab w:val="left" w:pos="8574"/>
                <w:tab w:val="left" w:pos="9654"/>
              </w:tabs>
              <w:spacing w:line="360" w:lineRule="auto"/>
            </w:pPr>
          </w:p>
        </w:tc>
        <w:tc>
          <w:tcPr>
            <w:tcW w:w="1849" w:type="dxa"/>
            <w:tcBorders>
              <w:top w:val="single" w:color="auto" w:sz="4" w:space="0"/>
              <w:left w:val="single" w:color="auto" w:sz="4" w:space="0"/>
              <w:bottom w:val="single" w:color="auto" w:sz="4" w:space="0"/>
              <w:right w:val="single" w:color="auto" w:sz="4" w:space="0"/>
            </w:tcBorders>
          </w:tcPr>
          <w:p w14:paraId="11D33ECF">
            <w:pPr>
              <w:tabs>
                <w:tab w:val="left" w:pos="654"/>
                <w:tab w:val="left" w:pos="1734"/>
                <w:tab w:val="left" w:pos="2814"/>
                <w:tab w:val="left" w:pos="3894"/>
                <w:tab w:val="left" w:pos="5334"/>
                <w:tab w:val="left" w:pos="6414"/>
                <w:tab w:val="left" w:pos="7254"/>
                <w:tab w:val="left" w:pos="8574"/>
                <w:tab w:val="left" w:pos="9654"/>
              </w:tabs>
              <w:spacing w:line="360" w:lineRule="auto"/>
            </w:pPr>
          </w:p>
        </w:tc>
      </w:tr>
    </w:tbl>
    <w:p w14:paraId="3AD3B31A"/>
    <w:p w14:paraId="7E49B0E4">
      <w:pPr>
        <w:widowControl/>
        <w:jc w:val="left"/>
      </w:pPr>
      <w:r>
        <w:br w:type="page"/>
      </w:r>
    </w:p>
    <w:p w14:paraId="0F1526A8"/>
    <w:p w14:paraId="691BB168">
      <w:pPr>
        <w:pStyle w:val="4"/>
        <w:jc w:val="center"/>
        <w:rPr>
          <w:rFonts w:hint="eastAsia" w:ascii="黑体" w:eastAsia="黑体"/>
          <w:b w:val="0"/>
          <w:kern w:val="0"/>
          <w:sz w:val="24"/>
          <w:lang w:eastAsia="zh-CN"/>
        </w:rPr>
      </w:pPr>
      <w:r>
        <w:rPr>
          <w:rFonts w:hint="eastAsia"/>
          <w:b w:val="0"/>
          <w:sz w:val="24"/>
          <w:szCs w:val="24"/>
        </w:rPr>
        <w:t>（二）</w:t>
      </w:r>
      <w:r>
        <w:rPr>
          <w:rFonts w:hint="eastAsia" w:ascii="黑体"/>
          <w:b w:val="0"/>
          <w:kern w:val="0"/>
          <w:sz w:val="24"/>
          <w:lang w:eastAsia="zh-CN"/>
        </w:rPr>
        <w:t>政府采购投标及履约承诺函</w:t>
      </w:r>
    </w:p>
    <w:p w14:paraId="4C530F4F">
      <w:pPr>
        <w:keepNext w:val="0"/>
        <w:keepLines w:val="0"/>
        <w:pageBreakBefore w:val="0"/>
        <w:kinsoku/>
        <w:wordWrap/>
        <w:overflowPunct/>
        <w:topLinePunct w:val="0"/>
        <w:autoSpaceDE/>
        <w:autoSpaceDN/>
        <w:bidi w:val="0"/>
        <w:adjustRightInd/>
        <w:snapToGrid/>
        <w:spacing w:line="360" w:lineRule="exact"/>
        <w:ind w:firstLine="0" w:firstLineChars="0"/>
        <w:textAlignment w:val="auto"/>
        <w:outlineLvl w:val="9"/>
        <w:rPr>
          <w:rFonts w:hint="default" w:ascii="宋体" w:hAnsi="宋体" w:eastAsia="宋体" w:cs="宋体"/>
          <w:b/>
          <w:bCs/>
          <w:color w:val="FF0000"/>
          <w:spacing w:val="0"/>
          <w:sz w:val="21"/>
          <w:szCs w:val="21"/>
          <w:u w:val="single"/>
          <w:lang w:val="en-US" w:eastAsia="zh-CN"/>
        </w:rPr>
      </w:pPr>
      <w:r>
        <w:rPr>
          <w:rFonts w:hint="eastAsia" w:ascii="宋体" w:hAnsi="宋体" w:eastAsia="宋体" w:cs="宋体"/>
          <w:color w:val="FF0000"/>
          <w:spacing w:val="0"/>
          <w:sz w:val="21"/>
          <w:szCs w:val="21"/>
        </w:rPr>
        <w:t>致：</w:t>
      </w:r>
      <w:r>
        <w:rPr>
          <w:rFonts w:hint="eastAsia" w:ascii="宋体" w:hAnsi="宋体" w:eastAsia="宋体" w:cs="宋体"/>
          <w:b/>
          <w:bCs/>
          <w:color w:val="FF0000"/>
          <w:spacing w:val="0"/>
          <w:sz w:val="21"/>
          <w:szCs w:val="21"/>
          <w:u w:val="single"/>
          <w:lang w:val="en-US" w:eastAsia="zh-CN"/>
        </w:rPr>
        <w:t>（采购人）</w:t>
      </w:r>
      <w:r>
        <w:rPr>
          <w:rFonts w:hint="eastAsia" w:ascii="宋体" w:hAnsi="宋体" w:cs="宋体"/>
          <w:b/>
          <w:bCs/>
          <w:color w:val="FF0000"/>
          <w:spacing w:val="0"/>
          <w:sz w:val="21"/>
          <w:szCs w:val="21"/>
          <w:u w:val="single"/>
          <w:lang w:val="en-US" w:eastAsia="zh-CN"/>
        </w:rPr>
        <w:t xml:space="preserve">            </w:t>
      </w:r>
    </w:p>
    <w:p w14:paraId="0ECEB736">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我单位承诺：</w:t>
      </w:r>
    </w:p>
    <w:p w14:paraId="15BA0884">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1.我单位参与本项目符合资格条件关于联合体、进口产品的要求。</w:t>
      </w:r>
    </w:p>
    <w:p w14:paraId="314411B1">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2.我单位参与本项目所投标（响应）的货物、工程或服务，不存在侵犯知识产权的情况。</w:t>
      </w:r>
    </w:p>
    <w:p w14:paraId="4D48E14D">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3.我单位参与本项目政府采购活动时不存在被有关部门禁止参与政府采购活动且在有效期内的情况。</w:t>
      </w:r>
    </w:p>
    <w:p w14:paraId="517699A7">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4.我单位具备《中华人民共和国政府采购法》第二十二条第一款规定的六项条件。</w:t>
      </w:r>
    </w:p>
    <w:p w14:paraId="458244C2">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5.我单位未被列入失信被执行人、重大税收违法案件当事人名单、政府采购严重违法失信行为记录名单。</w:t>
      </w:r>
    </w:p>
    <w:p w14:paraId="4256F678">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6.我单位不存在《深圳市财政局政府采购供应商信用信息管理办法》（深财规〔2023〕3号）列明的严重违法失信行为。</w:t>
      </w:r>
    </w:p>
    <w:p w14:paraId="1C40A3C7">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7.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14:paraId="03D27E10">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8.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6FDEAF21">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2E9E3FB2">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9.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7D0F54D2">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10.我单位承诺中标后项目不转包，未经采购人同意不进行分包。</w:t>
      </w:r>
    </w:p>
    <w:p w14:paraId="4FD8C3AA">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11.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311FAEBE">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12.我单位保证，若所投货物涉及《关于印发节能产品政府采购品目清单的通知》（财库〔2019〕19号）列明的政府采购强制产品，则所投该产品符合节能产品的认证要求。若所投产品包括数据中心相关设备的，应满足《财政部 生态环境部 工业和信息化部关于印发&lt;绿色数据中心政府采购需求标准（试行）&gt;的通知》（财库〔2023〕7号）要求。若所投产品涉及国家强制性标准的，所投产品应符合国家强制性标准相关要求。</w:t>
      </w:r>
    </w:p>
    <w:p w14:paraId="1E571EF8">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13.我单位已知悉并同意中标（成交）结果信息公示（公开）的内容。</w:t>
      </w:r>
    </w:p>
    <w:p w14:paraId="13169607">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r>
        <w:rPr>
          <w:rFonts w:hint="eastAsia" w:ascii="宋体" w:hAnsi="宋体" w:eastAsia="宋体" w:cs="宋体"/>
          <w:spacing w:val="0"/>
          <w:sz w:val="21"/>
          <w:szCs w:val="21"/>
        </w:rPr>
        <w:t>14.我单位保证，符合《中华人民共和国政府采购法实施条例》第十八条规定，与其他投标供应商不存在单位负责人为同一人或者存在直接控股、管理关系；不存在为本次采购项目提供整体设计、规范编制或者项目管理、监理、检测等服务的情形。若存在“不同供应商的董事、股东或其他高级管理人员为同一人的”情形的，我单位保证不存在串通投标、恶意串通或者视为串通投标的情形。</w:t>
      </w:r>
    </w:p>
    <w:p w14:paraId="2CB1904B">
      <w:pPr>
        <w:keepNext w:val="0"/>
        <w:keepLines w:val="0"/>
        <w:pageBreakBefore w:val="0"/>
        <w:kinsoku/>
        <w:wordWrap/>
        <w:overflowPunct/>
        <w:topLinePunct w:val="0"/>
        <w:autoSpaceDE/>
        <w:autoSpaceDN/>
        <w:bidi w:val="0"/>
        <w:adjustRightInd/>
        <w:snapToGrid/>
        <w:spacing w:before="0" w:beforeLines="0" w:after="0" w:afterLines="0" w:line="360" w:lineRule="exact"/>
        <w:ind w:firstLine="422" w:firstLineChars="200"/>
        <w:textAlignment w:val="auto"/>
        <w:outlineLvl w:val="9"/>
        <w:rPr>
          <w:rFonts w:hint="eastAsia" w:ascii="宋体" w:hAnsi="宋体" w:eastAsia="宋体" w:cs="宋体"/>
          <w:b/>
          <w:bCs/>
          <w:spacing w:val="0"/>
          <w:sz w:val="21"/>
          <w:szCs w:val="21"/>
        </w:rPr>
      </w:pPr>
      <w:r>
        <w:rPr>
          <w:rFonts w:hint="eastAsia" w:ascii="宋体" w:hAnsi="宋体" w:eastAsia="宋体" w:cs="宋体"/>
          <w:b/>
          <w:bCs/>
          <w:spacing w:val="0"/>
          <w:sz w:val="21"/>
          <w:szCs w:val="21"/>
        </w:rPr>
        <w:t>15.我单位清楚，如存在违反投标承诺行为情节严重的，将根据《深圳市财政局关于印发&lt;深圳市财政局政府采购供应商信用信息管理办法&gt;的通知》，依法被列入失信信息。</w:t>
      </w:r>
    </w:p>
    <w:p w14:paraId="5BC0071F">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spacing w:val="0"/>
          <w:sz w:val="21"/>
          <w:szCs w:val="21"/>
        </w:rPr>
      </w:pPr>
    </w:p>
    <w:p w14:paraId="2781FFAA">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r>
        <w:rPr>
          <w:rFonts w:hint="eastAsia" w:ascii="宋体" w:hAnsi="宋体" w:eastAsia="宋体" w:cs="宋体"/>
          <w:spacing w:val="0"/>
          <w:sz w:val="21"/>
          <w:szCs w:val="21"/>
        </w:rPr>
        <w:t>以上承诺，如有违反，愿依照国家相关法律法规处理，并承担由此给采购人带来的损失。</w:t>
      </w:r>
    </w:p>
    <w:p w14:paraId="21B52577">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p>
    <w:p w14:paraId="4D0135B9">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textAlignment w:val="auto"/>
        <w:outlineLvl w:val="9"/>
        <w:rPr>
          <w:rFonts w:hint="eastAsia" w:ascii="宋体" w:hAnsi="宋体" w:eastAsia="宋体" w:cs="宋体"/>
          <w:color w:val="auto"/>
          <w:spacing w:val="0"/>
          <w:sz w:val="21"/>
          <w:szCs w:val="21"/>
        </w:rPr>
      </w:pPr>
    </w:p>
    <w:p w14:paraId="32FCD8FC">
      <w:pPr>
        <w:keepNext w:val="0"/>
        <w:keepLines w:val="0"/>
        <w:pageBreakBefore w:val="0"/>
        <w:kinsoku/>
        <w:wordWrap/>
        <w:overflowPunct/>
        <w:topLinePunct w:val="0"/>
        <w:autoSpaceDE/>
        <w:autoSpaceDN/>
        <w:bidi w:val="0"/>
        <w:adjustRightInd/>
        <w:snapToGrid/>
        <w:spacing w:before="0" w:beforeLines="0" w:after="0" w:afterLines="0" w:line="360" w:lineRule="exact"/>
        <w:ind w:firstLine="420" w:firstLineChars="200"/>
        <w:jc w:val="center"/>
        <w:textAlignment w:val="auto"/>
        <w:outlineLvl w:val="9"/>
        <w:rPr>
          <w:rFonts w:hint="default" w:ascii="宋体" w:hAnsi="宋体" w:eastAsia="宋体" w:cs="宋体"/>
          <w:color w:val="FF0000"/>
          <w:spacing w:val="0"/>
          <w:sz w:val="21"/>
          <w:szCs w:val="21"/>
          <w:u w:val="single"/>
          <w:lang w:val="en-US" w:eastAsia="zh-CN"/>
        </w:rPr>
      </w:pPr>
      <w:r>
        <w:rPr>
          <w:rFonts w:hint="eastAsia" w:ascii="宋体" w:hAnsi="宋体" w:eastAsia="宋体" w:cs="宋体"/>
          <w:color w:val="auto"/>
          <w:spacing w:val="0"/>
          <w:sz w:val="21"/>
          <w:szCs w:val="21"/>
          <w:lang w:val="en-US" w:eastAsia="zh-CN"/>
        </w:rPr>
        <w:t xml:space="preserve">                          </w:t>
      </w:r>
      <w:r>
        <w:rPr>
          <w:rFonts w:hint="eastAsia" w:ascii="宋体" w:hAnsi="宋体" w:eastAsia="宋体" w:cs="宋体"/>
          <w:color w:val="FF0000"/>
          <w:spacing w:val="0"/>
          <w:sz w:val="21"/>
          <w:szCs w:val="21"/>
          <w:lang w:val="en-US" w:eastAsia="zh-CN"/>
        </w:rPr>
        <w:t xml:space="preserve"> </w:t>
      </w:r>
      <w:r>
        <w:rPr>
          <w:rFonts w:hint="eastAsia" w:ascii="宋体" w:hAnsi="宋体" w:eastAsia="宋体" w:cs="宋体"/>
          <w:color w:val="FF0000"/>
          <w:spacing w:val="0"/>
          <w:sz w:val="21"/>
          <w:szCs w:val="21"/>
        </w:rPr>
        <w:t>投标供应商</w:t>
      </w:r>
      <w:r>
        <w:rPr>
          <w:rFonts w:hint="eastAsia" w:ascii="宋体" w:hAnsi="宋体" w:eastAsia="宋体" w:cs="宋体"/>
          <w:color w:val="FF0000"/>
          <w:spacing w:val="0"/>
          <w:sz w:val="21"/>
          <w:szCs w:val="21"/>
          <w:lang w:eastAsia="zh-CN"/>
        </w:rPr>
        <w:t>名称：</w:t>
      </w:r>
      <w:r>
        <w:rPr>
          <w:rFonts w:hint="eastAsia" w:ascii="宋体" w:hAnsi="宋体" w:cs="宋体"/>
          <w:color w:val="FF0000"/>
          <w:spacing w:val="0"/>
          <w:sz w:val="21"/>
          <w:szCs w:val="21"/>
          <w:u w:val="single"/>
          <w:lang w:val="en-US" w:eastAsia="zh-CN"/>
        </w:rPr>
        <w:t xml:space="preserve">                 </w:t>
      </w:r>
    </w:p>
    <w:p w14:paraId="5984F16C">
      <w:pPr>
        <w:keepNext w:val="0"/>
        <w:keepLines w:val="0"/>
        <w:pageBreakBefore w:val="0"/>
        <w:widowControl/>
        <w:kinsoku/>
        <w:wordWrap/>
        <w:overflowPunct/>
        <w:topLinePunct w:val="0"/>
        <w:autoSpaceDE/>
        <w:autoSpaceDN/>
        <w:bidi w:val="0"/>
        <w:adjustRightInd/>
        <w:snapToGrid/>
        <w:spacing w:line="360" w:lineRule="exact"/>
        <w:ind w:firstLine="420" w:firstLineChars="200"/>
        <w:jc w:val="right"/>
        <w:textAlignment w:val="auto"/>
        <w:rPr>
          <w:rFonts w:hint="eastAsia" w:ascii="宋体" w:hAnsi="宋体" w:eastAsia="宋体" w:cs="宋体"/>
          <w:spacing w:val="-6"/>
          <w:sz w:val="21"/>
          <w:szCs w:val="21"/>
          <w:lang w:val="en-US" w:eastAsia="zh-CN"/>
        </w:rPr>
      </w:pPr>
      <w:r>
        <w:rPr>
          <w:rFonts w:hint="eastAsia" w:ascii="宋体" w:hAnsi="宋体" w:eastAsia="宋体" w:cs="宋体"/>
          <w:color w:val="FF0000"/>
          <w:spacing w:val="0"/>
          <w:sz w:val="21"/>
          <w:szCs w:val="21"/>
        </w:rPr>
        <w:t>日期：</w:t>
      </w:r>
      <w:r>
        <w:rPr>
          <w:rFonts w:hint="eastAsia" w:ascii="宋体" w:hAnsi="宋体" w:eastAsia="宋体" w:cs="宋体"/>
          <w:color w:val="FF0000"/>
          <w:spacing w:val="0"/>
          <w:sz w:val="21"/>
          <w:szCs w:val="21"/>
          <w:u w:val="none"/>
        </w:rPr>
        <w:t xml:space="preserve">    </w:t>
      </w:r>
      <w:r>
        <w:rPr>
          <w:rFonts w:hint="eastAsia" w:ascii="宋体" w:hAnsi="宋体" w:eastAsia="宋体" w:cs="宋体"/>
          <w:color w:val="FF0000"/>
          <w:spacing w:val="0"/>
          <w:sz w:val="21"/>
          <w:szCs w:val="21"/>
        </w:rPr>
        <w:t>年</w:t>
      </w:r>
      <w:r>
        <w:rPr>
          <w:rFonts w:hint="eastAsia" w:ascii="宋体" w:hAnsi="宋体" w:eastAsia="宋体" w:cs="宋体"/>
          <w:color w:val="FF0000"/>
          <w:spacing w:val="0"/>
          <w:sz w:val="21"/>
          <w:szCs w:val="21"/>
          <w:u w:val="none"/>
        </w:rPr>
        <w:t xml:space="preserve">   </w:t>
      </w:r>
      <w:r>
        <w:rPr>
          <w:rFonts w:hint="eastAsia" w:ascii="宋体" w:hAnsi="宋体" w:eastAsia="宋体" w:cs="宋体"/>
          <w:color w:val="FF0000"/>
          <w:spacing w:val="0"/>
          <w:sz w:val="21"/>
          <w:szCs w:val="21"/>
        </w:rPr>
        <w:t>月</w:t>
      </w:r>
      <w:r>
        <w:rPr>
          <w:rFonts w:hint="eastAsia" w:ascii="宋体" w:hAnsi="宋体" w:eastAsia="宋体" w:cs="宋体"/>
          <w:color w:val="FF0000"/>
          <w:spacing w:val="0"/>
          <w:sz w:val="21"/>
          <w:szCs w:val="21"/>
          <w:u w:val="none"/>
        </w:rPr>
        <w:t xml:space="preserve">   </w:t>
      </w:r>
      <w:r>
        <w:rPr>
          <w:rFonts w:hint="eastAsia" w:ascii="宋体" w:hAnsi="宋体" w:eastAsia="宋体" w:cs="宋体"/>
          <w:color w:val="FF0000"/>
          <w:spacing w:val="0"/>
          <w:sz w:val="21"/>
          <w:szCs w:val="21"/>
        </w:rPr>
        <w:t>日</w:t>
      </w:r>
    </w:p>
    <w:p w14:paraId="69E6EF8B">
      <w:pPr>
        <w:spacing w:line="320" w:lineRule="exact"/>
        <w:jc w:val="both"/>
        <w:rPr>
          <w:color w:val="FF0000"/>
          <w:szCs w:val="21"/>
        </w:rPr>
      </w:pPr>
    </w:p>
    <w:p w14:paraId="57721009">
      <w:pPr>
        <w:ind w:left="257"/>
        <w:jc w:val="right"/>
        <w:rPr>
          <w:rFonts w:ascii="宋体" w:hAnsi="宋体"/>
          <w:szCs w:val="21"/>
        </w:rPr>
      </w:pPr>
    </w:p>
    <w:p w14:paraId="7D91CA42">
      <w:pPr>
        <w:widowControl/>
        <w:jc w:val="left"/>
        <w:rPr>
          <w:rFonts w:ascii="Arial" w:hAnsi="Arial" w:eastAsia="黑体"/>
          <w:bCs/>
          <w:sz w:val="24"/>
        </w:rPr>
      </w:pPr>
      <w:r>
        <w:rPr>
          <w:b/>
          <w:sz w:val="24"/>
        </w:rPr>
        <w:br w:type="page"/>
      </w:r>
    </w:p>
    <w:p w14:paraId="686642B8">
      <w:pPr>
        <w:keepNext/>
        <w:keepLines/>
        <w:spacing w:before="280" w:after="290" w:line="374" w:lineRule="auto"/>
        <w:jc w:val="center"/>
        <w:outlineLvl w:val="3"/>
        <w:rPr>
          <w:rFonts w:ascii="黑体" w:hAnsi="Arial" w:eastAsia="黑体"/>
          <w:bCs/>
          <w:sz w:val="24"/>
          <w:szCs w:val="28"/>
        </w:rPr>
      </w:pPr>
      <w:r>
        <w:rPr>
          <w:rFonts w:hint="eastAsia" w:ascii="Arial" w:hAnsi="Arial" w:eastAsia="黑体"/>
          <w:bCs/>
          <w:sz w:val="24"/>
        </w:rPr>
        <w:t>（三）</w:t>
      </w:r>
      <w:r>
        <w:rPr>
          <w:rFonts w:hint="eastAsia" w:ascii="黑体" w:hAnsi="Arial" w:eastAsia="黑体"/>
          <w:bCs/>
          <w:sz w:val="24"/>
          <w:szCs w:val="28"/>
        </w:rPr>
        <w:t>供应商资格证明文件</w:t>
      </w:r>
    </w:p>
    <w:p w14:paraId="1BE81589">
      <w:pPr>
        <w:spacing w:before="120" w:beforeLines="50"/>
        <w:ind w:firstLine="422" w:firstLineChars="200"/>
        <w:rPr>
          <w:rFonts w:hint="eastAsia"/>
          <w:b/>
          <w:bCs/>
          <w:color w:val="FF0000"/>
        </w:rPr>
      </w:pPr>
      <w:r>
        <w:rPr>
          <w:rFonts w:hint="eastAsia"/>
          <w:b/>
          <w:bCs/>
          <w:color w:val="FF0000"/>
        </w:rPr>
        <w:t>（特别提示：投标人须按本招标文件第一册第一章招标公告 “投标供应商资格要求”提供相关的资格证明资料，未提供或提供不完整、不符合要求的，将作投标无效处理，其中要求提供《政府采购投标及履约承诺函》《供应商基本情况表》且已在规定章节中提供的，此处不重复提供。）</w:t>
      </w:r>
    </w:p>
    <w:p w14:paraId="38C2A7DD">
      <w:pPr>
        <w:spacing w:before="156" w:beforeLines="50"/>
        <w:ind w:firstLine="422" w:firstLineChars="200"/>
        <w:rPr>
          <w:bCs/>
        </w:rPr>
      </w:pPr>
      <w:r>
        <w:rPr>
          <w:rFonts w:hint="eastAsia"/>
          <w:b/>
          <w:bCs/>
          <w:color w:val="FF0000"/>
        </w:rPr>
        <w:t>1、资格证明材料：</w:t>
      </w:r>
      <w:r>
        <w:rPr>
          <w:bCs/>
        </w:rPr>
        <w:t xml:space="preserve"> </w:t>
      </w:r>
    </w:p>
    <w:p w14:paraId="50802700">
      <w:pPr>
        <w:keepNext/>
        <w:keepLines/>
        <w:spacing w:before="280" w:after="290" w:line="374" w:lineRule="auto"/>
        <w:jc w:val="center"/>
        <w:outlineLvl w:val="3"/>
        <w:rPr>
          <w:rFonts w:ascii="Arial" w:hAnsi="Arial" w:eastAsia="黑体"/>
          <w:bCs/>
          <w:sz w:val="28"/>
          <w:szCs w:val="28"/>
        </w:rPr>
      </w:pPr>
      <w:r>
        <w:rPr>
          <w:rFonts w:hint="eastAsia" w:ascii="Arial" w:hAnsi="Arial" w:eastAsia="黑体"/>
          <w:bCs/>
          <w:sz w:val="28"/>
          <w:szCs w:val="28"/>
        </w:rPr>
        <w:t>（1）供应商基本情况表</w:t>
      </w:r>
    </w:p>
    <w:tbl>
      <w:tblPr>
        <w:tblStyle w:val="35"/>
        <w:tblW w:w="9292"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8"/>
        <w:gridCol w:w="1072"/>
        <w:gridCol w:w="773"/>
        <w:gridCol w:w="1420"/>
        <w:gridCol w:w="1792"/>
        <w:gridCol w:w="1898"/>
        <w:gridCol w:w="1779"/>
      </w:tblGrid>
      <w:tr w14:paraId="1FE9E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1630" w:type="dxa"/>
            <w:gridSpan w:val="2"/>
            <w:tcBorders>
              <w:top w:val="single" w:color="auto" w:sz="4" w:space="0"/>
              <w:left w:val="single" w:color="auto" w:sz="4" w:space="0"/>
              <w:bottom w:val="single" w:color="auto" w:sz="4" w:space="0"/>
              <w:right w:val="single" w:color="auto" w:sz="4" w:space="0"/>
            </w:tcBorders>
            <w:noWrap w:val="0"/>
            <w:vAlign w:val="center"/>
          </w:tcPr>
          <w:p w14:paraId="216581D8">
            <w:pPr>
              <w:jc w:val="center"/>
              <w:rPr>
                <w:rFonts w:hint="eastAsia" w:ascii="宋体" w:hAnsi="宋体" w:eastAsia="宋体" w:cs="宋体"/>
                <w:b w:val="0"/>
                <w:bCs w:val="0"/>
                <w:sz w:val="21"/>
                <w:szCs w:val="21"/>
              </w:rPr>
            </w:pPr>
            <w:r>
              <w:rPr>
                <w:rFonts w:hint="eastAsia" w:ascii="宋体" w:hAnsi="宋体" w:eastAsia="宋体" w:cs="宋体"/>
                <w:b/>
                <w:bCs/>
                <w:sz w:val="21"/>
                <w:szCs w:val="21"/>
              </w:rPr>
              <w:t>投标（响应）供应商</w:t>
            </w:r>
          </w:p>
        </w:tc>
        <w:tc>
          <w:tcPr>
            <w:tcW w:w="2193" w:type="dxa"/>
            <w:gridSpan w:val="2"/>
            <w:tcBorders>
              <w:top w:val="single" w:color="auto" w:sz="4" w:space="0"/>
              <w:left w:val="nil"/>
              <w:bottom w:val="single" w:color="auto" w:sz="4" w:space="0"/>
              <w:right w:val="single" w:color="auto" w:sz="4" w:space="0"/>
            </w:tcBorders>
            <w:noWrap w:val="0"/>
            <w:vAlign w:val="center"/>
          </w:tcPr>
          <w:p w14:paraId="034C4342">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3FB50183">
            <w:pPr>
              <w:jc w:val="center"/>
              <w:rPr>
                <w:rFonts w:hint="eastAsia" w:ascii="宋体" w:hAnsi="宋体" w:eastAsia="宋体" w:cs="宋体"/>
                <w:b w:val="0"/>
                <w:bCs w:val="0"/>
                <w:sz w:val="21"/>
                <w:szCs w:val="21"/>
              </w:rPr>
            </w:pPr>
            <w:r>
              <w:rPr>
                <w:rFonts w:hint="eastAsia" w:ascii="宋体" w:hAnsi="宋体" w:eastAsia="宋体" w:cs="宋体"/>
                <w:b/>
                <w:bCs/>
                <w:sz w:val="21"/>
                <w:szCs w:val="21"/>
                <w:lang w:eastAsia="zh-CN"/>
              </w:rPr>
              <w:t>采购</w:t>
            </w:r>
            <w:r>
              <w:rPr>
                <w:rFonts w:hint="eastAsia" w:ascii="宋体" w:hAnsi="宋体" w:eastAsia="宋体" w:cs="宋体"/>
                <w:b/>
                <w:bCs/>
                <w:sz w:val="21"/>
                <w:szCs w:val="21"/>
              </w:rPr>
              <w:t>项目名称及编号</w:t>
            </w:r>
          </w:p>
        </w:tc>
        <w:tc>
          <w:tcPr>
            <w:tcW w:w="3677" w:type="dxa"/>
            <w:gridSpan w:val="2"/>
            <w:tcBorders>
              <w:top w:val="single" w:color="auto" w:sz="4" w:space="0"/>
              <w:left w:val="nil"/>
              <w:bottom w:val="single" w:color="auto" w:sz="4" w:space="0"/>
              <w:right w:val="single" w:color="auto" w:sz="4" w:space="0"/>
            </w:tcBorders>
            <w:noWrap w:val="0"/>
            <w:vAlign w:val="center"/>
          </w:tcPr>
          <w:p w14:paraId="1ACAF0ED">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深圳市翠竹外国语实验学校新质教室采购项目</w:t>
            </w:r>
            <w:r>
              <w:rPr>
                <w:rFonts w:hint="eastAsia" w:ascii="宋体" w:hAnsi="宋体" w:cs="宋体"/>
                <w:b w:val="0"/>
                <w:bCs w:val="0"/>
                <w:sz w:val="21"/>
                <w:szCs w:val="21"/>
                <w:lang w:val="en-US" w:eastAsia="zh-CN"/>
              </w:rPr>
              <w:t xml:space="preserve"> LHZC2026070262</w:t>
            </w:r>
            <w:bookmarkStart w:id="203" w:name="_GoBack"/>
            <w:bookmarkEnd w:id="203"/>
          </w:p>
        </w:tc>
      </w:tr>
      <w:tr w14:paraId="3FF40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14:paraId="4726B12B">
            <w:pPr>
              <w:jc w:val="center"/>
              <w:rPr>
                <w:rFonts w:hint="eastAsia" w:ascii="宋体" w:hAnsi="宋体" w:eastAsia="宋体" w:cs="宋体"/>
                <w:b w:val="0"/>
                <w:bCs w:val="0"/>
                <w:sz w:val="21"/>
                <w:szCs w:val="21"/>
              </w:rPr>
            </w:pPr>
            <w:r>
              <w:rPr>
                <w:rFonts w:hint="eastAsia" w:ascii="宋体" w:hAnsi="宋体" w:eastAsia="宋体" w:cs="宋体"/>
                <w:b/>
                <w:bCs/>
                <w:sz w:val="21"/>
                <w:szCs w:val="21"/>
              </w:rPr>
              <w:t>投标（响应）供应商相关人员情况</w:t>
            </w:r>
          </w:p>
        </w:tc>
      </w:tr>
      <w:tr w14:paraId="1D70A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7DA02142">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845" w:type="dxa"/>
            <w:gridSpan w:val="2"/>
            <w:tcBorders>
              <w:top w:val="single" w:color="auto" w:sz="4" w:space="0"/>
              <w:left w:val="nil"/>
              <w:bottom w:val="single" w:color="auto" w:sz="4" w:space="0"/>
              <w:right w:val="single" w:color="auto" w:sz="4" w:space="0"/>
            </w:tcBorders>
            <w:noWrap w:val="0"/>
            <w:vAlign w:val="center"/>
          </w:tcPr>
          <w:p w14:paraId="1FE4CD36">
            <w:pPr>
              <w:jc w:val="center"/>
              <w:rPr>
                <w:rFonts w:hint="eastAsia" w:ascii="宋体" w:hAnsi="宋体" w:eastAsia="宋体" w:cs="宋体"/>
                <w:b/>
                <w:bCs/>
                <w:sz w:val="21"/>
                <w:szCs w:val="21"/>
              </w:rPr>
            </w:pPr>
            <w:r>
              <w:rPr>
                <w:rFonts w:hint="eastAsia" w:ascii="宋体" w:hAnsi="宋体" w:eastAsia="宋体" w:cs="宋体"/>
                <w:b/>
                <w:bCs/>
                <w:sz w:val="21"/>
                <w:szCs w:val="21"/>
              </w:rPr>
              <w:t>职务</w:t>
            </w:r>
          </w:p>
        </w:tc>
        <w:tc>
          <w:tcPr>
            <w:tcW w:w="1420" w:type="dxa"/>
            <w:tcBorders>
              <w:top w:val="single" w:color="auto" w:sz="4" w:space="0"/>
              <w:left w:val="nil"/>
              <w:bottom w:val="single" w:color="auto" w:sz="4" w:space="0"/>
              <w:right w:val="single" w:color="auto" w:sz="4" w:space="0"/>
            </w:tcBorders>
            <w:noWrap w:val="0"/>
            <w:vAlign w:val="center"/>
          </w:tcPr>
          <w:p w14:paraId="34A7D3C4">
            <w:pPr>
              <w:jc w:val="center"/>
              <w:rPr>
                <w:rFonts w:hint="eastAsia" w:ascii="宋体" w:hAnsi="宋体" w:eastAsia="宋体" w:cs="宋体"/>
                <w:b/>
                <w:bCs/>
                <w:sz w:val="21"/>
                <w:szCs w:val="21"/>
              </w:rPr>
            </w:pPr>
            <w:r>
              <w:rPr>
                <w:rFonts w:hint="eastAsia" w:ascii="宋体" w:hAnsi="宋体" w:eastAsia="宋体" w:cs="宋体"/>
                <w:b/>
                <w:bCs/>
                <w:sz w:val="21"/>
                <w:szCs w:val="21"/>
              </w:rPr>
              <w:t>姓名</w:t>
            </w:r>
          </w:p>
        </w:tc>
        <w:tc>
          <w:tcPr>
            <w:tcW w:w="1792" w:type="dxa"/>
            <w:tcBorders>
              <w:top w:val="single" w:color="auto" w:sz="4" w:space="0"/>
              <w:left w:val="nil"/>
              <w:bottom w:val="single" w:color="auto" w:sz="4" w:space="0"/>
              <w:right w:val="single" w:color="auto" w:sz="4" w:space="0"/>
            </w:tcBorders>
            <w:noWrap w:val="0"/>
            <w:vAlign w:val="center"/>
          </w:tcPr>
          <w:p w14:paraId="2A67845F">
            <w:pPr>
              <w:jc w:val="center"/>
              <w:rPr>
                <w:rFonts w:hint="eastAsia" w:ascii="宋体" w:hAnsi="宋体" w:eastAsia="宋体" w:cs="宋体"/>
                <w:b/>
                <w:bCs/>
                <w:sz w:val="21"/>
                <w:szCs w:val="21"/>
              </w:rPr>
            </w:pPr>
            <w:r>
              <w:rPr>
                <w:rFonts w:hint="eastAsia" w:ascii="宋体" w:hAnsi="宋体" w:eastAsia="宋体" w:cs="宋体"/>
                <w:b/>
                <w:bCs/>
                <w:sz w:val="21"/>
                <w:szCs w:val="21"/>
              </w:rPr>
              <w:t>身份证号码</w:t>
            </w:r>
          </w:p>
        </w:tc>
        <w:tc>
          <w:tcPr>
            <w:tcW w:w="1898" w:type="dxa"/>
            <w:tcBorders>
              <w:top w:val="single" w:color="auto" w:sz="4" w:space="0"/>
              <w:left w:val="nil"/>
              <w:bottom w:val="single" w:color="auto" w:sz="4" w:space="0"/>
              <w:right w:val="single" w:color="auto" w:sz="4" w:space="0"/>
            </w:tcBorders>
            <w:noWrap w:val="0"/>
            <w:vAlign w:val="center"/>
          </w:tcPr>
          <w:p w14:paraId="4665AB43">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劳动合同</w:t>
            </w:r>
          </w:p>
          <w:p w14:paraId="0EE8FCBC">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关系单位</w:t>
            </w:r>
          </w:p>
        </w:tc>
        <w:tc>
          <w:tcPr>
            <w:tcW w:w="1779" w:type="dxa"/>
            <w:tcBorders>
              <w:top w:val="single" w:color="auto" w:sz="4" w:space="0"/>
              <w:left w:val="nil"/>
              <w:bottom w:val="single" w:color="auto" w:sz="4" w:space="0"/>
              <w:right w:val="single" w:color="auto" w:sz="4" w:space="0"/>
            </w:tcBorders>
            <w:noWrap w:val="0"/>
            <w:vAlign w:val="center"/>
          </w:tcPr>
          <w:p w14:paraId="71DCE732">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缴纳社会</w:t>
            </w:r>
          </w:p>
          <w:p w14:paraId="1B8BEBD1">
            <w:pPr>
              <w:snapToGrid w:val="0"/>
              <w:jc w:val="center"/>
              <w:rPr>
                <w:rFonts w:hint="eastAsia" w:ascii="宋体" w:hAnsi="宋体" w:eastAsia="宋体" w:cs="宋体"/>
                <w:b/>
                <w:bCs/>
                <w:sz w:val="21"/>
                <w:szCs w:val="21"/>
              </w:rPr>
            </w:pPr>
            <w:r>
              <w:rPr>
                <w:rFonts w:hint="eastAsia" w:ascii="宋体" w:hAnsi="宋体" w:eastAsia="宋体" w:cs="宋体"/>
                <w:b/>
                <w:bCs/>
                <w:sz w:val="21"/>
                <w:szCs w:val="21"/>
              </w:rPr>
              <w:t>保险单位</w:t>
            </w:r>
          </w:p>
        </w:tc>
      </w:tr>
      <w:tr w14:paraId="3B6EF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30F2627B">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1</w:t>
            </w:r>
          </w:p>
        </w:tc>
        <w:tc>
          <w:tcPr>
            <w:tcW w:w="1845" w:type="dxa"/>
            <w:gridSpan w:val="2"/>
            <w:tcBorders>
              <w:top w:val="single" w:color="auto" w:sz="4" w:space="0"/>
              <w:left w:val="nil"/>
              <w:bottom w:val="single" w:color="auto" w:sz="4" w:space="0"/>
              <w:right w:val="single" w:color="auto" w:sz="4" w:space="0"/>
            </w:tcBorders>
            <w:noWrap w:val="0"/>
            <w:vAlign w:val="center"/>
          </w:tcPr>
          <w:p w14:paraId="5A06D80B">
            <w:pPr>
              <w:bidi w:val="0"/>
              <w:rPr>
                <w:rFonts w:hint="eastAsia" w:ascii="宋体" w:hAnsi="宋体" w:eastAsia="宋体" w:cs="宋体"/>
                <w:b w:val="0"/>
                <w:bCs w:val="0"/>
                <w:sz w:val="21"/>
                <w:szCs w:val="21"/>
              </w:rPr>
            </w:pPr>
            <w:r>
              <w:rPr>
                <w:rFonts w:hint="eastAsia" w:ascii="宋体" w:hAnsi="宋体" w:eastAsia="宋体" w:cs="宋体"/>
                <w:b w:val="0"/>
                <w:bCs w:val="0"/>
                <w:sz w:val="21"/>
                <w:szCs w:val="21"/>
              </w:rPr>
              <w:t>法定代表人/单位负责人/主要经营负责人</w:t>
            </w:r>
          </w:p>
        </w:tc>
        <w:tc>
          <w:tcPr>
            <w:tcW w:w="1420" w:type="dxa"/>
            <w:tcBorders>
              <w:top w:val="single" w:color="auto" w:sz="4" w:space="0"/>
              <w:left w:val="nil"/>
              <w:bottom w:val="single" w:color="auto" w:sz="4" w:space="0"/>
              <w:right w:val="single" w:color="auto" w:sz="4" w:space="0"/>
            </w:tcBorders>
            <w:noWrap w:val="0"/>
            <w:vAlign w:val="center"/>
          </w:tcPr>
          <w:p w14:paraId="49A249F9">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775CE02C">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72E6BB21">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412314D6">
            <w:pPr>
              <w:jc w:val="center"/>
              <w:rPr>
                <w:rFonts w:hint="eastAsia" w:ascii="宋体" w:hAnsi="宋体" w:eastAsia="宋体" w:cs="宋体"/>
                <w:b w:val="0"/>
                <w:bCs w:val="0"/>
                <w:sz w:val="21"/>
                <w:szCs w:val="21"/>
              </w:rPr>
            </w:pPr>
          </w:p>
        </w:tc>
      </w:tr>
      <w:tr w14:paraId="2794D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118764DD">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w:t>
            </w:r>
          </w:p>
        </w:tc>
        <w:tc>
          <w:tcPr>
            <w:tcW w:w="1845" w:type="dxa"/>
            <w:gridSpan w:val="2"/>
            <w:tcBorders>
              <w:top w:val="single" w:color="auto" w:sz="4" w:space="0"/>
              <w:left w:val="nil"/>
              <w:bottom w:val="single" w:color="auto" w:sz="4" w:space="0"/>
              <w:right w:val="single" w:color="auto" w:sz="4" w:space="0"/>
            </w:tcBorders>
            <w:noWrap w:val="0"/>
            <w:vAlign w:val="center"/>
          </w:tcPr>
          <w:p w14:paraId="0926DE42">
            <w:pPr>
              <w:bidi w:val="0"/>
              <w:rPr>
                <w:rFonts w:hint="eastAsia" w:ascii="宋体" w:hAnsi="宋体" w:eastAsia="宋体" w:cs="宋体"/>
                <w:b w:val="0"/>
                <w:bCs w:val="0"/>
                <w:sz w:val="21"/>
                <w:szCs w:val="21"/>
              </w:rPr>
            </w:pPr>
            <w:r>
              <w:rPr>
                <w:rFonts w:hint="eastAsia" w:ascii="宋体" w:hAnsi="宋体" w:eastAsia="宋体" w:cs="宋体"/>
                <w:b w:val="0"/>
                <w:bCs w:val="0"/>
                <w:sz w:val="21"/>
                <w:szCs w:val="21"/>
              </w:rPr>
              <w:t>项目投标授权代表人</w:t>
            </w:r>
          </w:p>
        </w:tc>
        <w:tc>
          <w:tcPr>
            <w:tcW w:w="1420" w:type="dxa"/>
            <w:tcBorders>
              <w:top w:val="single" w:color="auto" w:sz="4" w:space="0"/>
              <w:left w:val="nil"/>
              <w:bottom w:val="single" w:color="auto" w:sz="4" w:space="0"/>
              <w:right w:val="single" w:color="auto" w:sz="4" w:space="0"/>
            </w:tcBorders>
            <w:noWrap w:val="0"/>
            <w:vAlign w:val="center"/>
          </w:tcPr>
          <w:p w14:paraId="51D2CC21">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1DFE12CB">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7AA855DC">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737F96FE">
            <w:pPr>
              <w:jc w:val="center"/>
              <w:rPr>
                <w:rFonts w:hint="eastAsia" w:ascii="宋体" w:hAnsi="宋体" w:eastAsia="宋体" w:cs="宋体"/>
                <w:b w:val="0"/>
                <w:bCs w:val="0"/>
                <w:sz w:val="21"/>
                <w:szCs w:val="21"/>
              </w:rPr>
            </w:pPr>
          </w:p>
        </w:tc>
      </w:tr>
      <w:tr w14:paraId="5DE51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2161BDF2">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3</w:t>
            </w:r>
          </w:p>
        </w:tc>
        <w:tc>
          <w:tcPr>
            <w:tcW w:w="1845" w:type="dxa"/>
            <w:gridSpan w:val="2"/>
            <w:tcBorders>
              <w:top w:val="single" w:color="auto" w:sz="4" w:space="0"/>
              <w:left w:val="nil"/>
              <w:bottom w:val="single" w:color="auto" w:sz="4" w:space="0"/>
              <w:right w:val="single" w:color="auto" w:sz="4" w:space="0"/>
            </w:tcBorders>
            <w:noWrap w:val="0"/>
            <w:vAlign w:val="center"/>
          </w:tcPr>
          <w:p w14:paraId="1F5E7657">
            <w:pPr>
              <w:bidi w:val="0"/>
              <w:rPr>
                <w:rFonts w:hint="eastAsia" w:ascii="宋体" w:hAnsi="宋体" w:eastAsia="宋体" w:cs="宋体"/>
                <w:b w:val="0"/>
                <w:bCs w:val="0"/>
                <w:sz w:val="21"/>
                <w:szCs w:val="21"/>
              </w:rPr>
            </w:pPr>
            <w:r>
              <w:rPr>
                <w:rFonts w:hint="eastAsia" w:ascii="宋体" w:hAnsi="宋体" w:eastAsia="宋体" w:cs="宋体"/>
                <w:b w:val="0"/>
                <w:bCs w:val="0"/>
                <w:sz w:val="21"/>
                <w:szCs w:val="21"/>
              </w:rPr>
              <w:t>项目负责人</w:t>
            </w:r>
          </w:p>
        </w:tc>
        <w:tc>
          <w:tcPr>
            <w:tcW w:w="1420" w:type="dxa"/>
            <w:tcBorders>
              <w:top w:val="single" w:color="auto" w:sz="4" w:space="0"/>
              <w:left w:val="nil"/>
              <w:bottom w:val="single" w:color="auto" w:sz="4" w:space="0"/>
              <w:right w:val="single" w:color="auto" w:sz="4" w:space="0"/>
            </w:tcBorders>
            <w:noWrap w:val="0"/>
            <w:vAlign w:val="center"/>
          </w:tcPr>
          <w:p w14:paraId="56FBED69">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5D6EA074">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72CD6090">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012BFF3B">
            <w:pPr>
              <w:jc w:val="center"/>
              <w:rPr>
                <w:rFonts w:hint="eastAsia" w:ascii="宋体" w:hAnsi="宋体" w:eastAsia="宋体" w:cs="宋体"/>
                <w:b w:val="0"/>
                <w:bCs w:val="0"/>
                <w:sz w:val="21"/>
                <w:szCs w:val="21"/>
              </w:rPr>
            </w:pPr>
          </w:p>
        </w:tc>
      </w:tr>
      <w:tr w14:paraId="0DBD4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2CC584D3">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4</w:t>
            </w:r>
          </w:p>
        </w:tc>
        <w:tc>
          <w:tcPr>
            <w:tcW w:w="1845" w:type="dxa"/>
            <w:gridSpan w:val="2"/>
            <w:tcBorders>
              <w:top w:val="single" w:color="auto" w:sz="4" w:space="0"/>
              <w:left w:val="nil"/>
              <w:bottom w:val="single" w:color="auto" w:sz="4" w:space="0"/>
              <w:right w:val="single" w:color="auto" w:sz="4" w:space="0"/>
            </w:tcBorders>
            <w:noWrap w:val="0"/>
            <w:vAlign w:val="center"/>
          </w:tcPr>
          <w:p w14:paraId="16DF9CBC">
            <w:pPr>
              <w:bidi w:val="0"/>
              <w:rPr>
                <w:rFonts w:hint="eastAsia" w:ascii="宋体" w:hAnsi="宋体" w:eastAsia="宋体" w:cs="宋体"/>
                <w:b w:val="0"/>
                <w:bCs w:val="0"/>
                <w:sz w:val="21"/>
                <w:szCs w:val="21"/>
              </w:rPr>
            </w:pPr>
            <w:r>
              <w:rPr>
                <w:rFonts w:hint="eastAsia" w:ascii="宋体" w:hAnsi="宋体" w:eastAsia="宋体" w:cs="宋体"/>
                <w:b w:val="0"/>
                <w:bCs w:val="0"/>
                <w:sz w:val="21"/>
                <w:szCs w:val="21"/>
              </w:rPr>
              <w:t>主要技术人员</w:t>
            </w:r>
          </w:p>
        </w:tc>
        <w:tc>
          <w:tcPr>
            <w:tcW w:w="1420" w:type="dxa"/>
            <w:tcBorders>
              <w:top w:val="single" w:color="auto" w:sz="4" w:space="0"/>
              <w:left w:val="nil"/>
              <w:bottom w:val="single" w:color="auto" w:sz="4" w:space="0"/>
              <w:right w:val="single" w:color="auto" w:sz="4" w:space="0"/>
            </w:tcBorders>
            <w:noWrap w:val="0"/>
            <w:vAlign w:val="center"/>
          </w:tcPr>
          <w:p w14:paraId="6BF507F6">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3CFD3E1B">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6412AF25">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56B390B2">
            <w:pPr>
              <w:jc w:val="center"/>
              <w:rPr>
                <w:rFonts w:hint="eastAsia" w:ascii="宋体" w:hAnsi="宋体" w:eastAsia="宋体" w:cs="宋体"/>
                <w:b w:val="0"/>
                <w:bCs w:val="0"/>
                <w:sz w:val="21"/>
                <w:szCs w:val="21"/>
              </w:rPr>
            </w:pPr>
          </w:p>
        </w:tc>
      </w:tr>
      <w:tr w14:paraId="2F2AC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5FD497E5">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5</w:t>
            </w:r>
          </w:p>
        </w:tc>
        <w:tc>
          <w:tcPr>
            <w:tcW w:w="1845" w:type="dxa"/>
            <w:gridSpan w:val="2"/>
            <w:tcBorders>
              <w:top w:val="single" w:color="auto" w:sz="4" w:space="0"/>
              <w:left w:val="nil"/>
              <w:bottom w:val="single" w:color="auto" w:sz="4" w:space="0"/>
              <w:right w:val="single" w:color="auto" w:sz="4" w:space="0"/>
            </w:tcBorders>
            <w:noWrap w:val="0"/>
            <w:vAlign w:val="center"/>
          </w:tcPr>
          <w:p w14:paraId="648FB3FD">
            <w:pPr>
              <w:bidi w:val="0"/>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投标文件编制人员</w:t>
            </w:r>
          </w:p>
        </w:tc>
        <w:tc>
          <w:tcPr>
            <w:tcW w:w="1420" w:type="dxa"/>
            <w:tcBorders>
              <w:top w:val="single" w:color="auto" w:sz="4" w:space="0"/>
              <w:left w:val="nil"/>
              <w:bottom w:val="single" w:color="auto" w:sz="4" w:space="0"/>
              <w:right w:val="single" w:color="auto" w:sz="4" w:space="0"/>
            </w:tcBorders>
            <w:noWrap w:val="0"/>
            <w:vAlign w:val="center"/>
          </w:tcPr>
          <w:p w14:paraId="11ACD892">
            <w:pPr>
              <w:jc w:val="center"/>
              <w:rPr>
                <w:rFonts w:hint="eastAsia" w:ascii="宋体" w:hAnsi="宋体" w:eastAsia="宋体" w:cs="宋体"/>
                <w:b w:val="0"/>
                <w:bCs w:val="0"/>
                <w:sz w:val="21"/>
                <w:szCs w:val="21"/>
              </w:rPr>
            </w:pPr>
          </w:p>
        </w:tc>
        <w:tc>
          <w:tcPr>
            <w:tcW w:w="1792" w:type="dxa"/>
            <w:tcBorders>
              <w:top w:val="single" w:color="auto" w:sz="4" w:space="0"/>
              <w:left w:val="nil"/>
              <w:bottom w:val="single" w:color="auto" w:sz="4" w:space="0"/>
              <w:right w:val="single" w:color="auto" w:sz="4" w:space="0"/>
            </w:tcBorders>
            <w:noWrap w:val="0"/>
            <w:vAlign w:val="center"/>
          </w:tcPr>
          <w:p w14:paraId="7E97FA96">
            <w:pPr>
              <w:jc w:val="center"/>
              <w:rPr>
                <w:rFonts w:hint="eastAsia" w:ascii="宋体" w:hAnsi="宋体" w:eastAsia="宋体" w:cs="宋体"/>
                <w:b w:val="0"/>
                <w:bCs w:val="0"/>
                <w:sz w:val="21"/>
                <w:szCs w:val="21"/>
              </w:rPr>
            </w:pPr>
          </w:p>
        </w:tc>
        <w:tc>
          <w:tcPr>
            <w:tcW w:w="1898" w:type="dxa"/>
            <w:tcBorders>
              <w:top w:val="single" w:color="auto" w:sz="4" w:space="0"/>
              <w:left w:val="nil"/>
              <w:bottom w:val="single" w:color="auto" w:sz="4" w:space="0"/>
              <w:right w:val="single" w:color="auto" w:sz="4" w:space="0"/>
            </w:tcBorders>
            <w:noWrap w:val="0"/>
            <w:vAlign w:val="center"/>
          </w:tcPr>
          <w:p w14:paraId="62B2BEB3">
            <w:pPr>
              <w:jc w:val="center"/>
              <w:rPr>
                <w:rFonts w:hint="eastAsia" w:ascii="宋体" w:hAnsi="宋体" w:eastAsia="宋体" w:cs="宋体"/>
                <w:b w:val="0"/>
                <w:bCs w:val="0"/>
                <w:sz w:val="21"/>
                <w:szCs w:val="21"/>
              </w:rPr>
            </w:pPr>
          </w:p>
        </w:tc>
        <w:tc>
          <w:tcPr>
            <w:tcW w:w="1779" w:type="dxa"/>
            <w:tcBorders>
              <w:top w:val="single" w:color="auto" w:sz="4" w:space="0"/>
              <w:left w:val="nil"/>
              <w:bottom w:val="single" w:color="auto" w:sz="4" w:space="0"/>
              <w:right w:val="single" w:color="auto" w:sz="4" w:space="0"/>
            </w:tcBorders>
            <w:noWrap w:val="0"/>
            <w:vAlign w:val="center"/>
          </w:tcPr>
          <w:p w14:paraId="0BB80908">
            <w:pPr>
              <w:jc w:val="center"/>
              <w:rPr>
                <w:rFonts w:hint="eastAsia" w:ascii="宋体" w:hAnsi="宋体" w:eastAsia="宋体" w:cs="宋体"/>
                <w:b w:val="0"/>
                <w:bCs w:val="0"/>
                <w:sz w:val="21"/>
                <w:szCs w:val="21"/>
              </w:rPr>
            </w:pPr>
          </w:p>
        </w:tc>
      </w:tr>
      <w:tr w14:paraId="26FBF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14:paraId="1BA2DB67">
            <w:pPr>
              <w:bidi w:val="0"/>
              <w:rPr>
                <w:rFonts w:hint="eastAsia" w:ascii="宋体" w:hAnsi="宋体" w:eastAsia="宋体" w:cs="宋体"/>
                <w:b/>
                <w:bCs/>
                <w:sz w:val="21"/>
                <w:szCs w:val="21"/>
              </w:rPr>
            </w:pPr>
            <w:r>
              <w:rPr>
                <w:rFonts w:hint="eastAsia" w:ascii="宋体" w:hAnsi="宋体" w:eastAsia="宋体" w:cs="宋体"/>
                <w:b/>
                <w:bCs/>
                <w:sz w:val="21"/>
                <w:szCs w:val="21"/>
              </w:rPr>
              <w:t>说明：</w:t>
            </w:r>
            <w:r>
              <w:rPr>
                <w:rFonts w:hint="eastAsia" w:ascii="宋体" w:hAnsi="宋体" w:eastAsia="宋体" w:cs="宋体"/>
                <w:b/>
                <w:bCs/>
                <w:sz w:val="21"/>
                <w:szCs w:val="21"/>
                <w:lang w:val="en-US" w:eastAsia="zh-CN"/>
              </w:rPr>
              <w:t>1.</w:t>
            </w:r>
            <w:r>
              <w:rPr>
                <w:rFonts w:hint="eastAsia" w:ascii="宋体" w:hAnsi="宋体" w:eastAsia="宋体" w:cs="宋体"/>
                <w:b/>
                <w:bCs/>
                <w:sz w:val="21"/>
                <w:szCs w:val="21"/>
              </w:rPr>
              <w:t>同一职务有多人担任（如主要技术人员），应分行填写。</w:t>
            </w:r>
          </w:p>
          <w:p w14:paraId="36F07D7B">
            <w:pPr>
              <w:bidi w:val="0"/>
              <w:rPr>
                <w:rFonts w:hint="eastAsia" w:ascii="宋体" w:hAnsi="宋体" w:eastAsia="宋体" w:cs="宋体"/>
                <w:b w:val="0"/>
                <w:bCs w:val="0"/>
                <w:sz w:val="21"/>
                <w:szCs w:val="21"/>
                <w:lang w:val="en-US" w:eastAsia="zh-CN"/>
              </w:rPr>
            </w:pPr>
            <w:r>
              <w:rPr>
                <w:rFonts w:hint="eastAsia" w:ascii="宋体" w:hAnsi="宋体" w:eastAsia="宋体" w:cs="宋体"/>
                <w:b/>
                <w:bCs/>
                <w:sz w:val="21"/>
                <w:szCs w:val="21"/>
                <w:lang w:val="en-US" w:eastAsia="zh-CN"/>
              </w:rPr>
              <w:t>2.投标供应商成立不满一个月或上述人员社保缴纳不满一个月的，应提供承诺函，格式自拟。</w:t>
            </w:r>
          </w:p>
        </w:tc>
      </w:tr>
      <w:tr w14:paraId="65911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14:paraId="5E76375F">
            <w:pPr>
              <w:jc w:val="center"/>
              <w:rPr>
                <w:rFonts w:hint="eastAsia" w:ascii="宋体" w:hAnsi="宋体" w:eastAsia="宋体" w:cs="宋体"/>
                <w:b/>
                <w:bCs/>
                <w:sz w:val="21"/>
                <w:szCs w:val="21"/>
              </w:rPr>
            </w:pPr>
            <w:r>
              <w:rPr>
                <w:rFonts w:hint="eastAsia" w:ascii="宋体" w:hAnsi="宋体" w:eastAsia="宋体" w:cs="宋体"/>
                <w:b/>
                <w:bCs/>
                <w:sz w:val="21"/>
                <w:szCs w:val="21"/>
              </w:rPr>
              <w:t>投标（响应）供应商关联关系情况</w:t>
            </w:r>
          </w:p>
        </w:tc>
      </w:tr>
      <w:tr w14:paraId="25647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3C27427F">
            <w:pPr>
              <w:bidi w:val="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845" w:type="dxa"/>
            <w:gridSpan w:val="2"/>
            <w:tcBorders>
              <w:top w:val="single" w:color="auto" w:sz="4" w:space="0"/>
              <w:left w:val="nil"/>
              <w:bottom w:val="single" w:color="auto" w:sz="4" w:space="0"/>
              <w:right w:val="single" w:color="auto" w:sz="4" w:space="0"/>
            </w:tcBorders>
            <w:noWrap w:val="0"/>
            <w:vAlign w:val="center"/>
          </w:tcPr>
          <w:p w14:paraId="72E5B318">
            <w:pPr>
              <w:bidi w:val="0"/>
              <w:jc w:val="center"/>
              <w:rPr>
                <w:rFonts w:hint="eastAsia" w:ascii="宋体" w:hAnsi="宋体" w:eastAsia="宋体" w:cs="宋体"/>
                <w:b/>
                <w:bCs/>
                <w:sz w:val="21"/>
                <w:szCs w:val="21"/>
              </w:rPr>
            </w:pPr>
            <w:r>
              <w:rPr>
                <w:rFonts w:hint="eastAsia" w:ascii="宋体" w:hAnsi="宋体" w:eastAsia="宋体" w:cs="宋体"/>
                <w:b/>
                <w:bCs/>
                <w:sz w:val="21"/>
                <w:szCs w:val="21"/>
              </w:rPr>
              <w:t>关联关系类型</w:t>
            </w:r>
          </w:p>
        </w:tc>
        <w:tc>
          <w:tcPr>
            <w:tcW w:w="3212" w:type="dxa"/>
            <w:gridSpan w:val="2"/>
            <w:tcBorders>
              <w:top w:val="single" w:color="auto" w:sz="4" w:space="0"/>
              <w:left w:val="nil"/>
              <w:bottom w:val="single" w:color="auto" w:sz="4" w:space="0"/>
              <w:right w:val="single" w:color="auto" w:sz="4" w:space="0"/>
            </w:tcBorders>
            <w:noWrap w:val="0"/>
            <w:vAlign w:val="center"/>
          </w:tcPr>
          <w:p w14:paraId="56BC2E13">
            <w:pPr>
              <w:bidi w:val="0"/>
              <w:jc w:val="center"/>
              <w:rPr>
                <w:rFonts w:hint="eastAsia" w:ascii="宋体" w:hAnsi="宋体" w:eastAsia="宋体" w:cs="宋体"/>
                <w:b/>
                <w:bCs/>
                <w:sz w:val="21"/>
                <w:szCs w:val="21"/>
              </w:rPr>
            </w:pPr>
            <w:r>
              <w:rPr>
                <w:rFonts w:hint="eastAsia" w:ascii="宋体" w:hAnsi="宋体" w:eastAsia="宋体" w:cs="宋体"/>
                <w:b/>
                <w:bCs/>
                <w:sz w:val="21"/>
                <w:szCs w:val="21"/>
              </w:rPr>
              <w:t>关联主体名称</w:t>
            </w:r>
          </w:p>
        </w:tc>
        <w:tc>
          <w:tcPr>
            <w:tcW w:w="3677" w:type="dxa"/>
            <w:gridSpan w:val="2"/>
            <w:tcBorders>
              <w:top w:val="single" w:color="auto" w:sz="4" w:space="0"/>
              <w:left w:val="nil"/>
              <w:bottom w:val="single" w:color="auto" w:sz="4" w:space="0"/>
              <w:right w:val="single" w:color="auto" w:sz="4" w:space="0"/>
            </w:tcBorders>
            <w:noWrap w:val="0"/>
            <w:vAlign w:val="center"/>
          </w:tcPr>
          <w:p w14:paraId="3E9B5F41">
            <w:pPr>
              <w:bidi w:val="0"/>
              <w:jc w:val="center"/>
              <w:rPr>
                <w:rFonts w:hint="eastAsia" w:ascii="宋体" w:hAnsi="宋体" w:eastAsia="宋体" w:cs="宋体"/>
                <w:b/>
                <w:bCs/>
                <w:sz w:val="21"/>
                <w:szCs w:val="21"/>
              </w:rPr>
            </w:pPr>
            <w:r>
              <w:rPr>
                <w:rFonts w:hint="eastAsia" w:ascii="宋体" w:hAnsi="宋体" w:eastAsia="宋体" w:cs="宋体"/>
                <w:b/>
                <w:bCs/>
                <w:sz w:val="21"/>
                <w:szCs w:val="21"/>
              </w:rPr>
              <w:t>备注</w:t>
            </w:r>
          </w:p>
        </w:tc>
      </w:tr>
      <w:tr w14:paraId="2276C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4"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12A13FA7">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1</w:t>
            </w:r>
          </w:p>
        </w:tc>
        <w:tc>
          <w:tcPr>
            <w:tcW w:w="1845" w:type="dxa"/>
            <w:gridSpan w:val="2"/>
            <w:tcBorders>
              <w:top w:val="single" w:color="auto" w:sz="4" w:space="0"/>
              <w:left w:val="nil"/>
              <w:bottom w:val="single" w:color="auto" w:sz="4" w:space="0"/>
              <w:right w:val="single" w:color="auto" w:sz="4" w:space="0"/>
            </w:tcBorders>
            <w:noWrap w:val="0"/>
            <w:vAlign w:val="center"/>
          </w:tcPr>
          <w:p w14:paraId="775CE482">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控股股东</w:t>
            </w:r>
          </w:p>
        </w:tc>
        <w:tc>
          <w:tcPr>
            <w:tcW w:w="3212" w:type="dxa"/>
            <w:gridSpan w:val="2"/>
            <w:tcBorders>
              <w:top w:val="single" w:color="auto" w:sz="4" w:space="0"/>
              <w:left w:val="nil"/>
              <w:bottom w:val="single" w:color="auto" w:sz="4" w:space="0"/>
              <w:right w:val="single" w:color="auto" w:sz="4" w:space="0"/>
            </w:tcBorders>
            <w:noWrap w:val="0"/>
            <w:vAlign w:val="center"/>
          </w:tcPr>
          <w:p w14:paraId="602519F8">
            <w:pPr>
              <w:jc w:val="center"/>
              <w:rPr>
                <w:rFonts w:hint="eastAsia" w:ascii="宋体" w:hAnsi="宋体" w:eastAsia="宋体" w:cs="宋体"/>
                <w:b w:val="0"/>
                <w:bCs w:val="0"/>
                <w:sz w:val="21"/>
                <w:szCs w:val="21"/>
              </w:rPr>
            </w:pPr>
          </w:p>
        </w:tc>
        <w:tc>
          <w:tcPr>
            <w:tcW w:w="3677" w:type="dxa"/>
            <w:gridSpan w:val="2"/>
            <w:tcBorders>
              <w:top w:val="single" w:color="auto" w:sz="4" w:space="0"/>
              <w:left w:val="nil"/>
              <w:bottom w:val="single" w:color="auto" w:sz="4" w:space="0"/>
              <w:right w:val="single" w:color="auto" w:sz="4" w:space="0"/>
            </w:tcBorders>
            <w:noWrap w:val="0"/>
            <w:vAlign w:val="center"/>
          </w:tcPr>
          <w:p w14:paraId="7AFE4EF6">
            <w:pPr>
              <w:snapToGrid w:val="0"/>
              <w:jc w:val="left"/>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是</w:t>
            </w:r>
            <w:r>
              <w:rPr>
                <w:rFonts w:hint="eastAsia" w:ascii="宋体" w:hAnsi="宋体" w:eastAsia="宋体" w:cs="宋体"/>
                <w:b w:val="0"/>
                <w:bCs w:val="0"/>
                <w:sz w:val="21"/>
                <w:szCs w:val="21"/>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2F4B9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trPr>
        <w:tc>
          <w:tcPr>
            <w:tcW w:w="558" w:type="dxa"/>
            <w:tcBorders>
              <w:top w:val="single" w:color="auto" w:sz="4" w:space="0"/>
              <w:left w:val="single" w:color="auto" w:sz="4" w:space="0"/>
              <w:bottom w:val="single" w:color="auto" w:sz="4" w:space="0"/>
              <w:right w:val="single" w:color="auto" w:sz="4" w:space="0"/>
            </w:tcBorders>
            <w:noWrap w:val="0"/>
            <w:vAlign w:val="center"/>
          </w:tcPr>
          <w:p w14:paraId="361C32EF">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w:t>
            </w:r>
          </w:p>
        </w:tc>
        <w:tc>
          <w:tcPr>
            <w:tcW w:w="1845" w:type="dxa"/>
            <w:gridSpan w:val="2"/>
            <w:tcBorders>
              <w:top w:val="single" w:color="auto" w:sz="4" w:space="0"/>
              <w:left w:val="nil"/>
              <w:bottom w:val="single" w:color="auto" w:sz="4" w:space="0"/>
              <w:right w:val="single" w:color="auto" w:sz="4" w:space="0"/>
            </w:tcBorders>
            <w:noWrap w:val="0"/>
            <w:vAlign w:val="center"/>
          </w:tcPr>
          <w:p w14:paraId="7356957C">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管理关系</w:t>
            </w:r>
          </w:p>
        </w:tc>
        <w:tc>
          <w:tcPr>
            <w:tcW w:w="3212" w:type="dxa"/>
            <w:gridSpan w:val="2"/>
            <w:tcBorders>
              <w:top w:val="single" w:color="auto" w:sz="4" w:space="0"/>
              <w:left w:val="nil"/>
              <w:bottom w:val="single" w:color="auto" w:sz="4" w:space="0"/>
              <w:right w:val="single" w:color="auto" w:sz="4" w:space="0"/>
            </w:tcBorders>
            <w:noWrap w:val="0"/>
            <w:vAlign w:val="center"/>
          </w:tcPr>
          <w:p w14:paraId="370A512F">
            <w:pPr>
              <w:jc w:val="center"/>
              <w:rPr>
                <w:rFonts w:hint="eastAsia" w:ascii="宋体" w:hAnsi="宋体" w:eastAsia="宋体" w:cs="宋体"/>
                <w:b w:val="0"/>
                <w:bCs w:val="0"/>
                <w:sz w:val="21"/>
                <w:szCs w:val="21"/>
              </w:rPr>
            </w:pPr>
          </w:p>
        </w:tc>
        <w:tc>
          <w:tcPr>
            <w:tcW w:w="3677" w:type="dxa"/>
            <w:gridSpan w:val="2"/>
            <w:tcBorders>
              <w:top w:val="single" w:color="auto" w:sz="4" w:space="0"/>
              <w:left w:val="nil"/>
              <w:bottom w:val="single" w:color="auto" w:sz="4" w:space="0"/>
              <w:right w:val="single" w:color="auto" w:sz="4" w:space="0"/>
            </w:tcBorders>
            <w:noWrap w:val="0"/>
            <w:vAlign w:val="center"/>
          </w:tcPr>
          <w:p w14:paraId="0860DD34">
            <w:pPr>
              <w:snapToGrid w:val="0"/>
              <w:jc w:val="left"/>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是</w:t>
            </w:r>
            <w:r>
              <w:rPr>
                <w:rFonts w:hint="eastAsia" w:ascii="宋体" w:hAnsi="宋体" w:eastAsia="宋体" w:cs="宋体"/>
                <w:b w:val="0"/>
                <w:bCs w:val="0"/>
                <w:sz w:val="21"/>
                <w:szCs w:val="21"/>
              </w:rPr>
              <w:t>指对投标（响应）供应商不具有出资持股关系，但对其存在管理关系的主体。</w:t>
            </w:r>
          </w:p>
        </w:tc>
      </w:tr>
      <w:tr w14:paraId="5454E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292" w:type="dxa"/>
            <w:gridSpan w:val="7"/>
            <w:tcBorders>
              <w:top w:val="single" w:color="auto" w:sz="4" w:space="0"/>
              <w:left w:val="single" w:color="auto" w:sz="4" w:space="0"/>
              <w:bottom w:val="single" w:color="auto" w:sz="4" w:space="0"/>
              <w:right w:val="single" w:color="auto" w:sz="4" w:space="0"/>
            </w:tcBorders>
            <w:noWrap w:val="0"/>
            <w:vAlign w:val="center"/>
          </w:tcPr>
          <w:p w14:paraId="57393684">
            <w:pPr>
              <w:snapToGrid w:val="0"/>
              <w:ind w:firstLine="0"/>
              <w:jc w:val="left"/>
              <w:rPr>
                <w:rFonts w:hint="eastAsia" w:ascii="宋体" w:hAnsi="宋体" w:eastAsia="宋体" w:cs="宋体"/>
                <w:b w:val="0"/>
                <w:bCs w:val="0"/>
                <w:sz w:val="21"/>
                <w:szCs w:val="21"/>
                <w:lang w:val="en-US" w:eastAsia="zh-CN"/>
              </w:rPr>
            </w:pPr>
            <w:r>
              <w:rPr>
                <w:rFonts w:hint="eastAsia" w:ascii="宋体" w:hAnsi="宋体" w:eastAsia="宋体" w:cs="宋体"/>
                <w:b/>
                <w:bCs/>
                <w:sz w:val="21"/>
                <w:szCs w:val="21"/>
              </w:rPr>
              <w:t>说明：同一关联关系类型有多个主体的，应分行填写。</w:t>
            </w:r>
          </w:p>
        </w:tc>
      </w:tr>
    </w:tbl>
    <w:p w14:paraId="4C399FFD">
      <w:pPr>
        <w:spacing w:after="120"/>
        <w:ind w:left="420" w:leftChars="200" w:firstLine="420" w:firstLineChars="200"/>
      </w:pPr>
    </w:p>
    <w:p w14:paraId="4D630BC9"/>
    <w:p w14:paraId="5FB638D5">
      <w:pPr>
        <w:wordWrap w:val="0"/>
        <w:ind w:right="210" w:firstLine="420" w:firstLineChars="200"/>
        <w:jc w:val="right"/>
        <w:rPr>
          <w:rFonts w:ascii="宋体" w:hAnsi="宋体"/>
          <w:szCs w:val="21"/>
        </w:rPr>
      </w:pPr>
      <w:r>
        <w:rPr>
          <w:rFonts w:hint="eastAsia" w:ascii="宋体" w:hAnsi="宋体"/>
          <w:szCs w:val="21"/>
        </w:rPr>
        <w:t xml:space="preserve">        </w:t>
      </w:r>
    </w:p>
    <w:p w14:paraId="411BBE1F">
      <w:pPr>
        <w:widowControl/>
        <w:jc w:val="left"/>
        <w:rPr>
          <w:rFonts w:ascii="Arial" w:hAnsi="Arial" w:eastAsia="黑体"/>
          <w:bCs/>
          <w:sz w:val="24"/>
        </w:rPr>
      </w:pPr>
      <w:r>
        <w:rPr>
          <w:b/>
          <w:sz w:val="24"/>
        </w:rPr>
        <w:br w:type="page"/>
      </w:r>
    </w:p>
    <w:p w14:paraId="29383856">
      <w:pPr>
        <w:pStyle w:val="4"/>
        <w:jc w:val="center"/>
        <w:rPr>
          <w:b w:val="0"/>
          <w:sz w:val="24"/>
          <w:szCs w:val="24"/>
        </w:rPr>
      </w:pPr>
      <w:r>
        <w:rPr>
          <w:rFonts w:hint="eastAsia"/>
          <w:b w:val="0"/>
          <w:sz w:val="24"/>
          <w:szCs w:val="24"/>
        </w:rPr>
        <w:t>（四）实质性服务条款（以★号标注）证明文件（如有）</w:t>
      </w:r>
    </w:p>
    <w:p w14:paraId="648C6E90">
      <w:pPr>
        <w:ind w:firstLine="420" w:firstLineChars="200"/>
        <w:rPr>
          <w:color w:val="FF0000"/>
        </w:rPr>
      </w:pPr>
      <w:r>
        <w:rPr>
          <w:rFonts w:hint="eastAsia"/>
          <w:color w:val="FF0000"/>
        </w:rPr>
        <w:t>备注：</w:t>
      </w:r>
    </w:p>
    <w:p w14:paraId="0F6C7F76">
      <w:pPr>
        <w:spacing w:line="320" w:lineRule="exact"/>
        <w:ind w:firstLine="420" w:firstLineChars="200"/>
        <w:rPr>
          <w:rFonts w:ascii="黑体" w:hAnsi="宋体" w:eastAsia="黑体"/>
          <w:bCs/>
          <w:color w:val="FF0000"/>
          <w:kern w:val="0"/>
          <w:szCs w:val="21"/>
        </w:rPr>
      </w:pPr>
      <w:r>
        <w:rPr>
          <w:rFonts w:hint="eastAsia" w:ascii="黑体" w:hAnsi="宋体" w:eastAsia="黑体"/>
          <w:bCs/>
          <w:color w:val="FF0000"/>
          <w:kern w:val="0"/>
          <w:szCs w:val="21"/>
        </w:rPr>
        <w:t>1、如本项目没有设置实质性服务条款（以★号标注），该部分无需填写。</w:t>
      </w:r>
    </w:p>
    <w:p w14:paraId="51F17F67">
      <w:pPr>
        <w:spacing w:line="320" w:lineRule="exact"/>
        <w:ind w:firstLine="420" w:firstLineChars="200"/>
        <w:rPr>
          <w:rFonts w:ascii="黑体" w:hAnsi="宋体" w:eastAsia="黑体"/>
          <w:bCs/>
          <w:color w:val="FF0000"/>
          <w:kern w:val="0"/>
          <w:szCs w:val="21"/>
        </w:rPr>
      </w:pPr>
      <w:r>
        <w:rPr>
          <w:rFonts w:hint="eastAsia" w:ascii="黑体" w:hAnsi="宋体" w:eastAsia="黑体"/>
          <w:bCs/>
          <w:color w:val="FF0000"/>
          <w:kern w:val="0"/>
          <w:szCs w:val="21"/>
        </w:rPr>
        <w:t>2、如本项目设置了实质性服务条款（以★号标注），投标供应商须按要求提供相关证明文件，如未提供或出现负偏离的，投标文件作投标无效处理。</w:t>
      </w:r>
    </w:p>
    <w:tbl>
      <w:tblPr>
        <w:tblStyle w:val="34"/>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3774"/>
        <w:gridCol w:w="1530"/>
        <w:gridCol w:w="1275"/>
        <w:gridCol w:w="933"/>
      </w:tblGrid>
      <w:tr w14:paraId="6CA39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05" w:type="dxa"/>
            <w:vAlign w:val="center"/>
          </w:tcPr>
          <w:p w14:paraId="79811AF7">
            <w:pPr>
              <w:adjustRightInd w:val="0"/>
              <w:snapToGrid w:val="0"/>
              <w:spacing w:line="360" w:lineRule="auto"/>
              <w:jc w:val="center"/>
              <w:rPr>
                <w:rFonts w:ascii="宋体" w:hAnsi="宋体"/>
                <w:kern w:val="0"/>
                <w:szCs w:val="21"/>
              </w:rPr>
            </w:pPr>
            <w:bookmarkStart w:id="21" w:name="_Hlk72092651"/>
            <w:r>
              <w:rPr>
                <w:rFonts w:hint="eastAsia" w:ascii="宋体" w:hAnsi="宋体"/>
                <w:kern w:val="0"/>
                <w:szCs w:val="21"/>
              </w:rPr>
              <w:t>序号</w:t>
            </w:r>
          </w:p>
        </w:tc>
        <w:tc>
          <w:tcPr>
            <w:tcW w:w="3774" w:type="dxa"/>
            <w:vAlign w:val="center"/>
          </w:tcPr>
          <w:p w14:paraId="7C601250">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c>
          <w:tcPr>
            <w:tcW w:w="1530" w:type="dxa"/>
            <w:vAlign w:val="center"/>
          </w:tcPr>
          <w:p w14:paraId="764CEB9F">
            <w:pPr>
              <w:adjustRightInd w:val="0"/>
              <w:snapToGrid w:val="0"/>
              <w:spacing w:line="360" w:lineRule="auto"/>
              <w:jc w:val="center"/>
              <w:rPr>
                <w:rFonts w:ascii="宋体" w:hAnsi="宋体"/>
                <w:kern w:val="0"/>
                <w:szCs w:val="21"/>
              </w:rPr>
            </w:pPr>
            <w:r>
              <w:rPr>
                <w:rFonts w:hint="eastAsia"/>
              </w:rPr>
              <w:t>投标响应</w:t>
            </w:r>
          </w:p>
        </w:tc>
        <w:tc>
          <w:tcPr>
            <w:tcW w:w="1275" w:type="dxa"/>
            <w:vAlign w:val="center"/>
          </w:tcPr>
          <w:p w14:paraId="46CD3BC7">
            <w:pPr>
              <w:adjustRightInd w:val="0"/>
              <w:snapToGrid w:val="0"/>
              <w:spacing w:line="360" w:lineRule="auto"/>
              <w:jc w:val="center"/>
              <w:rPr>
                <w:rFonts w:ascii="宋体" w:hAnsi="宋体"/>
                <w:kern w:val="0"/>
                <w:szCs w:val="21"/>
              </w:rPr>
            </w:pPr>
            <w:r>
              <w:rPr>
                <w:rFonts w:hint="eastAsia"/>
              </w:rPr>
              <w:t>偏离情况</w:t>
            </w:r>
          </w:p>
        </w:tc>
        <w:tc>
          <w:tcPr>
            <w:tcW w:w="933" w:type="dxa"/>
            <w:vAlign w:val="center"/>
          </w:tcPr>
          <w:p w14:paraId="797E6E60">
            <w:pPr>
              <w:adjustRightInd w:val="0"/>
              <w:snapToGrid w:val="0"/>
              <w:spacing w:line="360" w:lineRule="auto"/>
              <w:jc w:val="center"/>
              <w:rPr>
                <w:rFonts w:ascii="宋体" w:hAnsi="宋体"/>
                <w:kern w:val="0"/>
                <w:szCs w:val="21"/>
              </w:rPr>
            </w:pPr>
            <w:r>
              <w:rPr>
                <w:rFonts w:hint="eastAsia"/>
              </w:rPr>
              <w:t>说明</w:t>
            </w:r>
          </w:p>
        </w:tc>
      </w:tr>
      <w:bookmarkEnd w:id="21"/>
      <w:tr w14:paraId="4215A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14:paraId="2BC67488">
            <w:pPr>
              <w:adjustRightInd w:val="0"/>
              <w:snapToGrid w:val="0"/>
              <w:spacing w:line="360" w:lineRule="auto"/>
              <w:rPr>
                <w:rFonts w:ascii="宋体" w:hAnsi="宋体"/>
                <w:kern w:val="0"/>
                <w:szCs w:val="21"/>
              </w:rPr>
            </w:pPr>
            <w:r>
              <w:rPr>
                <w:rFonts w:hint="eastAsia" w:ascii="宋体" w:hAnsi="宋体"/>
                <w:kern w:val="0"/>
                <w:szCs w:val="21"/>
              </w:rPr>
              <w:t>1</w:t>
            </w:r>
          </w:p>
        </w:tc>
        <w:tc>
          <w:tcPr>
            <w:tcW w:w="3774" w:type="dxa"/>
            <w:vAlign w:val="center"/>
          </w:tcPr>
          <w:p w14:paraId="00AD6A30">
            <w:pPr>
              <w:rPr>
                <w:rFonts w:hAnsi="宋体"/>
                <w:kern w:val="0"/>
                <w:szCs w:val="21"/>
              </w:rPr>
            </w:pPr>
            <w:r>
              <w:rPr>
                <w:rFonts w:hint="eastAsia"/>
                <w:color w:val="FF0000"/>
                <w:highlight w:val="yellow"/>
              </w:rPr>
              <w:t>★2、交货期的要求：签订合同后</w:t>
            </w:r>
            <w:r>
              <w:rPr>
                <w:rFonts w:hint="eastAsia"/>
                <w:color w:val="FF0000"/>
                <w:highlight w:val="yellow"/>
                <w:lang w:val="en-US" w:eastAsia="zh-CN"/>
              </w:rPr>
              <w:t>60</w:t>
            </w:r>
            <w:r>
              <w:rPr>
                <w:rFonts w:hint="eastAsia"/>
                <w:color w:val="FF0000"/>
                <w:highlight w:val="yellow"/>
              </w:rPr>
              <w:t>日历日内在交货地点交货；投标供应商在投标时对其所投项目应提交详细的《交货进度表》，列明交货计划等，在合同规定的时间内完工验收。</w:t>
            </w:r>
          </w:p>
        </w:tc>
        <w:tc>
          <w:tcPr>
            <w:tcW w:w="1530" w:type="dxa"/>
          </w:tcPr>
          <w:p w14:paraId="2FECD88C">
            <w:pPr>
              <w:adjustRightInd w:val="0"/>
              <w:snapToGrid w:val="0"/>
              <w:spacing w:line="360" w:lineRule="auto"/>
              <w:rPr>
                <w:rFonts w:ascii="宋体" w:hAnsi="宋体"/>
                <w:kern w:val="0"/>
                <w:szCs w:val="21"/>
              </w:rPr>
            </w:pPr>
          </w:p>
        </w:tc>
        <w:tc>
          <w:tcPr>
            <w:tcW w:w="1275" w:type="dxa"/>
          </w:tcPr>
          <w:p w14:paraId="290960C8">
            <w:pPr>
              <w:adjustRightInd w:val="0"/>
              <w:snapToGrid w:val="0"/>
              <w:spacing w:line="360" w:lineRule="auto"/>
              <w:rPr>
                <w:rFonts w:ascii="宋体" w:hAnsi="宋体"/>
                <w:kern w:val="0"/>
                <w:szCs w:val="21"/>
              </w:rPr>
            </w:pPr>
          </w:p>
        </w:tc>
        <w:tc>
          <w:tcPr>
            <w:tcW w:w="933" w:type="dxa"/>
          </w:tcPr>
          <w:p w14:paraId="35380579">
            <w:pPr>
              <w:adjustRightInd w:val="0"/>
              <w:snapToGrid w:val="0"/>
              <w:spacing w:line="360" w:lineRule="auto"/>
              <w:rPr>
                <w:rFonts w:ascii="宋体" w:hAnsi="宋体"/>
                <w:kern w:val="0"/>
                <w:szCs w:val="21"/>
              </w:rPr>
            </w:pPr>
          </w:p>
        </w:tc>
      </w:tr>
      <w:tr w14:paraId="1134F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14:paraId="786A9D3D">
            <w:pPr>
              <w:adjustRightInd w:val="0"/>
              <w:snapToGrid w:val="0"/>
              <w:spacing w:line="360" w:lineRule="auto"/>
              <w:rPr>
                <w:rFonts w:ascii="宋体" w:hAnsi="宋体"/>
                <w:kern w:val="0"/>
                <w:szCs w:val="21"/>
              </w:rPr>
            </w:pPr>
            <w:r>
              <w:rPr>
                <w:rFonts w:hint="eastAsia" w:ascii="宋体" w:hAnsi="宋体"/>
                <w:kern w:val="0"/>
                <w:szCs w:val="21"/>
              </w:rPr>
              <w:t>2</w:t>
            </w:r>
          </w:p>
        </w:tc>
        <w:tc>
          <w:tcPr>
            <w:tcW w:w="3774" w:type="dxa"/>
            <w:vAlign w:val="center"/>
          </w:tcPr>
          <w:p w14:paraId="575B224D">
            <w:pPr>
              <w:rPr>
                <w:rFonts w:hAnsi="宋体"/>
                <w:kern w:val="0"/>
                <w:szCs w:val="21"/>
              </w:rPr>
            </w:pPr>
            <w:r>
              <w:rPr>
                <w:rFonts w:hint="eastAsia"/>
                <w:color w:val="FF0000"/>
                <w:highlight w:val="yellow"/>
              </w:rPr>
              <w:t>★1、提</w:t>
            </w:r>
            <w:r>
              <w:rPr>
                <w:rFonts w:hint="eastAsia"/>
                <w:color w:val="FF0000"/>
                <w:highlight w:val="yellow"/>
                <w:lang w:val="en-US" w:eastAsia="zh-CN"/>
              </w:rPr>
              <w:t>供</w:t>
            </w:r>
            <w:r>
              <w:rPr>
                <w:rFonts w:hint="eastAsia"/>
                <w:color w:val="FF0000"/>
                <w:highlight w:val="yellow"/>
                <w:u w:val="single"/>
                <w:lang w:val="en-US" w:eastAsia="zh-CN"/>
              </w:rPr>
              <w:t>3</w:t>
            </w:r>
            <w:r>
              <w:rPr>
                <w:rFonts w:hint="eastAsia"/>
                <w:color w:val="FF0000"/>
                <w:highlight w:val="yellow"/>
              </w:rPr>
              <w:t>年的免费保修服务，本地化</w:t>
            </w:r>
            <w:r>
              <w:rPr>
                <w:rFonts w:hint="eastAsia"/>
                <w:color w:val="FF0000"/>
                <w:highlight w:val="yellow"/>
                <w:u w:val="single"/>
              </w:rPr>
              <w:t xml:space="preserve">　7*24  </w:t>
            </w:r>
            <w:r>
              <w:rPr>
                <w:rFonts w:hint="eastAsia"/>
                <w:color w:val="FF0000"/>
                <w:highlight w:val="yellow"/>
              </w:rPr>
              <w:t>小时服务，免费保修服务自验收合格之日起算。</w:t>
            </w:r>
          </w:p>
        </w:tc>
        <w:tc>
          <w:tcPr>
            <w:tcW w:w="1530" w:type="dxa"/>
          </w:tcPr>
          <w:p w14:paraId="2FE5F76E">
            <w:pPr>
              <w:adjustRightInd w:val="0"/>
              <w:snapToGrid w:val="0"/>
              <w:spacing w:line="360" w:lineRule="auto"/>
              <w:rPr>
                <w:rFonts w:ascii="宋体" w:hAnsi="宋体"/>
                <w:kern w:val="0"/>
                <w:szCs w:val="21"/>
              </w:rPr>
            </w:pPr>
          </w:p>
        </w:tc>
        <w:tc>
          <w:tcPr>
            <w:tcW w:w="1275" w:type="dxa"/>
          </w:tcPr>
          <w:p w14:paraId="6CD51943">
            <w:pPr>
              <w:adjustRightInd w:val="0"/>
              <w:snapToGrid w:val="0"/>
              <w:spacing w:line="360" w:lineRule="auto"/>
              <w:rPr>
                <w:rFonts w:ascii="宋体" w:hAnsi="宋体"/>
                <w:kern w:val="0"/>
                <w:szCs w:val="21"/>
              </w:rPr>
            </w:pPr>
          </w:p>
        </w:tc>
        <w:tc>
          <w:tcPr>
            <w:tcW w:w="933" w:type="dxa"/>
          </w:tcPr>
          <w:p w14:paraId="5B440DBF">
            <w:pPr>
              <w:adjustRightInd w:val="0"/>
              <w:snapToGrid w:val="0"/>
              <w:spacing w:line="360" w:lineRule="auto"/>
              <w:rPr>
                <w:rFonts w:ascii="宋体" w:hAnsi="宋体"/>
                <w:kern w:val="0"/>
                <w:szCs w:val="21"/>
              </w:rPr>
            </w:pPr>
          </w:p>
        </w:tc>
      </w:tr>
    </w:tbl>
    <w:p w14:paraId="6A10C8DD">
      <w:pPr>
        <w:ind w:firstLine="420" w:firstLineChars="200"/>
      </w:pPr>
      <w:r>
        <w:rPr>
          <w:rFonts w:hint="eastAsia"/>
        </w:rPr>
        <w:t>注：</w:t>
      </w:r>
    </w:p>
    <w:p w14:paraId="14D379D6">
      <w:pPr>
        <w:ind w:firstLine="420" w:firstLineChars="200"/>
      </w:pPr>
      <w:r>
        <w:rPr>
          <w:rFonts w:hint="eastAsia"/>
        </w:rPr>
        <w:t>1.上表所列各项均为不可负偏离条款。</w:t>
      </w:r>
    </w:p>
    <w:p w14:paraId="0DC990B2">
      <w:pPr>
        <w:ind w:firstLine="420" w:firstLineChars="200"/>
      </w:pPr>
      <w:r>
        <w:rPr>
          <w:rFonts w:hint="eastAsia"/>
        </w:rPr>
        <w:t>2.“投标响应”一栏应当详细填写投标人自身响应情况，而不能不合理照搬照抄招实质性条款具体内容。</w:t>
      </w:r>
    </w:p>
    <w:p w14:paraId="10D70974">
      <w:pPr>
        <w:ind w:firstLine="420" w:firstLineChars="200"/>
      </w:pPr>
      <w:r>
        <w:rPr>
          <w:rFonts w:hint="eastAsia"/>
        </w:rPr>
        <w:t>3</w:t>
      </w:r>
      <w:r>
        <w:t>.</w:t>
      </w:r>
      <w:r>
        <w:rPr>
          <w:rFonts w:hint="eastAsia"/>
        </w:rPr>
        <w:t>“偏离情况”一栏应填写“正偏离”、“负偏离”或“无偏离”，“正偏离”表示“投标响应优于实质性条款具体内容要求”，“负偏离”表示“投标响应不满足实质性条款具体内容要求”，“无偏离”表示“投标响应与实质性条款具体内容要求一致”。</w:t>
      </w:r>
    </w:p>
    <w:p w14:paraId="539907D1">
      <w:pPr>
        <w:ind w:firstLine="420" w:firstLineChars="200"/>
      </w:pPr>
      <w:r>
        <w:t>4.</w:t>
      </w:r>
      <w:r>
        <w:rPr>
          <w:rFonts w:hint="eastAsia"/>
        </w:rPr>
        <w:t>评审委员会有权对投标响应情况作出判断（作出评审结论）。</w:t>
      </w:r>
    </w:p>
    <w:p w14:paraId="02AC758E">
      <w:pPr>
        <w:ind w:firstLine="420" w:firstLineChars="200"/>
      </w:pPr>
      <w:r>
        <w:t>5</w:t>
      </w:r>
      <w:r>
        <w:rPr>
          <w:rFonts w:hint="eastAsia"/>
        </w:rPr>
        <w:t>.实质性响应条款“投标响应情况”与投标文件其它内容冲突的，以实质性响应条款“投标响应情况”为准。</w:t>
      </w:r>
    </w:p>
    <w:p w14:paraId="76482787">
      <w:pPr>
        <w:ind w:firstLine="420" w:firstLineChars="200"/>
      </w:pPr>
      <w:r>
        <w:rPr>
          <w:rFonts w:hint="eastAsia"/>
        </w:rPr>
        <w:t>6.要求提供证明资料，在“说明”一栏中列明证明资料的位置,以便评审；未要求提供证明材料的，投标人可以不提供。</w:t>
      </w:r>
    </w:p>
    <w:p w14:paraId="5DE6C6B6">
      <w:pPr>
        <w:ind w:firstLine="420" w:firstLineChars="200"/>
      </w:pPr>
    </w:p>
    <w:p w14:paraId="0A9AE45E">
      <w:pPr>
        <w:spacing w:line="360" w:lineRule="auto"/>
        <w:ind w:firstLine="420" w:firstLineChars="200"/>
        <w:rPr>
          <w:rFonts w:ascii="黑体" w:hAnsi="宋体" w:eastAsia="黑体"/>
          <w:bCs/>
          <w:color w:val="FF0000"/>
          <w:kern w:val="0"/>
          <w:szCs w:val="21"/>
        </w:rPr>
      </w:pPr>
    </w:p>
    <w:p w14:paraId="0565F1AE">
      <w:pPr>
        <w:spacing w:line="360" w:lineRule="auto"/>
        <w:ind w:firstLine="420" w:firstLineChars="200"/>
        <w:rPr>
          <w:rFonts w:ascii="黑体" w:hAnsi="宋体" w:eastAsia="黑体"/>
          <w:bCs/>
          <w:color w:val="FF0000"/>
          <w:kern w:val="0"/>
          <w:szCs w:val="21"/>
        </w:rPr>
      </w:pPr>
    </w:p>
    <w:p w14:paraId="1EC2D4B1">
      <w:pPr>
        <w:widowControl/>
        <w:jc w:val="left"/>
        <w:rPr>
          <w:rFonts w:ascii="黑体" w:hAnsi="宋体" w:eastAsia="黑体"/>
          <w:bCs/>
          <w:color w:val="FF0000"/>
          <w:kern w:val="0"/>
          <w:szCs w:val="21"/>
        </w:rPr>
      </w:pPr>
      <w:r>
        <w:rPr>
          <w:rFonts w:ascii="黑体" w:hAnsi="宋体" w:eastAsia="黑体"/>
          <w:bCs/>
          <w:color w:val="FF0000"/>
          <w:kern w:val="0"/>
          <w:szCs w:val="21"/>
        </w:rPr>
        <w:br w:type="page"/>
      </w:r>
    </w:p>
    <w:p w14:paraId="22AB3676">
      <w:pPr>
        <w:keepNext/>
        <w:keepLines/>
        <w:spacing w:before="280" w:after="290" w:line="374" w:lineRule="auto"/>
        <w:jc w:val="center"/>
        <w:outlineLvl w:val="3"/>
        <w:rPr>
          <w:rFonts w:ascii="黑体" w:hAnsi="Arial" w:eastAsia="黑体"/>
          <w:bCs/>
          <w:kern w:val="0"/>
          <w:sz w:val="24"/>
          <w:szCs w:val="28"/>
        </w:rPr>
      </w:pPr>
      <w:r>
        <w:rPr>
          <w:rFonts w:hint="eastAsia" w:ascii="Arial" w:hAnsi="Arial" w:eastAsia="黑体"/>
          <w:bCs/>
          <w:sz w:val="24"/>
        </w:rPr>
        <w:t>（五）</w:t>
      </w:r>
      <w:r>
        <w:rPr>
          <w:rFonts w:hint="eastAsia" w:ascii="黑体" w:hAnsi="Arial" w:eastAsia="黑体"/>
          <w:bCs/>
          <w:kern w:val="0"/>
          <w:sz w:val="24"/>
          <w:szCs w:val="28"/>
        </w:rPr>
        <w:t>法定代表人（负责人）资格证明书</w:t>
      </w:r>
    </w:p>
    <w:p w14:paraId="7C850768">
      <w:pPr>
        <w:spacing w:line="360" w:lineRule="auto"/>
        <w:ind w:firstLine="420" w:firstLineChars="200"/>
        <w:rPr>
          <w:szCs w:val="21"/>
        </w:rPr>
      </w:pPr>
      <w:r>
        <w:rPr>
          <w:rFonts w:hint="eastAsia"/>
          <w:szCs w:val="21"/>
          <w:u w:val="single"/>
        </w:rPr>
        <w:t xml:space="preserve">                 </w:t>
      </w:r>
      <w:r>
        <w:rPr>
          <w:rFonts w:hint="eastAsia"/>
          <w:szCs w:val="21"/>
        </w:rPr>
        <w:t>（姓名），现任我单位</w:t>
      </w:r>
      <w:r>
        <w:rPr>
          <w:rFonts w:hint="eastAsia"/>
          <w:szCs w:val="21"/>
          <w:u w:val="single"/>
        </w:rPr>
        <w:t xml:space="preserve">             </w:t>
      </w:r>
      <w:r>
        <w:rPr>
          <w:rFonts w:hint="eastAsia"/>
          <w:szCs w:val="21"/>
        </w:rPr>
        <w:t>职务，为法定代表人（负责人），身份证件号为：</w:t>
      </w:r>
      <w:r>
        <w:rPr>
          <w:rFonts w:hint="eastAsia"/>
          <w:szCs w:val="21"/>
          <w:u w:val="single"/>
        </w:rPr>
        <w:t xml:space="preserve">                                     </w:t>
      </w:r>
      <w:r>
        <w:rPr>
          <w:rFonts w:hint="eastAsia"/>
          <w:szCs w:val="21"/>
        </w:rPr>
        <w:t>，联系电话：</w:t>
      </w:r>
      <w:r>
        <w:rPr>
          <w:rFonts w:hint="eastAsia"/>
          <w:szCs w:val="21"/>
          <w:u w:val="single"/>
        </w:rPr>
        <w:t xml:space="preserve">                </w:t>
      </w:r>
      <w:r>
        <w:rPr>
          <w:rFonts w:hint="eastAsia"/>
          <w:szCs w:val="21"/>
        </w:rPr>
        <w:t>。</w:t>
      </w:r>
    </w:p>
    <w:p w14:paraId="622F6E29">
      <w:pPr>
        <w:spacing w:line="360" w:lineRule="auto"/>
        <w:ind w:firstLine="420" w:firstLineChars="200"/>
        <w:rPr>
          <w:szCs w:val="21"/>
        </w:rPr>
      </w:pPr>
      <w:r>
        <w:rPr>
          <w:rFonts w:hint="eastAsia"/>
          <w:szCs w:val="21"/>
        </w:rPr>
        <w:t>特此证明。</w:t>
      </w:r>
    </w:p>
    <w:p w14:paraId="7135B110">
      <w:pPr>
        <w:spacing w:line="360" w:lineRule="auto"/>
        <w:ind w:firstLine="420" w:firstLineChars="200"/>
        <w:rPr>
          <w:szCs w:val="21"/>
        </w:rPr>
      </w:pPr>
      <w:r>
        <w:rPr>
          <w:rFonts w:hint="eastAsia"/>
          <w:szCs w:val="21"/>
        </w:rPr>
        <w:t>说明：1、法定代表人为投标人（企业事业单位、国家机关、社会团体）的主要行政负责人。</w:t>
      </w:r>
    </w:p>
    <w:p w14:paraId="169A27C3">
      <w:pPr>
        <w:numPr>
          <w:ilvl w:val="0"/>
          <w:numId w:val="2"/>
        </w:numPr>
        <w:spacing w:line="360" w:lineRule="auto"/>
        <w:ind w:firstLine="420" w:firstLineChars="200"/>
        <w:rPr>
          <w:szCs w:val="21"/>
        </w:rPr>
      </w:pPr>
      <w:r>
        <w:rPr>
          <w:rFonts w:hint="eastAsia"/>
          <w:szCs w:val="21"/>
          <w:lang w:eastAsia="zh-Hans"/>
        </w:rPr>
        <w:t>本证明书要供法定代表人（负责人）</w:t>
      </w:r>
      <w:r>
        <w:rPr>
          <w:rFonts w:hint="eastAsia"/>
          <w:szCs w:val="21"/>
        </w:rPr>
        <w:t>相关身份证明文件：身份证扫描件（正反两面）；港澳台居民可提供来往通行证扫描件；非中国国籍管辖范围人员，可提供公安部门认可的身份证明材料扫描件。</w:t>
      </w:r>
    </w:p>
    <w:p w14:paraId="4E8BFD9B">
      <w:pPr>
        <w:numPr>
          <w:ilvl w:val="0"/>
          <w:numId w:val="2"/>
        </w:numPr>
        <w:spacing w:line="360" w:lineRule="auto"/>
        <w:ind w:firstLine="420" w:firstLineChars="200"/>
        <w:rPr>
          <w:szCs w:val="21"/>
        </w:rPr>
      </w:pPr>
      <w:r>
        <w:rPr>
          <w:rFonts w:hint="eastAsia"/>
          <w:szCs w:val="21"/>
          <w:lang w:eastAsia="zh-Hans"/>
        </w:rPr>
        <w:t>本项目投标授权代表为法定代表人（负责人）的，无需提供</w:t>
      </w:r>
      <w:r>
        <w:rPr>
          <w:rFonts w:hint="eastAsia"/>
          <w:szCs w:val="21"/>
        </w:rPr>
        <w:t>《投标文件签署授权委托书》</w:t>
      </w:r>
      <w:r>
        <w:rPr>
          <w:rFonts w:hint="eastAsia"/>
          <w:szCs w:val="21"/>
          <w:lang w:eastAsia="zh-Hans"/>
        </w:rPr>
        <w:t>。</w:t>
      </w:r>
    </w:p>
    <w:p w14:paraId="42B99FED">
      <w:pPr>
        <w:numPr>
          <w:ilvl w:val="0"/>
          <w:numId w:val="2"/>
        </w:numPr>
        <w:spacing w:line="360" w:lineRule="auto"/>
        <w:ind w:firstLine="420" w:firstLineChars="200"/>
        <w:rPr>
          <w:szCs w:val="21"/>
        </w:rPr>
      </w:pPr>
      <w:r>
        <w:rPr>
          <w:rFonts w:hint="eastAsia"/>
          <w:szCs w:val="21"/>
        </w:rPr>
        <w:t>内容必须填写真实、清楚，涂改无效，不得转让、买卖。</w:t>
      </w:r>
    </w:p>
    <w:tbl>
      <w:tblPr>
        <w:tblStyle w:val="35"/>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6D0D0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5" w:hRule="atLeast"/>
        </w:trPr>
        <w:tc>
          <w:tcPr>
            <w:tcW w:w="4264" w:type="dxa"/>
          </w:tcPr>
          <w:p w14:paraId="0F8151C6">
            <w:pPr>
              <w:jc w:val="center"/>
            </w:pPr>
            <w:r>
              <w:rPr>
                <w:rFonts w:hint="eastAsia"/>
              </w:rPr>
              <w:t>证件扫描件正面</w:t>
            </w:r>
          </w:p>
          <w:p w14:paraId="521448CF">
            <w:pPr>
              <w:spacing w:line="360" w:lineRule="auto"/>
              <w:jc w:val="center"/>
              <w:rPr>
                <w:sz w:val="24"/>
              </w:rPr>
            </w:pPr>
          </w:p>
          <w:p w14:paraId="5AD6E3DF">
            <w:pPr>
              <w:spacing w:line="360" w:lineRule="auto"/>
              <w:jc w:val="center"/>
              <w:rPr>
                <w:sz w:val="24"/>
              </w:rPr>
            </w:pPr>
          </w:p>
        </w:tc>
        <w:tc>
          <w:tcPr>
            <w:tcW w:w="4265" w:type="dxa"/>
          </w:tcPr>
          <w:p w14:paraId="74D4DBC6">
            <w:pPr>
              <w:jc w:val="center"/>
            </w:pPr>
            <w:r>
              <w:rPr>
                <w:rFonts w:hint="eastAsia"/>
              </w:rPr>
              <w:t>证件扫描件反面</w:t>
            </w:r>
          </w:p>
          <w:p w14:paraId="687217ED">
            <w:pPr>
              <w:spacing w:line="360" w:lineRule="auto"/>
              <w:jc w:val="center"/>
              <w:rPr>
                <w:sz w:val="24"/>
              </w:rPr>
            </w:pPr>
          </w:p>
          <w:p w14:paraId="12A8BE04">
            <w:pPr>
              <w:spacing w:line="360" w:lineRule="auto"/>
              <w:jc w:val="center"/>
              <w:rPr>
                <w:sz w:val="24"/>
              </w:rPr>
            </w:pPr>
          </w:p>
        </w:tc>
      </w:tr>
    </w:tbl>
    <w:p w14:paraId="33B9E142">
      <w:pPr>
        <w:rPr>
          <w:sz w:val="24"/>
        </w:rPr>
      </w:pPr>
    </w:p>
    <w:p w14:paraId="5393A0B2">
      <w:pPr>
        <w:pStyle w:val="33"/>
        <w:ind w:left="0" w:leftChars="0" w:firstLine="422"/>
        <w:rPr>
          <w:b/>
          <w:color w:val="FF0000"/>
        </w:rPr>
      </w:pPr>
      <w:r>
        <w:rPr>
          <w:rFonts w:hint="eastAsia"/>
          <w:b/>
          <w:color w:val="FF0000"/>
        </w:rPr>
        <w:t>温馨提示：为避免出现《深圳经济特区政府采购条例实施细则》第七十五条第二项所列情形，请投标供应商核实你单位法定代表人、本项目投标授权代表人、项目负责人（如有）、主要技术人员（如有）等是否在你公司缴纳社会保险。</w:t>
      </w:r>
    </w:p>
    <w:p w14:paraId="262210C1">
      <w:pPr>
        <w:widowControl/>
        <w:jc w:val="left"/>
        <w:rPr>
          <w:rFonts w:ascii="黑体" w:hAnsi="宋体" w:eastAsia="黑体"/>
          <w:bCs/>
          <w:sz w:val="24"/>
          <w:szCs w:val="32"/>
        </w:rPr>
      </w:pPr>
      <w:r>
        <w:rPr>
          <w:rFonts w:ascii="黑体" w:eastAsia="黑体"/>
          <w:b/>
          <w:sz w:val="24"/>
        </w:rPr>
        <w:br w:type="page"/>
      </w:r>
    </w:p>
    <w:p w14:paraId="6A0C8EF7">
      <w:pPr>
        <w:keepNext/>
        <w:keepLines/>
        <w:spacing w:before="280" w:after="290" w:line="374" w:lineRule="auto"/>
        <w:jc w:val="center"/>
        <w:outlineLvl w:val="3"/>
        <w:rPr>
          <w:rFonts w:ascii="黑体" w:hAnsi="Arial" w:eastAsia="黑体"/>
          <w:bCs/>
          <w:kern w:val="0"/>
          <w:sz w:val="24"/>
          <w:szCs w:val="28"/>
        </w:rPr>
      </w:pPr>
      <w:r>
        <w:rPr>
          <w:rFonts w:hint="eastAsia" w:ascii="Arial" w:hAnsi="Arial" w:eastAsia="黑体"/>
          <w:bCs/>
          <w:sz w:val="24"/>
        </w:rPr>
        <w:t>（六）</w:t>
      </w:r>
      <w:r>
        <w:rPr>
          <w:rFonts w:hint="eastAsia" w:ascii="黑体" w:hAnsi="Arial" w:eastAsia="黑体"/>
          <w:bCs/>
          <w:kern w:val="0"/>
          <w:sz w:val="24"/>
          <w:szCs w:val="28"/>
        </w:rPr>
        <w:t>投标文件签署授权委托书</w:t>
      </w:r>
    </w:p>
    <w:p w14:paraId="519B715A">
      <w:pPr>
        <w:spacing w:line="360" w:lineRule="auto"/>
        <w:ind w:firstLine="420" w:firstLineChars="200"/>
        <w:rPr>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6A0AC84C">
      <w:pPr>
        <w:spacing w:line="360" w:lineRule="auto"/>
        <w:ind w:firstLine="420" w:firstLineChars="200"/>
        <w:rPr>
          <w:szCs w:val="21"/>
        </w:rPr>
      </w:pPr>
      <w:r>
        <w:rPr>
          <w:rFonts w:hint="eastAsia"/>
          <w:szCs w:val="21"/>
        </w:rPr>
        <w:t>代理人无转委托权，特此委托。</w:t>
      </w:r>
    </w:p>
    <w:p w14:paraId="31CE8FE9">
      <w:pPr>
        <w:spacing w:line="360" w:lineRule="auto"/>
        <w:ind w:firstLine="420" w:firstLineChars="200"/>
        <w:rPr>
          <w:szCs w:val="21"/>
        </w:rPr>
      </w:pPr>
    </w:p>
    <w:p w14:paraId="7C863B6F">
      <w:pPr>
        <w:spacing w:line="360" w:lineRule="auto"/>
        <w:ind w:firstLine="420" w:firstLineChars="200"/>
        <w:rPr>
          <w:szCs w:val="21"/>
        </w:rPr>
      </w:pPr>
      <w:r>
        <w:rPr>
          <w:rFonts w:hint="eastAsia"/>
          <w:szCs w:val="21"/>
        </w:rPr>
        <w:t>代理人：</w:t>
      </w:r>
      <w:r>
        <w:rPr>
          <w:rFonts w:hint="eastAsia"/>
          <w:szCs w:val="21"/>
          <w:u w:val="single"/>
        </w:rPr>
        <w:t xml:space="preserve">              </w:t>
      </w:r>
      <w:r>
        <w:rPr>
          <w:rFonts w:hint="eastAsia"/>
          <w:szCs w:val="21"/>
        </w:rPr>
        <w:t>；</w:t>
      </w:r>
    </w:p>
    <w:p w14:paraId="15AD2F21">
      <w:pPr>
        <w:spacing w:line="360" w:lineRule="auto"/>
        <w:ind w:firstLine="420" w:firstLineChars="200"/>
        <w:rPr>
          <w:szCs w:val="21"/>
        </w:rPr>
      </w:pPr>
      <w:r>
        <w:rPr>
          <w:rFonts w:hint="eastAsia"/>
          <w:szCs w:val="21"/>
        </w:rPr>
        <w:t>身份证件号：</w:t>
      </w:r>
      <w:r>
        <w:rPr>
          <w:rFonts w:hint="eastAsia"/>
          <w:szCs w:val="21"/>
          <w:u w:val="single"/>
        </w:rPr>
        <w:t xml:space="preserve">                        </w:t>
      </w:r>
      <w:r>
        <w:rPr>
          <w:rFonts w:hint="eastAsia"/>
          <w:szCs w:val="21"/>
        </w:rPr>
        <w:t>，职务：</w:t>
      </w:r>
      <w:r>
        <w:rPr>
          <w:rFonts w:hint="eastAsia"/>
          <w:szCs w:val="21"/>
          <w:u w:val="single"/>
        </w:rPr>
        <w:t xml:space="preserve">                </w:t>
      </w:r>
      <w:r>
        <w:rPr>
          <w:rFonts w:hint="eastAsia"/>
          <w:szCs w:val="21"/>
        </w:rPr>
        <w:t>；</w:t>
      </w:r>
    </w:p>
    <w:p w14:paraId="705D9587">
      <w:pPr>
        <w:spacing w:line="360" w:lineRule="auto"/>
        <w:ind w:firstLine="420" w:firstLineChars="200"/>
        <w:rPr>
          <w:szCs w:val="21"/>
        </w:rPr>
      </w:pPr>
      <w:r>
        <w:rPr>
          <w:rFonts w:hint="eastAsia"/>
          <w:szCs w:val="21"/>
        </w:rPr>
        <w:t>联系电话：</w:t>
      </w:r>
      <w:r>
        <w:rPr>
          <w:rFonts w:hint="eastAsia"/>
          <w:szCs w:val="21"/>
          <w:u w:val="single"/>
        </w:rPr>
        <w:t xml:space="preserve">         </w:t>
      </w:r>
      <w:r>
        <w:rPr>
          <w:rFonts w:hint="eastAsia"/>
          <w:szCs w:val="21"/>
        </w:rPr>
        <w:t>，手机：</w:t>
      </w:r>
      <w:r>
        <w:rPr>
          <w:rFonts w:hint="eastAsia"/>
          <w:szCs w:val="21"/>
          <w:u w:val="single"/>
        </w:rPr>
        <w:t xml:space="preserve">                </w:t>
      </w:r>
      <w:r>
        <w:rPr>
          <w:rFonts w:hint="eastAsia"/>
          <w:szCs w:val="21"/>
        </w:rPr>
        <w:t>，电子邮箱：</w:t>
      </w:r>
      <w:r>
        <w:rPr>
          <w:rFonts w:hint="eastAsia"/>
          <w:szCs w:val="21"/>
          <w:u w:val="single"/>
        </w:rPr>
        <w:t xml:space="preserve">                     </w:t>
      </w:r>
      <w:r>
        <w:rPr>
          <w:rFonts w:hint="eastAsia"/>
          <w:szCs w:val="21"/>
        </w:rPr>
        <w:t>；</w:t>
      </w:r>
    </w:p>
    <w:p w14:paraId="100C6FB4">
      <w:pPr>
        <w:spacing w:line="360" w:lineRule="auto"/>
        <w:ind w:firstLine="420" w:firstLineChars="200"/>
        <w:rPr>
          <w:szCs w:val="21"/>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p>
    <w:p w14:paraId="00194E36">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35"/>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00733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5" w:hRule="atLeast"/>
        </w:trPr>
        <w:tc>
          <w:tcPr>
            <w:tcW w:w="4264" w:type="dxa"/>
          </w:tcPr>
          <w:p w14:paraId="1E3E0335">
            <w:pPr>
              <w:jc w:val="center"/>
            </w:pPr>
            <w:r>
              <w:rPr>
                <w:rFonts w:hint="eastAsia"/>
              </w:rPr>
              <w:t>证件扫描件正面</w:t>
            </w:r>
          </w:p>
          <w:p w14:paraId="117F3039">
            <w:pPr>
              <w:spacing w:line="360" w:lineRule="auto"/>
              <w:jc w:val="center"/>
              <w:rPr>
                <w:sz w:val="24"/>
              </w:rPr>
            </w:pPr>
          </w:p>
          <w:p w14:paraId="08645882">
            <w:pPr>
              <w:spacing w:line="360" w:lineRule="auto"/>
              <w:jc w:val="center"/>
              <w:rPr>
                <w:sz w:val="24"/>
              </w:rPr>
            </w:pPr>
          </w:p>
        </w:tc>
        <w:tc>
          <w:tcPr>
            <w:tcW w:w="4265" w:type="dxa"/>
          </w:tcPr>
          <w:p w14:paraId="3795B475">
            <w:pPr>
              <w:jc w:val="center"/>
            </w:pPr>
            <w:r>
              <w:rPr>
                <w:rFonts w:hint="eastAsia"/>
              </w:rPr>
              <w:t>证件扫描件反面</w:t>
            </w:r>
          </w:p>
          <w:p w14:paraId="600D0F3F">
            <w:pPr>
              <w:spacing w:line="360" w:lineRule="auto"/>
              <w:jc w:val="center"/>
              <w:rPr>
                <w:sz w:val="24"/>
              </w:rPr>
            </w:pPr>
          </w:p>
          <w:p w14:paraId="0E47C747">
            <w:pPr>
              <w:spacing w:line="360" w:lineRule="auto"/>
              <w:jc w:val="center"/>
              <w:rPr>
                <w:sz w:val="24"/>
              </w:rPr>
            </w:pPr>
          </w:p>
        </w:tc>
      </w:tr>
    </w:tbl>
    <w:p w14:paraId="238DF62D">
      <w:pPr>
        <w:pStyle w:val="33"/>
        <w:ind w:left="0" w:leftChars="0" w:firstLine="0" w:firstLineChars="0"/>
        <w:rPr>
          <w:rFonts w:ascii="Times New Roman" w:hAnsi="Times New Roman" w:eastAsia="宋体" w:cs="Times New Roman"/>
        </w:rPr>
      </w:pPr>
    </w:p>
    <w:p w14:paraId="121B59BE">
      <w:pPr>
        <w:pStyle w:val="33"/>
        <w:ind w:left="0" w:leftChars="0" w:firstLine="0" w:firstLineChars="0"/>
        <w:rPr>
          <w:rFonts w:ascii="Times New Roman" w:hAnsi="Times New Roman" w:eastAsia="宋体" w:cs="Times New Roman"/>
        </w:rPr>
      </w:pPr>
    </w:p>
    <w:p w14:paraId="4EB73B9C">
      <w:pPr>
        <w:pStyle w:val="33"/>
        <w:ind w:left="0" w:leftChars="0" w:firstLine="422"/>
        <w:rPr>
          <w:b/>
          <w:color w:val="FF0000"/>
        </w:rPr>
      </w:pPr>
      <w:r>
        <w:rPr>
          <w:rFonts w:hint="eastAsia"/>
          <w:b/>
          <w:color w:val="FF0000"/>
        </w:rPr>
        <w:t>温馨提示：为避免出现《深圳经济特区政府采购条例实施细则》第七十五条第二项所列情形，请投标供应商核实你单位法定代表人、本项目投标授权代表人、项目负责人（如有）、主要技术人员（如有）等是否在你公司缴纳社会保险。</w:t>
      </w:r>
    </w:p>
    <w:p w14:paraId="39C49C35">
      <w:pPr>
        <w:pStyle w:val="33"/>
        <w:ind w:left="0" w:leftChars="0" w:firstLine="0" w:firstLineChars="0"/>
      </w:pPr>
    </w:p>
    <w:p w14:paraId="0FC2755D">
      <w:pPr>
        <w:widowControl/>
        <w:jc w:val="left"/>
        <w:rPr>
          <w:rFonts w:ascii="黑体" w:hAnsi="宋体" w:eastAsia="黑体"/>
          <w:bCs/>
          <w:kern w:val="0"/>
          <w:sz w:val="24"/>
        </w:rPr>
      </w:pPr>
      <w:r>
        <w:rPr>
          <w:rFonts w:ascii="黑体" w:eastAsia="黑体"/>
          <w:b/>
          <w:kern w:val="0"/>
          <w:sz w:val="24"/>
        </w:rPr>
        <w:br w:type="page"/>
      </w:r>
    </w:p>
    <w:p w14:paraId="7C3BFC2E">
      <w:pPr>
        <w:pStyle w:val="4"/>
        <w:jc w:val="center"/>
        <w:rPr>
          <w:rFonts w:ascii="黑体"/>
          <w:b w:val="0"/>
          <w:kern w:val="0"/>
          <w:sz w:val="24"/>
        </w:rPr>
      </w:pPr>
      <w:r>
        <w:rPr>
          <w:rFonts w:hint="eastAsia" w:ascii="黑体"/>
          <w:b w:val="0"/>
          <w:kern w:val="0"/>
          <w:sz w:val="24"/>
        </w:rPr>
        <w:t>（七）项目报价情况</w:t>
      </w:r>
    </w:p>
    <w:p w14:paraId="3A38D41A">
      <w:pPr>
        <w:pStyle w:val="6"/>
        <w:jc w:val="center"/>
        <w:rPr>
          <w:bCs w:val="0"/>
          <w:sz w:val="24"/>
          <w:szCs w:val="24"/>
        </w:rPr>
      </w:pPr>
      <w:r>
        <w:rPr>
          <w:rFonts w:hint="eastAsia"/>
          <w:bCs w:val="0"/>
          <w:sz w:val="24"/>
          <w:szCs w:val="24"/>
        </w:rPr>
        <w:t>1、分项报价清单</w:t>
      </w:r>
    </w:p>
    <w:tbl>
      <w:tblPr>
        <w:tblStyle w:val="34"/>
        <w:tblW w:w="84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3"/>
        <w:gridCol w:w="1434"/>
        <w:gridCol w:w="878"/>
        <w:gridCol w:w="878"/>
        <w:gridCol w:w="764"/>
        <w:gridCol w:w="760"/>
        <w:gridCol w:w="420"/>
        <w:gridCol w:w="533"/>
        <w:gridCol w:w="713"/>
        <w:gridCol w:w="703"/>
        <w:gridCol w:w="878"/>
      </w:tblGrid>
      <w:tr w14:paraId="6C61C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1" w:hRule="atLeast"/>
          <w:jc w:val="center"/>
        </w:trPr>
        <w:tc>
          <w:tcPr>
            <w:tcW w:w="533" w:type="dxa"/>
            <w:vAlign w:val="center"/>
          </w:tcPr>
          <w:p w14:paraId="294E6BDD">
            <w:pPr>
              <w:jc w:val="center"/>
              <w:rPr>
                <w:rFonts w:ascii="Times New Roman" w:hAnsi="Times New Roman" w:eastAsia="宋体" w:cs="Times New Roman"/>
                <w:bCs/>
                <w:szCs w:val="21"/>
              </w:rPr>
            </w:pPr>
            <w:r>
              <w:rPr>
                <w:rFonts w:hint="eastAsia" w:ascii="Times New Roman" w:hAnsi="Times New Roman" w:eastAsia="宋体" w:cs="Times New Roman"/>
                <w:bCs/>
                <w:szCs w:val="21"/>
              </w:rPr>
              <w:t>序号</w:t>
            </w:r>
          </w:p>
        </w:tc>
        <w:tc>
          <w:tcPr>
            <w:tcW w:w="1434" w:type="dxa"/>
            <w:vAlign w:val="center"/>
          </w:tcPr>
          <w:p w14:paraId="66E0652E">
            <w:pPr>
              <w:jc w:val="center"/>
              <w:rPr>
                <w:rFonts w:ascii="Times New Roman" w:hAnsi="Times New Roman" w:eastAsia="宋体" w:cs="Times New Roman"/>
                <w:bCs/>
                <w:szCs w:val="21"/>
              </w:rPr>
            </w:pPr>
            <w:r>
              <w:rPr>
                <w:rFonts w:hint="eastAsia" w:ascii="Times New Roman" w:hAnsi="Times New Roman" w:eastAsia="宋体" w:cs="Times New Roman"/>
                <w:bCs/>
                <w:szCs w:val="21"/>
              </w:rPr>
              <w:t>货物名称</w:t>
            </w:r>
          </w:p>
        </w:tc>
        <w:tc>
          <w:tcPr>
            <w:tcW w:w="878" w:type="dxa"/>
            <w:vAlign w:val="center"/>
          </w:tcPr>
          <w:p w14:paraId="7D0B4A9A">
            <w:pPr>
              <w:jc w:val="center"/>
              <w:rPr>
                <w:rFonts w:hint="eastAsia" w:ascii="Times New Roman" w:hAnsi="Times New Roman" w:eastAsia="宋体" w:cs="Times New Roman"/>
                <w:bCs/>
                <w:szCs w:val="21"/>
              </w:rPr>
            </w:pPr>
            <w:r>
              <w:rPr>
                <w:rFonts w:hint="eastAsia" w:ascii="Times New Roman" w:hAnsi="Times New Roman" w:eastAsia="宋体" w:cs="Times New Roman"/>
                <w:szCs w:val="21"/>
              </w:rPr>
              <w:t>品牌</w:t>
            </w:r>
          </w:p>
        </w:tc>
        <w:tc>
          <w:tcPr>
            <w:tcW w:w="878" w:type="dxa"/>
            <w:vAlign w:val="center"/>
          </w:tcPr>
          <w:p w14:paraId="2D0F71CA">
            <w:pPr>
              <w:jc w:val="center"/>
              <w:rPr>
                <w:rFonts w:ascii="Times New Roman" w:hAnsi="Times New Roman" w:eastAsia="宋体" w:cs="Times New Roman"/>
                <w:bCs/>
                <w:szCs w:val="21"/>
              </w:rPr>
            </w:pPr>
            <w:r>
              <w:rPr>
                <w:rFonts w:hint="eastAsia" w:ascii="Times New Roman" w:hAnsi="Times New Roman" w:eastAsia="宋体" w:cs="Times New Roman"/>
                <w:szCs w:val="21"/>
              </w:rPr>
              <w:t>规格/型号</w:t>
            </w:r>
          </w:p>
        </w:tc>
        <w:tc>
          <w:tcPr>
            <w:tcW w:w="764" w:type="dxa"/>
            <w:vAlign w:val="center"/>
          </w:tcPr>
          <w:p w14:paraId="4C0E7D66">
            <w:pPr>
              <w:jc w:val="center"/>
              <w:rPr>
                <w:rFonts w:ascii="Times New Roman" w:hAnsi="Times New Roman" w:eastAsia="宋体" w:cs="Times New Roman"/>
                <w:bCs/>
                <w:szCs w:val="21"/>
              </w:rPr>
            </w:pPr>
            <w:r>
              <w:rPr>
                <w:rFonts w:hint="eastAsia" w:ascii="Times New Roman" w:hAnsi="Times New Roman" w:eastAsia="宋体" w:cs="Times New Roman"/>
                <w:b/>
                <w:color w:val="FF0000"/>
                <w:szCs w:val="21"/>
              </w:rPr>
              <w:t>原产地</w:t>
            </w:r>
          </w:p>
        </w:tc>
        <w:tc>
          <w:tcPr>
            <w:tcW w:w="760" w:type="dxa"/>
            <w:vAlign w:val="center"/>
          </w:tcPr>
          <w:p w14:paraId="212279F4">
            <w:pPr>
              <w:jc w:val="center"/>
              <w:rPr>
                <w:rFonts w:ascii="Times New Roman" w:hAnsi="Times New Roman" w:eastAsia="宋体" w:cs="Times New Roman"/>
                <w:bCs/>
                <w:szCs w:val="21"/>
              </w:rPr>
            </w:pPr>
            <w:r>
              <w:rPr>
                <w:rFonts w:hint="eastAsia" w:ascii="Times New Roman" w:hAnsi="Times New Roman" w:eastAsia="宋体" w:cs="Times New Roman"/>
                <w:szCs w:val="21"/>
              </w:rPr>
              <w:t>制造商名称</w:t>
            </w:r>
          </w:p>
        </w:tc>
        <w:tc>
          <w:tcPr>
            <w:tcW w:w="420" w:type="dxa"/>
            <w:vAlign w:val="center"/>
          </w:tcPr>
          <w:p w14:paraId="4F09DF12">
            <w:pPr>
              <w:jc w:val="center"/>
              <w:rPr>
                <w:rFonts w:ascii="Times New Roman" w:hAnsi="Times New Roman" w:eastAsia="宋体" w:cs="Times New Roman"/>
                <w:bCs/>
                <w:szCs w:val="21"/>
              </w:rPr>
            </w:pPr>
            <w:r>
              <w:rPr>
                <w:rFonts w:hint="eastAsia" w:ascii="Times New Roman" w:hAnsi="Times New Roman" w:eastAsia="宋体" w:cs="Times New Roman"/>
                <w:bCs/>
                <w:szCs w:val="21"/>
              </w:rPr>
              <w:t>数量</w:t>
            </w:r>
          </w:p>
        </w:tc>
        <w:tc>
          <w:tcPr>
            <w:tcW w:w="533" w:type="dxa"/>
            <w:vAlign w:val="center"/>
          </w:tcPr>
          <w:p w14:paraId="457DB539">
            <w:pPr>
              <w:jc w:val="center"/>
              <w:rPr>
                <w:rFonts w:ascii="Times New Roman" w:hAnsi="Times New Roman" w:eastAsia="宋体" w:cs="Times New Roman"/>
                <w:bCs/>
                <w:szCs w:val="21"/>
              </w:rPr>
            </w:pPr>
            <w:r>
              <w:rPr>
                <w:rFonts w:hint="eastAsia" w:ascii="Times New Roman" w:hAnsi="Times New Roman" w:eastAsia="宋体" w:cs="Times New Roman"/>
                <w:bCs/>
                <w:szCs w:val="21"/>
              </w:rPr>
              <w:t>单位</w:t>
            </w:r>
          </w:p>
        </w:tc>
        <w:tc>
          <w:tcPr>
            <w:tcW w:w="713" w:type="dxa"/>
            <w:vAlign w:val="center"/>
          </w:tcPr>
          <w:p w14:paraId="4961A4A6">
            <w:pPr>
              <w:jc w:val="center"/>
              <w:rPr>
                <w:rFonts w:ascii="Times New Roman" w:hAnsi="Times New Roman" w:eastAsia="宋体" w:cs="Times New Roman"/>
                <w:bCs/>
                <w:szCs w:val="21"/>
              </w:rPr>
            </w:pPr>
            <w:r>
              <w:rPr>
                <w:rFonts w:hint="eastAsia" w:ascii="Times New Roman" w:hAnsi="Times New Roman" w:eastAsia="宋体" w:cs="Times New Roman"/>
                <w:szCs w:val="21"/>
              </w:rPr>
              <w:t>单价(元)</w:t>
            </w:r>
          </w:p>
        </w:tc>
        <w:tc>
          <w:tcPr>
            <w:tcW w:w="703" w:type="dxa"/>
            <w:vAlign w:val="center"/>
          </w:tcPr>
          <w:p w14:paraId="3D4FBD7D">
            <w:pPr>
              <w:jc w:val="center"/>
              <w:rPr>
                <w:rFonts w:ascii="Times New Roman" w:hAnsi="Times New Roman" w:eastAsia="宋体" w:cs="Times New Roman"/>
                <w:bCs/>
                <w:szCs w:val="21"/>
              </w:rPr>
            </w:pPr>
            <w:r>
              <w:rPr>
                <w:rFonts w:hint="eastAsia" w:ascii="Times New Roman" w:hAnsi="Times New Roman" w:eastAsia="宋体" w:cs="Times New Roman"/>
                <w:szCs w:val="21"/>
              </w:rPr>
              <w:t>合价(元)</w:t>
            </w:r>
          </w:p>
        </w:tc>
        <w:tc>
          <w:tcPr>
            <w:tcW w:w="878" w:type="dxa"/>
            <w:vAlign w:val="center"/>
          </w:tcPr>
          <w:p w14:paraId="4E8AB8B2">
            <w:pPr>
              <w:jc w:val="center"/>
              <w:rPr>
                <w:rFonts w:ascii="Times New Roman" w:hAnsi="Times New Roman" w:eastAsia="宋体" w:cs="Times New Roman"/>
                <w:szCs w:val="21"/>
              </w:rPr>
            </w:pPr>
            <w:r>
              <w:rPr>
                <w:rFonts w:hint="eastAsia" w:ascii="Times New Roman" w:hAnsi="Times New Roman" w:eastAsia="宋体" w:cs="Times New Roman"/>
                <w:szCs w:val="21"/>
              </w:rPr>
              <w:t>预算金额（元）</w:t>
            </w:r>
          </w:p>
        </w:tc>
      </w:tr>
      <w:tr w14:paraId="22BB2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533" w:type="dxa"/>
            <w:vAlign w:val="center"/>
          </w:tcPr>
          <w:p w14:paraId="66672AB2">
            <w:pPr>
              <w:jc w:val="center"/>
              <w:rPr>
                <w:rFonts w:ascii="Times New Roman" w:hAnsi="Times New Roman" w:eastAsia="宋体" w:cs="Times New Roman"/>
                <w:bCs/>
                <w:szCs w:val="21"/>
              </w:rPr>
            </w:pPr>
            <w:r>
              <w:rPr>
                <w:rFonts w:hint="eastAsia" w:ascii="Times New Roman" w:hAnsi="Times New Roman" w:eastAsia="宋体" w:cs="Times New Roman"/>
                <w:bCs/>
                <w:szCs w:val="21"/>
              </w:rPr>
              <w:t>1</w:t>
            </w:r>
          </w:p>
        </w:tc>
        <w:tc>
          <w:tcPr>
            <w:tcW w:w="1434" w:type="dxa"/>
            <w:vAlign w:val="center"/>
          </w:tcPr>
          <w:p w14:paraId="55F1E783">
            <w:pPr>
              <w:jc w:val="center"/>
              <w:rPr>
                <w:rFonts w:ascii="Times New Roman" w:hAnsi="Times New Roman" w:eastAsia="宋体" w:cs="Times New Roman"/>
                <w:bCs/>
                <w:szCs w:val="21"/>
              </w:rPr>
            </w:pPr>
            <w:r>
              <w:rPr>
                <w:rFonts w:hint="eastAsia" w:ascii="Times New Roman" w:hAnsi="Times New Roman" w:eastAsia="宋体" w:cs="Times New Roman"/>
                <w:bCs/>
                <w:szCs w:val="21"/>
              </w:rPr>
              <w:t>*</w:t>
            </w:r>
            <w:r>
              <w:rPr>
                <w:rFonts w:ascii="Times New Roman" w:hAnsi="Times New Roman" w:eastAsia="宋体" w:cs="Times New Roman"/>
                <w:bCs/>
                <w:szCs w:val="21"/>
              </w:rPr>
              <w:t>**</w:t>
            </w:r>
            <w:r>
              <w:rPr>
                <w:rFonts w:hint="eastAsia" w:ascii="Times New Roman" w:hAnsi="Times New Roman" w:eastAsia="宋体" w:cs="Times New Roman"/>
                <w:bCs/>
                <w:szCs w:val="21"/>
              </w:rPr>
              <w:t>（填写相关内容）</w:t>
            </w:r>
          </w:p>
        </w:tc>
        <w:tc>
          <w:tcPr>
            <w:tcW w:w="878" w:type="dxa"/>
            <w:vAlign w:val="center"/>
          </w:tcPr>
          <w:p w14:paraId="1FCA8430">
            <w:pPr>
              <w:jc w:val="center"/>
              <w:rPr>
                <w:rFonts w:hint="eastAsia" w:ascii="Times New Roman" w:hAnsi="Times New Roman" w:eastAsia="宋体" w:cs="Times New Roman"/>
                <w:bCs/>
                <w:szCs w:val="21"/>
              </w:rPr>
            </w:pPr>
          </w:p>
        </w:tc>
        <w:tc>
          <w:tcPr>
            <w:tcW w:w="878" w:type="dxa"/>
            <w:vAlign w:val="center"/>
          </w:tcPr>
          <w:p w14:paraId="35B00DA7">
            <w:pPr>
              <w:jc w:val="center"/>
              <w:rPr>
                <w:rFonts w:ascii="Times New Roman" w:hAnsi="Times New Roman" w:eastAsia="宋体" w:cs="Times New Roman"/>
                <w:bCs/>
                <w:szCs w:val="21"/>
              </w:rPr>
            </w:pPr>
          </w:p>
        </w:tc>
        <w:tc>
          <w:tcPr>
            <w:tcW w:w="764" w:type="dxa"/>
            <w:vAlign w:val="center"/>
          </w:tcPr>
          <w:p w14:paraId="11A49E55">
            <w:pPr>
              <w:jc w:val="center"/>
              <w:rPr>
                <w:rFonts w:ascii="Times New Roman" w:hAnsi="Times New Roman" w:eastAsia="宋体" w:cs="Times New Roman"/>
                <w:bCs/>
                <w:szCs w:val="21"/>
              </w:rPr>
            </w:pPr>
          </w:p>
        </w:tc>
        <w:tc>
          <w:tcPr>
            <w:tcW w:w="760" w:type="dxa"/>
            <w:vAlign w:val="center"/>
          </w:tcPr>
          <w:p w14:paraId="2392500C">
            <w:pPr>
              <w:jc w:val="center"/>
              <w:rPr>
                <w:rFonts w:ascii="Times New Roman" w:hAnsi="Times New Roman" w:eastAsia="宋体" w:cs="Times New Roman"/>
                <w:bCs/>
                <w:szCs w:val="21"/>
              </w:rPr>
            </w:pPr>
          </w:p>
        </w:tc>
        <w:tc>
          <w:tcPr>
            <w:tcW w:w="420" w:type="dxa"/>
            <w:vAlign w:val="center"/>
          </w:tcPr>
          <w:p w14:paraId="2E1FF437">
            <w:pPr>
              <w:jc w:val="center"/>
              <w:rPr>
                <w:rFonts w:ascii="Times New Roman" w:hAnsi="Times New Roman" w:eastAsia="宋体" w:cs="Times New Roman"/>
                <w:bCs/>
                <w:szCs w:val="21"/>
              </w:rPr>
            </w:pPr>
            <w:r>
              <w:rPr>
                <w:rFonts w:hint="eastAsia" w:ascii="Times New Roman" w:hAnsi="Times New Roman" w:eastAsia="宋体" w:cs="Times New Roman"/>
                <w:bCs/>
                <w:szCs w:val="21"/>
              </w:rPr>
              <w:t>*</w:t>
            </w:r>
          </w:p>
        </w:tc>
        <w:tc>
          <w:tcPr>
            <w:tcW w:w="533" w:type="dxa"/>
            <w:vAlign w:val="center"/>
          </w:tcPr>
          <w:p w14:paraId="434030F1">
            <w:pPr>
              <w:jc w:val="center"/>
              <w:rPr>
                <w:rFonts w:ascii="Times New Roman" w:hAnsi="Times New Roman" w:eastAsia="宋体" w:cs="Times New Roman"/>
                <w:bCs/>
                <w:szCs w:val="21"/>
              </w:rPr>
            </w:pPr>
            <w:r>
              <w:rPr>
                <w:rFonts w:hint="eastAsia" w:ascii="Times New Roman" w:hAnsi="Times New Roman" w:eastAsia="宋体" w:cs="Times New Roman"/>
                <w:bCs/>
                <w:szCs w:val="21"/>
              </w:rPr>
              <w:t>*</w:t>
            </w:r>
          </w:p>
        </w:tc>
        <w:tc>
          <w:tcPr>
            <w:tcW w:w="713" w:type="dxa"/>
            <w:vAlign w:val="center"/>
          </w:tcPr>
          <w:p w14:paraId="7A9FBD7E">
            <w:pPr>
              <w:jc w:val="center"/>
              <w:rPr>
                <w:rFonts w:ascii="Times New Roman" w:hAnsi="Times New Roman" w:eastAsia="宋体" w:cs="Times New Roman"/>
                <w:bCs/>
                <w:szCs w:val="21"/>
              </w:rPr>
            </w:pPr>
          </w:p>
        </w:tc>
        <w:tc>
          <w:tcPr>
            <w:tcW w:w="703" w:type="dxa"/>
            <w:vAlign w:val="center"/>
          </w:tcPr>
          <w:p w14:paraId="74684783">
            <w:pPr>
              <w:jc w:val="center"/>
              <w:rPr>
                <w:rFonts w:ascii="Times New Roman" w:hAnsi="Times New Roman" w:eastAsia="宋体" w:cs="Times New Roman"/>
                <w:bCs/>
                <w:szCs w:val="21"/>
              </w:rPr>
            </w:pPr>
          </w:p>
        </w:tc>
        <w:tc>
          <w:tcPr>
            <w:tcW w:w="878" w:type="dxa"/>
            <w:vMerge w:val="restart"/>
            <w:vAlign w:val="center"/>
          </w:tcPr>
          <w:p w14:paraId="15247934">
            <w:pPr>
              <w:jc w:val="center"/>
              <w:rPr>
                <w:rFonts w:ascii="Times New Roman" w:hAnsi="Times New Roman" w:eastAsia="宋体" w:cs="Times New Roman"/>
                <w:b/>
                <w:bCs/>
                <w:szCs w:val="21"/>
              </w:rPr>
            </w:pPr>
            <w:r>
              <w:rPr>
                <w:rFonts w:ascii="Times New Roman" w:hAnsi="Times New Roman" w:eastAsia="宋体" w:cs="Times New Roman"/>
                <w:bCs/>
                <w:szCs w:val="21"/>
              </w:rPr>
              <w:t>******</w:t>
            </w:r>
          </w:p>
        </w:tc>
      </w:tr>
      <w:tr w14:paraId="09F09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533" w:type="dxa"/>
            <w:vAlign w:val="center"/>
          </w:tcPr>
          <w:p w14:paraId="58690088">
            <w:pPr>
              <w:jc w:val="center"/>
              <w:rPr>
                <w:rFonts w:ascii="Times New Roman" w:hAnsi="Times New Roman" w:eastAsia="宋体" w:cs="Times New Roman"/>
                <w:bCs/>
                <w:szCs w:val="21"/>
              </w:rPr>
            </w:pPr>
            <w:r>
              <w:rPr>
                <w:rFonts w:hint="eastAsia" w:ascii="Times New Roman" w:hAnsi="Times New Roman" w:eastAsia="宋体" w:cs="Times New Roman"/>
                <w:bCs/>
                <w:szCs w:val="21"/>
              </w:rPr>
              <w:t>2</w:t>
            </w:r>
          </w:p>
        </w:tc>
        <w:tc>
          <w:tcPr>
            <w:tcW w:w="1434" w:type="dxa"/>
            <w:vAlign w:val="center"/>
          </w:tcPr>
          <w:p w14:paraId="056AA588">
            <w:pPr>
              <w:jc w:val="center"/>
              <w:rPr>
                <w:rFonts w:ascii="Times New Roman" w:hAnsi="Times New Roman" w:eastAsia="宋体" w:cs="Times New Roman"/>
                <w:bCs/>
                <w:szCs w:val="21"/>
              </w:rPr>
            </w:pPr>
            <w:r>
              <w:rPr>
                <w:rFonts w:hint="eastAsia" w:ascii="Times New Roman" w:hAnsi="Times New Roman" w:eastAsia="宋体" w:cs="Times New Roman"/>
                <w:bCs/>
                <w:szCs w:val="21"/>
              </w:rPr>
              <w:t>*</w:t>
            </w:r>
            <w:r>
              <w:rPr>
                <w:rFonts w:ascii="Times New Roman" w:hAnsi="Times New Roman" w:eastAsia="宋体" w:cs="Times New Roman"/>
                <w:bCs/>
                <w:szCs w:val="21"/>
              </w:rPr>
              <w:t>**</w:t>
            </w:r>
          </w:p>
        </w:tc>
        <w:tc>
          <w:tcPr>
            <w:tcW w:w="878" w:type="dxa"/>
            <w:vAlign w:val="center"/>
          </w:tcPr>
          <w:p w14:paraId="22516BA8">
            <w:pPr>
              <w:jc w:val="center"/>
              <w:rPr>
                <w:rFonts w:hint="eastAsia" w:ascii="Times New Roman" w:hAnsi="Times New Roman" w:eastAsia="宋体" w:cs="Times New Roman"/>
                <w:bCs/>
                <w:szCs w:val="21"/>
              </w:rPr>
            </w:pPr>
          </w:p>
        </w:tc>
        <w:tc>
          <w:tcPr>
            <w:tcW w:w="878" w:type="dxa"/>
            <w:vAlign w:val="center"/>
          </w:tcPr>
          <w:p w14:paraId="4905F6F7">
            <w:pPr>
              <w:jc w:val="center"/>
              <w:rPr>
                <w:rFonts w:ascii="Times New Roman" w:hAnsi="Times New Roman" w:eastAsia="宋体" w:cs="Times New Roman"/>
                <w:bCs/>
                <w:szCs w:val="21"/>
              </w:rPr>
            </w:pPr>
          </w:p>
        </w:tc>
        <w:tc>
          <w:tcPr>
            <w:tcW w:w="764" w:type="dxa"/>
            <w:vAlign w:val="center"/>
          </w:tcPr>
          <w:p w14:paraId="7E3EDCD7">
            <w:pPr>
              <w:jc w:val="center"/>
              <w:rPr>
                <w:rFonts w:ascii="Times New Roman" w:hAnsi="Times New Roman" w:eastAsia="宋体" w:cs="Times New Roman"/>
                <w:bCs/>
                <w:szCs w:val="21"/>
              </w:rPr>
            </w:pPr>
          </w:p>
        </w:tc>
        <w:tc>
          <w:tcPr>
            <w:tcW w:w="760" w:type="dxa"/>
            <w:vAlign w:val="center"/>
          </w:tcPr>
          <w:p w14:paraId="583AFC40">
            <w:pPr>
              <w:jc w:val="center"/>
              <w:rPr>
                <w:rFonts w:ascii="Times New Roman" w:hAnsi="Times New Roman" w:eastAsia="宋体" w:cs="Times New Roman"/>
                <w:bCs/>
                <w:szCs w:val="21"/>
              </w:rPr>
            </w:pPr>
          </w:p>
        </w:tc>
        <w:tc>
          <w:tcPr>
            <w:tcW w:w="420" w:type="dxa"/>
            <w:vAlign w:val="center"/>
          </w:tcPr>
          <w:p w14:paraId="62FFF922">
            <w:pPr>
              <w:jc w:val="center"/>
              <w:rPr>
                <w:rFonts w:ascii="Times New Roman" w:hAnsi="Times New Roman" w:eastAsia="宋体" w:cs="Times New Roman"/>
                <w:bCs/>
                <w:szCs w:val="21"/>
              </w:rPr>
            </w:pPr>
            <w:r>
              <w:rPr>
                <w:rFonts w:hint="eastAsia" w:ascii="Times New Roman" w:hAnsi="Times New Roman" w:eastAsia="宋体" w:cs="Times New Roman"/>
                <w:bCs/>
                <w:szCs w:val="21"/>
              </w:rPr>
              <w:t>*</w:t>
            </w:r>
          </w:p>
        </w:tc>
        <w:tc>
          <w:tcPr>
            <w:tcW w:w="533" w:type="dxa"/>
            <w:vAlign w:val="center"/>
          </w:tcPr>
          <w:p w14:paraId="392FF8D9">
            <w:pPr>
              <w:jc w:val="center"/>
              <w:rPr>
                <w:rFonts w:ascii="Times New Roman" w:hAnsi="Times New Roman" w:eastAsia="宋体" w:cs="Times New Roman"/>
                <w:bCs/>
                <w:szCs w:val="21"/>
              </w:rPr>
            </w:pPr>
            <w:r>
              <w:rPr>
                <w:rFonts w:hint="eastAsia" w:ascii="Times New Roman" w:hAnsi="Times New Roman" w:eastAsia="宋体" w:cs="Times New Roman"/>
                <w:bCs/>
                <w:szCs w:val="21"/>
              </w:rPr>
              <w:t>*</w:t>
            </w:r>
          </w:p>
        </w:tc>
        <w:tc>
          <w:tcPr>
            <w:tcW w:w="713" w:type="dxa"/>
            <w:vAlign w:val="center"/>
          </w:tcPr>
          <w:p w14:paraId="1FC8A1F8">
            <w:pPr>
              <w:jc w:val="center"/>
              <w:rPr>
                <w:rFonts w:ascii="Times New Roman" w:hAnsi="Times New Roman" w:eastAsia="宋体" w:cs="Times New Roman"/>
                <w:bCs/>
                <w:szCs w:val="21"/>
              </w:rPr>
            </w:pPr>
          </w:p>
        </w:tc>
        <w:tc>
          <w:tcPr>
            <w:tcW w:w="703" w:type="dxa"/>
            <w:vAlign w:val="center"/>
          </w:tcPr>
          <w:p w14:paraId="4FC74BA9">
            <w:pPr>
              <w:jc w:val="center"/>
              <w:rPr>
                <w:rFonts w:ascii="Times New Roman" w:hAnsi="Times New Roman" w:eastAsia="宋体" w:cs="Times New Roman"/>
                <w:bCs/>
                <w:szCs w:val="21"/>
              </w:rPr>
            </w:pPr>
          </w:p>
        </w:tc>
        <w:tc>
          <w:tcPr>
            <w:tcW w:w="878" w:type="dxa"/>
            <w:vMerge w:val="continue"/>
            <w:vAlign w:val="center"/>
          </w:tcPr>
          <w:p w14:paraId="66DF3683">
            <w:pPr>
              <w:jc w:val="center"/>
              <w:rPr>
                <w:rFonts w:ascii="Times New Roman" w:hAnsi="Times New Roman" w:eastAsia="宋体" w:cs="Times New Roman"/>
                <w:b/>
                <w:bCs/>
                <w:color w:val="FF0000"/>
                <w:szCs w:val="21"/>
              </w:rPr>
            </w:pPr>
          </w:p>
        </w:tc>
      </w:tr>
      <w:tr w14:paraId="390EA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533" w:type="dxa"/>
            <w:vAlign w:val="center"/>
          </w:tcPr>
          <w:p w14:paraId="2841D2A8">
            <w:pPr>
              <w:jc w:val="center"/>
              <w:rPr>
                <w:rFonts w:ascii="Times New Roman" w:hAnsi="Times New Roman" w:eastAsia="宋体" w:cs="Times New Roman"/>
                <w:bCs/>
                <w:szCs w:val="21"/>
              </w:rPr>
            </w:pPr>
            <w:r>
              <w:rPr>
                <w:rFonts w:hint="eastAsia" w:ascii="Times New Roman" w:hAnsi="Times New Roman" w:eastAsia="宋体" w:cs="Times New Roman"/>
                <w:bCs/>
                <w:szCs w:val="21"/>
              </w:rPr>
              <w:t>3</w:t>
            </w:r>
          </w:p>
        </w:tc>
        <w:tc>
          <w:tcPr>
            <w:tcW w:w="1434" w:type="dxa"/>
            <w:vAlign w:val="center"/>
          </w:tcPr>
          <w:p w14:paraId="005F565C">
            <w:pPr>
              <w:jc w:val="center"/>
              <w:rPr>
                <w:rFonts w:ascii="Times New Roman" w:hAnsi="Times New Roman" w:eastAsia="宋体" w:cs="Times New Roman"/>
                <w:bCs/>
                <w:szCs w:val="21"/>
              </w:rPr>
            </w:pPr>
            <w:r>
              <w:rPr>
                <w:rFonts w:hint="eastAsia" w:ascii="Times New Roman" w:hAnsi="Times New Roman" w:eastAsia="宋体" w:cs="Times New Roman"/>
                <w:bCs/>
                <w:szCs w:val="21"/>
              </w:rPr>
              <w:t>*</w:t>
            </w:r>
            <w:r>
              <w:rPr>
                <w:rFonts w:ascii="Times New Roman" w:hAnsi="Times New Roman" w:eastAsia="宋体" w:cs="Times New Roman"/>
                <w:bCs/>
                <w:szCs w:val="21"/>
              </w:rPr>
              <w:t>**</w:t>
            </w:r>
          </w:p>
        </w:tc>
        <w:tc>
          <w:tcPr>
            <w:tcW w:w="878" w:type="dxa"/>
            <w:vAlign w:val="center"/>
          </w:tcPr>
          <w:p w14:paraId="2A94F66A">
            <w:pPr>
              <w:jc w:val="center"/>
              <w:rPr>
                <w:rFonts w:hint="eastAsia" w:ascii="Times New Roman" w:hAnsi="Times New Roman" w:eastAsia="宋体" w:cs="Times New Roman"/>
                <w:bCs/>
                <w:szCs w:val="21"/>
              </w:rPr>
            </w:pPr>
          </w:p>
        </w:tc>
        <w:tc>
          <w:tcPr>
            <w:tcW w:w="878" w:type="dxa"/>
            <w:vAlign w:val="center"/>
          </w:tcPr>
          <w:p w14:paraId="676522F2">
            <w:pPr>
              <w:jc w:val="center"/>
              <w:rPr>
                <w:rFonts w:ascii="Times New Roman" w:hAnsi="Times New Roman" w:eastAsia="宋体" w:cs="Times New Roman"/>
                <w:bCs/>
                <w:szCs w:val="21"/>
              </w:rPr>
            </w:pPr>
          </w:p>
        </w:tc>
        <w:tc>
          <w:tcPr>
            <w:tcW w:w="764" w:type="dxa"/>
            <w:vAlign w:val="center"/>
          </w:tcPr>
          <w:p w14:paraId="097A0DD5">
            <w:pPr>
              <w:jc w:val="center"/>
              <w:rPr>
                <w:rFonts w:ascii="Times New Roman" w:hAnsi="Times New Roman" w:eastAsia="宋体" w:cs="Times New Roman"/>
                <w:bCs/>
                <w:szCs w:val="21"/>
              </w:rPr>
            </w:pPr>
          </w:p>
        </w:tc>
        <w:tc>
          <w:tcPr>
            <w:tcW w:w="760" w:type="dxa"/>
            <w:vAlign w:val="center"/>
          </w:tcPr>
          <w:p w14:paraId="62767B93">
            <w:pPr>
              <w:jc w:val="center"/>
              <w:rPr>
                <w:rFonts w:ascii="Times New Roman" w:hAnsi="Times New Roman" w:eastAsia="宋体" w:cs="Times New Roman"/>
                <w:bCs/>
                <w:szCs w:val="21"/>
              </w:rPr>
            </w:pPr>
          </w:p>
        </w:tc>
        <w:tc>
          <w:tcPr>
            <w:tcW w:w="420" w:type="dxa"/>
            <w:vAlign w:val="center"/>
          </w:tcPr>
          <w:p w14:paraId="5BF7EC65">
            <w:pPr>
              <w:jc w:val="center"/>
              <w:rPr>
                <w:rFonts w:ascii="Times New Roman" w:hAnsi="Times New Roman" w:eastAsia="宋体" w:cs="Times New Roman"/>
                <w:bCs/>
                <w:szCs w:val="21"/>
              </w:rPr>
            </w:pPr>
            <w:r>
              <w:rPr>
                <w:rFonts w:hint="eastAsia" w:ascii="Times New Roman" w:hAnsi="Times New Roman" w:eastAsia="宋体" w:cs="Times New Roman"/>
                <w:bCs/>
                <w:szCs w:val="21"/>
              </w:rPr>
              <w:t>*</w:t>
            </w:r>
          </w:p>
        </w:tc>
        <w:tc>
          <w:tcPr>
            <w:tcW w:w="533" w:type="dxa"/>
            <w:vAlign w:val="center"/>
          </w:tcPr>
          <w:p w14:paraId="396A40A4">
            <w:pPr>
              <w:jc w:val="center"/>
              <w:rPr>
                <w:rFonts w:ascii="Times New Roman" w:hAnsi="Times New Roman" w:eastAsia="宋体" w:cs="Times New Roman"/>
                <w:bCs/>
                <w:szCs w:val="21"/>
              </w:rPr>
            </w:pPr>
            <w:r>
              <w:rPr>
                <w:rFonts w:hint="eastAsia" w:ascii="Times New Roman" w:hAnsi="Times New Roman" w:eastAsia="宋体" w:cs="Times New Roman"/>
                <w:bCs/>
                <w:szCs w:val="21"/>
              </w:rPr>
              <w:t>*</w:t>
            </w:r>
          </w:p>
        </w:tc>
        <w:tc>
          <w:tcPr>
            <w:tcW w:w="713" w:type="dxa"/>
            <w:vAlign w:val="center"/>
          </w:tcPr>
          <w:p w14:paraId="23F41FCA">
            <w:pPr>
              <w:jc w:val="center"/>
              <w:rPr>
                <w:rFonts w:ascii="Times New Roman" w:hAnsi="Times New Roman" w:eastAsia="宋体" w:cs="Times New Roman"/>
                <w:bCs/>
                <w:szCs w:val="21"/>
              </w:rPr>
            </w:pPr>
          </w:p>
        </w:tc>
        <w:tc>
          <w:tcPr>
            <w:tcW w:w="703" w:type="dxa"/>
            <w:vAlign w:val="center"/>
          </w:tcPr>
          <w:p w14:paraId="70445011">
            <w:pPr>
              <w:jc w:val="center"/>
              <w:rPr>
                <w:rFonts w:ascii="Times New Roman" w:hAnsi="Times New Roman" w:eastAsia="宋体" w:cs="Times New Roman"/>
                <w:bCs/>
                <w:szCs w:val="21"/>
              </w:rPr>
            </w:pPr>
          </w:p>
        </w:tc>
        <w:tc>
          <w:tcPr>
            <w:tcW w:w="878" w:type="dxa"/>
            <w:vMerge w:val="continue"/>
            <w:vAlign w:val="center"/>
          </w:tcPr>
          <w:p w14:paraId="16CD3509">
            <w:pPr>
              <w:jc w:val="center"/>
              <w:rPr>
                <w:rFonts w:ascii="Times New Roman" w:hAnsi="Times New Roman" w:eastAsia="宋体" w:cs="Times New Roman"/>
                <w:b/>
                <w:bCs/>
                <w:szCs w:val="21"/>
              </w:rPr>
            </w:pPr>
          </w:p>
        </w:tc>
      </w:tr>
      <w:tr w14:paraId="76009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533" w:type="dxa"/>
            <w:vAlign w:val="center"/>
          </w:tcPr>
          <w:p w14:paraId="6088B3D8">
            <w:pPr>
              <w:jc w:val="center"/>
              <w:rPr>
                <w:rFonts w:ascii="Times New Roman" w:hAnsi="Times New Roman" w:eastAsia="宋体" w:cs="Times New Roman"/>
                <w:bCs/>
                <w:szCs w:val="21"/>
              </w:rPr>
            </w:pPr>
            <w:r>
              <w:rPr>
                <w:rFonts w:hint="eastAsia" w:ascii="Times New Roman" w:hAnsi="Times New Roman" w:eastAsia="宋体" w:cs="Times New Roman"/>
                <w:bCs/>
                <w:szCs w:val="21"/>
              </w:rPr>
              <w:t>4</w:t>
            </w:r>
          </w:p>
        </w:tc>
        <w:tc>
          <w:tcPr>
            <w:tcW w:w="1434" w:type="dxa"/>
            <w:vAlign w:val="center"/>
          </w:tcPr>
          <w:p w14:paraId="48137F95">
            <w:pPr>
              <w:jc w:val="center"/>
              <w:rPr>
                <w:rFonts w:ascii="Times New Roman" w:hAnsi="Times New Roman" w:eastAsia="宋体" w:cs="Times New Roman"/>
                <w:bCs/>
                <w:szCs w:val="21"/>
              </w:rPr>
            </w:pPr>
            <w:r>
              <w:rPr>
                <w:rFonts w:hint="eastAsia" w:ascii="Times New Roman" w:hAnsi="Times New Roman" w:eastAsia="宋体" w:cs="Times New Roman"/>
                <w:bCs/>
                <w:szCs w:val="21"/>
              </w:rPr>
              <w:t>*</w:t>
            </w:r>
            <w:r>
              <w:rPr>
                <w:rFonts w:ascii="Times New Roman" w:hAnsi="Times New Roman" w:eastAsia="宋体" w:cs="Times New Roman"/>
                <w:bCs/>
                <w:szCs w:val="21"/>
              </w:rPr>
              <w:t>**</w:t>
            </w:r>
          </w:p>
        </w:tc>
        <w:tc>
          <w:tcPr>
            <w:tcW w:w="878" w:type="dxa"/>
            <w:vAlign w:val="center"/>
          </w:tcPr>
          <w:p w14:paraId="30385656">
            <w:pPr>
              <w:jc w:val="center"/>
              <w:rPr>
                <w:rFonts w:hint="eastAsia" w:ascii="Times New Roman" w:hAnsi="Times New Roman" w:eastAsia="宋体" w:cs="Times New Roman"/>
                <w:bCs/>
                <w:szCs w:val="21"/>
              </w:rPr>
            </w:pPr>
          </w:p>
        </w:tc>
        <w:tc>
          <w:tcPr>
            <w:tcW w:w="878" w:type="dxa"/>
            <w:vAlign w:val="center"/>
          </w:tcPr>
          <w:p w14:paraId="07BBD9E4">
            <w:pPr>
              <w:jc w:val="center"/>
              <w:rPr>
                <w:rFonts w:ascii="Times New Roman" w:hAnsi="Times New Roman" w:eastAsia="宋体" w:cs="Times New Roman"/>
                <w:bCs/>
                <w:szCs w:val="21"/>
              </w:rPr>
            </w:pPr>
          </w:p>
        </w:tc>
        <w:tc>
          <w:tcPr>
            <w:tcW w:w="764" w:type="dxa"/>
            <w:vAlign w:val="center"/>
          </w:tcPr>
          <w:p w14:paraId="01232C77">
            <w:pPr>
              <w:jc w:val="center"/>
              <w:rPr>
                <w:rFonts w:ascii="Times New Roman" w:hAnsi="Times New Roman" w:eastAsia="宋体" w:cs="Times New Roman"/>
                <w:bCs/>
                <w:szCs w:val="21"/>
              </w:rPr>
            </w:pPr>
          </w:p>
        </w:tc>
        <w:tc>
          <w:tcPr>
            <w:tcW w:w="760" w:type="dxa"/>
            <w:vAlign w:val="center"/>
          </w:tcPr>
          <w:p w14:paraId="1DA864E4">
            <w:pPr>
              <w:jc w:val="center"/>
              <w:rPr>
                <w:rFonts w:ascii="Times New Roman" w:hAnsi="Times New Roman" w:eastAsia="宋体" w:cs="Times New Roman"/>
                <w:bCs/>
                <w:szCs w:val="21"/>
              </w:rPr>
            </w:pPr>
          </w:p>
        </w:tc>
        <w:tc>
          <w:tcPr>
            <w:tcW w:w="420" w:type="dxa"/>
            <w:vAlign w:val="center"/>
          </w:tcPr>
          <w:p w14:paraId="6558C013">
            <w:pPr>
              <w:jc w:val="center"/>
              <w:rPr>
                <w:rFonts w:ascii="Times New Roman" w:hAnsi="Times New Roman" w:eastAsia="宋体" w:cs="Times New Roman"/>
                <w:bCs/>
                <w:szCs w:val="21"/>
              </w:rPr>
            </w:pPr>
            <w:r>
              <w:rPr>
                <w:rFonts w:hint="eastAsia" w:ascii="Times New Roman" w:hAnsi="Times New Roman" w:eastAsia="宋体" w:cs="Times New Roman"/>
                <w:bCs/>
                <w:szCs w:val="21"/>
              </w:rPr>
              <w:t>*</w:t>
            </w:r>
          </w:p>
        </w:tc>
        <w:tc>
          <w:tcPr>
            <w:tcW w:w="533" w:type="dxa"/>
            <w:vAlign w:val="center"/>
          </w:tcPr>
          <w:p w14:paraId="0003680E">
            <w:pPr>
              <w:jc w:val="center"/>
              <w:rPr>
                <w:rFonts w:ascii="Times New Roman" w:hAnsi="Times New Roman" w:eastAsia="宋体" w:cs="Times New Roman"/>
                <w:bCs/>
                <w:szCs w:val="21"/>
              </w:rPr>
            </w:pPr>
            <w:r>
              <w:rPr>
                <w:rFonts w:hint="eastAsia" w:ascii="Times New Roman" w:hAnsi="Times New Roman" w:eastAsia="宋体" w:cs="Times New Roman"/>
                <w:bCs/>
                <w:szCs w:val="21"/>
              </w:rPr>
              <w:t>*</w:t>
            </w:r>
          </w:p>
        </w:tc>
        <w:tc>
          <w:tcPr>
            <w:tcW w:w="713" w:type="dxa"/>
            <w:vAlign w:val="center"/>
          </w:tcPr>
          <w:p w14:paraId="7DCC6D55">
            <w:pPr>
              <w:jc w:val="center"/>
              <w:rPr>
                <w:rFonts w:ascii="Times New Roman" w:hAnsi="Times New Roman" w:eastAsia="宋体" w:cs="Times New Roman"/>
                <w:bCs/>
                <w:szCs w:val="21"/>
              </w:rPr>
            </w:pPr>
          </w:p>
        </w:tc>
        <w:tc>
          <w:tcPr>
            <w:tcW w:w="703" w:type="dxa"/>
            <w:vAlign w:val="center"/>
          </w:tcPr>
          <w:p w14:paraId="39A37D16">
            <w:pPr>
              <w:jc w:val="center"/>
              <w:rPr>
                <w:rFonts w:ascii="Times New Roman" w:hAnsi="Times New Roman" w:eastAsia="宋体" w:cs="Times New Roman"/>
                <w:bCs/>
                <w:szCs w:val="21"/>
              </w:rPr>
            </w:pPr>
          </w:p>
        </w:tc>
        <w:tc>
          <w:tcPr>
            <w:tcW w:w="878" w:type="dxa"/>
            <w:vMerge w:val="continue"/>
            <w:vAlign w:val="center"/>
          </w:tcPr>
          <w:p w14:paraId="61730DA2">
            <w:pPr>
              <w:jc w:val="center"/>
              <w:rPr>
                <w:rFonts w:ascii="Times New Roman" w:hAnsi="Times New Roman" w:eastAsia="宋体" w:cs="Times New Roman"/>
                <w:b/>
                <w:bCs/>
                <w:szCs w:val="21"/>
              </w:rPr>
            </w:pPr>
          </w:p>
        </w:tc>
      </w:tr>
      <w:tr w14:paraId="75002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533" w:type="dxa"/>
            <w:vAlign w:val="center"/>
          </w:tcPr>
          <w:p w14:paraId="47A8F730">
            <w:pPr>
              <w:jc w:val="center"/>
              <w:rPr>
                <w:rFonts w:ascii="Times New Roman" w:hAnsi="Times New Roman" w:eastAsia="宋体" w:cs="Times New Roman"/>
                <w:bCs/>
                <w:szCs w:val="21"/>
              </w:rPr>
            </w:pPr>
            <w:r>
              <w:rPr>
                <w:rFonts w:ascii="Times New Roman" w:hAnsi="Times New Roman" w:eastAsia="宋体" w:cs="Times New Roman"/>
                <w:bCs/>
                <w:szCs w:val="21"/>
              </w:rPr>
              <w:t>5</w:t>
            </w:r>
          </w:p>
        </w:tc>
        <w:tc>
          <w:tcPr>
            <w:tcW w:w="1434" w:type="dxa"/>
            <w:vAlign w:val="center"/>
          </w:tcPr>
          <w:p w14:paraId="5DEE8168">
            <w:pPr>
              <w:jc w:val="center"/>
              <w:rPr>
                <w:rFonts w:ascii="Times New Roman" w:hAnsi="Times New Roman" w:eastAsia="宋体" w:cs="Times New Roman"/>
                <w:bCs/>
                <w:szCs w:val="21"/>
              </w:rPr>
            </w:pPr>
            <w:r>
              <w:rPr>
                <w:rFonts w:hint="eastAsia" w:ascii="宋体" w:hAnsi="宋体" w:eastAsia="宋体" w:cs="Times New Roman"/>
                <w:bCs/>
                <w:szCs w:val="21"/>
              </w:rPr>
              <w:t>……</w:t>
            </w:r>
          </w:p>
        </w:tc>
        <w:tc>
          <w:tcPr>
            <w:tcW w:w="878" w:type="dxa"/>
            <w:vAlign w:val="center"/>
          </w:tcPr>
          <w:p w14:paraId="02F68335">
            <w:pPr>
              <w:jc w:val="center"/>
              <w:rPr>
                <w:rFonts w:hint="eastAsia" w:ascii="宋体" w:hAnsi="宋体" w:eastAsia="宋体" w:cs="Times New Roman"/>
                <w:bCs/>
                <w:szCs w:val="21"/>
              </w:rPr>
            </w:pPr>
          </w:p>
        </w:tc>
        <w:tc>
          <w:tcPr>
            <w:tcW w:w="878" w:type="dxa"/>
            <w:vAlign w:val="center"/>
          </w:tcPr>
          <w:p w14:paraId="42C83261">
            <w:pPr>
              <w:jc w:val="center"/>
              <w:rPr>
                <w:rFonts w:ascii="Times New Roman" w:hAnsi="Times New Roman" w:eastAsia="宋体" w:cs="Times New Roman"/>
                <w:bCs/>
                <w:szCs w:val="21"/>
              </w:rPr>
            </w:pPr>
          </w:p>
        </w:tc>
        <w:tc>
          <w:tcPr>
            <w:tcW w:w="764" w:type="dxa"/>
            <w:vAlign w:val="center"/>
          </w:tcPr>
          <w:p w14:paraId="050B2E4F">
            <w:pPr>
              <w:jc w:val="center"/>
              <w:rPr>
                <w:rFonts w:ascii="Times New Roman" w:hAnsi="Times New Roman" w:eastAsia="宋体" w:cs="Times New Roman"/>
                <w:bCs/>
                <w:szCs w:val="21"/>
              </w:rPr>
            </w:pPr>
          </w:p>
        </w:tc>
        <w:tc>
          <w:tcPr>
            <w:tcW w:w="760" w:type="dxa"/>
            <w:vAlign w:val="center"/>
          </w:tcPr>
          <w:p w14:paraId="5DFDFA4C">
            <w:pPr>
              <w:jc w:val="center"/>
              <w:rPr>
                <w:rFonts w:ascii="Times New Roman" w:hAnsi="Times New Roman" w:eastAsia="宋体" w:cs="Times New Roman"/>
                <w:bCs/>
                <w:szCs w:val="21"/>
              </w:rPr>
            </w:pPr>
          </w:p>
        </w:tc>
        <w:tc>
          <w:tcPr>
            <w:tcW w:w="420" w:type="dxa"/>
            <w:vAlign w:val="center"/>
          </w:tcPr>
          <w:p w14:paraId="02CE3593">
            <w:pPr>
              <w:jc w:val="center"/>
              <w:rPr>
                <w:rFonts w:ascii="Times New Roman" w:hAnsi="Times New Roman" w:eastAsia="宋体" w:cs="Times New Roman"/>
                <w:bCs/>
                <w:szCs w:val="21"/>
              </w:rPr>
            </w:pPr>
            <w:r>
              <w:rPr>
                <w:rFonts w:hint="eastAsia" w:ascii="Times New Roman" w:hAnsi="Times New Roman" w:eastAsia="宋体" w:cs="Times New Roman"/>
                <w:bCs/>
                <w:szCs w:val="21"/>
              </w:rPr>
              <w:t>*</w:t>
            </w:r>
          </w:p>
        </w:tc>
        <w:tc>
          <w:tcPr>
            <w:tcW w:w="533" w:type="dxa"/>
            <w:vAlign w:val="center"/>
          </w:tcPr>
          <w:p w14:paraId="34AED951">
            <w:pPr>
              <w:jc w:val="center"/>
              <w:rPr>
                <w:rFonts w:ascii="Times New Roman" w:hAnsi="Times New Roman" w:eastAsia="宋体" w:cs="Times New Roman"/>
                <w:bCs/>
                <w:szCs w:val="21"/>
              </w:rPr>
            </w:pPr>
            <w:r>
              <w:rPr>
                <w:rFonts w:hint="eastAsia" w:ascii="Times New Roman" w:hAnsi="Times New Roman" w:eastAsia="宋体" w:cs="Times New Roman"/>
                <w:bCs/>
                <w:szCs w:val="21"/>
              </w:rPr>
              <w:t>*</w:t>
            </w:r>
          </w:p>
        </w:tc>
        <w:tc>
          <w:tcPr>
            <w:tcW w:w="713" w:type="dxa"/>
            <w:vAlign w:val="center"/>
          </w:tcPr>
          <w:p w14:paraId="1D5D8E9F">
            <w:pPr>
              <w:jc w:val="center"/>
              <w:rPr>
                <w:rFonts w:ascii="Times New Roman" w:hAnsi="Times New Roman" w:eastAsia="宋体" w:cs="Times New Roman"/>
                <w:bCs/>
                <w:szCs w:val="21"/>
              </w:rPr>
            </w:pPr>
          </w:p>
        </w:tc>
        <w:tc>
          <w:tcPr>
            <w:tcW w:w="703" w:type="dxa"/>
            <w:vAlign w:val="center"/>
          </w:tcPr>
          <w:p w14:paraId="0FAF0284">
            <w:pPr>
              <w:jc w:val="center"/>
              <w:rPr>
                <w:rFonts w:ascii="Times New Roman" w:hAnsi="Times New Roman" w:eastAsia="宋体" w:cs="Times New Roman"/>
                <w:bCs/>
                <w:szCs w:val="21"/>
              </w:rPr>
            </w:pPr>
          </w:p>
        </w:tc>
        <w:tc>
          <w:tcPr>
            <w:tcW w:w="878" w:type="dxa"/>
            <w:vMerge w:val="continue"/>
            <w:vAlign w:val="center"/>
          </w:tcPr>
          <w:p w14:paraId="5320B620">
            <w:pPr>
              <w:jc w:val="center"/>
              <w:rPr>
                <w:rFonts w:ascii="Times New Roman" w:hAnsi="Times New Roman" w:eastAsia="宋体" w:cs="Times New Roman"/>
                <w:b/>
                <w:bCs/>
                <w:color w:val="FF0000"/>
                <w:szCs w:val="21"/>
              </w:rPr>
            </w:pPr>
          </w:p>
        </w:tc>
      </w:tr>
      <w:tr w14:paraId="1285E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8494" w:type="dxa"/>
            <w:gridSpan w:val="11"/>
            <w:vAlign w:val="center"/>
          </w:tcPr>
          <w:p w14:paraId="7D398DC9">
            <w:pPr>
              <w:jc w:val="center"/>
              <w:rPr>
                <w:rFonts w:ascii="Times New Roman" w:hAnsi="Times New Roman" w:eastAsia="宋体" w:cs="Times New Roman"/>
                <w:b/>
                <w:bCs/>
                <w:color w:val="FF0000"/>
                <w:szCs w:val="21"/>
              </w:rPr>
            </w:pPr>
            <w:r>
              <w:rPr>
                <w:rFonts w:hint="eastAsia" w:ascii="Times New Roman" w:hAnsi="Times New Roman" w:eastAsia="宋体" w:cs="Times New Roman"/>
                <w:bCs/>
                <w:szCs w:val="21"/>
              </w:rPr>
              <w:t>合计（即投标总价；币种：人民币；单位：元） 小写：            大写：</w:t>
            </w:r>
          </w:p>
        </w:tc>
      </w:tr>
    </w:tbl>
    <w:p w14:paraId="6131D108">
      <w:pPr>
        <w:ind w:firstLine="480" w:firstLineChars="200"/>
        <w:rPr>
          <w:rFonts w:ascii="宋体" w:hAnsi="宋体"/>
          <w:sz w:val="24"/>
        </w:rPr>
      </w:pPr>
    </w:p>
    <w:p w14:paraId="3FA2CDDF">
      <w:pPr>
        <w:ind w:firstLine="482" w:firstLineChars="200"/>
        <w:rPr>
          <w:rFonts w:ascii="宋体" w:hAnsi="宋体"/>
          <w:b/>
          <w:sz w:val="24"/>
        </w:rPr>
      </w:pPr>
      <w:r>
        <w:rPr>
          <w:rFonts w:hint="eastAsia" w:ascii="宋体" w:hAnsi="宋体"/>
          <w:b/>
          <w:sz w:val="24"/>
        </w:rPr>
        <w:t>注：1.本表可按同样格式扩展。</w:t>
      </w:r>
    </w:p>
    <w:p w14:paraId="43EB929E">
      <w:pPr>
        <w:ind w:firstLine="472" w:firstLineChars="196"/>
        <w:rPr>
          <w:rFonts w:hint="default" w:ascii="宋体" w:hAnsi="宋体" w:eastAsia="宋体"/>
          <w:b/>
          <w:sz w:val="24"/>
          <w:lang w:val="en-US" w:eastAsia="zh-CN"/>
        </w:rPr>
      </w:pPr>
      <w:r>
        <w:rPr>
          <w:rFonts w:hint="eastAsia" w:ascii="宋体" w:hAnsi="宋体"/>
          <w:b/>
          <w:sz w:val="24"/>
        </w:rPr>
        <w:t>2</w:t>
      </w:r>
      <w:r>
        <w:rPr>
          <w:rFonts w:ascii="宋体" w:hAnsi="宋体"/>
          <w:b/>
          <w:sz w:val="24"/>
        </w:rPr>
        <w:t>.</w:t>
      </w:r>
      <w:r>
        <w:rPr>
          <w:rFonts w:hint="eastAsia" w:ascii="宋体" w:hAnsi="宋体"/>
          <w:b/>
          <w:sz w:val="24"/>
          <w:lang w:eastAsia="zh-CN"/>
        </w:rPr>
        <w:t>“</w:t>
      </w:r>
      <w:r>
        <w:rPr>
          <w:rFonts w:hint="eastAsia" w:ascii="宋体" w:hAnsi="宋体"/>
          <w:b/>
          <w:sz w:val="24"/>
          <w:lang w:val="en-US" w:eastAsia="zh-CN"/>
        </w:rPr>
        <w:t>品牌</w:t>
      </w:r>
      <w:r>
        <w:rPr>
          <w:rFonts w:hint="eastAsia" w:ascii="宋体" w:hAnsi="宋体"/>
          <w:b/>
          <w:sz w:val="24"/>
          <w:lang w:eastAsia="zh-CN"/>
        </w:rPr>
        <w:t>”</w:t>
      </w:r>
      <w:r>
        <w:rPr>
          <w:rFonts w:hint="eastAsia" w:ascii="宋体" w:hAnsi="宋体"/>
          <w:b/>
          <w:sz w:val="24"/>
          <w:lang w:val="en-US" w:eastAsia="zh-CN"/>
        </w:rPr>
        <w:t>可以与商标一致，也可以填写便于区分其他公司商品的制造商简称或者制造商认可的品牌名称</w:t>
      </w:r>
      <w:r>
        <w:rPr>
          <w:rFonts w:hint="eastAsia" w:ascii="宋体" w:hAnsi="宋体"/>
          <w:b/>
          <w:sz w:val="24"/>
        </w:rPr>
        <w:t>。此类填写错误或缺漏的不利后果由供应商承担。经评审委员会认定，在使用综合评分法的项目中一项此类填写错误或缺漏将按照一项普通招标技术要求（一般参数/普通参数）负偏离扣分处理。</w:t>
      </w:r>
    </w:p>
    <w:p w14:paraId="66A9611E">
      <w:pPr>
        <w:ind w:firstLine="472" w:firstLineChars="196"/>
        <w:rPr>
          <w:rFonts w:hint="eastAsia"/>
          <w:b/>
          <w:sz w:val="24"/>
        </w:rPr>
      </w:pPr>
      <w:r>
        <w:rPr>
          <w:rFonts w:hint="eastAsia" w:ascii="宋体" w:hAnsi="宋体"/>
          <w:b/>
          <w:sz w:val="24"/>
          <w:lang w:val="en-US" w:eastAsia="zh-CN"/>
        </w:rPr>
        <w:t>3.</w:t>
      </w:r>
      <w:r>
        <w:rPr>
          <w:rFonts w:hint="eastAsia" w:ascii="宋体" w:hAnsi="宋体"/>
          <w:b/>
          <w:sz w:val="24"/>
        </w:rPr>
        <w:t>如所投货物属于定制类的非量产货物或无具体型号的货物，可以在“规格/型号”</w:t>
      </w:r>
      <w:r>
        <w:rPr>
          <w:rFonts w:hint="eastAsia" w:ascii="宋体" w:hAnsi="宋体"/>
          <w:b/>
          <w:sz w:val="24"/>
          <w:lang w:val="en-US" w:eastAsia="zh-CN"/>
        </w:rPr>
        <w:t>栏目</w:t>
      </w:r>
      <w:r>
        <w:rPr>
          <w:rFonts w:hint="eastAsia" w:ascii="宋体" w:hAnsi="宋体"/>
          <w:b/>
          <w:sz w:val="24"/>
        </w:rPr>
        <w:t>仅填写规格信息而不填型号信息（型号信息用“定制”描述即可）；此类填写错误</w:t>
      </w:r>
      <w:r>
        <w:rPr>
          <w:rFonts w:hint="eastAsia" w:ascii="宋体" w:hAnsi="宋体"/>
          <w:b/>
          <w:sz w:val="24"/>
          <w:lang w:val="en-US" w:eastAsia="zh-CN"/>
        </w:rPr>
        <w:t>或缺漏</w:t>
      </w:r>
      <w:r>
        <w:rPr>
          <w:rFonts w:hint="eastAsia" w:ascii="宋体" w:hAnsi="宋体"/>
          <w:b/>
          <w:sz w:val="24"/>
        </w:rPr>
        <w:t>（所投货物为定制类的非量产货物但供应商却错误填报了型号）的不利后果</w:t>
      </w:r>
      <w:r>
        <w:rPr>
          <w:rFonts w:hint="eastAsia"/>
          <w:b/>
          <w:sz w:val="24"/>
        </w:rPr>
        <w:t>由供应商承担</w:t>
      </w:r>
      <w:r>
        <w:rPr>
          <w:rFonts w:hint="eastAsia" w:eastAsia="宋体"/>
          <w:b/>
          <w:sz w:val="24"/>
          <w:lang w:eastAsia="zh-CN"/>
        </w:rPr>
        <w:t>。</w:t>
      </w:r>
      <w:r>
        <w:rPr>
          <w:rFonts w:hint="eastAsia"/>
          <w:b/>
          <w:sz w:val="24"/>
        </w:rPr>
        <w:t>经评审委员会认定，在使用综合评分法的项目中一项此类填写错误</w:t>
      </w:r>
      <w:r>
        <w:rPr>
          <w:rFonts w:hint="eastAsia" w:ascii="Times New Roman" w:eastAsia="宋体"/>
          <w:b/>
          <w:sz w:val="24"/>
          <w:lang w:val="en-US" w:eastAsia="zh-CN"/>
        </w:rPr>
        <w:t>或缺漏</w:t>
      </w:r>
      <w:r>
        <w:rPr>
          <w:rFonts w:hint="eastAsia"/>
          <w:b/>
          <w:sz w:val="24"/>
        </w:rPr>
        <w:t>将按照一项</w:t>
      </w:r>
      <w:r>
        <w:rPr>
          <w:rFonts w:hint="eastAsia" w:ascii="Times New Roman" w:eastAsia="宋体"/>
          <w:b/>
          <w:sz w:val="24"/>
          <w:lang w:val="en-US" w:eastAsia="zh-CN"/>
        </w:rPr>
        <w:t>普通招标技术要求（一般参数/普通参数）</w:t>
      </w:r>
      <w:r>
        <w:rPr>
          <w:rFonts w:hint="eastAsia"/>
          <w:b/>
          <w:sz w:val="24"/>
        </w:rPr>
        <w:t>负偏离扣分处理。</w:t>
      </w:r>
    </w:p>
    <w:p w14:paraId="549020DF">
      <w:pPr>
        <w:ind w:firstLine="472" w:firstLineChars="196"/>
        <w:rPr>
          <w:rFonts w:ascii="宋体" w:hAnsi="宋体"/>
          <w:b/>
          <w:sz w:val="24"/>
        </w:rPr>
      </w:pPr>
      <w:r>
        <w:rPr>
          <w:rFonts w:ascii="宋体" w:hAnsi="宋体"/>
          <w:b/>
          <w:sz w:val="24"/>
        </w:rPr>
        <w:t>3</w:t>
      </w:r>
      <w:r>
        <w:rPr>
          <w:rFonts w:hint="eastAsia" w:ascii="宋体" w:hAnsi="宋体"/>
          <w:b/>
          <w:sz w:val="24"/>
        </w:rPr>
        <w:t>.“原产地”是指货物的实际生产加工地，非品牌所在地</w:t>
      </w:r>
    </w:p>
    <w:p w14:paraId="76DB968E">
      <w:pPr>
        <w:ind w:firstLine="482" w:firstLineChars="200"/>
        <w:rPr>
          <w:rFonts w:ascii="宋体" w:hAnsi="宋体"/>
          <w:b/>
          <w:sz w:val="24"/>
        </w:rPr>
      </w:pPr>
      <w:r>
        <w:rPr>
          <w:rFonts w:hint="eastAsia" w:ascii="宋体" w:hAnsi="宋体"/>
          <w:b/>
          <w:sz w:val="24"/>
          <w:lang w:val="en-US" w:eastAsia="zh-CN"/>
        </w:rPr>
        <w:t>4</w:t>
      </w:r>
      <w:r>
        <w:rPr>
          <w:rFonts w:hint="eastAsia" w:ascii="宋体" w:hAnsi="宋体"/>
          <w:b/>
          <w:sz w:val="24"/>
        </w:rPr>
        <w:t>.以上分项报价表的投标总价应当与开标一览表的投标总价一致。</w:t>
      </w:r>
    </w:p>
    <w:p w14:paraId="248D9AC0">
      <w:pPr>
        <w:ind w:firstLine="482" w:firstLineChars="200"/>
        <w:rPr>
          <w:rFonts w:ascii="宋体" w:hAnsi="宋体"/>
          <w:b/>
          <w:sz w:val="24"/>
        </w:rPr>
      </w:pPr>
      <w:r>
        <w:rPr>
          <w:rFonts w:hint="eastAsia" w:ascii="宋体" w:hAnsi="宋体"/>
          <w:b/>
          <w:sz w:val="24"/>
          <w:lang w:val="en-US" w:eastAsia="zh-CN"/>
        </w:rPr>
        <w:t>5</w:t>
      </w:r>
      <w:r>
        <w:rPr>
          <w:rFonts w:hint="eastAsia" w:ascii="宋体" w:hAnsi="宋体"/>
          <w:b/>
          <w:sz w:val="24"/>
        </w:rPr>
        <w:t>.单价、合价和投标总价为包干价，即三者均应包含货物的价款、包装、运输、装卸、安装、调试、技术指导、培训、咨询、服务、保险、税费、检测、验收合格交付使用之前以及技术和售后服务等其他各项有关费用。</w:t>
      </w:r>
    </w:p>
    <w:p w14:paraId="3335F2F8">
      <w:pPr>
        <w:ind w:firstLine="482" w:firstLineChars="200"/>
        <w:rPr>
          <w:rFonts w:ascii="宋体" w:hAnsi="宋体"/>
          <w:b/>
          <w:sz w:val="24"/>
        </w:rPr>
      </w:pPr>
      <w:r>
        <w:rPr>
          <w:rFonts w:hint="eastAsia" w:ascii="宋体" w:hAnsi="宋体"/>
          <w:b/>
          <w:sz w:val="24"/>
          <w:lang w:val="en-US" w:eastAsia="zh-CN"/>
        </w:rPr>
        <w:t>6</w:t>
      </w:r>
      <w:r>
        <w:rPr>
          <w:rFonts w:hint="eastAsia" w:ascii="宋体" w:hAnsi="宋体"/>
          <w:b/>
          <w:sz w:val="24"/>
        </w:rPr>
        <w:t>.所有价格应按“招标文件”中规定的货币单位填写；投标总价应为以上各分项价格之和；投标总价和项目报价表中单个采购预算条目报价均不得超过对应的财政预算限额，否则将导致投标无效。</w:t>
      </w:r>
    </w:p>
    <w:p w14:paraId="6EADDC1E">
      <w:pPr>
        <w:ind w:firstLine="420" w:firstLineChars="200"/>
      </w:pPr>
    </w:p>
    <w:p w14:paraId="4DA213C9">
      <w:pPr>
        <w:pStyle w:val="33"/>
      </w:pPr>
    </w:p>
    <w:p w14:paraId="2FD89CC5">
      <w:pPr>
        <w:rPr>
          <w:rFonts w:hAnsi="宋体"/>
          <w:b/>
          <w:bCs/>
          <w:sz w:val="24"/>
        </w:rPr>
      </w:pPr>
    </w:p>
    <w:p w14:paraId="7EEC2318">
      <w:pPr>
        <w:pStyle w:val="6"/>
        <w:jc w:val="center"/>
        <w:rPr>
          <w:bCs w:val="0"/>
          <w:sz w:val="24"/>
          <w:szCs w:val="24"/>
        </w:rPr>
      </w:pPr>
      <w:r>
        <w:rPr>
          <w:rFonts w:hint="eastAsia"/>
          <w:bCs w:val="0"/>
          <w:sz w:val="24"/>
          <w:szCs w:val="24"/>
        </w:rPr>
        <w:t>2、可选配件报价清单（不包括在总报价内）</w:t>
      </w:r>
    </w:p>
    <w:p w14:paraId="7B81ED11">
      <w:pPr>
        <w:ind w:firstLine="420" w:firstLineChars="200"/>
        <w:rPr>
          <w:rFonts w:hAnsi="宋体"/>
          <w:bCs/>
          <w:szCs w:val="21"/>
        </w:rPr>
      </w:pPr>
      <w:r>
        <w:rPr>
          <w:rFonts w:hint="eastAsia" w:hAnsi="宋体"/>
          <w:bCs/>
          <w:szCs w:val="21"/>
        </w:rPr>
        <w:t>注：格式参照《（一）分项报价清单》表格，但须提供相应的品牌（没有品牌的，请提供制造商名称）、规格型号、原产地、单价等详细信息</w:t>
      </w:r>
    </w:p>
    <w:p w14:paraId="551B95E1">
      <w:pPr>
        <w:rPr>
          <w:rFonts w:hAnsi="宋体"/>
          <w:b/>
          <w:bCs/>
          <w:sz w:val="24"/>
        </w:rPr>
      </w:pPr>
    </w:p>
    <w:p w14:paraId="09D645AF">
      <w:pPr>
        <w:pStyle w:val="33"/>
      </w:pPr>
    </w:p>
    <w:p w14:paraId="1ABC1957">
      <w:pPr>
        <w:pStyle w:val="6"/>
        <w:jc w:val="center"/>
        <w:rPr>
          <w:bCs w:val="0"/>
          <w:sz w:val="24"/>
          <w:szCs w:val="24"/>
        </w:rPr>
      </w:pPr>
      <w:r>
        <w:rPr>
          <w:rFonts w:hint="eastAsia"/>
          <w:bCs w:val="0"/>
          <w:sz w:val="24"/>
          <w:szCs w:val="24"/>
        </w:rPr>
        <w:t>3、供应商认为需要涉及的其他内容报价清单</w:t>
      </w:r>
    </w:p>
    <w:p w14:paraId="6B054F53">
      <w:pPr>
        <w:widowControl/>
        <w:jc w:val="left"/>
      </w:pPr>
      <w:r>
        <w:br w:type="page"/>
      </w:r>
    </w:p>
    <w:p w14:paraId="58F051B1">
      <w:pPr>
        <w:pStyle w:val="3"/>
        <w:jc w:val="center"/>
        <w:rPr>
          <w:rFonts w:ascii="Arial" w:hAnsi="Arial" w:eastAsia="黑体"/>
          <w:b w:val="0"/>
          <w:szCs w:val="28"/>
        </w:rPr>
      </w:pPr>
      <w:r>
        <w:rPr>
          <w:rFonts w:hint="eastAsia" w:ascii="Arial" w:hAnsi="Arial" w:eastAsia="黑体"/>
          <w:b w:val="0"/>
          <w:szCs w:val="28"/>
        </w:rPr>
        <w:t>二、技术服务部分</w:t>
      </w:r>
    </w:p>
    <w:p w14:paraId="5DEEB097">
      <w:pPr>
        <w:pStyle w:val="4"/>
        <w:jc w:val="center"/>
        <w:rPr>
          <w:b w:val="0"/>
        </w:rPr>
      </w:pPr>
      <w:r>
        <w:rPr>
          <w:rFonts w:hint="eastAsia"/>
          <w:b w:val="0"/>
        </w:rPr>
        <w:t>（一）技术规格偏离表</w:t>
      </w:r>
    </w:p>
    <w:p w14:paraId="49D2AB18">
      <w:pPr>
        <w:rPr>
          <w:szCs w:val="21"/>
        </w:rPr>
      </w:pP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6"/>
        <w:gridCol w:w="1356"/>
        <w:gridCol w:w="1356"/>
        <w:gridCol w:w="1356"/>
        <w:gridCol w:w="1484"/>
        <w:gridCol w:w="1530"/>
      </w:tblGrid>
      <w:tr w14:paraId="3B8D1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6" w:type="dxa"/>
            <w:vAlign w:val="center"/>
          </w:tcPr>
          <w:p w14:paraId="0FBE7DFB">
            <w:pPr>
              <w:jc w:val="center"/>
              <w:rPr>
                <w:szCs w:val="21"/>
              </w:rPr>
            </w:pPr>
            <w:r>
              <w:rPr>
                <w:rFonts w:hint="eastAsia"/>
                <w:szCs w:val="21"/>
              </w:rPr>
              <w:t>序号</w:t>
            </w:r>
          </w:p>
        </w:tc>
        <w:tc>
          <w:tcPr>
            <w:tcW w:w="1356" w:type="dxa"/>
            <w:vAlign w:val="center"/>
          </w:tcPr>
          <w:p w14:paraId="57293EEA">
            <w:pPr>
              <w:jc w:val="center"/>
              <w:rPr>
                <w:szCs w:val="21"/>
              </w:rPr>
            </w:pPr>
            <w:r>
              <w:rPr>
                <w:rFonts w:hint="eastAsia"/>
                <w:szCs w:val="21"/>
              </w:rPr>
              <w:t>货物名称</w:t>
            </w:r>
          </w:p>
        </w:tc>
        <w:tc>
          <w:tcPr>
            <w:tcW w:w="1356" w:type="dxa"/>
          </w:tcPr>
          <w:p w14:paraId="41F2575A">
            <w:pPr>
              <w:jc w:val="center"/>
              <w:rPr>
                <w:szCs w:val="21"/>
              </w:rPr>
            </w:pPr>
            <w:r>
              <w:rPr>
                <w:rFonts w:hint="eastAsia"/>
                <w:szCs w:val="21"/>
              </w:rPr>
              <w:t>招标技术要求</w:t>
            </w:r>
          </w:p>
        </w:tc>
        <w:tc>
          <w:tcPr>
            <w:tcW w:w="1356" w:type="dxa"/>
          </w:tcPr>
          <w:p w14:paraId="0141D213">
            <w:pPr>
              <w:jc w:val="center"/>
              <w:rPr>
                <w:szCs w:val="21"/>
              </w:rPr>
            </w:pPr>
            <w:r>
              <w:rPr>
                <w:rFonts w:hint="eastAsia"/>
                <w:szCs w:val="21"/>
              </w:rPr>
              <w:t>投标技术响应</w:t>
            </w:r>
          </w:p>
        </w:tc>
        <w:tc>
          <w:tcPr>
            <w:tcW w:w="1484" w:type="dxa"/>
            <w:vAlign w:val="center"/>
          </w:tcPr>
          <w:p w14:paraId="03C9B504">
            <w:pPr>
              <w:jc w:val="center"/>
              <w:rPr>
                <w:szCs w:val="21"/>
              </w:rPr>
            </w:pPr>
            <w:r>
              <w:rPr>
                <w:rFonts w:hint="eastAsia"/>
                <w:szCs w:val="21"/>
              </w:rPr>
              <w:t>偏离情况</w:t>
            </w:r>
          </w:p>
        </w:tc>
        <w:tc>
          <w:tcPr>
            <w:tcW w:w="1530" w:type="dxa"/>
            <w:vAlign w:val="center"/>
          </w:tcPr>
          <w:p w14:paraId="0D9C774F">
            <w:pPr>
              <w:jc w:val="center"/>
              <w:rPr>
                <w:szCs w:val="21"/>
              </w:rPr>
            </w:pPr>
            <w:r>
              <w:rPr>
                <w:rFonts w:hint="eastAsia"/>
                <w:szCs w:val="21"/>
              </w:rPr>
              <w:t>说明</w:t>
            </w:r>
          </w:p>
        </w:tc>
      </w:tr>
      <w:tr w14:paraId="3750F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6" w:type="dxa"/>
          </w:tcPr>
          <w:p w14:paraId="636258C8">
            <w:pPr>
              <w:jc w:val="center"/>
              <w:rPr>
                <w:szCs w:val="21"/>
              </w:rPr>
            </w:pPr>
          </w:p>
        </w:tc>
        <w:tc>
          <w:tcPr>
            <w:tcW w:w="1356" w:type="dxa"/>
          </w:tcPr>
          <w:p w14:paraId="32C9A9D2">
            <w:pPr>
              <w:jc w:val="center"/>
              <w:rPr>
                <w:szCs w:val="21"/>
              </w:rPr>
            </w:pPr>
          </w:p>
        </w:tc>
        <w:tc>
          <w:tcPr>
            <w:tcW w:w="1356" w:type="dxa"/>
          </w:tcPr>
          <w:p w14:paraId="7D4CDA46">
            <w:pPr>
              <w:jc w:val="center"/>
              <w:rPr>
                <w:szCs w:val="21"/>
              </w:rPr>
            </w:pPr>
          </w:p>
        </w:tc>
        <w:tc>
          <w:tcPr>
            <w:tcW w:w="1356" w:type="dxa"/>
          </w:tcPr>
          <w:p w14:paraId="1CA56568">
            <w:pPr>
              <w:jc w:val="center"/>
              <w:rPr>
                <w:szCs w:val="21"/>
              </w:rPr>
            </w:pPr>
          </w:p>
        </w:tc>
        <w:tc>
          <w:tcPr>
            <w:tcW w:w="1484" w:type="dxa"/>
          </w:tcPr>
          <w:p w14:paraId="23EE919E">
            <w:pPr>
              <w:jc w:val="center"/>
              <w:rPr>
                <w:szCs w:val="21"/>
              </w:rPr>
            </w:pPr>
          </w:p>
        </w:tc>
        <w:tc>
          <w:tcPr>
            <w:tcW w:w="1530" w:type="dxa"/>
          </w:tcPr>
          <w:p w14:paraId="667FDB76">
            <w:pPr>
              <w:jc w:val="center"/>
              <w:rPr>
                <w:szCs w:val="21"/>
              </w:rPr>
            </w:pPr>
          </w:p>
        </w:tc>
      </w:tr>
      <w:tr w14:paraId="35C45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6" w:type="dxa"/>
          </w:tcPr>
          <w:p w14:paraId="1F6F7D59">
            <w:pPr>
              <w:jc w:val="center"/>
              <w:rPr>
                <w:szCs w:val="21"/>
              </w:rPr>
            </w:pPr>
          </w:p>
        </w:tc>
        <w:tc>
          <w:tcPr>
            <w:tcW w:w="1356" w:type="dxa"/>
          </w:tcPr>
          <w:p w14:paraId="6FE39663">
            <w:pPr>
              <w:jc w:val="center"/>
              <w:rPr>
                <w:szCs w:val="21"/>
              </w:rPr>
            </w:pPr>
          </w:p>
        </w:tc>
        <w:tc>
          <w:tcPr>
            <w:tcW w:w="1356" w:type="dxa"/>
          </w:tcPr>
          <w:p w14:paraId="2168C108">
            <w:pPr>
              <w:jc w:val="center"/>
              <w:rPr>
                <w:szCs w:val="21"/>
              </w:rPr>
            </w:pPr>
          </w:p>
        </w:tc>
        <w:tc>
          <w:tcPr>
            <w:tcW w:w="1356" w:type="dxa"/>
          </w:tcPr>
          <w:p w14:paraId="10E8BCBA">
            <w:pPr>
              <w:jc w:val="center"/>
              <w:rPr>
                <w:szCs w:val="21"/>
              </w:rPr>
            </w:pPr>
          </w:p>
        </w:tc>
        <w:tc>
          <w:tcPr>
            <w:tcW w:w="1484" w:type="dxa"/>
          </w:tcPr>
          <w:p w14:paraId="12D166E9">
            <w:pPr>
              <w:jc w:val="center"/>
              <w:rPr>
                <w:szCs w:val="21"/>
              </w:rPr>
            </w:pPr>
          </w:p>
        </w:tc>
        <w:tc>
          <w:tcPr>
            <w:tcW w:w="1530" w:type="dxa"/>
          </w:tcPr>
          <w:p w14:paraId="42AA8A16">
            <w:pPr>
              <w:jc w:val="center"/>
              <w:rPr>
                <w:szCs w:val="21"/>
              </w:rPr>
            </w:pPr>
          </w:p>
        </w:tc>
      </w:tr>
      <w:tr w14:paraId="29D6A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6" w:type="dxa"/>
          </w:tcPr>
          <w:p w14:paraId="56CB61C4">
            <w:pPr>
              <w:jc w:val="center"/>
              <w:rPr>
                <w:szCs w:val="21"/>
              </w:rPr>
            </w:pPr>
          </w:p>
        </w:tc>
        <w:tc>
          <w:tcPr>
            <w:tcW w:w="1356" w:type="dxa"/>
          </w:tcPr>
          <w:p w14:paraId="5010A522">
            <w:pPr>
              <w:jc w:val="center"/>
              <w:rPr>
                <w:szCs w:val="21"/>
              </w:rPr>
            </w:pPr>
          </w:p>
        </w:tc>
        <w:tc>
          <w:tcPr>
            <w:tcW w:w="1356" w:type="dxa"/>
          </w:tcPr>
          <w:p w14:paraId="26305F11">
            <w:pPr>
              <w:jc w:val="center"/>
              <w:rPr>
                <w:szCs w:val="21"/>
              </w:rPr>
            </w:pPr>
          </w:p>
        </w:tc>
        <w:tc>
          <w:tcPr>
            <w:tcW w:w="1356" w:type="dxa"/>
          </w:tcPr>
          <w:p w14:paraId="449506AC">
            <w:pPr>
              <w:jc w:val="center"/>
              <w:rPr>
                <w:szCs w:val="21"/>
              </w:rPr>
            </w:pPr>
          </w:p>
        </w:tc>
        <w:tc>
          <w:tcPr>
            <w:tcW w:w="1484" w:type="dxa"/>
          </w:tcPr>
          <w:p w14:paraId="4C4C5A57">
            <w:pPr>
              <w:jc w:val="center"/>
              <w:rPr>
                <w:szCs w:val="21"/>
              </w:rPr>
            </w:pPr>
          </w:p>
        </w:tc>
        <w:tc>
          <w:tcPr>
            <w:tcW w:w="1530" w:type="dxa"/>
          </w:tcPr>
          <w:p w14:paraId="3D06782E">
            <w:pPr>
              <w:jc w:val="center"/>
              <w:rPr>
                <w:szCs w:val="21"/>
              </w:rPr>
            </w:pPr>
          </w:p>
        </w:tc>
      </w:tr>
      <w:tr w14:paraId="7F060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6" w:type="dxa"/>
          </w:tcPr>
          <w:p w14:paraId="5955882D">
            <w:pPr>
              <w:jc w:val="center"/>
              <w:rPr>
                <w:szCs w:val="21"/>
              </w:rPr>
            </w:pPr>
          </w:p>
        </w:tc>
        <w:tc>
          <w:tcPr>
            <w:tcW w:w="1356" w:type="dxa"/>
          </w:tcPr>
          <w:p w14:paraId="1C2EACA2">
            <w:pPr>
              <w:jc w:val="center"/>
              <w:rPr>
                <w:szCs w:val="21"/>
              </w:rPr>
            </w:pPr>
          </w:p>
        </w:tc>
        <w:tc>
          <w:tcPr>
            <w:tcW w:w="1356" w:type="dxa"/>
          </w:tcPr>
          <w:p w14:paraId="488687CC">
            <w:pPr>
              <w:jc w:val="center"/>
              <w:rPr>
                <w:szCs w:val="21"/>
              </w:rPr>
            </w:pPr>
          </w:p>
        </w:tc>
        <w:tc>
          <w:tcPr>
            <w:tcW w:w="1356" w:type="dxa"/>
          </w:tcPr>
          <w:p w14:paraId="202C688A">
            <w:pPr>
              <w:jc w:val="center"/>
              <w:rPr>
                <w:szCs w:val="21"/>
              </w:rPr>
            </w:pPr>
          </w:p>
        </w:tc>
        <w:tc>
          <w:tcPr>
            <w:tcW w:w="1484" w:type="dxa"/>
          </w:tcPr>
          <w:p w14:paraId="3CFAF083">
            <w:pPr>
              <w:jc w:val="center"/>
              <w:rPr>
                <w:szCs w:val="21"/>
              </w:rPr>
            </w:pPr>
          </w:p>
        </w:tc>
        <w:tc>
          <w:tcPr>
            <w:tcW w:w="1530" w:type="dxa"/>
          </w:tcPr>
          <w:p w14:paraId="236F395C">
            <w:pPr>
              <w:jc w:val="center"/>
              <w:rPr>
                <w:szCs w:val="21"/>
              </w:rPr>
            </w:pPr>
          </w:p>
        </w:tc>
      </w:tr>
      <w:tr w14:paraId="333FC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6" w:type="dxa"/>
          </w:tcPr>
          <w:p w14:paraId="703C5901">
            <w:pPr>
              <w:jc w:val="center"/>
              <w:rPr>
                <w:szCs w:val="21"/>
              </w:rPr>
            </w:pPr>
          </w:p>
        </w:tc>
        <w:tc>
          <w:tcPr>
            <w:tcW w:w="1356" w:type="dxa"/>
          </w:tcPr>
          <w:p w14:paraId="0E9942BB">
            <w:pPr>
              <w:jc w:val="center"/>
              <w:rPr>
                <w:szCs w:val="21"/>
              </w:rPr>
            </w:pPr>
          </w:p>
        </w:tc>
        <w:tc>
          <w:tcPr>
            <w:tcW w:w="1356" w:type="dxa"/>
          </w:tcPr>
          <w:p w14:paraId="56E5061E">
            <w:pPr>
              <w:jc w:val="center"/>
              <w:rPr>
                <w:szCs w:val="21"/>
              </w:rPr>
            </w:pPr>
          </w:p>
        </w:tc>
        <w:tc>
          <w:tcPr>
            <w:tcW w:w="1356" w:type="dxa"/>
          </w:tcPr>
          <w:p w14:paraId="3B128C5A">
            <w:pPr>
              <w:jc w:val="center"/>
              <w:rPr>
                <w:szCs w:val="21"/>
              </w:rPr>
            </w:pPr>
          </w:p>
        </w:tc>
        <w:tc>
          <w:tcPr>
            <w:tcW w:w="1484" w:type="dxa"/>
          </w:tcPr>
          <w:p w14:paraId="2B9CD153">
            <w:pPr>
              <w:jc w:val="center"/>
              <w:rPr>
                <w:szCs w:val="21"/>
              </w:rPr>
            </w:pPr>
          </w:p>
        </w:tc>
        <w:tc>
          <w:tcPr>
            <w:tcW w:w="1530" w:type="dxa"/>
          </w:tcPr>
          <w:p w14:paraId="3C0825BA">
            <w:pPr>
              <w:jc w:val="center"/>
              <w:rPr>
                <w:szCs w:val="21"/>
              </w:rPr>
            </w:pPr>
          </w:p>
        </w:tc>
      </w:tr>
      <w:tr w14:paraId="2EE3C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6" w:type="dxa"/>
          </w:tcPr>
          <w:p w14:paraId="40A6F017">
            <w:pPr>
              <w:jc w:val="center"/>
              <w:rPr>
                <w:szCs w:val="21"/>
              </w:rPr>
            </w:pPr>
          </w:p>
        </w:tc>
        <w:tc>
          <w:tcPr>
            <w:tcW w:w="1356" w:type="dxa"/>
          </w:tcPr>
          <w:p w14:paraId="3054D4BF">
            <w:pPr>
              <w:jc w:val="center"/>
              <w:rPr>
                <w:szCs w:val="21"/>
              </w:rPr>
            </w:pPr>
          </w:p>
        </w:tc>
        <w:tc>
          <w:tcPr>
            <w:tcW w:w="1356" w:type="dxa"/>
          </w:tcPr>
          <w:p w14:paraId="56A0EF4C">
            <w:pPr>
              <w:jc w:val="center"/>
              <w:rPr>
                <w:szCs w:val="21"/>
              </w:rPr>
            </w:pPr>
          </w:p>
        </w:tc>
        <w:tc>
          <w:tcPr>
            <w:tcW w:w="1356" w:type="dxa"/>
          </w:tcPr>
          <w:p w14:paraId="530951F4">
            <w:pPr>
              <w:jc w:val="center"/>
              <w:rPr>
                <w:szCs w:val="21"/>
              </w:rPr>
            </w:pPr>
          </w:p>
        </w:tc>
        <w:tc>
          <w:tcPr>
            <w:tcW w:w="1484" w:type="dxa"/>
          </w:tcPr>
          <w:p w14:paraId="3F57939F">
            <w:pPr>
              <w:jc w:val="center"/>
              <w:rPr>
                <w:szCs w:val="21"/>
              </w:rPr>
            </w:pPr>
          </w:p>
        </w:tc>
        <w:tc>
          <w:tcPr>
            <w:tcW w:w="1530" w:type="dxa"/>
          </w:tcPr>
          <w:p w14:paraId="2BB20FD7">
            <w:pPr>
              <w:jc w:val="center"/>
              <w:rPr>
                <w:szCs w:val="21"/>
              </w:rPr>
            </w:pPr>
          </w:p>
        </w:tc>
      </w:tr>
      <w:tr w14:paraId="273D4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6" w:type="dxa"/>
          </w:tcPr>
          <w:p w14:paraId="2BE6046B">
            <w:pPr>
              <w:jc w:val="center"/>
              <w:rPr>
                <w:szCs w:val="21"/>
              </w:rPr>
            </w:pPr>
          </w:p>
        </w:tc>
        <w:tc>
          <w:tcPr>
            <w:tcW w:w="1356" w:type="dxa"/>
          </w:tcPr>
          <w:p w14:paraId="5B804126">
            <w:pPr>
              <w:jc w:val="center"/>
              <w:rPr>
                <w:szCs w:val="21"/>
              </w:rPr>
            </w:pPr>
          </w:p>
        </w:tc>
        <w:tc>
          <w:tcPr>
            <w:tcW w:w="1356" w:type="dxa"/>
          </w:tcPr>
          <w:p w14:paraId="37F41451">
            <w:pPr>
              <w:jc w:val="center"/>
              <w:rPr>
                <w:szCs w:val="21"/>
              </w:rPr>
            </w:pPr>
          </w:p>
        </w:tc>
        <w:tc>
          <w:tcPr>
            <w:tcW w:w="1356" w:type="dxa"/>
          </w:tcPr>
          <w:p w14:paraId="74FAF15A">
            <w:pPr>
              <w:jc w:val="center"/>
              <w:rPr>
                <w:szCs w:val="21"/>
              </w:rPr>
            </w:pPr>
          </w:p>
        </w:tc>
        <w:tc>
          <w:tcPr>
            <w:tcW w:w="1484" w:type="dxa"/>
          </w:tcPr>
          <w:p w14:paraId="49BA75F1">
            <w:pPr>
              <w:jc w:val="center"/>
              <w:rPr>
                <w:szCs w:val="21"/>
              </w:rPr>
            </w:pPr>
          </w:p>
        </w:tc>
        <w:tc>
          <w:tcPr>
            <w:tcW w:w="1530" w:type="dxa"/>
          </w:tcPr>
          <w:p w14:paraId="11FCF22F">
            <w:pPr>
              <w:jc w:val="center"/>
              <w:rPr>
                <w:szCs w:val="21"/>
              </w:rPr>
            </w:pPr>
          </w:p>
        </w:tc>
      </w:tr>
      <w:tr w14:paraId="2471E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6" w:type="dxa"/>
          </w:tcPr>
          <w:p w14:paraId="0F5A6F6D">
            <w:pPr>
              <w:jc w:val="center"/>
              <w:rPr>
                <w:szCs w:val="21"/>
              </w:rPr>
            </w:pPr>
          </w:p>
        </w:tc>
        <w:tc>
          <w:tcPr>
            <w:tcW w:w="1356" w:type="dxa"/>
          </w:tcPr>
          <w:p w14:paraId="3E5522CE">
            <w:pPr>
              <w:jc w:val="center"/>
              <w:rPr>
                <w:szCs w:val="21"/>
              </w:rPr>
            </w:pPr>
          </w:p>
        </w:tc>
        <w:tc>
          <w:tcPr>
            <w:tcW w:w="1356" w:type="dxa"/>
          </w:tcPr>
          <w:p w14:paraId="049327FA">
            <w:pPr>
              <w:jc w:val="center"/>
              <w:rPr>
                <w:szCs w:val="21"/>
              </w:rPr>
            </w:pPr>
          </w:p>
        </w:tc>
        <w:tc>
          <w:tcPr>
            <w:tcW w:w="1356" w:type="dxa"/>
          </w:tcPr>
          <w:p w14:paraId="402E5811">
            <w:pPr>
              <w:jc w:val="center"/>
              <w:rPr>
                <w:szCs w:val="21"/>
              </w:rPr>
            </w:pPr>
          </w:p>
        </w:tc>
        <w:tc>
          <w:tcPr>
            <w:tcW w:w="1484" w:type="dxa"/>
          </w:tcPr>
          <w:p w14:paraId="7CBFFFE8">
            <w:pPr>
              <w:jc w:val="center"/>
              <w:rPr>
                <w:szCs w:val="21"/>
              </w:rPr>
            </w:pPr>
          </w:p>
        </w:tc>
        <w:tc>
          <w:tcPr>
            <w:tcW w:w="1530" w:type="dxa"/>
          </w:tcPr>
          <w:p w14:paraId="7B02C5FB">
            <w:pPr>
              <w:jc w:val="center"/>
              <w:rPr>
                <w:szCs w:val="21"/>
              </w:rPr>
            </w:pPr>
          </w:p>
        </w:tc>
      </w:tr>
      <w:tr w14:paraId="29D3B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6" w:type="dxa"/>
          </w:tcPr>
          <w:p w14:paraId="5F955B58">
            <w:pPr>
              <w:jc w:val="center"/>
              <w:rPr>
                <w:szCs w:val="21"/>
              </w:rPr>
            </w:pPr>
          </w:p>
        </w:tc>
        <w:tc>
          <w:tcPr>
            <w:tcW w:w="1356" w:type="dxa"/>
          </w:tcPr>
          <w:p w14:paraId="08075B71">
            <w:pPr>
              <w:jc w:val="center"/>
              <w:rPr>
                <w:szCs w:val="21"/>
              </w:rPr>
            </w:pPr>
          </w:p>
        </w:tc>
        <w:tc>
          <w:tcPr>
            <w:tcW w:w="1356" w:type="dxa"/>
          </w:tcPr>
          <w:p w14:paraId="1ACE92CA">
            <w:pPr>
              <w:jc w:val="center"/>
              <w:rPr>
                <w:szCs w:val="21"/>
              </w:rPr>
            </w:pPr>
          </w:p>
        </w:tc>
        <w:tc>
          <w:tcPr>
            <w:tcW w:w="1356" w:type="dxa"/>
          </w:tcPr>
          <w:p w14:paraId="5675451F">
            <w:pPr>
              <w:jc w:val="center"/>
              <w:rPr>
                <w:szCs w:val="21"/>
              </w:rPr>
            </w:pPr>
          </w:p>
        </w:tc>
        <w:tc>
          <w:tcPr>
            <w:tcW w:w="1484" w:type="dxa"/>
          </w:tcPr>
          <w:p w14:paraId="52EE2B24">
            <w:pPr>
              <w:jc w:val="center"/>
              <w:rPr>
                <w:szCs w:val="21"/>
              </w:rPr>
            </w:pPr>
          </w:p>
        </w:tc>
        <w:tc>
          <w:tcPr>
            <w:tcW w:w="1530" w:type="dxa"/>
          </w:tcPr>
          <w:p w14:paraId="41885D44">
            <w:pPr>
              <w:jc w:val="center"/>
              <w:rPr>
                <w:szCs w:val="21"/>
              </w:rPr>
            </w:pPr>
          </w:p>
        </w:tc>
      </w:tr>
      <w:tr w14:paraId="591AE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6" w:type="dxa"/>
          </w:tcPr>
          <w:p w14:paraId="1076F09D">
            <w:pPr>
              <w:jc w:val="center"/>
              <w:rPr>
                <w:szCs w:val="21"/>
              </w:rPr>
            </w:pPr>
          </w:p>
        </w:tc>
        <w:tc>
          <w:tcPr>
            <w:tcW w:w="1356" w:type="dxa"/>
          </w:tcPr>
          <w:p w14:paraId="3883402C">
            <w:pPr>
              <w:jc w:val="center"/>
              <w:rPr>
                <w:szCs w:val="21"/>
              </w:rPr>
            </w:pPr>
          </w:p>
        </w:tc>
        <w:tc>
          <w:tcPr>
            <w:tcW w:w="1356" w:type="dxa"/>
          </w:tcPr>
          <w:p w14:paraId="6717A291">
            <w:pPr>
              <w:jc w:val="center"/>
              <w:rPr>
                <w:szCs w:val="21"/>
              </w:rPr>
            </w:pPr>
          </w:p>
        </w:tc>
        <w:tc>
          <w:tcPr>
            <w:tcW w:w="1356" w:type="dxa"/>
          </w:tcPr>
          <w:p w14:paraId="48437A8B">
            <w:pPr>
              <w:jc w:val="center"/>
              <w:rPr>
                <w:szCs w:val="21"/>
              </w:rPr>
            </w:pPr>
          </w:p>
        </w:tc>
        <w:tc>
          <w:tcPr>
            <w:tcW w:w="1484" w:type="dxa"/>
          </w:tcPr>
          <w:p w14:paraId="46BAD4E2">
            <w:pPr>
              <w:jc w:val="center"/>
              <w:rPr>
                <w:szCs w:val="21"/>
              </w:rPr>
            </w:pPr>
          </w:p>
        </w:tc>
        <w:tc>
          <w:tcPr>
            <w:tcW w:w="1530" w:type="dxa"/>
          </w:tcPr>
          <w:p w14:paraId="75E462D7">
            <w:pPr>
              <w:jc w:val="center"/>
              <w:rPr>
                <w:szCs w:val="21"/>
              </w:rPr>
            </w:pPr>
          </w:p>
        </w:tc>
      </w:tr>
    </w:tbl>
    <w:p w14:paraId="2D241B64">
      <w:pPr>
        <w:rPr>
          <w:szCs w:val="21"/>
        </w:rPr>
      </w:pPr>
      <w:bookmarkStart w:id="22" w:name="_Hlk72095977"/>
      <w:r>
        <w:rPr>
          <w:rFonts w:hint="eastAsia"/>
          <w:szCs w:val="21"/>
        </w:rPr>
        <w:t>证明资料【如有的话，提供的证明资料应统一编号（排序），格式自定】</w:t>
      </w:r>
      <w:bookmarkEnd w:id="22"/>
      <w:r>
        <w:rPr>
          <w:rFonts w:hint="eastAsia"/>
          <w:szCs w:val="21"/>
        </w:rPr>
        <w:t>：</w:t>
      </w:r>
    </w:p>
    <w:p w14:paraId="35C67CE9">
      <w:pPr>
        <w:rPr>
          <w:b/>
          <w:szCs w:val="21"/>
        </w:rPr>
      </w:pPr>
    </w:p>
    <w:p w14:paraId="5D759DD8">
      <w:pPr>
        <w:ind w:firstLine="420" w:firstLineChars="200"/>
        <w:rPr>
          <w:bCs/>
          <w:szCs w:val="21"/>
        </w:rPr>
      </w:pPr>
      <w:r>
        <w:rPr>
          <w:rFonts w:hint="eastAsia"/>
          <w:bCs/>
          <w:szCs w:val="21"/>
        </w:rPr>
        <w:t>《技术要求偏离表》编制指引：</w:t>
      </w:r>
    </w:p>
    <w:p w14:paraId="274B3CAF">
      <w:pPr>
        <w:ind w:firstLine="420" w:firstLineChars="200"/>
        <w:rPr>
          <w:bCs/>
          <w:szCs w:val="21"/>
        </w:rPr>
      </w:pPr>
      <w:r>
        <w:rPr>
          <w:rFonts w:hint="eastAsia"/>
          <w:bCs/>
          <w:szCs w:val="21"/>
        </w:rPr>
        <w:t>1、技术要求偏离表的序号、货物名称、招标技术要求等栏目</w:t>
      </w:r>
      <w:bookmarkStart w:id="23" w:name="_Hlk72094407"/>
      <w:r>
        <w:rPr>
          <w:rFonts w:hint="eastAsia"/>
          <w:bCs/>
          <w:szCs w:val="21"/>
        </w:rPr>
        <w:t>对应“用户需求书”中的“技术要求”章节</w:t>
      </w:r>
      <w:bookmarkEnd w:id="23"/>
      <w:r>
        <w:rPr>
          <w:rFonts w:hint="eastAsia"/>
          <w:bCs/>
          <w:szCs w:val="21"/>
        </w:rPr>
        <w:t>相关内容。</w:t>
      </w:r>
    </w:p>
    <w:p w14:paraId="32B89CD4">
      <w:pPr>
        <w:ind w:firstLine="420" w:firstLineChars="200"/>
        <w:rPr>
          <w:color w:val="FF0000"/>
        </w:rPr>
      </w:pPr>
      <w:r>
        <w:t>2</w:t>
      </w:r>
      <w:r>
        <w:rPr>
          <w:rFonts w:hint="eastAsia"/>
        </w:rPr>
        <w:t>、“投标技术响应”一栏必须一一对照“招标技术要求”，详细填写投标人自身投标货物的具体参数，而不能不合理照搬照抄招标文件的技术要求，以体现具体响应情况。</w:t>
      </w:r>
      <w:r>
        <w:rPr>
          <w:rFonts w:hint="eastAsia"/>
          <w:color w:val="FF0000"/>
        </w:rPr>
        <w:t>“投标技术响应”必须与所投产品客观实际保持一致，响应不实且情节严重的，经查实，将依法记入供应商诚信档案或受到行政处罚。</w:t>
      </w:r>
    </w:p>
    <w:p w14:paraId="0876265F">
      <w:pPr>
        <w:ind w:firstLine="420" w:firstLineChars="200"/>
        <w:rPr>
          <w:bCs/>
          <w:color w:val="FF0000"/>
          <w:szCs w:val="21"/>
        </w:rPr>
      </w:pPr>
      <w:r>
        <w:rPr>
          <w:bCs/>
          <w:szCs w:val="21"/>
        </w:rPr>
        <w:t>3</w:t>
      </w:r>
      <w:r>
        <w:rPr>
          <w:rFonts w:hint="eastAsia"/>
          <w:bCs/>
          <w:szCs w:val="21"/>
        </w:rPr>
        <w:t>、</w:t>
      </w:r>
      <w:bookmarkStart w:id="24" w:name="_Hlk72158270"/>
      <w:r>
        <w:rPr>
          <w:rFonts w:hint="eastAsia"/>
          <w:bCs/>
          <w:szCs w:val="21"/>
        </w:rPr>
        <w:t>“偏离情况”</w:t>
      </w:r>
      <w:bookmarkEnd w:id="24"/>
      <w:r>
        <w:rPr>
          <w:rFonts w:hint="eastAsia"/>
          <w:bCs/>
          <w:szCs w:val="21"/>
        </w:rPr>
        <w:t>一栏填写如实填写“正偏离”、“负偏离”或“无偏离”，其中：</w:t>
      </w:r>
      <w:bookmarkStart w:id="25" w:name="_Hlk72093866"/>
      <w:r>
        <w:rPr>
          <w:rFonts w:hint="eastAsia"/>
          <w:bCs/>
          <w:szCs w:val="21"/>
        </w:rPr>
        <w:t>“正偏离”表示“投标响应优于招标技术要求”，“负偏离”表示“投标响应不满足招标技术要求”，“无偏离”表示“投标响应与招标技术要求一致”</w:t>
      </w:r>
      <w:bookmarkEnd w:id="25"/>
      <w:r>
        <w:rPr>
          <w:rFonts w:hint="eastAsia"/>
          <w:bCs/>
          <w:szCs w:val="21"/>
        </w:rPr>
        <w:t>。“投标技术响应”对比“招标技术要求”存在响应不全（包括未响应整项招标技术要求或者未响应一项招标技术要求的部分内容），均视为“负偏离”。带★号条款为不可负偏离条款，不作为评分准则中的评分内容，如未响应或出现负偏离的，将做投标无效处理。</w:t>
      </w:r>
      <w:r>
        <w:rPr>
          <w:rFonts w:hint="eastAsia"/>
          <w:bCs/>
          <w:color w:val="FF0000"/>
          <w:szCs w:val="21"/>
        </w:rPr>
        <w:t>“偏离情况”必须与所投产品客观实际保持一致，响应不实且情节严重的，经查实，将依法记入供应商诚信档案或受到行政处罚。</w:t>
      </w:r>
    </w:p>
    <w:p w14:paraId="32E79C02">
      <w:pPr>
        <w:ind w:firstLine="422" w:firstLineChars="200"/>
        <w:rPr>
          <w:b/>
          <w:szCs w:val="21"/>
        </w:rPr>
      </w:pPr>
      <w:r>
        <w:rPr>
          <w:b/>
          <w:szCs w:val="21"/>
        </w:rPr>
        <w:t>4</w:t>
      </w:r>
      <w:r>
        <w:rPr>
          <w:rFonts w:hint="eastAsia"/>
          <w:b/>
          <w:szCs w:val="21"/>
        </w:rPr>
        <w:t>、未要求提供证明资料的招标技术要求，可以不提供证明资料（如实响应即可）。</w:t>
      </w:r>
    </w:p>
    <w:p w14:paraId="507DCCCE">
      <w:pPr>
        <w:ind w:firstLine="422" w:firstLineChars="200"/>
        <w:rPr>
          <w:bCs/>
          <w:szCs w:val="21"/>
        </w:rPr>
      </w:pPr>
      <w:r>
        <w:rPr>
          <w:rFonts w:hint="eastAsia"/>
          <w:b/>
          <w:szCs w:val="21"/>
        </w:rPr>
        <w:t>5、</w:t>
      </w:r>
      <w:bookmarkStart w:id="26" w:name="_Hlk72096106"/>
      <w:r>
        <w:rPr>
          <w:rFonts w:hint="eastAsia"/>
          <w:b/>
          <w:szCs w:val="21"/>
        </w:rPr>
        <w:t>证明资料条款响应要求</w:t>
      </w:r>
      <w:bookmarkEnd w:id="26"/>
      <w:r>
        <w:rPr>
          <w:rFonts w:hint="eastAsia"/>
          <w:b/>
          <w:szCs w:val="21"/>
        </w:rPr>
        <w:t>：</w:t>
      </w:r>
      <w:r>
        <w:rPr>
          <w:rFonts w:hint="eastAsia"/>
          <w:bCs/>
          <w:szCs w:val="21"/>
        </w:rPr>
        <w:t>要求提供证明资料（且已对证明资料的形式、内容作出明确要求）进行响应的条款，应当在“说明”一栏中列明是否提供了符合要求的证明资料，以及所提供证明资料在表后“证明资料”中的编号（位置）,以便评审；</w:t>
      </w:r>
      <w:bookmarkStart w:id="27" w:name="_Hlk73558782"/>
      <w:r>
        <w:rPr>
          <w:rFonts w:hint="eastAsia"/>
          <w:bCs/>
          <w:szCs w:val="21"/>
        </w:rPr>
        <w:t>此类条款应严格依照要求的形式、内容提供证明资料，如未提供证明资料（或：证明资料的形式、内容等不符合要求；证明资料显示不符合招标技术要求；证明资料模糊不清无法判断或未显示是否满足招标技术要求），</w:t>
      </w:r>
      <w:bookmarkStart w:id="28" w:name="_Hlk73558164"/>
      <w:r>
        <w:rPr>
          <w:rFonts w:hint="eastAsia"/>
          <w:bCs/>
          <w:szCs w:val="21"/>
        </w:rPr>
        <w:t>且投标人在“偏离情况”一栏响应为“正偏离”或“无偏离”的，经评审委员会认定，将判定为负偏离。</w:t>
      </w:r>
      <w:bookmarkEnd w:id="27"/>
      <w:bookmarkEnd w:id="28"/>
    </w:p>
    <w:p w14:paraId="7FAE62F0">
      <w:pPr>
        <w:ind w:firstLine="420" w:firstLineChars="200"/>
        <w:rPr>
          <w:bCs/>
          <w:szCs w:val="21"/>
        </w:rPr>
      </w:pPr>
      <w:r>
        <w:rPr>
          <w:rFonts w:hint="eastAsia"/>
          <w:bCs/>
          <w:szCs w:val="21"/>
        </w:rPr>
        <w:t>6、</w:t>
      </w:r>
      <w:bookmarkStart w:id="29" w:name="_Hlk72096137"/>
      <w:r>
        <w:rPr>
          <w:rFonts w:hint="eastAsia"/>
          <w:bCs/>
          <w:szCs w:val="21"/>
        </w:rPr>
        <w:t>表后“证明资料”部分内容的编制</w:t>
      </w:r>
      <w:bookmarkEnd w:id="29"/>
      <w:r>
        <w:rPr>
          <w:rFonts w:hint="eastAsia"/>
          <w:bCs/>
          <w:szCs w:val="21"/>
        </w:rPr>
        <w:t>：提供的所有证明资料应当统一编号（排序），且证明资料的编号（顺序）、数量和名称（形式）均应与“说明”一栏所填内容保持一致（一一对应），以便评审委员会查看。</w:t>
      </w:r>
      <w:bookmarkStart w:id="30" w:name="_Hlk73558180"/>
      <w:r>
        <w:rPr>
          <w:rFonts w:hint="eastAsia"/>
          <w:bCs/>
          <w:szCs w:val="21"/>
        </w:rPr>
        <w:t>未按照招标文件要求在表后放置证明材料的供应商将承担不利后果，经评审委员会认定，相关技术要求将判定为负偏离。</w:t>
      </w:r>
      <w:bookmarkEnd w:id="30"/>
    </w:p>
    <w:p w14:paraId="7C3BA371">
      <w:pPr>
        <w:ind w:firstLine="422" w:firstLineChars="200"/>
        <w:rPr>
          <w:b/>
          <w:szCs w:val="21"/>
        </w:rPr>
      </w:pPr>
      <w:r>
        <w:rPr>
          <w:rFonts w:hint="eastAsia"/>
          <w:b/>
          <w:szCs w:val="21"/>
        </w:rPr>
        <w:t>7、</w:t>
      </w:r>
      <w:bookmarkStart w:id="31" w:name="_Hlk72096176"/>
      <w:r>
        <w:rPr>
          <w:rFonts w:hint="eastAsia"/>
          <w:b/>
          <w:szCs w:val="21"/>
        </w:rPr>
        <w:t>证明资料的形式及其它具体要求</w:t>
      </w:r>
      <w:bookmarkEnd w:id="31"/>
      <w:r>
        <w:rPr>
          <w:rFonts w:hint="eastAsia"/>
          <w:b/>
          <w:szCs w:val="21"/>
        </w:rPr>
        <w:t>：</w:t>
      </w:r>
    </w:p>
    <w:p w14:paraId="2A237C10">
      <w:pPr>
        <w:ind w:firstLine="420" w:firstLineChars="200"/>
        <w:rPr>
          <w:bCs/>
          <w:szCs w:val="21"/>
        </w:rPr>
      </w:pPr>
      <w:r>
        <w:rPr>
          <w:rFonts w:hint="eastAsia"/>
          <w:bCs/>
          <w:szCs w:val="21"/>
        </w:rPr>
        <w:t>（1）除照片、图片（截图）及不需加盖公章的文字说明（技术说明）外，其它证明资料均要求为原件扫描件；</w:t>
      </w:r>
    </w:p>
    <w:p w14:paraId="3388B39D">
      <w:pPr>
        <w:ind w:firstLine="420" w:firstLineChars="200"/>
        <w:rPr>
          <w:bCs/>
          <w:szCs w:val="21"/>
        </w:rPr>
      </w:pPr>
      <w:r>
        <w:rPr>
          <w:rFonts w:hint="eastAsia"/>
          <w:bCs/>
          <w:szCs w:val="21"/>
        </w:rPr>
        <w:t>（2）提供证明资料的形式包括但不限于：a.制造商公布（出具）的产品说明书、产品彩页；b.我国政府机构出具的产品检验和核准证件等；c.第三方机构出具的检测（检验、测试）报告、认证证书等；已对证明资料的形式、内容作出具体要求的，必须严格按要求的形式、内容提供证明资料；</w:t>
      </w:r>
    </w:p>
    <w:p w14:paraId="1523AF98">
      <w:pPr>
        <w:ind w:firstLine="420" w:firstLineChars="200"/>
        <w:rPr>
          <w:bCs/>
          <w:szCs w:val="21"/>
        </w:rPr>
      </w:pPr>
      <w:r>
        <w:rPr>
          <w:rFonts w:hint="eastAsia"/>
          <w:bCs/>
          <w:szCs w:val="21"/>
        </w:rPr>
        <w:t>（3）产品说明书或彩页应为制造商公布（出具）的中文产品说明书或彩页；提供外文说明书或彩页的，必须同时提供加盖制造商公章的对应中文翻译说明，评标依据以中文翻译内容为准，外文说明书或彩页仅供参考；产品说明书或彩页的尺寸和清晰度应该能够在电脑上被阅读、识别和判断；</w:t>
      </w:r>
    </w:p>
    <w:p w14:paraId="2A256343">
      <w:pPr>
        <w:ind w:firstLine="420" w:firstLineChars="200"/>
        <w:rPr>
          <w:bCs/>
          <w:szCs w:val="21"/>
        </w:rPr>
      </w:pPr>
      <w:r>
        <w:rPr>
          <w:rFonts w:hint="eastAsia"/>
          <w:bCs/>
          <w:szCs w:val="21"/>
        </w:rPr>
        <w:t>我国政府机构出具的产品检验和核准证件应为证件正面、背面和附件标注的全部具体内容；产品检验和核准证件的尺寸和清晰度应该能够在电脑上被阅读、识别和判断；</w:t>
      </w:r>
    </w:p>
    <w:p w14:paraId="11FAA1FD">
      <w:pPr>
        <w:ind w:firstLine="420" w:firstLineChars="200"/>
        <w:rPr>
          <w:bCs/>
          <w:szCs w:val="21"/>
        </w:rPr>
      </w:pPr>
      <w:r>
        <w:rPr>
          <w:rFonts w:hint="eastAsia"/>
          <w:bCs/>
          <w:szCs w:val="21"/>
        </w:rPr>
        <w:t>第三方机构出具的检测（检验、测试）报告、认证（证明）证书应为中文报告或证书；提供外文报告或证书的，必须同时提供对应的中文翻译文字说明，评标依据以中文翻译文字说明内容为准，外文报告或证书仅供参考；报告或证书的尺寸和清晰度应该能够在电脑上被阅读、识别和判断；</w:t>
      </w:r>
    </w:p>
    <w:p w14:paraId="3ED35820">
      <w:pPr>
        <w:ind w:firstLine="420" w:firstLineChars="200"/>
        <w:rPr>
          <w:bCs/>
          <w:szCs w:val="21"/>
        </w:rPr>
      </w:pPr>
      <w:r>
        <w:rPr>
          <w:rFonts w:hint="eastAsia"/>
          <w:bCs/>
          <w:szCs w:val="21"/>
        </w:rPr>
        <w:t>其它证明资料的形式要求参照以上要求执行；</w:t>
      </w:r>
    </w:p>
    <w:p w14:paraId="6A40B80D">
      <w:pPr>
        <w:ind w:firstLine="420" w:firstLineChars="200"/>
        <w:rPr>
          <w:rFonts w:hint="eastAsia"/>
          <w:bCs/>
          <w:color w:val="FF0000"/>
          <w:szCs w:val="21"/>
          <w:lang w:val="en-US" w:eastAsia="zh-CN"/>
        </w:rPr>
      </w:pPr>
      <w:r>
        <w:rPr>
          <w:rFonts w:hint="eastAsia"/>
          <w:bCs/>
          <w:color w:val="FF0000"/>
          <w:szCs w:val="21"/>
          <w:lang w:val="en-US" w:eastAsia="zh-CN"/>
        </w:rPr>
        <w:t>8、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p>
    <w:p w14:paraId="42D80766">
      <w:pPr>
        <w:ind w:firstLine="420" w:firstLineChars="200"/>
        <w:rPr>
          <w:bCs/>
          <w:szCs w:val="21"/>
        </w:rPr>
      </w:pPr>
      <w:r>
        <w:rPr>
          <w:rFonts w:hint="eastAsia"/>
          <w:bCs/>
          <w:szCs w:val="21"/>
          <w:lang w:val="en-US" w:eastAsia="zh-CN"/>
        </w:rPr>
        <w:t>9</w:t>
      </w:r>
      <w:r>
        <w:rPr>
          <w:rFonts w:hint="eastAsia"/>
          <w:bCs/>
          <w:szCs w:val="21"/>
        </w:rPr>
        <w:t>、其它注意事项：</w:t>
      </w:r>
    </w:p>
    <w:p w14:paraId="5BA28136">
      <w:pPr>
        <w:ind w:firstLine="420" w:firstLineChars="200"/>
        <w:rPr>
          <w:bCs/>
          <w:szCs w:val="21"/>
        </w:rPr>
      </w:pPr>
      <w:r>
        <w:rPr>
          <w:rFonts w:hint="eastAsia"/>
          <w:bCs/>
          <w:szCs w:val="21"/>
        </w:rPr>
        <w:t>（1）评审委员会有权对投标人的响应情况作出判断（评审结论）；</w:t>
      </w:r>
    </w:p>
    <w:p w14:paraId="22FCD82B">
      <w:pPr>
        <w:ind w:firstLine="420" w:firstLineChars="200"/>
        <w:rPr>
          <w:bCs/>
          <w:szCs w:val="21"/>
        </w:rPr>
      </w:pPr>
      <w:r>
        <w:rPr>
          <w:rFonts w:hint="eastAsia"/>
          <w:bCs/>
          <w:szCs w:val="21"/>
        </w:rPr>
        <w:t>（2）</w:t>
      </w:r>
      <w:bookmarkStart w:id="32" w:name="_Hlk72158213"/>
      <w:r>
        <w:rPr>
          <w:rFonts w:hint="eastAsia"/>
          <w:bCs/>
          <w:szCs w:val="21"/>
        </w:rPr>
        <w:t>评审委员会有权对以谋取中标为目的的技术规格模糊响应（如有意不合理照搬照抄招标文件的技术要求）或虚假响应予以认定，并视情况经政府集中采购机构报主管部门进行处理。</w:t>
      </w:r>
      <w:bookmarkEnd w:id="32"/>
    </w:p>
    <w:p w14:paraId="4C022753">
      <w:pPr>
        <w:rPr>
          <w:rFonts w:ascii="宋体" w:hAnsi="宋体"/>
          <w:bCs/>
          <w:szCs w:val="21"/>
        </w:rPr>
      </w:pPr>
    </w:p>
    <w:p w14:paraId="61F3D9AD">
      <w:pPr>
        <w:pStyle w:val="4"/>
        <w:jc w:val="center"/>
        <w:rPr>
          <w:rFonts w:hint="eastAsia" w:ascii="宋体" w:hAnsi="宋体"/>
          <w:color w:val="000000"/>
          <w:szCs w:val="21"/>
        </w:rPr>
      </w:pPr>
      <w:r>
        <w:rPr>
          <w:rFonts w:ascii="黑体"/>
          <w:b/>
          <w:sz w:val="24"/>
        </w:rPr>
        <w:br w:type="page"/>
      </w:r>
      <w:r>
        <w:rPr>
          <w:rFonts w:hint="eastAsia"/>
          <w:b w:val="0"/>
        </w:rPr>
        <w:t>（</w:t>
      </w:r>
      <w:r>
        <w:rPr>
          <w:rFonts w:hint="eastAsia"/>
          <w:b w:val="0"/>
          <w:lang w:val="en-US" w:eastAsia="zh-CN"/>
        </w:rPr>
        <w:t>二</w:t>
      </w:r>
      <w:r>
        <w:rPr>
          <w:rFonts w:hint="eastAsia"/>
          <w:b w:val="0"/>
        </w:rPr>
        <w:t>）实施方案</w:t>
      </w:r>
    </w:p>
    <w:p w14:paraId="41F8134B">
      <w:pPr>
        <w:spacing w:line="400" w:lineRule="exact"/>
        <w:ind w:firstLine="840" w:firstLineChars="400"/>
        <w:rPr>
          <w:rFonts w:hint="eastAsia" w:ascii="宋体" w:hAnsi="宋体"/>
          <w:color w:val="000000"/>
          <w:szCs w:val="21"/>
        </w:rPr>
      </w:pPr>
    </w:p>
    <w:p w14:paraId="18DDF0F5">
      <w:pPr>
        <w:pStyle w:val="4"/>
        <w:jc w:val="center"/>
        <w:rPr>
          <w:rFonts w:hint="eastAsia"/>
          <w:b w:val="0"/>
          <w:lang w:val="en-US" w:eastAsia="zh-CN"/>
        </w:rPr>
      </w:pPr>
      <w:r>
        <w:rPr>
          <w:rFonts w:hint="eastAsia"/>
          <w:b w:val="0"/>
        </w:rPr>
        <w:t>（</w:t>
      </w:r>
      <w:r>
        <w:rPr>
          <w:rFonts w:hint="eastAsia"/>
          <w:b w:val="0"/>
          <w:lang w:val="en-US" w:eastAsia="zh-CN"/>
        </w:rPr>
        <w:t>三</w:t>
      </w:r>
      <w:r>
        <w:rPr>
          <w:rFonts w:hint="eastAsia"/>
          <w:b w:val="0"/>
        </w:rPr>
        <w:t>）项目重点难点分析、应对措施及相关的合理化建议</w:t>
      </w:r>
    </w:p>
    <w:p w14:paraId="784E7A07">
      <w:pPr>
        <w:spacing w:line="400" w:lineRule="exact"/>
        <w:ind w:firstLine="840" w:firstLineChars="400"/>
        <w:rPr>
          <w:rFonts w:hint="eastAsia" w:cs="Times New Roman"/>
          <w:color w:val="000000"/>
          <w:kern w:val="2"/>
          <w:sz w:val="21"/>
          <w:szCs w:val="24"/>
          <w:lang w:val="en-US" w:eastAsia="zh-CN" w:bidi="ar-SA"/>
        </w:rPr>
      </w:pPr>
    </w:p>
    <w:p w14:paraId="610B8DD0">
      <w:pPr>
        <w:pStyle w:val="4"/>
        <w:jc w:val="center"/>
        <w:rPr>
          <w:rFonts w:hint="eastAsia"/>
          <w:b w:val="0"/>
          <w:lang w:val="en-US" w:eastAsia="zh-CN"/>
        </w:rPr>
      </w:pPr>
      <w:r>
        <w:rPr>
          <w:rFonts w:hint="eastAsia"/>
          <w:b w:val="0"/>
          <w:lang w:val="en-US" w:eastAsia="zh-CN"/>
        </w:rPr>
        <w:t>（四）售后服务方案</w:t>
      </w:r>
    </w:p>
    <w:p w14:paraId="75058245">
      <w:pPr>
        <w:rPr>
          <w:szCs w:val="21"/>
        </w:rPr>
      </w:pPr>
    </w:p>
    <w:p w14:paraId="39AF44E2">
      <w:pPr>
        <w:rPr>
          <w:rFonts w:hAnsi="宋体"/>
          <w:b/>
          <w:bCs/>
          <w:color w:val="FF0000"/>
          <w:sz w:val="24"/>
        </w:rPr>
      </w:pPr>
    </w:p>
    <w:p w14:paraId="3F486172"/>
    <w:p w14:paraId="5D59CF25">
      <w:pPr>
        <w:widowControl/>
        <w:jc w:val="left"/>
        <w:rPr>
          <w:rFonts w:ascii="宋体" w:hAnsi="宋体"/>
          <w:b/>
          <w:szCs w:val="21"/>
        </w:rPr>
      </w:pPr>
      <w:r>
        <w:rPr>
          <w:rFonts w:ascii="宋体" w:hAnsi="宋体"/>
          <w:b/>
          <w:szCs w:val="21"/>
        </w:rPr>
        <w:br w:type="page"/>
      </w:r>
    </w:p>
    <w:p w14:paraId="13F0207C">
      <w:pPr>
        <w:spacing w:line="480" w:lineRule="exact"/>
        <w:rPr>
          <w:rFonts w:ascii="宋体" w:hAnsi="宋体"/>
          <w:b/>
          <w:szCs w:val="21"/>
        </w:rPr>
      </w:pPr>
    </w:p>
    <w:p w14:paraId="5A2C76E7">
      <w:pPr>
        <w:pStyle w:val="3"/>
        <w:jc w:val="center"/>
        <w:rPr>
          <w:rFonts w:ascii="Arial" w:hAnsi="Arial" w:eastAsia="黑体"/>
          <w:b w:val="0"/>
          <w:szCs w:val="28"/>
        </w:rPr>
      </w:pPr>
      <w:r>
        <w:rPr>
          <w:rFonts w:hint="eastAsia" w:ascii="Arial" w:hAnsi="Arial" w:eastAsia="黑体"/>
          <w:b w:val="0"/>
          <w:szCs w:val="28"/>
        </w:rPr>
        <w:t>三、综合实力部分</w:t>
      </w:r>
    </w:p>
    <w:p w14:paraId="6E1E7F3B">
      <w:pPr>
        <w:keepNext/>
        <w:keepLines/>
        <w:spacing w:before="280" w:after="290" w:line="374" w:lineRule="auto"/>
        <w:jc w:val="left"/>
        <w:outlineLvl w:val="3"/>
        <w:rPr>
          <w:rFonts w:ascii="黑体" w:hAnsi="Arial" w:eastAsia="黑体"/>
          <w:bCs/>
          <w:sz w:val="24"/>
          <w:szCs w:val="28"/>
        </w:rPr>
      </w:pPr>
      <w:r>
        <w:rPr>
          <w:rFonts w:hint="eastAsia" w:ascii="黑体" w:hAnsi="Arial" w:eastAsia="黑体"/>
          <w:bCs/>
          <w:sz w:val="24"/>
          <w:szCs w:val="28"/>
        </w:rPr>
        <w:t>（一）免费保修期内售后服务要求</w:t>
      </w:r>
    </w:p>
    <w:tbl>
      <w:tblPr>
        <w:tblStyle w:val="34"/>
        <w:tblW w:w="85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9"/>
        <w:gridCol w:w="1639"/>
        <w:gridCol w:w="1639"/>
        <w:gridCol w:w="1794"/>
        <w:gridCol w:w="1850"/>
      </w:tblGrid>
      <w:tr w14:paraId="07D48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1639" w:type="dxa"/>
            <w:vAlign w:val="center"/>
          </w:tcPr>
          <w:p w14:paraId="144E6340">
            <w:pPr>
              <w:jc w:val="center"/>
              <w:rPr>
                <w:szCs w:val="21"/>
              </w:rPr>
            </w:pPr>
            <w:bookmarkStart w:id="33" w:name="bt项目管理班子配备情况"/>
            <w:bookmarkEnd w:id="33"/>
            <w:r>
              <w:rPr>
                <w:rFonts w:hint="eastAsia"/>
                <w:szCs w:val="21"/>
              </w:rPr>
              <w:t>序号</w:t>
            </w:r>
          </w:p>
        </w:tc>
        <w:tc>
          <w:tcPr>
            <w:tcW w:w="1639" w:type="dxa"/>
            <w:vAlign w:val="center"/>
          </w:tcPr>
          <w:p w14:paraId="29D93E5C">
            <w:pPr>
              <w:jc w:val="center"/>
              <w:rPr>
                <w:szCs w:val="21"/>
              </w:rPr>
            </w:pPr>
            <w:r>
              <w:rPr>
                <w:rFonts w:hint="eastAsia"/>
                <w:szCs w:val="21"/>
              </w:rPr>
              <w:t>招标服务要求</w:t>
            </w:r>
          </w:p>
        </w:tc>
        <w:tc>
          <w:tcPr>
            <w:tcW w:w="1639" w:type="dxa"/>
            <w:vAlign w:val="center"/>
          </w:tcPr>
          <w:p w14:paraId="53FE0B3A">
            <w:pPr>
              <w:jc w:val="center"/>
              <w:rPr>
                <w:szCs w:val="21"/>
              </w:rPr>
            </w:pPr>
            <w:r>
              <w:rPr>
                <w:rFonts w:hint="eastAsia"/>
                <w:szCs w:val="21"/>
              </w:rPr>
              <w:t>投标服务响应</w:t>
            </w:r>
          </w:p>
        </w:tc>
        <w:tc>
          <w:tcPr>
            <w:tcW w:w="1794" w:type="dxa"/>
            <w:vAlign w:val="center"/>
          </w:tcPr>
          <w:p w14:paraId="7ACB58FB">
            <w:pPr>
              <w:jc w:val="center"/>
              <w:rPr>
                <w:szCs w:val="21"/>
              </w:rPr>
            </w:pPr>
            <w:r>
              <w:rPr>
                <w:rFonts w:hint="eastAsia"/>
                <w:szCs w:val="21"/>
              </w:rPr>
              <w:t>偏离情况</w:t>
            </w:r>
          </w:p>
        </w:tc>
        <w:tc>
          <w:tcPr>
            <w:tcW w:w="1850" w:type="dxa"/>
            <w:vAlign w:val="center"/>
          </w:tcPr>
          <w:p w14:paraId="005EBA5F">
            <w:pPr>
              <w:jc w:val="center"/>
              <w:rPr>
                <w:szCs w:val="21"/>
              </w:rPr>
            </w:pPr>
            <w:r>
              <w:rPr>
                <w:rFonts w:hint="eastAsia"/>
                <w:szCs w:val="21"/>
              </w:rPr>
              <w:t>说明</w:t>
            </w:r>
          </w:p>
        </w:tc>
      </w:tr>
      <w:tr w14:paraId="73895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39" w:type="dxa"/>
          </w:tcPr>
          <w:p w14:paraId="3404FBB9">
            <w:pPr>
              <w:jc w:val="center"/>
              <w:rPr>
                <w:szCs w:val="21"/>
              </w:rPr>
            </w:pPr>
          </w:p>
        </w:tc>
        <w:tc>
          <w:tcPr>
            <w:tcW w:w="1639" w:type="dxa"/>
          </w:tcPr>
          <w:p w14:paraId="019604E4">
            <w:pPr>
              <w:jc w:val="center"/>
              <w:rPr>
                <w:szCs w:val="21"/>
              </w:rPr>
            </w:pPr>
          </w:p>
        </w:tc>
        <w:tc>
          <w:tcPr>
            <w:tcW w:w="1639" w:type="dxa"/>
          </w:tcPr>
          <w:p w14:paraId="1B5390DE">
            <w:pPr>
              <w:jc w:val="center"/>
              <w:rPr>
                <w:szCs w:val="21"/>
              </w:rPr>
            </w:pPr>
          </w:p>
        </w:tc>
        <w:tc>
          <w:tcPr>
            <w:tcW w:w="1794" w:type="dxa"/>
          </w:tcPr>
          <w:p w14:paraId="7F652919">
            <w:pPr>
              <w:jc w:val="center"/>
              <w:rPr>
                <w:szCs w:val="21"/>
              </w:rPr>
            </w:pPr>
          </w:p>
        </w:tc>
        <w:tc>
          <w:tcPr>
            <w:tcW w:w="1850" w:type="dxa"/>
          </w:tcPr>
          <w:p w14:paraId="71C6044F">
            <w:pPr>
              <w:jc w:val="center"/>
              <w:rPr>
                <w:szCs w:val="21"/>
              </w:rPr>
            </w:pPr>
          </w:p>
        </w:tc>
      </w:tr>
      <w:tr w14:paraId="13D6C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39" w:type="dxa"/>
          </w:tcPr>
          <w:p w14:paraId="79155C83">
            <w:pPr>
              <w:jc w:val="center"/>
              <w:rPr>
                <w:szCs w:val="21"/>
              </w:rPr>
            </w:pPr>
          </w:p>
        </w:tc>
        <w:tc>
          <w:tcPr>
            <w:tcW w:w="1639" w:type="dxa"/>
          </w:tcPr>
          <w:p w14:paraId="4FB2FA23">
            <w:pPr>
              <w:jc w:val="center"/>
              <w:rPr>
                <w:szCs w:val="21"/>
              </w:rPr>
            </w:pPr>
          </w:p>
        </w:tc>
        <w:tc>
          <w:tcPr>
            <w:tcW w:w="1639" w:type="dxa"/>
          </w:tcPr>
          <w:p w14:paraId="3EBBF1A7">
            <w:pPr>
              <w:jc w:val="center"/>
              <w:rPr>
                <w:szCs w:val="21"/>
              </w:rPr>
            </w:pPr>
          </w:p>
        </w:tc>
        <w:tc>
          <w:tcPr>
            <w:tcW w:w="1794" w:type="dxa"/>
          </w:tcPr>
          <w:p w14:paraId="0420A0C5">
            <w:pPr>
              <w:jc w:val="center"/>
              <w:rPr>
                <w:szCs w:val="21"/>
              </w:rPr>
            </w:pPr>
          </w:p>
        </w:tc>
        <w:tc>
          <w:tcPr>
            <w:tcW w:w="1850" w:type="dxa"/>
          </w:tcPr>
          <w:p w14:paraId="7C696950">
            <w:pPr>
              <w:jc w:val="center"/>
              <w:rPr>
                <w:szCs w:val="21"/>
              </w:rPr>
            </w:pPr>
          </w:p>
        </w:tc>
      </w:tr>
      <w:tr w14:paraId="13263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39" w:type="dxa"/>
          </w:tcPr>
          <w:p w14:paraId="11F6F4A8">
            <w:pPr>
              <w:jc w:val="center"/>
              <w:rPr>
                <w:szCs w:val="21"/>
              </w:rPr>
            </w:pPr>
          </w:p>
        </w:tc>
        <w:tc>
          <w:tcPr>
            <w:tcW w:w="1639" w:type="dxa"/>
          </w:tcPr>
          <w:p w14:paraId="6CD6CB39">
            <w:pPr>
              <w:jc w:val="center"/>
              <w:rPr>
                <w:szCs w:val="21"/>
              </w:rPr>
            </w:pPr>
          </w:p>
        </w:tc>
        <w:tc>
          <w:tcPr>
            <w:tcW w:w="1639" w:type="dxa"/>
          </w:tcPr>
          <w:p w14:paraId="759C6990">
            <w:pPr>
              <w:jc w:val="center"/>
              <w:rPr>
                <w:szCs w:val="21"/>
              </w:rPr>
            </w:pPr>
          </w:p>
        </w:tc>
        <w:tc>
          <w:tcPr>
            <w:tcW w:w="1794" w:type="dxa"/>
          </w:tcPr>
          <w:p w14:paraId="45A03B7B">
            <w:pPr>
              <w:jc w:val="center"/>
              <w:rPr>
                <w:szCs w:val="21"/>
              </w:rPr>
            </w:pPr>
          </w:p>
        </w:tc>
        <w:tc>
          <w:tcPr>
            <w:tcW w:w="1850" w:type="dxa"/>
          </w:tcPr>
          <w:p w14:paraId="41A64E33">
            <w:pPr>
              <w:jc w:val="center"/>
              <w:rPr>
                <w:szCs w:val="21"/>
              </w:rPr>
            </w:pPr>
          </w:p>
        </w:tc>
      </w:tr>
      <w:tr w14:paraId="49843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39" w:type="dxa"/>
          </w:tcPr>
          <w:p w14:paraId="571C1063">
            <w:pPr>
              <w:jc w:val="center"/>
              <w:rPr>
                <w:szCs w:val="21"/>
              </w:rPr>
            </w:pPr>
          </w:p>
        </w:tc>
        <w:tc>
          <w:tcPr>
            <w:tcW w:w="1639" w:type="dxa"/>
          </w:tcPr>
          <w:p w14:paraId="5B430446">
            <w:pPr>
              <w:jc w:val="center"/>
              <w:rPr>
                <w:szCs w:val="21"/>
              </w:rPr>
            </w:pPr>
          </w:p>
        </w:tc>
        <w:tc>
          <w:tcPr>
            <w:tcW w:w="1639" w:type="dxa"/>
          </w:tcPr>
          <w:p w14:paraId="59D5E86D">
            <w:pPr>
              <w:jc w:val="center"/>
              <w:rPr>
                <w:szCs w:val="21"/>
              </w:rPr>
            </w:pPr>
          </w:p>
        </w:tc>
        <w:tc>
          <w:tcPr>
            <w:tcW w:w="1794" w:type="dxa"/>
          </w:tcPr>
          <w:p w14:paraId="039302DB">
            <w:pPr>
              <w:jc w:val="center"/>
              <w:rPr>
                <w:szCs w:val="21"/>
              </w:rPr>
            </w:pPr>
          </w:p>
        </w:tc>
        <w:tc>
          <w:tcPr>
            <w:tcW w:w="1850" w:type="dxa"/>
          </w:tcPr>
          <w:p w14:paraId="128688E0">
            <w:pPr>
              <w:jc w:val="center"/>
              <w:rPr>
                <w:szCs w:val="21"/>
              </w:rPr>
            </w:pPr>
          </w:p>
        </w:tc>
      </w:tr>
      <w:tr w14:paraId="5B7AD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639" w:type="dxa"/>
          </w:tcPr>
          <w:p w14:paraId="10D0C953">
            <w:pPr>
              <w:jc w:val="center"/>
              <w:rPr>
                <w:szCs w:val="21"/>
              </w:rPr>
            </w:pPr>
          </w:p>
        </w:tc>
        <w:tc>
          <w:tcPr>
            <w:tcW w:w="1639" w:type="dxa"/>
          </w:tcPr>
          <w:p w14:paraId="42E3713F">
            <w:pPr>
              <w:jc w:val="center"/>
              <w:rPr>
                <w:szCs w:val="21"/>
              </w:rPr>
            </w:pPr>
          </w:p>
        </w:tc>
        <w:tc>
          <w:tcPr>
            <w:tcW w:w="1639" w:type="dxa"/>
          </w:tcPr>
          <w:p w14:paraId="67136AB7">
            <w:pPr>
              <w:jc w:val="center"/>
              <w:rPr>
                <w:szCs w:val="21"/>
              </w:rPr>
            </w:pPr>
          </w:p>
        </w:tc>
        <w:tc>
          <w:tcPr>
            <w:tcW w:w="1794" w:type="dxa"/>
          </w:tcPr>
          <w:p w14:paraId="2AFE589F">
            <w:pPr>
              <w:jc w:val="center"/>
              <w:rPr>
                <w:szCs w:val="21"/>
              </w:rPr>
            </w:pPr>
          </w:p>
        </w:tc>
        <w:tc>
          <w:tcPr>
            <w:tcW w:w="1850" w:type="dxa"/>
          </w:tcPr>
          <w:p w14:paraId="65D6C750">
            <w:pPr>
              <w:jc w:val="center"/>
              <w:rPr>
                <w:szCs w:val="21"/>
              </w:rPr>
            </w:pPr>
          </w:p>
        </w:tc>
      </w:tr>
    </w:tbl>
    <w:p w14:paraId="56E78954">
      <w:pPr>
        <w:rPr>
          <w:szCs w:val="21"/>
        </w:rPr>
      </w:pPr>
      <w:r>
        <w:rPr>
          <w:rFonts w:hint="eastAsia"/>
          <w:szCs w:val="21"/>
        </w:rPr>
        <w:t xml:space="preserve">注： </w:t>
      </w:r>
    </w:p>
    <w:p w14:paraId="528C9A17">
      <w:pPr>
        <w:rPr>
          <w:rFonts w:ascii="宋体" w:hAnsi="宋体"/>
          <w:szCs w:val="21"/>
        </w:rPr>
      </w:pPr>
      <w:r>
        <w:rPr>
          <w:rFonts w:hint="eastAsia" w:ascii="宋体" w:hAnsi="宋体"/>
          <w:szCs w:val="21"/>
        </w:rPr>
        <w:t>1、“招标服务要求”一栏应填写采购文件第二章二、</w:t>
      </w:r>
      <w:r>
        <w:rPr>
          <w:rFonts w:hint="eastAsia" w:ascii="宋体" w:hAnsi="宋体"/>
          <w:kern w:val="0"/>
          <w:szCs w:val="21"/>
        </w:rPr>
        <w:t>项目商务要求</w:t>
      </w:r>
      <w:r>
        <w:rPr>
          <w:rFonts w:hint="eastAsia" w:ascii="宋体" w:hAnsi="宋体"/>
          <w:szCs w:val="21"/>
        </w:rPr>
        <w:t>中“</w:t>
      </w:r>
      <w:r>
        <w:rPr>
          <w:rFonts w:hint="eastAsia" w:ascii="宋体" w:hAnsi="宋体"/>
          <w:b/>
          <w:szCs w:val="21"/>
        </w:rPr>
        <w:t>（二）免费保修期内售后服务要求</w:t>
      </w:r>
      <w:r>
        <w:rPr>
          <w:rFonts w:hint="eastAsia" w:ascii="宋体" w:hAnsi="宋体"/>
          <w:szCs w:val="21"/>
        </w:rPr>
        <w:t>”的内容；</w:t>
      </w:r>
    </w:p>
    <w:p w14:paraId="2AB21AEF">
      <w:pPr>
        <w:rPr>
          <w:rFonts w:ascii="宋体" w:hAnsi="宋体"/>
          <w:szCs w:val="21"/>
        </w:rPr>
      </w:pPr>
      <w:r>
        <w:rPr>
          <w:rFonts w:hint="eastAsia" w:ascii="宋体" w:hAnsi="宋体"/>
          <w:szCs w:val="21"/>
        </w:rPr>
        <w:t>2、“投标服务响应”一栏必须详细填写，并对照招标免费保修期内售后服务要求一一对应响应；</w:t>
      </w:r>
    </w:p>
    <w:p w14:paraId="3F46B39D">
      <w:pPr>
        <w:rPr>
          <w:rFonts w:ascii="宋体" w:hAnsi="宋体"/>
          <w:szCs w:val="21"/>
        </w:rPr>
      </w:pPr>
      <w:r>
        <w:rPr>
          <w:rFonts w:hint="eastAsia" w:ascii="宋体" w:hAnsi="宋体"/>
          <w:szCs w:val="21"/>
        </w:rPr>
        <w:t>3、“偏离情况”一栏应如实填写“正偏离”、“负偏离”或“无偏离”。</w:t>
      </w:r>
    </w:p>
    <w:p w14:paraId="656E2D65">
      <w:pPr>
        <w:rPr>
          <w:b/>
        </w:rPr>
      </w:pPr>
    </w:p>
    <w:p w14:paraId="05B070BB">
      <w:pPr>
        <w:keepNext/>
        <w:keepLines/>
        <w:spacing w:before="280" w:after="290" w:line="374" w:lineRule="auto"/>
        <w:jc w:val="both"/>
        <w:outlineLvl w:val="3"/>
        <w:rPr>
          <w:rFonts w:ascii="黑体" w:hAnsi="Arial" w:eastAsia="黑体"/>
          <w:bCs/>
          <w:sz w:val="24"/>
          <w:szCs w:val="28"/>
        </w:rPr>
      </w:pPr>
      <w:r>
        <w:rPr>
          <w:rFonts w:hint="eastAsia" w:ascii="黑体" w:hAnsi="Arial" w:eastAsia="黑体"/>
          <w:bCs/>
          <w:sz w:val="24"/>
          <w:szCs w:val="28"/>
        </w:rPr>
        <w:t>（二）商务需求偏离情况</w:t>
      </w:r>
    </w:p>
    <w:p w14:paraId="4C552DF0">
      <w:pPr>
        <w:jc w:val="both"/>
      </w:pPr>
      <w:r>
        <w:rPr>
          <w:rFonts w:hint="eastAsia"/>
        </w:rPr>
        <w:t>请按照招标文件要求提供相关证明文件。</w:t>
      </w:r>
    </w:p>
    <w:p w14:paraId="0EE65926">
      <w:pPr>
        <w:spacing w:after="120"/>
        <w:ind w:left="420" w:leftChars="200" w:firstLine="420" w:firstLineChars="200"/>
        <w:jc w:val="both"/>
      </w:pPr>
    </w:p>
    <w:p w14:paraId="68A31D4C">
      <w:pPr>
        <w:spacing w:after="120"/>
        <w:ind w:left="420" w:leftChars="200" w:firstLine="420" w:firstLineChars="200"/>
      </w:pPr>
    </w:p>
    <w:p w14:paraId="6A5BFC9D">
      <w:pPr>
        <w:spacing w:after="120"/>
        <w:ind w:left="420" w:leftChars="200" w:firstLine="420" w:firstLineChars="200"/>
      </w:pPr>
    </w:p>
    <w:p w14:paraId="0BED8D06"/>
    <w:p w14:paraId="5A3F0D7D">
      <w:pPr>
        <w:pStyle w:val="3"/>
        <w:jc w:val="center"/>
        <w:rPr>
          <w:rFonts w:ascii="Arial" w:hAnsi="Arial" w:eastAsia="黑体"/>
          <w:b w:val="0"/>
          <w:szCs w:val="28"/>
        </w:rPr>
      </w:pPr>
      <w:r>
        <w:rPr>
          <w:rFonts w:hint="eastAsia" w:ascii="Arial" w:hAnsi="Arial" w:eastAsia="黑体"/>
          <w:b w:val="0"/>
          <w:szCs w:val="28"/>
        </w:rPr>
        <w:t>四、</w:t>
      </w:r>
      <w:r>
        <w:rPr>
          <w:rFonts w:hint="eastAsia" w:ascii="Arial" w:hAnsi="Arial" w:eastAsia="黑体"/>
          <w:b w:val="0"/>
          <w:szCs w:val="28"/>
          <w:lang w:val="en-US" w:eastAsia="zh-CN"/>
        </w:rPr>
        <w:t>招标</w:t>
      </w:r>
      <w:r>
        <w:rPr>
          <w:rFonts w:hint="eastAsia" w:ascii="Arial" w:hAnsi="Arial" w:eastAsia="黑体"/>
          <w:b w:val="0"/>
          <w:szCs w:val="28"/>
        </w:rPr>
        <w:t>文件要求的其它内容及投标供应商认为需要补充的内容</w:t>
      </w:r>
    </w:p>
    <w:p w14:paraId="5B2ED10F">
      <w:pPr>
        <w:widowControl/>
        <w:jc w:val="center"/>
        <w:rPr>
          <w:rFonts w:ascii="黑体" w:hAnsi="宋体" w:eastAsia="黑体"/>
          <w:kern w:val="0"/>
          <w:sz w:val="24"/>
          <w:szCs w:val="20"/>
        </w:rPr>
      </w:pPr>
      <w:r>
        <w:rPr>
          <w:rFonts w:hint="eastAsia" w:ascii="黑体" w:hAnsi="宋体" w:eastAsia="黑体"/>
          <w:kern w:val="0"/>
          <w:sz w:val="24"/>
          <w:szCs w:val="20"/>
        </w:rPr>
        <w:t>（一）</w:t>
      </w:r>
      <w:r>
        <w:rPr>
          <w:rFonts w:hint="eastAsia" w:ascii="黑体" w:hAnsi="宋体" w:eastAsia="黑体"/>
          <w:kern w:val="0"/>
          <w:sz w:val="24"/>
          <w:szCs w:val="20"/>
          <w:highlight w:val="yellow"/>
        </w:rPr>
        <w:t>政府采购违法行为风险知悉确认书</w:t>
      </w:r>
    </w:p>
    <w:p w14:paraId="0BFE110A">
      <w:pPr>
        <w:widowControl/>
        <w:jc w:val="center"/>
        <w:rPr>
          <w:rFonts w:ascii="黑体" w:hAnsi="宋体" w:eastAsia="黑体"/>
          <w:kern w:val="0"/>
          <w:sz w:val="24"/>
          <w:szCs w:val="20"/>
        </w:rPr>
      </w:pPr>
    </w:p>
    <w:p w14:paraId="56EB5CE5">
      <w:pPr>
        <w:spacing w:after="156" w:afterLines="50" w:line="360" w:lineRule="exact"/>
        <w:ind w:firstLine="482" w:firstLineChars="200"/>
        <w:rPr>
          <w:rFonts w:ascii="Calibri" w:hAnsi="Calibri"/>
          <w:b/>
          <w:bCs/>
          <w:sz w:val="24"/>
        </w:rPr>
      </w:pPr>
      <w:r>
        <w:rPr>
          <w:rFonts w:hint="eastAsia" w:ascii="Calibri" w:hAnsi="Calibri"/>
          <w:b/>
          <w:bCs/>
          <w:sz w:val="24"/>
        </w:rPr>
        <w:t>我单位在投标前已充分知悉以下情形为参与采购活动时的重大风险事项，并承诺已对下述风险提示事项重点排查，若存在下述情况，我单位愿意依法承担被记入供应商诚信档案、罚款、取消参与政府采购资格、吊销营业执照等处罚；构成犯罪的，依法承担刑事责任。</w:t>
      </w:r>
    </w:p>
    <w:tbl>
      <w:tblPr>
        <w:tblStyle w:val="1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22077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tcPr>
          <w:p w14:paraId="1A2B98F2">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序号</w:t>
            </w:r>
          </w:p>
        </w:tc>
        <w:tc>
          <w:tcPr>
            <w:tcW w:w="7811" w:type="dxa"/>
          </w:tcPr>
          <w:p w14:paraId="0F0455B0">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供应商参与投标禁止情形</w:t>
            </w:r>
          </w:p>
        </w:tc>
      </w:tr>
      <w:tr w14:paraId="638BA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29DDD395">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7811" w:type="dxa"/>
            <w:vAlign w:val="center"/>
          </w:tcPr>
          <w:p w14:paraId="52CF7F4E">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与其他投标供应商的法定代表人、主要经营负责人、投标授权代表人、项目负责人、主要技术人员为同一人、属同一单位或者在同一单位缴纳社会保险。</w:t>
            </w:r>
          </w:p>
        </w:tc>
      </w:tr>
      <w:tr w14:paraId="66477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4A08C2D5">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2</w:t>
            </w:r>
          </w:p>
        </w:tc>
        <w:tc>
          <w:tcPr>
            <w:tcW w:w="7811" w:type="dxa"/>
            <w:vAlign w:val="center"/>
          </w:tcPr>
          <w:p w14:paraId="183D34EF">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参与本项目采购活动时，与其他投标供应商存在单位负责人为同一人或直接控股、管理关系。</w:t>
            </w:r>
          </w:p>
        </w:tc>
      </w:tr>
      <w:tr w14:paraId="13ADF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370C926B">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3</w:t>
            </w:r>
          </w:p>
        </w:tc>
        <w:tc>
          <w:tcPr>
            <w:tcW w:w="7811" w:type="dxa"/>
            <w:vAlign w:val="center"/>
          </w:tcPr>
          <w:p w14:paraId="7F472D6E">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与其他投标供应商的投标文件或部分投标文件相互混装或存在非正常一致。</w:t>
            </w:r>
          </w:p>
        </w:tc>
      </w:tr>
      <w:tr w14:paraId="7F736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726E4226">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4</w:t>
            </w:r>
          </w:p>
        </w:tc>
        <w:tc>
          <w:tcPr>
            <w:tcW w:w="7811" w:type="dxa"/>
            <w:vAlign w:val="center"/>
          </w:tcPr>
          <w:p w14:paraId="0C2E19EF">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与其他投标供应商的投标文件由同一单位或者同一人编制，或者使用同一设备编制（“文件制作机器码”“文件创建标识码”一致）。</w:t>
            </w:r>
          </w:p>
        </w:tc>
      </w:tr>
      <w:tr w14:paraId="3AD8C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71CC1DAD">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5</w:t>
            </w:r>
          </w:p>
        </w:tc>
        <w:tc>
          <w:tcPr>
            <w:tcW w:w="7811" w:type="dxa"/>
            <w:vAlign w:val="center"/>
          </w:tcPr>
          <w:p w14:paraId="53C2EC03">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提供未经出具机构核实的虚假的检验检测报告、业绩材料、社保缴纳证明、学历学位证书、职称认证证书等材料。</w:t>
            </w:r>
          </w:p>
        </w:tc>
      </w:tr>
      <w:tr w14:paraId="78786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5C489A5F">
            <w:pPr>
              <w:spacing w:line="400" w:lineRule="exact"/>
              <w:jc w:val="center"/>
              <w:rPr>
                <w:rFonts w:ascii="仿宋_GB2312" w:hAnsi="仿宋_GB2312" w:eastAsia="仿宋_GB2312" w:cs="仿宋_GB2312"/>
                <w:sz w:val="24"/>
              </w:rPr>
            </w:pPr>
            <w:r>
              <w:rPr>
                <w:rFonts w:hint="eastAsia" w:ascii="仿宋_GB2312" w:hAnsi="仿宋_GB2312" w:eastAsia="仿宋_GB2312" w:cs="仿宋_GB2312"/>
                <w:sz w:val="24"/>
              </w:rPr>
              <w:t>6</w:t>
            </w:r>
          </w:p>
        </w:tc>
        <w:tc>
          <w:tcPr>
            <w:tcW w:w="7811" w:type="dxa"/>
            <w:vAlign w:val="center"/>
          </w:tcPr>
          <w:p w14:paraId="45E04F25">
            <w:pPr>
              <w:spacing w:line="400" w:lineRule="exact"/>
              <w:jc w:val="left"/>
              <w:rPr>
                <w:rFonts w:ascii="仿宋_GB2312" w:hAnsi="仿宋_GB2312" w:eastAsia="仿宋_GB2312" w:cs="仿宋_GB2312"/>
                <w:sz w:val="24"/>
              </w:rPr>
            </w:pPr>
            <w:r>
              <w:rPr>
                <w:rFonts w:hint="eastAsia" w:ascii="仿宋_GB2312" w:hAnsi="仿宋_GB2312" w:eastAsia="仿宋_GB2312" w:cs="仿宋_GB2312"/>
                <w:sz w:val="24"/>
              </w:rPr>
              <w:t>擅自将投标密钥或电子营业执照出借他人使用或未妥善保管。</w:t>
            </w:r>
          </w:p>
        </w:tc>
      </w:tr>
    </w:tbl>
    <w:p w14:paraId="6073D738">
      <w:pPr>
        <w:spacing w:before="156" w:beforeLines="50" w:line="380" w:lineRule="exact"/>
        <w:ind w:firstLine="422" w:firstLineChars="200"/>
        <w:rPr>
          <w:rFonts w:ascii="Calibri" w:hAnsi="Calibri"/>
          <w:b/>
        </w:rPr>
      </w:pPr>
      <w:r>
        <w:rPr>
          <w:rFonts w:hint="eastAsia" w:ascii="Calibri" w:hAnsi="Calibri"/>
          <w:b/>
        </w:rPr>
        <w:t>一、我单位已充分知悉“隐瞒真实情况，提供虚假资料”的法定情形，包括但不限于：</w:t>
      </w:r>
    </w:p>
    <w:p w14:paraId="0177DA27">
      <w:pPr>
        <w:spacing w:line="380" w:lineRule="exact"/>
        <w:ind w:firstLine="420" w:firstLineChars="200"/>
        <w:rPr>
          <w:rFonts w:ascii="Calibri" w:hAnsi="Calibri"/>
        </w:rPr>
      </w:pPr>
      <w:r>
        <w:rPr>
          <w:rFonts w:hint="eastAsia" w:ascii="Calibri" w:hAnsi="Calibri"/>
        </w:rPr>
        <w:t>（一）通过转让或者租借等方式从其他单位获取资格或者资质证书投标的。</w:t>
      </w:r>
    </w:p>
    <w:p w14:paraId="78AB540D">
      <w:pPr>
        <w:spacing w:line="380" w:lineRule="exact"/>
        <w:ind w:firstLine="420" w:firstLineChars="200"/>
        <w:rPr>
          <w:rFonts w:ascii="Calibri" w:hAnsi="Calibri"/>
        </w:rPr>
      </w:pPr>
      <w:r>
        <w:rPr>
          <w:rFonts w:hint="eastAsia" w:ascii="Calibri" w:hAnsi="Calibri"/>
        </w:rPr>
        <w:t>（二）由其他单位或者其他单位负责人在投标供应商编制的投标文件上加盖印章或者签字的。</w:t>
      </w:r>
    </w:p>
    <w:p w14:paraId="691D758A">
      <w:pPr>
        <w:spacing w:line="380" w:lineRule="exact"/>
        <w:ind w:firstLine="420" w:firstLineChars="200"/>
        <w:rPr>
          <w:rFonts w:ascii="Calibri" w:hAnsi="Calibri"/>
        </w:rPr>
      </w:pPr>
      <w:r>
        <w:rPr>
          <w:rFonts w:hint="eastAsia" w:ascii="Calibri" w:hAnsi="Calibri"/>
        </w:rPr>
        <w:t>（三）项目负责人或者主要技术人员不是本单位人员的。</w:t>
      </w:r>
    </w:p>
    <w:p w14:paraId="4F35CEC5">
      <w:pPr>
        <w:spacing w:line="380" w:lineRule="exact"/>
        <w:ind w:firstLine="420" w:firstLineChars="200"/>
        <w:rPr>
          <w:rFonts w:ascii="Calibri" w:hAnsi="Calibri"/>
        </w:rPr>
      </w:pPr>
      <w:r>
        <w:rPr>
          <w:rFonts w:hint="eastAsia" w:ascii="Calibri" w:hAnsi="Calibri"/>
        </w:rPr>
        <w:t>（四）投标保证金不是从投标供应商基本账户转出的。</w:t>
      </w:r>
    </w:p>
    <w:p w14:paraId="22028F0D">
      <w:pPr>
        <w:spacing w:line="380" w:lineRule="exact"/>
        <w:ind w:firstLine="420" w:firstLineChars="200"/>
        <w:rPr>
          <w:rFonts w:ascii="Calibri" w:hAnsi="Calibri"/>
        </w:rPr>
      </w:pPr>
      <w:r>
        <w:rPr>
          <w:rFonts w:hint="eastAsia" w:ascii="Calibri" w:hAnsi="Calibri"/>
        </w:rPr>
        <w:t>（五）其他隐瞒真实情况、提供虚假资料的行为。</w:t>
      </w:r>
    </w:p>
    <w:p w14:paraId="3F245FF1">
      <w:pPr>
        <w:spacing w:line="380" w:lineRule="exact"/>
        <w:ind w:firstLine="422" w:firstLineChars="200"/>
        <w:rPr>
          <w:rFonts w:ascii="Calibri" w:hAnsi="Calibri"/>
          <w:b/>
        </w:rPr>
      </w:pPr>
      <w:r>
        <w:rPr>
          <w:rFonts w:hint="eastAsia" w:ascii="Calibri" w:hAnsi="Calibri"/>
          <w:b/>
        </w:rPr>
        <w:t>二、我单位已充分知悉“与其他采购参加人串通投标”的法定情形，包括但不限于：</w:t>
      </w:r>
    </w:p>
    <w:p w14:paraId="6A1AFE11">
      <w:pPr>
        <w:spacing w:line="380" w:lineRule="exact"/>
        <w:ind w:firstLine="420" w:firstLineChars="200"/>
        <w:rPr>
          <w:rFonts w:ascii="Calibri" w:hAnsi="Calibri"/>
        </w:rPr>
      </w:pPr>
      <w:r>
        <w:rPr>
          <w:rFonts w:hint="eastAsia" w:ascii="Calibri" w:hAnsi="Calibri"/>
        </w:rPr>
        <w:t>（一）投标供应商之间相互约定给予未中标的供应商利益补偿。</w:t>
      </w:r>
    </w:p>
    <w:p w14:paraId="6F40C848">
      <w:pPr>
        <w:spacing w:line="380" w:lineRule="exact"/>
        <w:ind w:firstLine="420" w:firstLineChars="200"/>
        <w:rPr>
          <w:rFonts w:ascii="Calibri" w:hAnsi="Calibri"/>
        </w:rPr>
      </w:pPr>
      <w:r>
        <w:rPr>
          <w:rFonts w:hint="eastAsia" w:ascii="Calibri" w:hAnsi="Calibri"/>
        </w:rPr>
        <w:t>（二）不同投标供应商的法定代表人、主要经营负责人、项目投标授权代表人、项目负责人、主要技术人员为同一人、属同一单位或者在同一单位缴纳社会保险。</w:t>
      </w:r>
    </w:p>
    <w:p w14:paraId="24EDCF9E">
      <w:pPr>
        <w:spacing w:line="340" w:lineRule="exact"/>
        <w:ind w:firstLine="420" w:firstLineChars="200"/>
        <w:rPr>
          <w:rFonts w:ascii="Calibri" w:hAnsi="Calibri"/>
        </w:rPr>
      </w:pPr>
      <w:r>
        <w:rPr>
          <w:rFonts w:hint="eastAsia" w:ascii="Calibri" w:hAnsi="Calibri"/>
        </w:rPr>
        <w:t>（三）不同投标供应商的投标文件由同一单位或者同一人编制，或者由同一人分阶段参与编制的。</w:t>
      </w:r>
    </w:p>
    <w:p w14:paraId="141879EE">
      <w:pPr>
        <w:spacing w:line="340" w:lineRule="exact"/>
        <w:ind w:firstLine="420" w:firstLineChars="200"/>
        <w:rPr>
          <w:rFonts w:ascii="Calibri" w:hAnsi="Calibri"/>
        </w:rPr>
      </w:pPr>
      <w:r>
        <w:rPr>
          <w:rFonts w:hint="eastAsia" w:ascii="Calibri" w:hAnsi="Calibri"/>
        </w:rPr>
        <w:t>（四）不同投标供应商的投标文件或部分投标文件相互混装。</w:t>
      </w:r>
    </w:p>
    <w:p w14:paraId="503AC839">
      <w:pPr>
        <w:spacing w:line="340" w:lineRule="exact"/>
        <w:ind w:firstLine="420" w:firstLineChars="200"/>
        <w:rPr>
          <w:rFonts w:ascii="Calibri" w:hAnsi="Calibri"/>
        </w:rPr>
      </w:pPr>
      <w:r>
        <w:rPr>
          <w:rFonts w:hint="eastAsia" w:ascii="Calibri" w:hAnsi="Calibri"/>
        </w:rPr>
        <w:t>（五）不同投标供应商的投标文件内容存在非正常一致。</w:t>
      </w:r>
    </w:p>
    <w:p w14:paraId="7351BED4">
      <w:pPr>
        <w:spacing w:line="340" w:lineRule="exact"/>
        <w:ind w:firstLine="420" w:firstLineChars="200"/>
        <w:rPr>
          <w:rFonts w:ascii="Calibri" w:hAnsi="Calibri"/>
        </w:rPr>
      </w:pPr>
      <w:r>
        <w:rPr>
          <w:rFonts w:hint="eastAsia" w:ascii="Calibri" w:hAnsi="Calibri"/>
        </w:rPr>
        <w:t>（六）由同一单位工作人员为两家以上（含两家）供应商进行同一项投标活动的。</w:t>
      </w:r>
    </w:p>
    <w:p w14:paraId="2E5586F6">
      <w:pPr>
        <w:spacing w:line="340" w:lineRule="exact"/>
        <w:ind w:firstLine="420" w:firstLineChars="200"/>
        <w:rPr>
          <w:rFonts w:ascii="Calibri" w:hAnsi="Calibri"/>
        </w:rPr>
      </w:pPr>
      <w:r>
        <w:rPr>
          <w:rFonts w:hint="eastAsia" w:ascii="Calibri" w:hAnsi="Calibri"/>
        </w:rPr>
        <w:t>（七）不同投标人的投标报价呈规律性差异。</w:t>
      </w:r>
    </w:p>
    <w:p w14:paraId="37D6D62C">
      <w:pPr>
        <w:spacing w:line="340" w:lineRule="exact"/>
        <w:ind w:firstLine="420" w:firstLineChars="200"/>
        <w:rPr>
          <w:rFonts w:ascii="Calibri" w:hAnsi="Calibri"/>
        </w:rPr>
      </w:pPr>
      <w:r>
        <w:rPr>
          <w:rFonts w:hint="eastAsia" w:ascii="Calibri" w:hAnsi="Calibri"/>
        </w:rPr>
        <w:t>（八）不同投标人的投标保证金从同一单位或者个人的账户转出。</w:t>
      </w:r>
    </w:p>
    <w:p w14:paraId="0DA48064">
      <w:pPr>
        <w:spacing w:line="340" w:lineRule="exact"/>
        <w:ind w:firstLine="420" w:firstLineChars="200"/>
        <w:rPr>
          <w:rFonts w:ascii="Calibri" w:hAnsi="Calibri"/>
        </w:rPr>
      </w:pPr>
      <w:r>
        <w:rPr>
          <w:rFonts w:hint="eastAsia" w:ascii="Calibri" w:hAnsi="Calibri"/>
        </w:rPr>
        <w:t>（九）主管部门依照法律、法规认定的其他情形。</w:t>
      </w:r>
    </w:p>
    <w:p w14:paraId="5CC3D56D">
      <w:pPr>
        <w:spacing w:line="340" w:lineRule="exact"/>
        <w:ind w:firstLine="422" w:firstLineChars="200"/>
        <w:rPr>
          <w:rFonts w:ascii="Calibri" w:hAnsi="Calibri"/>
          <w:b/>
        </w:rPr>
      </w:pPr>
      <w:r>
        <w:rPr>
          <w:rFonts w:hint="eastAsia" w:ascii="Calibri" w:hAnsi="Calibri"/>
          <w:b/>
        </w:rPr>
        <w:t>三、我单位已充分知悉下列情形存在法律风险，在投标前已对相关风险事项进行排查。</w:t>
      </w:r>
    </w:p>
    <w:p w14:paraId="015D32F3">
      <w:pPr>
        <w:spacing w:line="340" w:lineRule="exact"/>
        <w:ind w:firstLine="420" w:firstLineChars="200"/>
        <w:rPr>
          <w:rFonts w:ascii="Calibri" w:hAnsi="Calibri"/>
          <w:b/>
        </w:rPr>
      </w:pPr>
      <w:r>
        <w:rPr>
          <w:rFonts w:hint="eastAsia" w:ascii="Calibri" w:hAnsi="Calibri"/>
        </w:rPr>
        <w:t>（一）对于从其他主体获取的投标资料，我单位应审慎核查，确保其真实性。</w:t>
      </w:r>
      <w:r>
        <w:rPr>
          <w:rFonts w:hint="eastAsia" w:ascii="Calibri" w:hAnsi="Calibri"/>
          <w:b/>
        </w:rPr>
        <w:t>如主管部门查实投标文件中存在虚假资料的，无论相关资料是否由第三方或本公司员工提供，均不影响主管部门对供应商存在“隐瞒真实情况，提供虚假资料”违法行为的认定。</w:t>
      </w:r>
    </w:p>
    <w:p w14:paraId="25325358">
      <w:pPr>
        <w:spacing w:line="340" w:lineRule="exact"/>
        <w:ind w:firstLine="420" w:firstLineChars="200"/>
        <w:rPr>
          <w:rFonts w:ascii="Calibri" w:hAnsi="Calibri"/>
        </w:rPr>
      </w:pPr>
      <w:r>
        <w:rPr>
          <w:rFonts w:hint="eastAsia" w:ascii="Calibri" w:hAnsi="Calibri"/>
        </w:rPr>
        <w:t>（二）对于涉及国家机关出具的公文、证件、证明材料等文件，一旦涉嫌虚假，经查实，主管部门将依法从严处理，并移送有关部门追究法律责任；涉嫌犯罪的，移送司法机关处理。</w:t>
      </w:r>
    </w:p>
    <w:p w14:paraId="5E558066">
      <w:pPr>
        <w:spacing w:line="340" w:lineRule="exact"/>
        <w:ind w:firstLine="420" w:firstLineChars="200"/>
        <w:rPr>
          <w:rFonts w:ascii="Calibri" w:hAnsi="Calibri"/>
        </w:rPr>
      </w:pPr>
      <w:r>
        <w:rPr>
          <w:rFonts w:hint="eastAsia" w:ascii="Calibri" w:hAnsi="Calibri"/>
        </w:rPr>
        <w:t>（三）我单位对投标电子密钥或电子营业执照负有妥善保管、及时变更和续期等主体责任；使用电子密钥或电子营业执照在深圳政府采购网站进行的活动，均具有法律效力，须承担相应的法律后果。若</w:t>
      </w:r>
      <w:r>
        <w:rPr>
          <w:rFonts w:hint="eastAsia" w:ascii="Calibri" w:hAnsi="Calibri"/>
          <w:b/>
          <w:bCs/>
        </w:rPr>
        <w:t>擅自将投标密钥或电子营业执照出借他人使用所造成的法律后果，由我单位自行承担</w:t>
      </w:r>
      <w:r>
        <w:rPr>
          <w:rFonts w:hint="eastAsia" w:ascii="Calibri" w:hAnsi="Calibri"/>
        </w:rPr>
        <w:t>。</w:t>
      </w:r>
    </w:p>
    <w:p w14:paraId="4C31FF90">
      <w:pPr>
        <w:spacing w:line="340" w:lineRule="exact"/>
        <w:ind w:firstLine="422" w:firstLineChars="200"/>
        <w:rPr>
          <w:rFonts w:ascii="Calibri" w:hAnsi="Calibri"/>
          <w:b/>
        </w:rPr>
      </w:pPr>
      <w:r>
        <w:rPr>
          <w:rFonts w:hint="eastAsia" w:ascii="Calibri" w:hAnsi="Calibri"/>
          <w:b/>
        </w:rPr>
        <w:t>四、我单位已充分知悉政府采购违法、违规行为的法律后果。</w:t>
      </w:r>
    </w:p>
    <w:p w14:paraId="25717D94">
      <w:pPr>
        <w:spacing w:line="340" w:lineRule="exact"/>
        <w:ind w:firstLine="420" w:firstLineChars="200"/>
        <w:rPr>
          <w:rFonts w:ascii="Calibri" w:hAnsi="Calibri"/>
        </w:rPr>
      </w:pPr>
      <w:r>
        <w:rPr>
          <w:rFonts w:hint="eastAsia" w:ascii="Calibri" w:hAnsi="Calibri"/>
        </w:rPr>
        <w:t>经查实，若我单位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分之二十以上千分之三十以下罚款，由市场监管部门依法吊销营业执照。</w:t>
      </w:r>
    </w:p>
    <w:p w14:paraId="30FF82E8">
      <w:pPr>
        <w:spacing w:line="340" w:lineRule="exact"/>
        <w:ind w:firstLine="420" w:firstLineChars="200"/>
        <w:rPr>
          <w:rFonts w:ascii="Calibri" w:hAnsi="Calibri"/>
        </w:rPr>
      </w:pPr>
      <w:r>
        <w:rPr>
          <w:rFonts w:hint="eastAsia" w:ascii="Calibri" w:hAnsi="Calibri"/>
        </w:rPr>
        <w:t>以下文字请投标供应商抄写并确认：“我单位已仔细阅读《政府采购违法行为风险知悉确认书》，充分知悉违法行为的法律后果，并承诺将严谨、诚信、依法依规参与政府采购活动”。</w:t>
      </w:r>
    </w:p>
    <w:tbl>
      <w:tblPr>
        <w:tblStyle w:val="181"/>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350B3575">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tcPr>
          <w:p w14:paraId="0D55DBFF">
            <w:pPr>
              <w:autoSpaceDE w:val="0"/>
              <w:autoSpaceDN w:val="0"/>
              <w:spacing w:line="340" w:lineRule="exact"/>
              <w:ind w:firstLine="1866"/>
              <w:rPr>
                <w:rFonts w:ascii="宋体" w:hAnsi="宋体"/>
                <w:spacing w:val="-4"/>
                <w:kern w:val="0"/>
                <w:szCs w:val="21"/>
              </w:rPr>
            </w:pPr>
          </w:p>
        </w:tc>
      </w:tr>
      <w:tr w14:paraId="09201640">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629DDC1E">
            <w:pPr>
              <w:autoSpaceDE w:val="0"/>
              <w:autoSpaceDN w:val="0"/>
              <w:spacing w:line="340" w:lineRule="exact"/>
              <w:ind w:firstLine="1866"/>
              <w:rPr>
                <w:rFonts w:ascii="宋体" w:hAnsi="宋体"/>
                <w:spacing w:val="-4"/>
                <w:kern w:val="0"/>
                <w:szCs w:val="21"/>
              </w:rPr>
            </w:pPr>
          </w:p>
        </w:tc>
      </w:tr>
      <w:tr w14:paraId="4FD4A8ED">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055CAB5A">
            <w:pPr>
              <w:autoSpaceDE w:val="0"/>
              <w:autoSpaceDN w:val="0"/>
              <w:spacing w:line="340" w:lineRule="exact"/>
              <w:ind w:firstLine="1866"/>
              <w:rPr>
                <w:rFonts w:ascii="宋体" w:hAnsi="宋体"/>
                <w:spacing w:val="-4"/>
                <w:kern w:val="0"/>
                <w:szCs w:val="21"/>
              </w:rPr>
            </w:pPr>
          </w:p>
        </w:tc>
      </w:tr>
      <w:tr w14:paraId="17E482E8">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tcPr>
          <w:p w14:paraId="522984EC">
            <w:pPr>
              <w:autoSpaceDE w:val="0"/>
              <w:autoSpaceDN w:val="0"/>
              <w:spacing w:line="340" w:lineRule="exact"/>
              <w:ind w:firstLine="1866"/>
              <w:rPr>
                <w:rFonts w:ascii="宋体" w:hAnsi="宋体"/>
                <w:spacing w:val="-4"/>
                <w:kern w:val="0"/>
                <w:szCs w:val="21"/>
              </w:rPr>
            </w:pPr>
          </w:p>
        </w:tc>
      </w:tr>
    </w:tbl>
    <w:p w14:paraId="1DCF0B11">
      <w:pPr>
        <w:widowControl/>
        <w:wordWrap w:val="0"/>
        <w:autoSpaceDE w:val="0"/>
        <w:autoSpaceDN w:val="0"/>
        <w:spacing w:line="340" w:lineRule="exact"/>
        <w:ind w:right="808" w:firstLine="404" w:firstLineChars="200"/>
        <w:jc w:val="right"/>
        <w:rPr>
          <w:rFonts w:ascii="宋体" w:hAnsi="宋体"/>
          <w:spacing w:val="-4"/>
          <w:kern w:val="0"/>
          <w:szCs w:val="21"/>
        </w:rPr>
      </w:pPr>
    </w:p>
    <w:p w14:paraId="5F4CB4E6">
      <w:pPr>
        <w:widowControl/>
        <w:wordWrap w:val="0"/>
        <w:autoSpaceDE w:val="0"/>
        <w:autoSpaceDN w:val="0"/>
        <w:spacing w:line="340" w:lineRule="exact"/>
        <w:ind w:right="808" w:firstLine="404" w:firstLineChars="200"/>
        <w:jc w:val="right"/>
        <w:rPr>
          <w:rFonts w:ascii="宋体" w:hAnsi="宋体"/>
          <w:spacing w:val="-4"/>
          <w:kern w:val="0"/>
          <w:szCs w:val="21"/>
          <w:u w:val="single"/>
        </w:rPr>
      </w:pPr>
      <w:r>
        <w:rPr>
          <w:rFonts w:hint="eastAsia" w:ascii="宋体" w:hAnsi="宋体"/>
          <w:spacing w:val="-4"/>
          <w:kern w:val="0"/>
          <w:szCs w:val="21"/>
          <w:highlight w:val="yellow"/>
        </w:rPr>
        <w:t>单位负责人签名：</w:t>
      </w:r>
      <w:r>
        <w:rPr>
          <w:rFonts w:hint="eastAsia" w:ascii="宋体" w:hAnsi="宋体"/>
          <w:spacing w:val="-4"/>
          <w:kern w:val="0"/>
          <w:szCs w:val="21"/>
          <w:u w:val="single"/>
        </w:rPr>
        <w:t xml:space="preserve">              </w:t>
      </w:r>
    </w:p>
    <w:p w14:paraId="3EB11BAD">
      <w:pPr>
        <w:widowControl/>
        <w:wordWrap w:val="0"/>
        <w:autoSpaceDE w:val="0"/>
        <w:autoSpaceDN w:val="0"/>
        <w:spacing w:line="340" w:lineRule="exact"/>
        <w:ind w:right="808" w:firstLine="404" w:firstLineChars="200"/>
        <w:jc w:val="center"/>
        <w:rPr>
          <w:rFonts w:ascii="宋体" w:hAnsi="宋体"/>
          <w:spacing w:val="-4"/>
          <w:kern w:val="0"/>
          <w:szCs w:val="21"/>
          <w:u w:val="single"/>
        </w:rPr>
      </w:pPr>
      <w:r>
        <w:rPr>
          <w:rFonts w:hint="eastAsia" w:ascii="宋体" w:hAnsi="宋体"/>
          <w:spacing w:val="-4"/>
          <w:kern w:val="0"/>
          <w:szCs w:val="21"/>
        </w:rPr>
        <w:t xml:space="preserve">                                 </w:t>
      </w:r>
      <w:r>
        <w:rPr>
          <w:rFonts w:hint="eastAsia" w:ascii="宋体" w:hAnsi="宋体"/>
          <w:spacing w:val="-4"/>
          <w:kern w:val="0"/>
          <w:szCs w:val="21"/>
          <w:highlight w:val="yellow"/>
        </w:rPr>
        <w:t>（加盖公章）</w:t>
      </w:r>
    </w:p>
    <w:p w14:paraId="3914804D">
      <w:pPr>
        <w:widowControl/>
        <w:wordWrap w:val="0"/>
        <w:autoSpaceDE w:val="0"/>
        <w:autoSpaceDN w:val="0"/>
        <w:spacing w:line="340" w:lineRule="exact"/>
        <w:ind w:right="808" w:firstLine="404" w:firstLineChars="200"/>
        <w:jc w:val="right"/>
        <w:rPr>
          <w:rFonts w:ascii="宋体" w:hAnsi="宋体"/>
          <w:spacing w:val="-4"/>
          <w:kern w:val="0"/>
          <w:szCs w:val="21"/>
          <w:u w:val="single"/>
        </w:rPr>
      </w:pPr>
      <w:r>
        <w:rPr>
          <w:rFonts w:hint="eastAsia" w:ascii="宋体" w:hAnsi="宋体"/>
          <w:spacing w:val="-4"/>
          <w:kern w:val="0"/>
          <w:szCs w:val="21"/>
        </w:rPr>
        <w:t xml:space="preserve">     日期：</w:t>
      </w:r>
      <w:r>
        <w:rPr>
          <w:rFonts w:hint="eastAsia" w:ascii="宋体" w:hAnsi="宋体"/>
          <w:spacing w:val="-4"/>
          <w:kern w:val="0"/>
          <w:szCs w:val="21"/>
          <w:u w:val="single"/>
        </w:rPr>
        <w:t xml:space="preserve">              </w:t>
      </w:r>
    </w:p>
    <w:p w14:paraId="426EADF2">
      <w:pPr>
        <w:widowControl/>
        <w:autoSpaceDE w:val="0"/>
        <w:autoSpaceDN w:val="0"/>
        <w:spacing w:line="340" w:lineRule="exact"/>
        <w:ind w:firstLine="406" w:firstLineChars="200"/>
        <w:jc w:val="left"/>
        <w:rPr>
          <w:rFonts w:ascii="宋体" w:hAnsi="宋体"/>
          <w:b/>
          <w:bCs/>
          <w:spacing w:val="-4"/>
          <w:kern w:val="0"/>
          <w:szCs w:val="21"/>
        </w:rPr>
      </w:pPr>
    </w:p>
    <w:p w14:paraId="34D957C3">
      <w:pPr>
        <w:widowControl/>
        <w:autoSpaceDE w:val="0"/>
        <w:autoSpaceDN w:val="0"/>
        <w:spacing w:line="400" w:lineRule="exact"/>
        <w:ind w:firstLine="406" w:firstLineChars="200"/>
        <w:jc w:val="left"/>
        <w:rPr>
          <w:rFonts w:ascii="宋体" w:hAnsi="宋体"/>
          <w:b/>
          <w:bCs/>
          <w:color w:val="FF0000"/>
          <w:spacing w:val="-4"/>
          <w:szCs w:val="21"/>
          <w:lang w:bidi="ar"/>
        </w:rPr>
      </w:pPr>
      <w:r>
        <w:rPr>
          <w:rFonts w:hint="eastAsia" w:ascii="宋体" w:hAnsi="宋体"/>
          <w:b/>
          <w:bCs/>
          <w:color w:val="FF0000"/>
          <w:spacing w:val="-4"/>
          <w:szCs w:val="21"/>
          <w:lang w:bidi="ar"/>
        </w:rPr>
        <w:t>注：</w:t>
      </w:r>
    </w:p>
    <w:p w14:paraId="5063775D">
      <w:pPr>
        <w:widowControl/>
        <w:autoSpaceDE w:val="0"/>
        <w:autoSpaceDN w:val="0"/>
        <w:spacing w:line="400" w:lineRule="exact"/>
        <w:ind w:firstLine="406" w:firstLineChars="200"/>
        <w:jc w:val="left"/>
        <w:rPr>
          <w:rFonts w:ascii="宋体" w:hAnsi="宋体"/>
          <w:b/>
          <w:bCs/>
          <w:color w:val="FF0000"/>
          <w:spacing w:val="-4"/>
          <w:szCs w:val="21"/>
          <w:lang w:bidi="ar"/>
        </w:rPr>
      </w:pPr>
      <w:r>
        <w:rPr>
          <w:rFonts w:hint="eastAsia" w:ascii="宋体" w:hAnsi="宋体"/>
          <w:b/>
          <w:bCs/>
          <w:color w:val="FF0000"/>
          <w:spacing w:val="-4"/>
          <w:szCs w:val="21"/>
          <w:lang w:bidi="ar"/>
        </w:rPr>
        <w:t>1.《政府采购违法行为风险知悉确认书》需由</w:t>
      </w:r>
      <w:r>
        <w:rPr>
          <w:rFonts w:hint="eastAsia" w:ascii="宋体" w:hAnsi="宋体"/>
          <w:b/>
          <w:bCs/>
          <w:color w:val="FF0000"/>
          <w:spacing w:val="-4"/>
          <w:szCs w:val="21"/>
          <w:highlight w:val="yellow"/>
          <w:lang w:bidi="ar"/>
        </w:rPr>
        <w:t>投标供应商负责人签字并加盖单位公章</w:t>
      </w:r>
      <w:r>
        <w:rPr>
          <w:rFonts w:hint="eastAsia" w:ascii="宋体" w:hAnsi="宋体"/>
          <w:b/>
          <w:bCs/>
          <w:color w:val="FF0000"/>
          <w:spacing w:val="-4"/>
          <w:szCs w:val="21"/>
          <w:lang w:bidi="ar"/>
        </w:rPr>
        <w:t>后，扫描上传至投标文件一并提交。</w:t>
      </w:r>
    </w:p>
    <w:p w14:paraId="225FAF69">
      <w:pPr>
        <w:widowControl/>
        <w:autoSpaceDE w:val="0"/>
        <w:autoSpaceDN w:val="0"/>
        <w:spacing w:line="400" w:lineRule="exact"/>
        <w:ind w:firstLine="406" w:firstLineChars="200"/>
        <w:jc w:val="left"/>
        <w:rPr>
          <w:rFonts w:ascii="宋体" w:hAnsi="宋体"/>
          <w:b/>
          <w:bCs/>
          <w:color w:val="FF0000"/>
          <w:spacing w:val="-4"/>
          <w:szCs w:val="21"/>
          <w:lang w:bidi="ar"/>
        </w:rPr>
      </w:pPr>
      <w:r>
        <w:rPr>
          <w:rFonts w:hint="eastAsia" w:ascii="宋体" w:hAnsi="宋体"/>
          <w:b/>
          <w:bCs/>
          <w:color w:val="FF0000"/>
          <w:spacing w:val="-4"/>
          <w:szCs w:val="21"/>
          <w:lang w:bidi="ar"/>
        </w:rPr>
        <w:t>2.根据《深圳市财政局关于在采购文件及深圳政府采购智慧平台增设供应商投标特别警示条款等事宜的通知》（深财购〔2025〕7号）的要求，《政府采购违法行为风险知悉确认书》用于对供应商违法行为的提醒，不作为供应商资格性审查及符合性审查条件。</w:t>
      </w:r>
    </w:p>
    <w:p w14:paraId="664BD461">
      <w:pPr>
        <w:widowControl/>
        <w:wordWrap w:val="0"/>
        <w:autoSpaceDE w:val="0"/>
        <w:autoSpaceDN w:val="0"/>
        <w:spacing w:line="400" w:lineRule="exact"/>
        <w:ind w:right="1414" w:firstLine="404" w:firstLineChars="200"/>
        <w:jc w:val="right"/>
        <w:rPr>
          <w:rFonts w:eastAsiaTheme="minorEastAsia"/>
          <w:kern w:val="0"/>
          <w:sz w:val="24"/>
        </w:rPr>
      </w:pPr>
      <w:r>
        <w:rPr>
          <w:rFonts w:hint="eastAsia" w:ascii="宋体" w:hAnsi="宋体" w:eastAsiaTheme="minorEastAsia"/>
          <w:spacing w:val="-4"/>
          <w:kern w:val="0"/>
          <w:szCs w:val="21"/>
        </w:rPr>
        <w:t xml:space="preserve">       </w:t>
      </w:r>
    </w:p>
    <w:p w14:paraId="448B41DD"/>
    <w:p w14:paraId="1C1321F1">
      <w:pPr>
        <w:widowControl/>
        <w:jc w:val="left"/>
        <w:rPr>
          <w:rFonts w:ascii="宋体" w:hAnsi="宋体"/>
          <w:b/>
          <w:bCs/>
          <w:sz w:val="24"/>
          <w:szCs w:val="20"/>
        </w:rPr>
      </w:pPr>
      <w:bookmarkStart w:id="34" w:name="_Toc194467284"/>
      <w:r>
        <w:br w:type="page"/>
      </w:r>
    </w:p>
    <w:p w14:paraId="3216E726">
      <w:pPr>
        <w:pStyle w:val="5"/>
        <w:rPr>
          <w:kern w:val="2"/>
        </w:rPr>
      </w:pPr>
      <w:r>
        <w:rPr>
          <w:rFonts w:hint="eastAsia"/>
          <w:kern w:val="2"/>
        </w:rPr>
        <w:t>第二章</w:t>
      </w:r>
      <w:r>
        <w:rPr>
          <w:kern w:val="2"/>
        </w:rPr>
        <w:t xml:space="preserve"> </w:t>
      </w:r>
      <w:r>
        <w:rPr>
          <w:rFonts w:hint="eastAsia"/>
          <w:kern w:val="2"/>
        </w:rPr>
        <w:t xml:space="preserve"> 合同格式（详询采购单位）</w:t>
      </w:r>
      <w:bookmarkEnd w:id="34"/>
    </w:p>
    <w:p w14:paraId="0EF66B49">
      <w:pPr>
        <w:widowControl/>
        <w:jc w:val="left"/>
        <w:rPr>
          <w:rFonts w:ascii="Arial" w:hAnsi="Arial" w:eastAsia="黑体"/>
          <w:b/>
          <w:bCs/>
          <w:sz w:val="28"/>
          <w:szCs w:val="28"/>
        </w:rPr>
      </w:pPr>
      <w:r>
        <w:br w:type="page"/>
      </w:r>
    </w:p>
    <w:p w14:paraId="5C0E6A13">
      <w:pPr>
        <w:pStyle w:val="2"/>
      </w:pPr>
      <w:bookmarkStart w:id="35" w:name="_Toc194467298"/>
      <w:r>
        <w:rPr>
          <w:rFonts w:hint="eastAsia"/>
        </w:rPr>
        <w:t>第三册  投标供应商须知</w:t>
      </w:r>
      <w:bookmarkEnd w:id="35"/>
    </w:p>
    <w:p w14:paraId="6E906983">
      <w:pPr>
        <w:pStyle w:val="5"/>
      </w:pPr>
      <w:bookmarkStart w:id="36" w:name="bt投标须知"/>
      <w:bookmarkEnd w:id="36"/>
      <w:bookmarkStart w:id="37" w:name="bt投标须知前附表"/>
      <w:bookmarkEnd w:id="37"/>
      <w:bookmarkStart w:id="38" w:name="bt图纸"/>
      <w:bookmarkEnd w:id="38"/>
      <w:bookmarkStart w:id="39" w:name="_Toc73518117"/>
      <w:bookmarkStart w:id="40" w:name="_Toc73521635"/>
      <w:bookmarkStart w:id="41" w:name="_Toc101074876"/>
      <w:bookmarkStart w:id="42" w:name="_Toc73521547"/>
      <w:bookmarkStart w:id="43" w:name="_Toc100052364"/>
      <w:bookmarkStart w:id="44" w:name="_Toc60631620"/>
      <w:bookmarkStart w:id="45" w:name="_Toc194467299"/>
      <w:bookmarkStart w:id="46" w:name="_Toc60560625"/>
      <w:bookmarkStart w:id="47" w:name="_Toc73517639"/>
      <w:r>
        <w:rPr>
          <w:rFonts w:hint="eastAsia"/>
        </w:rPr>
        <w:t xml:space="preserve">第一章 </w:t>
      </w:r>
      <w:bookmarkEnd w:id="39"/>
      <w:bookmarkEnd w:id="40"/>
      <w:bookmarkEnd w:id="41"/>
      <w:bookmarkEnd w:id="42"/>
      <w:bookmarkEnd w:id="43"/>
      <w:bookmarkEnd w:id="44"/>
      <w:bookmarkEnd w:id="45"/>
      <w:bookmarkEnd w:id="46"/>
      <w:bookmarkEnd w:id="47"/>
      <w:bookmarkStart w:id="48" w:name="_Toc100052365"/>
      <w:bookmarkStart w:id="49" w:name="_Toc101074877"/>
      <w:bookmarkStart w:id="50" w:name="_Toc73517640"/>
      <w:bookmarkStart w:id="51" w:name="_Toc73521548"/>
      <w:bookmarkStart w:id="52" w:name="_Toc73518118"/>
      <w:bookmarkStart w:id="53" w:name="_Toc194467300"/>
      <w:bookmarkStart w:id="54" w:name="_Toc73521636"/>
      <w:r>
        <w:rPr>
          <w:rFonts w:hint="eastAsia"/>
        </w:rPr>
        <w:t>总则</w:t>
      </w:r>
      <w:bookmarkEnd w:id="48"/>
      <w:bookmarkEnd w:id="49"/>
      <w:bookmarkEnd w:id="50"/>
      <w:bookmarkEnd w:id="51"/>
      <w:bookmarkEnd w:id="52"/>
      <w:bookmarkEnd w:id="53"/>
      <w:bookmarkEnd w:id="54"/>
    </w:p>
    <w:p w14:paraId="0FFAEB19">
      <w:pPr>
        <w:spacing w:line="360" w:lineRule="auto"/>
        <w:rPr>
          <w:rFonts w:ascii="黑体" w:hAnsi="宋体" w:eastAsia="黑体"/>
          <w:sz w:val="24"/>
        </w:rPr>
      </w:pPr>
      <w:bookmarkStart w:id="55" w:name="_Toc60560627"/>
      <w:bookmarkStart w:id="56" w:name="_Toc73521637"/>
      <w:bookmarkStart w:id="57" w:name="_Toc73521549"/>
      <w:bookmarkStart w:id="58" w:name="_Toc73518119"/>
      <w:bookmarkStart w:id="59" w:name="_Toc60631622"/>
      <w:bookmarkStart w:id="60" w:name="_Toc100052366"/>
      <w:bookmarkStart w:id="61" w:name="_Toc73517641"/>
      <w:r>
        <w:rPr>
          <w:rFonts w:ascii="黑体" w:hAnsi="宋体" w:eastAsia="黑体"/>
          <w:sz w:val="24"/>
        </w:rPr>
        <w:t>1．</w:t>
      </w:r>
      <w:r>
        <w:rPr>
          <w:rFonts w:hint="eastAsia" w:ascii="黑体" w:hAnsi="宋体" w:eastAsia="黑体"/>
          <w:sz w:val="24"/>
        </w:rPr>
        <w:t>招标说明</w:t>
      </w:r>
      <w:bookmarkEnd w:id="55"/>
      <w:bookmarkEnd w:id="56"/>
      <w:bookmarkEnd w:id="57"/>
      <w:bookmarkEnd w:id="58"/>
      <w:bookmarkEnd w:id="59"/>
      <w:bookmarkEnd w:id="60"/>
      <w:bookmarkEnd w:id="61"/>
    </w:p>
    <w:p w14:paraId="5EF25A5C">
      <w:pPr>
        <w:ind w:firstLine="411" w:firstLineChars="196"/>
        <w:rPr>
          <w:rFonts w:ascii="宋体" w:hAnsi="宋体"/>
          <w:szCs w:val="21"/>
        </w:rPr>
      </w:pPr>
      <w:r>
        <w:rPr>
          <w:rFonts w:hint="eastAsia" w:ascii="宋体" w:hAnsi="宋体"/>
          <w:szCs w:val="21"/>
        </w:rPr>
        <w:t>本项目参照《深圳经济特区政府采购条例》及其实施细则等有关文件的规定，通过</w:t>
      </w:r>
      <w:r>
        <w:rPr>
          <w:rFonts w:hint="eastAsia"/>
          <w:szCs w:val="21"/>
        </w:rPr>
        <w:t>评审定标方式确定成交供应商。</w:t>
      </w:r>
    </w:p>
    <w:p w14:paraId="4FF0AD37">
      <w:pPr>
        <w:spacing w:line="360" w:lineRule="auto"/>
        <w:rPr>
          <w:rFonts w:ascii="黑体" w:hAnsi="宋体" w:eastAsia="黑体"/>
          <w:sz w:val="24"/>
        </w:rPr>
      </w:pPr>
      <w:bookmarkStart w:id="62" w:name="_Toc60560628"/>
      <w:bookmarkStart w:id="63" w:name="_Toc73521550"/>
      <w:bookmarkStart w:id="64" w:name="_Toc73518120"/>
      <w:bookmarkStart w:id="65" w:name="_Toc73521638"/>
      <w:bookmarkStart w:id="66" w:name="_Toc73517642"/>
      <w:bookmarkStart w:id="67" w:name="_Toc60631623"/>
      <w:bookmarkStart w:id="68" w:name="_Toc100052367"/>
      <w:r>
        <w:rPr>
          <w:rFonts w:ascii="黑体" w:hAnsi="宋体" w:eastAsia="黑体"/>
          <w:sz w:val="24"/>
        </w:rPr>
        <w:t>2</w:t>
      </w:r>
      <w:r>
        <w:rPr>
          <w:rFonts w:hint="eastAsia" w:ascii="黑体" w:hAnsi="宋体" w:eastAsia="黑体"/>
          <w:sz w:val="24"/>
        </w:rPr>
        <w:t>．定义</w:t>
      </w:r>
      <w:bookmarkEnd w:id="62"/>
      <w:bookmarkEnd w:id="63"/>
      <w:bookmarkEnd w:id="64"/>
      <w:bookmarkEnd w:id="65"/>
      <w:bookmarkEnd w:id="66"/>
      <w:bookmarkEnd w:id="67"/>
      <w:bookmarkEnd w:id="68"/>
    </w:p>
    <w:p w14:paraId="1C1B49DF">
      <w:pPr>
        <w:ind w:firstLine="420" w:firstLineChars="200"/>
        <w:rPr>
          <w:rFonts w:ascii="宋体" w:hAnsi="宋体"/>
          <w:szCs w:val="21"/>
        </w:rPr>
      </w:pPr>
      <w:r>
        <w:rPr>
          <w:rFonts w:ascii="宋体" w:hAnsi="宋体"/>
          <w:szCs w:val="21"/>
        </w:rPr>
        <w:t>招标文件中下列术语应解释为：</w:t>
      </w:r>
    </w:p>
    <w:p w14:paraId="3C5256BF">
      <w:pPr>
        <w:ind w:firstLine="411" w:firstLineChars="196"/>
        <w:rPr>
          <w:rFonts w:ascii="宋体" w:hAnsi="宋体"/>
          <w:szCs w:val="21"/>
        </w:rPr>
      </w:pPr>
      <w:r>
        <w:rPr>
          <w:rFonts w:ascii="宋体" w:hAnsi="宋体"/>
          <w:szCs w:val="21"/>
        </w:rPr>
        <w:t>2</w:t>
      </w:r>
      <w:r>
        <w:rPr>
          <w:rFonts w:hint="eastAsia" w:ascii="宋体" w:hAnsi="宋体"/>
          <w:szCs w:val="21"/>
        </w:rPr>
        <w:t>.1“日期”</w:t>
      </w:r>
      <w:r>
        <w:rPr>
          <w:rFonts w:ascii="宋体" w:hAnsi="宋体"/>
          <w:szCs w:val="21"/>
        </w:rPr>
        <w:t>指</w:t>
      </w:r>
      <w:r>
        <w:rPr>
          <w:rFonts w:hint="eastAsia" w:ascii="宋体" w:hAnsi="宋体"/>
          <w:szCs w:val="21"/>
        </w:rPr>
        <w:t>公历日；</w:t>
      </w:r>
    </w:p>
    <w:p w14:paraId="65CB31CB">
      <w:pPr>
        <w:ind w:firstLine="411" w:firstLineChars="196"/>
        <w:rPr>
          <w:rFonts w:ascii="宋体" w:hAnsi="宋体"/>
          <w:szCs w:val="21"/>
        </w:rPr>
      </w:pPr>
      <w:r>
        <w:rPr>
          <w:rFonts w:hint="eastAsia" w:ascii="宋体" w:hAnsi="宋体"/>
          <w:szCs w:val="21"/>
        </w:rPr>
        <w:t>2.2“</w:t>
      </w:r>
      <w:r>
        <w:rPr>
          <w:rFonts w:hint="eastAsia"/>
        </w:rPr>
        <w:t>招标文件</w:t>
      </w:r>
      <w:r>
        <w:rPr>
          <w:rFonts w:hint="eastAsia" w:ascii="宋体" w:hAnsi="宋体"/>
          <w:szCs w:val="21"/>
        </w:rPr>
        <w:t>”指采购文件；</w:t>
      </w:r>
    </w:p>
    <w:p w14:paraId="79CA22D4">
      <w:pPr>
        <w:ind w:firstLine="411" w:firstLineChars="196"/>
        <w:rPr>
          <w:rFonts w:ascii="宋体" w:hAnsi="宋体"/>
          <w:szCs w:val="21"/>
        </w:rPr>
      </w:pPr>
      <w:r>
        <w:rPr>
          <w:rFonts w:ascii="宋体" w:hAnsi="宋体"/>
          <w:szCs w:val="21"/>
        </w:rPr>
        <w:t>2.</w:t>
      </w:r>
      <w:r>
        <w:rPr>
          <w:rFonts w:hint="eastAsia" w:ascii="宋体" w:hAnsi="宋体"/>
          <w:szCs w:val="21"/>
        </w:rPr>
        <w:t>3“应答文件”指投标文件；</w:t>
      </w:r>
    </w:p>
    <w:p w14:paraId="6BE2F218">
      <w:pPr>
        <w:ind w:firstLine="411" w:firstLineChars="196"/>
        <w:rPr>
          <w:rFonts w:ascii="宋体" w:hAnsi="宋体"/>
          <w:szCs w:val="21"/>
        </w:rPr>
      </w:pPr>
      <w:r>
        <w:rPr>
          <w:rFonts w:hint="eastAsia" w:ascii="宋体" w:hAnsi="宋体"/>
          <w:szCs w:val="21"/>
        </w:rPr>
        <w:t>2.4 “成交”指中标；</w:t>
      </w:r>
    </w:p>
    <w:p w14:paraId="458658C7">
      <w:pPr>
        <w:ind w:firstLine="411" w:firstLineChars="196"/>
        <w:rPr>
          <w:rFonts w:ascii="宋体" w:hAnsi="宋体"/>
          <w:szCs w:val="21"/>
        </w:rPr>
      </w:pPr>
      <w:r>
        <w:rPr>
          <w:rFonts w:hint="eastAsia" w:ascii="宋体" w:hAnsi="宋体"/>
          <w:szCs w:val="21"/>
        </w:rPr>
        <w:t>2.5“合同”指由本次招标所产生的合同或合约文件；</w:t>
      </w:r>
    </w:p>
    <w:p w14:paraId="4BC107B1">
      <w:pPr>
        <w:ind w:firstLine="411" w:firstLineChars="196"/>
        <w:rPr>
          <w:rFonts w:ascii="宋体" w:hAnsi="宋体"/>
          <w:szCs w:val="21"/>
        </w:rPr>
      </w:pPr>
      <w:r>
        <w:rPr>
          <w:rFonts w:ascii="宋体" w:hAnsi="宋体"/>
          <w:szCs w:val="21"/>
        </w:rPr>
        <w:t>2.</w:t>
      </w:r>
      <w:r>
        <w:rPr>
          <w:rFonts w:hint="eastAsia" w:ascii="宋体" w:hAnsi="宋体"/>
          <w:szCs w:val="21"/>
        </w:rPr>
        <w:t>6</w:t>
      </w:r>
      <w:r>
        <w:rPr>
          <w:rFonts w:ascii="宋体" w:hAnsi="宋体"/>
          <w:szCs w:val="21"/>
        </w:rPr>
        <w:t>“网上投标”指按照招标文件的规定并遵循相应的技术要求，通过深圳公共资源交易中心（深圳交易集团有限公司罗湖分公司）网站上传电子投标文件的行为；</w:t>
      </w:r>
    </w:p>
    <w:p w14:paraId="47E1513A">
      <w:pPr>
        <w:ind w:firstLine="411" w:firstLineChars="196"/>
        <w:rPr>
          <w:rFonts w:ascii="宋体" w:hAnsi="宋体"/>
          <w:szCs w:val="21"/>
        </w:rPr>
      </w:pPr>
      <w:r>
        <w:rPr>
          <w:rFonts w:hint="eastAsia" w:ascii="宋体" w:hAnsi="宋体"/>
          <w:szCs w:val="21"/>
        </w:rPr>
        <w:t>2.7招标文件中的标题或题名仅起引导作用，而不应视为对招标文件内容的理解和解释；</w:t>
      </w:r>
    </w:p>
    <w:p w14:paraId="05D7CBCF">
      <w:pPr>
        <w:ind w:firstLine="411" w:firstLineChars="196"/>
        <w:rPr>
          <w:rFonts w:ascii="宋体" w:hAnsi="宋体"/>
          <w:szCs w:val="21"/>
        </w:rPr>
      </w:pPr>
      <w:r>
        <w:rPr>
          <w:rFonts w:ascii="宋体" w:hAnsi="宋体"/>
          <w:szCs w:val="21"/>
        </w:rPr>
        <w:t>2.</w:t>
      </w:r>
      <w:r>
        <w:rPr>
          <w:rFonts w:hint="eastAsia" w:ascii="宋体" w:hAnsi="宋体"/>
          <w:szCs w:val="21"/>
        </w:rPr>
        <w:t>8除特别声明外，本招标文件所称的网站均指深圳交易集团罗湖分公司网站，网址：</w:t>
      </w:r>
      <w:r>
        <w:rPr>
          <w:rFonts w:hint="eastAsia" w:ascii="宋体" w:hAnsi="宋体"/>
          <w:color w:val="FF0000"/>
          <w:szCs w:val="21"/>
        </w:rPr>
        <w:t>https://lh.szexgrp.com/jyfw/zfcg-view.html?id=zfcg</w:t>
      </w:r>
    </w:p>
    <w:p w14:paraId="654A41DB">
      <w:pPr>
        <w:spacing w:line="360" w:lineRule="auto"/>
        <w:rPr>
          <w:rFonts w:ascii="黑体" w:hAnsi="宋体" w:eastAsia="黑体"/>
          <w:sz w:val="24"/>
        </w:rPr>
      </w:pPr>
      <w:bookmarkStart w:id="69" w:name="_Toc73521551"/>
      <w:bookmarkStart w:id="70" w:name="_Toc60560629"/>
      <w:bookmarkStart w:id="71" w:name="_Toc60631624"/>
      <w:bookmarkStart w:id="72" w:name="_Toc73521639"/>
      <w:bookmarkStart w:id="73" w:name="_Toc100052368"/>
      <w:bookmarkStart w:id="74" w:name="_Toc73517643"/>
      <w:bookmarkStart w:id="75" w:name="_Toc73518121"/>
      <w:r>
        <w:rPr>
          <w:rFonts w:hint="eastAsia" w:ascii="黑体" w:hAnsi="宋体" w:eastAsia="黑体"/>
          <w:sz w:val="24"/>
        </w:rPr>
        <w:t>3．投标供应商的资质要求</w:t>
      </w:r>
      <w:bookmarkEnd w:id="69"/>
      <w:bookmarkEnd w:id="70"/>
      <w:bookmarkEnd w:id="71"/>
      <w:bookmarkEnd w:id="72"/>
      <w:bookmarkEnd w:id="73"/>
      <w:bookmarkEnd w:id="74"/>
      <w:bookmarkEnd w:id="75"/>
    </w:p>
    <w:p w14:paraId="4A677E26">
      <w:pPr>
        <w:ind w:firstLine="411" w:firstLineChars="196"/>
        <w:rPr>
          <w:rFonts w:ascii="宋体" w:hAnsi="宋体"/>
          <w:color w:val="auto"/>
          <w:szCs w:val="21"/>
        </w:rPr>
      </w:pPr>
      <w:bookmarkStart w:id="76" w:name="_Toc73518123"/>
      <w:bookmarkStart w:id="77" w:name="_Toc60631626"/>
      <w:bookmarkStart w:id="78" w:name="_Toc73521641"/>
      <w:bookmarkStart w:id="79" w:name="_Toc73521553"/>
      <w:bookmarkStart w:id="80" w:name="_Toc73517645"/>
      <w:bookmarkStart w:id="81" w:name="_Toc60560631"/>
      <w:bookmarkStart w:id="82" w:name="_Toc100052370"/>
      <w:r>
        <w:rPr>
          <w:rFonts w:hint="eastAsia" w:ascii="宋体" w:hAnsi="宋体"/>
          <w:color w:val="auto"/>
          <w:szCs w:val="21"/>
        </w:rPr>
        <w:t>3</w:t>
      </w:r>
      <w:r>
        <w:rPr>
          <w:rFonts w:ascii="宋体" w:hAnsi="宋体"/>
          <w:color w:val="auto"/>
          <w:szCs w:val="21"/>
        </w:rPr>
        <w:t>.</w:t>
      </w:r>
      <w:r>
        <w:rPr>
          <w:rFonts w:hint="eastAsia" w:ascii="宋体" w:hAnsi="宋体"/>
          <w:color w:val="auto"/>
          <w:szCs w:val="21"/>
        </w:rPr>
        <w:t>1 参加本次投标的投标供应商应满足招标文件规定的资格条件，详</w:t>
      </w:r>
      <w:r>
        <w:rPr>
          <w:rFonts w:hint="eastAsia" w:ascii="宋体" w:hAnsi="宋体"/>
          <w:bCs/>
          <w:color w:val="auto"/>
          <w:szCs w:val="21"/>
        </w:rPr>
        <w:t>见招标公告有关投标供应商资格要求。</w:t>
      </w:r>
    </w:p>
    <w:p w14:paraId="35CCBD70">
      <w:pPr>
        <w:spacing w:line="360" w:lineRule="auto"/>
        <w:rPr>
          <w:rFonts w:ascii="黑体" w:hAnsi="宋体" w:eastAsia="黑体"/>
          <w:sz w:val="24"/>
        </w:rPr>
      </w:pPr>
      <w:r>
        <w:rPr>
          <w:rFonts w:hint="eastAsia" w:ascii="黑体" w:hAnsi="宋体" w:eastAsia="黑体"/>
          <w:sz w:val="24"/>
        </w:rPr>
        <w:t>4．投标费用</w:t>
      </w:r>
      <w:bookmarkEnd w:id="76"/>
      <w:bookmarkEnd w:id="77"/>
      <w:bookmarkEnd w:id="78"/>
      <w:bookmarkEnd w:id="79"/>
      <w:bookmarkEnd w:id="80"/>
      <w:bookmarkEnd w:id="81"/>
      <w:bookmarkEnd w:id="82"/>
    </w:p>
    <w:p w14:paraId="5669E7C3">
      <w:pPr>
        <w:ind w:firstLine="411" w:firstLineChars="196"/>
        <w:rPr>
          <w:rFonts w:ascii="宋体" w:hAnsi="宋体"/>
          <w:szCs w:val="21"/>
        </w:rPr>
      </w:pPr>
      <w:r>
        <w:rPr>
          <w:rFonts w:hint="eastAsia" w:ascii="宋体" w:hAnsi="宋体"/>
        </w:rPr>
        <w:t>不论投标的结果如何，投标</w:t>
      </w:r>
      <w:r>
        <w:rPr>
          <w:rFonts w:hint="eastAsia" w:ascii="宋体" w:hAnsi="宋体"/>
          <w:color w:val="000000"/>
          <w:szCs w:val="21"/>
        </w:rPr>
        <w:t>供应商</w:t>
      </w:r>
      <w:r>
        <w:rPr>
          <w:rFonts w:hint="eastAsia" w:ascii="宋体" w:hAnsi="宋体"/>
        </w:rPr>
        <w:t>应承担所有与准备和参加投标</w:t>
      </w:r>
      <w:r>
        <w:rPr>
          <w:rFonts w:hint="eastAsia" w:ascii="宋体" w:hAnsi="宋体"/>
          <w:szCs w:val="21"/>
        </w:rPr>
        <w:t>(含实物样品)</w:t>
      </w:r>
      <w:r>
        <w:rPr>
          <w:rFonts w:hint="eastAsia" w:ascii="宋体" w:hAnsi="宋体"/>
        </w:rPr>
        <w:t>有关的费用，深圳公共资源交易中心（深圳交易集团有限公司罗湖分公司）和采购单位均无义务、也无责任承担这些费用。</w:t>
      </w:r>
      <w:bookmarkStart w:id="83" w:name="_Toc78260681"/>
      <w:bookmarkStart w:id="84" w:name="_Toc100052372"/>
    </w:p>
    <w:p w14:paraId="569DDA94">
      <w:pPr>
        <w:spacing w:line="360" w:lineRule="auto"/>
        <w:rPr>
          <w:rFonts w:ascii="黑体" w:hAnsi="宋体" w:eastAsia="黑体"/>
          <w:sz w:val="24"/>
        </w:rPr>
      </w:pPr>
      <w:r>
        <w:rPr>
          <w:rFonts w:hint="eastAsia" w:ascii="黑体" w:hAnsi="宋体" w:eastAsia="黑体"/>
          <w:sz w:val="24"/>
        </w:rPr>
        <w:t>5．招标</w:t>
      </w:r>
      <w:bookmarkEnd w:id="83"/>
      <w:r>
        <w:rPr>
          <w:rFonts w:hint="eastAsia" w:ascii="黑体" w:hAnsi="宋体" w:eastAsia="黑体"/>
          <w:sz w:val="24"/>
        </w:rPr>
        <w:t>答疑</w:t>
      </w:r>
      <w:bookmarkEnd w:id="84"/>
      <w:r>
        <w:rPr>
          <w:rFonts w:hint="eastAsia" w:ascii="黑体" w:hAnsi="宋体" w:eastAsia="黑体"/>
          <w:sz w:val="24"/>
        </w:rPr>
        <w:t>、质疑</w:t>
      </w:r>
    </w:p>
    <w:p w14:paraId="1E3DCEEF">
      <w:pPr>
        <w:ind w:firstLine="411" w:firstLineChars="196"/>
        <w:rPr>
          <w:rFonts w:ascii="宋体" w:hAnsi="宋体"/>
          <w:szCs w:val="21"/>
        </w:rPr>
      </w:pPr>
      <w:r>
        <w:rPr>
          <w:rFonts w:hint="eastAsia" w:ascii="宋体" w:hAnsi="宋体"/>
          <w:szCs w:val="21"/>
        </w:rPr>
        <w:t>5.1招标答疑的目的是澄清、解答投标</w:t>
      </w:r>
      <w:r>
        <w:rPr>
          <w:rFonts w:hint="eastAsia" w:ascii="宋体" w:hAnsi="宋体"/>
          <w:color w:val="000000"/>
          <w:szCs w:val="21"/>
        </w:rPr>
        <w:t>供应商</w:t>
      </w:r>
      <w:r>
        <w:rPr>
          <w:rFonts w:hint="eastAsia" w:ascii="宋体" w:hAnsi="宋体"/>
          <w:szCs w:val="21"/>
        </w:rPr>
        <w:t>在查阅招标文件后可能提出的与投标有关的问题；</w:t>
      </w:r>
    </w:p>
    <w:p w14:paraId="3B3B2B6A">
      <w:pPr>
        <w:ind w:firstLine="411" w:firstLineChars="196"/>
        <w:rPr>
          <w:rFonts w:ascii="宋体" w:hAnsi="宋体"/>
          <w:szCs w:val="21"/>
        </w:rPr>
      </w:pPr>
      <w:r>
        <w:rPr>
          <w:rFonts w:hint="eastAsia" w:ascii="宋体" w:hAnsi="宋体"/>
          <w:szCs w:val="21"/>
        </w:rPr>
        <w:t>5.2投标</w:t>
      </w:r>
      <w:r>
        <w:rPr>
          <w:rFonts w:hint="eastAsia" w:ascii="宋体" w:hAnsi="宋体"/>
          <w:color w:val="000000"/>
          <w:szCs w:val="21"/>
        </w:rPr>
        <w:t>供应商</w:t>
      </w:r>
      <w:r>
        <w:rPr>
          <w:rFonts w:hint="eastAsia" w:ascii="宋体" w:hAnsi="宋体"/>
          <w:szCs w:val="21"/>
        </w:rPr>
        <w:t>提出的与投标有关的问题须在招标文件规定的截止时间前以网上形式提交给深圳公共资源交易中心（深圳交易集团有限公司罗湖分公司）；</w:t>
      </w:r>
    </w:p>
    <w:p w14:paraId="7A7425D4">
      <w:pPr>
        <w:ind w:firstLine="420"/>
        <w:rPr>
          <w:rFonts w:ascii="宋体" w:hAnsi="宋体" w:cs="宋体"/>
          <w:kern w:val="0"/>
          <w:szCs w:val="21"/>
        </w:rPr>
      </w:pPr>
      <w:r>
        <w:rPr>
          <w:rFonts w:hint="eastAsia" w:ascii="宋体" w:hAnsi="宋体"/>
          <w:szCs w:val="21"/>
        </w:rPr>
        <w:t>5.3</w:t>
      </w:r>
      <w:r>
        <w:rPr>
          <w:rFonts w:hint="eastAsia" w:ascii="宋体" w:hAnsi="宋体" w:cs="宋体"/>
          <w:kern w:val="0"/>
          <w:szCs w:val="21"/>
        </w:rPr>
        <w:t>供应商如认为招标文件、采购过程、中标或成交结果等采购程序环节存在下列情形使其权益受到损害的，存在限制性、倾向性、其权益受到损害，可以依法向</w:t>
      </w:r>
      <w:r>
        <w:rPr>
          <w:rFonts w:hint="eastAsia" w:ascii="宋体" w:hAnsi="宋体"/>
          <w:szCs w:val="21"/>
        </w:rPr>
        <w:t>深圳公共资源交易中心（深圳交易集团有限公司罗湖分公司）</w:t>
      </w:r>
      <w:r>
        <w:rPr>
          <w:rFonts w:hint="eastAsia" w:ascii="宋体" w:hAnsi="宋体" w:cs="宋体"/>
          <w:kern w:val="0"/>
          <w:szCs w:val="21"/>
        </w:rPr>
        <w:t>以书面形式提出质疑。</w:t>
      </w:r>
    </w:p>
    <w:p w14:paraId="26337264">
      <w:pPr>
        <w:ind w:firstLine="420"/>
        <w:rPr>
          <w:rFonts w:ascii="宋体" w:hAnsi="宋体" w:cs="宋体"/>
          <w:kern w:val="0"/>
          <w:szCs w:val="21"/>
        </w:rPr>
      </w:pPr>
      <w:r>
        <w:rPr>
          <w:rFonts w:hint="eastAsia" w:ascii="宋体" w:hAnsi="宋体"/>
          <w:szCs w:val="21"/>
        </w:rPr>
        <w:t>5.3.1</w:t>
      </w:r>
      <w:r>
        <w:rPr>
          <w:rFonts w:hint="eastAsia" w:ascii="宋体" w:hAnsi="宋体" w:cs="宋体"/>
          <w:kern w:val="0"/>
          <w:szCs w:val="21"/>
        </w:rPr>
        <w:t>供应商应按以下规定时限提出质疑：</w:t>
      </w:r>
    </w:p>
    <w:p w14:paraId="3C8D4D11">
      <w:pPr>
        <w:ind w:firstLine="420"/>
        <w:rPr>
          <w:rFonts w:ascii="宋体" w:hAnsi="宋体" w:cs="宋体"/>
          <w:kern w:val="0"/>
          <w:szCs w:val="21"/>
        </w:rPr>
      </w:pPr>
      <w:r>
        <w:rPr>
          <w:rFonts w:hint="eastAsia" w:ascii="宋体" w:hAnsi="宋体" w:cs="宋体"/>
          <w:kern w:val="0"/>
          <w:szCs w:val="21"/>
        </w:rPr>
        <w:t>（1）对招标（采购）文件的质疑，为招标（采购）公告公示期内；</w:t>
      </w:r>
    </w:p>
    <w:p w14:paraId="797F97A0">
      <w:pPr>
        <w:ind w:firstLine="420"/>
        <w:rPr>
          <w:rFonts w:ascii="宋体" w:hAnsi="宋体" w:cs="宋体"/>
          <w:kern w:val="0"/>
          <w:szCs w:val="21"/>
        </w:rPr>
      </w:pPr>
      <w:r>
        <w:rPr>
          <w:rFonts w:hint="eastAsia" w:ascii="宋体" w:hAnsi="宋体" w:cs="宋体"/>
          <w:kern w:val="0"/>
          <w:szCs w:val="21"/>
        </w:rPr>
        <w:t>（2）对中标（成交）结果以及评审委员会、谈判小组组成人员的质疑，为中标（成交）结果公示期内；</w:t>
      </w:r>
    </w:p>
    <w:p w14:paraId="4D9EAE1A">
      <w:pPr>
        <w:ind w:firstLine="420"/>
        <w:rPr>
          <w:rFonts w:ascii="宋体" w:hAnsi="宋体" w:cs="宋体"/>
          <w:kern w:val="0"/>
          <w:szCs w:val="21"/>
        </w:rPr>
      </w:pPr>
      <w:r>
        <w:rPr>
          <w:rFonts w:hint="eastAsia" w:ascii="宋体" w:hAnsi="宋体" w:cs="宋体"/>
          <w:kern w:val="0"/>
          <w:szCs w:val="21"/>
        </w:rPr>
        <w:t>（3）对项目发布更正公告的（包括但不限于采购文件的澄清或修改、中标或成交结果的改变）且供应商针对更正事项提出质疑的，为更正公告公示期内。</w:t>
      </w:r>
    </w:p>
    <w:p w14:paraId="217709A2">
      <w:pPr>
        <w:ind w:firstLine="420"/>
        <w:rPr>
          <w:rFonts w:ascii="宋体" w:hAnsi="宋体"/>
          <w:szCs w:val="21"/>
        </w:rPr>
      </w:pPr>
      <w:r>
        <w:rPr>
          <w:rFonts w:hint="eastAsia" w:ascii="宋体" w:hAnsi="宋体"/>
          <w:szCs w:val="21"/>
        </w:rPr>
        <w:t>5.3.2书面质疑函应当包括以下内容：</w:t>
      </w:r>
      <w:r>
        <w:rPr>
          <w:rFonts w:ascii="宋体" w:hAnsi="宋体"/>
          <w:szCs w:val="21"/>
        </w:rPr>
        <w:t xml:space="preserve"> </w:t>
      </w:r>
    </w:p>
    <w:p w14:paraId="3F60E6BF">
      <w:pPr>
        <w:ind w:firstLine="420"/>
        <w:rPr>
          <w:rFonts w:ascii="宋体" w:hAnsi="宋体"/>
          <w:szCs w:val="21"/>
        </w:rPr>
      </w:pPr>
      <w:r>
        <w:rPr>
          <w:rFonts w:hint="eastAsia" w:ascii="宋体" w:hAnsi="宋体"/>
          <w:szCs w:val="21"/>
        </w:rPr>
        <w:t>（1）供应商的名称（或者姓名）、地址、邮编、邮箱、联系人及联系电话；</w:t>
      </w:r>
    </w:p>
    <w:p w14:paraId="52EC7C9F">
      <w:pPr>
        <w:ind w:firstLine="420" w:firstLineChars="200"/>
        <w:rPr>
          <w:rFonts w:ascii="宋体" w:hAnsi="宋体"/>
          <w:szCs w:val="21"/>
        </w:rPr>
      </w:pPr>
      <w:r>
        <w:rPr>
          <w:rFonts w:hint="eastAsia" w:ascii="宋体" w:hAnsi="宋体"/>
          <w:szCs w:val="21"/>
        </w:rPr>
        <w:t>（2）质疑项目的名称、编号；</w:t>
      </w:r>
    </w:p>
    <w:p w14:paraId="304388C1">
      <w:pPr>
        <w:ind w:firstLine="420" w:firstLineChars="200"/>
        <w:rPr>
          <w:rFonts w:ascii="宋体" w:hAnsi="宋体"/>
          <w:szCs w:val="21"/>
        </w:rPr>
      </w:pPr>
      <w:r>
        <w:rPr>
          <w:rFonts w:hint="eastAsia" w:ascii="宋体" w:hAnsi="宋体"/>
          <w:szCs w:val="21"/>
        </w:rPr>
        <w:t>（3）具体、明确的质疑对象、质疑事项和质疑请求；</w:t>
      </w:r>
    </w:p>
    <w:p w14:paraId="2F1491E8">
      <w:pPr>
        <w:ind w:firstLine="420" w:firstLineChars="200"/>
        <w:rPr>
          <w:rFonts w:ascii="宋体" w:hAnsi="宋体"/>
          <w:szCs w:val="21"/>
        </w:rPr>
      </w:pPr>
      <w:r>
        <w:rPr>
          <w:rFonts w:hint="eastAsia" w:ascii="宋体" w:hAnsi="宋体"/>
          <w:szCs w:val="21"/>
        </w:rPr>
        <w:t>（4）因质疑事项而受损害的权益；</w:t>
      </w:r>
    </w:p>
    <w:p w14:paraId="51B615A0">
      <w:pPr>
        <w:ind w:firstLine="420" w:firstLineChars="200"/>
        <w:rPr>
          <w:rFonts w:ascii="宋体" w:hAnsi="宋体"/>
          <w:szCs w:val="21"/>
        </w:rPr>
      </w:pPr>
      <w:r>
        <w:rPr>
          <w:rFonts w:hint="eastAsia" w:ascii="宋体" w:hAnsi="宋体"/>
          <w:szCs w:val="21"/>
        </w:rPr>
        <w:t>（5）事实依据；</w:t>
      </w:r>
    </w:p>
    <w:p w14:paraId="7D542055">
      <w:pPr>
        <w:ind w:firstLine="420" w:firstLineChars="200"/>
        <w:rPr>
          <w:rFonts w:ascii="宋体" w:hAnsi="宋体"/>
          <w:szCs w:val="21"/>
        </w:rPr>
      </w:pPr>
      <w:r>
        <w:rPr>
          <w:rFonts w:hint="eastAsia" w:ascii="宋体" w:hAnsi="宋体"/>
          <w:szCs w:val="21"/>
        </w:rPr>
        <w:t>（6）必要的法律依据；</w:t>
      </w:r>
    </w:p>
    <w:p w14:paraId="7E04D5ED">
      <w:pPr>
        <w:ind w:firstLine="420" w:firstLineChars="200"/>
        <w:rPr>
          <w:rFonts w:ascii="宋体" w:hAnsi="宋体"/>
          <w:szCs w:val="21"/>
        </w:rPr>
      </w:pPr>
      <w:r>
        <w:rPr>
          <w:rFonts w:hint="eastAsia" w:ascii="宋体" w:hAnsi="宋体"/>
          <w:szCs w:val="21"/>
        </w:rPr>
        <w:t>（7）提出质疑的日期。</w:t>
      </w:r>
    </w:p>
    <w:p w14:paraId="49D40EF4">
      <w:pPr>
        <w:ind w:firstLine="420" w:firstLineChars="200"/>
        <w:rPr>
          <w:rFonts w:ascii="宋体" w:hAnsi="宋体"/>
          <w:szCs w:val="21"/>
        </w:rPr>
      </w:pPr>
      <w:r>
        <w:rPr>
          <w:rFonts w:hint="eastAsia" w:ascii="宋体" w:hAnsi="宋体"/>
          <w:szCs w:val="21"/>
        </w:rPr>
        <w:t>供应商为自然人的，应当由本人签字；供应商为法人或者其他组织的，应当由法定代表人（负责人），或者其授权代理人签字或者盖章，并加盖公章。</w:t>
      </w:r>
    </w:p>
    <w:p w14:paraId="3A873117">
      <w:pPr>
        <w:ind w:firstLine="420" w:firstLineChars="200"/>
        <w:rPr>
          <w:rFonts w:ascii="宋体" w:hAnsi="宋体"/>
          <w:szCs w:val="21"/>
        </w:rPr>
      </w:pPr>
      <w:r>
        <w:rPr>
          <w:rFonts w:hint="eastAsia" w:ascii="宋体" w:hAnsi="宋体"/>
          <w:szCs w:val="21"/>
        </w:rPr>
        <w:t>5.3.3提交</w:t>
      </w:r>
      <w:r>
        <w:rPr>
          <w:rFonts w:ascii="宋体" w:hAnsi="宋体"/>
          <w:szCs w:val="21"/>
        </w:rPr>
        <w:t>材料</w:t>
      </w:r>
    </w:p>
    <w:p w14:paraId="3E5A10AF">
      <w:pPr>
        <w:ind w:firstLine="420" w:firstLineChars="200"/>
        <w:rPr>
          <w:rFonts w:ascii="宋体" w:hAnsi="宋体"/>
          <w:szCs w:val="21"/>
        </w:rPr>
      </w:pPr>
      <w:r>
        <w:rPr>
          <w:rFonts w:hint="eastAsia" w:ascii="宋体" w:hAnsi="宋体"/>
          <w:szCs w:val="21"/>
        </w:rPr>
        <w:t>供应商质疑实行实名制。质疑（投诉）人应保证质疑、投诉的真实性，其在质疑或投诉时应当有具体的事项及证明利益受损的事实根据，实行“谁质疑，谁举证”的原则。</w:t>
      </w:r>
    </w:p>
    <w:p w14:paraId="01410E18">
      <w:pPr>
        <w:ind w:firstLine="420" w:firstLineChars="200"/>
        <w:rPr>
          <w:rFonts w:ascii="宋体" w:hAnsi="宋体"/>
          <w:szCs w:val="21"/>
        </w:rPr>
      </w:pPr>
      <w:r>
        <w:rPr>
          <w:rFonts w:hint="eastAsia" w:ascii="宋体" w:hAnsi="宋体"/>
          <w:szCs w:val="21"/>
        </w:rPr>
        <w:t>供应商为自然人的，应当提交本人身份证复印件；供应商为法人或者其他组织的，应当根据自身性质提交营业执照复印件或者其他证明文件（如事业单位法人证书等）复印件。</w:t>
      </w:r>
    </w:p>
    <w:p w14:paraId="24683B81">
      <w:pPr>
        <w:ind w:firstLine="420" w:firstLineChars="200"/>
        <w:rPr>
          <w:rFonts w:ascii="宋体" w:hAnsi="宋体"/>
          <w:szCs w:val="21"/>
        </w:rPr>
      </w:pPr>
      <w:r>
        <w:rPr>
          <w:rFonts w:hint="eastAsia" w:ascii="宋体" w:hAnsi="宋体"/>
          <w:szCs w:val="21"/>
        </w:rPr>
        <w:t>供应商可以委托代理人进行质疑。</w:t>
      </w:r>
      <w:r>
        <w:rPr>
          <w:rFonts w:ascii="宋体" w:hAnsi="宋体"/>
          <w:szCs w:val="21"/>
        </w:rPr>
        <w:t>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4F427B5">
      <w:pPr>
        <w:ind w:firstLine="420" w:firstLineChars="200"/>
        <w:rPr>
          <w:rFonts w:ascii="宋体" w:hAnsi="宋体"/>
          <w:b/>
          <w:szCs w:val="21"/>
        </w:rPr>
      </w:pPr>
      <w:r>
        <w:rPr>
          <w:rFonts w:hint="eastAsia" w:ascii="宋体" w:hAnsi="宋体"/>
          <w:szCs w:val="21"/>
        </w:rPr>
        <w:t>5.3.4</w:t>
      </w:r>
      <w:r>
        <w:rPr>
          <w:rFonts w:hint="eastAsia" w:ascii="宋体" w:hAnsi="宋体"/>
          <w:b/>
          <w:szCs w:val="21"/>
        </w:rPr>
        <w:t>收文单位、地点</w:t>
      </w:r>
    </w:p>
    <w:p w14:paraId="67A91840">
      <w:pPr>
        <w:ind w:firstLine="420" w:firstLineChars="200"/>
        <w:rPr>
          <w:rFonts w:ascii="宋体" w:hAnsi="宋体"/>
          <w:b/>
          <w:bCs/>
          <w:szCs w:val="21"/>
        </w:rPr>
      </w:pPr>
      <w:r>
        <w:rPr>
          <w:rFonts w:hint="eastAsia" w:ascii="宋体" w:hAnsi="宋体"/>
          <w:szCs w:val="21"/>
        </w:rPr>
        <w:t>提交方式：请质疑供应商根据深圳政府采购智慧平台（https://www.szggzy.com/globalSearch/details.html?contentId=1211037）所发布的质疑指引、质疑函模板填写质疑函并提交质疑材料。</w:t>
      </w:r>
    </w:p>
    <w:p w14:paraId="28AC80EF">
      <w:pPr>
        <w:ind w:firstLine="422" w:firstLineChars="200"/>
        <w:rPr>
          <w:rFonts w:ascii="宋体" w:hAnsi="宋体"/>
          <w:b/>
          <w:bCs/>
          <w:szCs w:val="21"/>
        </w:rPr>
      </w:pPr>
      <w:r>
        <w:rPr>
          <w:rFonts w:hint="eastAsia" w:ascii="宋体" w:hAnsi="宋体"/>
          <w:b/>
          <w:bCs/>
          <w:szCs w:val="21"/>
        </w:rPr>
        <w:t>收文单位：深圳公共资源交易中心（深圳交易集团有限公司罗湖分公司），地址：</w:t>
      </w:r>
      <w:r>
        <w:rPr>
          <w:rFonts w:hint="eastAsia" w:ascii="宋体" w:hAnsi="宋体"/>
          <w:b/>
          <w:bCs/>
        </w:rPr>
        <w:t>深圳市罗湖区深南东路1076号党群服务中心4、</w:t>
      </w:r>
      <w:r>
        <w:rPr>
          <w:rFonts w:hint="eastAsia" w:ascii="宋体" w:hAnsi="宋体"/>
          <w:b/>
          <w:bCs/>
          <w:szCs w:val="21"/>
        </w:rPr>
        <w:t>5楼，质疑咨询电话：0755-822</w:t>
      </w:r>
      <w:r>
        <w:rPr>
          <w:rFonts w:hint="eastAsia" w:ascii="宋体" w:hAnsi="宋体"/>
          <w:b/>
          <w:bCs/>
          <w:szCs w:val="21"/>
          <w:lang w:val="en-US" w:eastAsia="zh-CN"/>
        </w:rPr>
        <w:t>23347</w:t>
      </w:r>
      <w:r>
        <w:rPr>
          <w:rFonts w:hint="eastAsia" w:ascii="宋体" w:hAnsi="宋体"/>
          <w:b/>
          <w:bCs/>
          <w:szCs w:val="21"/>
        </w:rPr>
        <w:t>。</w:t>
      </w:r>
    </w:p>
    <w:p w14:paraId="5259C00D">
      <w:pPr>
        <w:ind w:firstLine="411" w:firstLineChars="196"/>
        <w:rPr>
          <w:rFonts w:ascii="宋体" w:hAnsi="宋体"/>
          <w:szCs w:val="21"/>
        </w:rPr>
      </w:pPr>
      <w:r>
        <w:rPr>
          <w:rFonts w:hint="eastAsia" w:ascii="宋体" w:hAnsi="宋体"/>
          <w:szCs w:val="21"/>
        </w:rPr>
        <w:t>5.4深圳公共资源交易中心（深圳交易集团有限公司罗湖分公司）对疑问所做出的澄清和解答，以书面形式（包括网站发布信息）统一答复为准。</w:t>
      </w:r>
    </w:p>
    <w:p w14:paraId="2B252C43">
      <w:pPr>
        <w:ind w:firstLine="411" w:firstLineChars="196"/>
        <w:rPr>
          <w:rFonts w:ascii="宋体" w:hAnsi="宋体"/>
          <w:szCs w:val="21"/>
        </w:rPr>
      </w:pPr>
      <w:r>
        <w:rPr>
          <w:rFonts w:hint="eastAsia" w:ascii="宋体" w:hAnsi="宋体"/>
          <w:szCs w:val="21"/>
        </w:rPr>
        <w:t>5.5如深圳公共资源交易中心（深圳交易集团有限公司罗湖分公司）认为有必要组织现场招标答疑会，投标</w:t>
      </w:r>
      <w:r>
        <w:rPr>
          <w:rFonts w:hint="eastAsia" w:ascii="宋体" w:hAnsi="宋体"/>
          <w:color w:val="000000"/>
          <w:szCs w:val="21"/>
        </w:rPr>
        <w:t>供应商</w:t>
      </w:r>
      <w:r>
        <w:rPr>
          <w:rFonts w:hint="eastAsia" w:ascii="宋体" w:hAnsi="宋体"/>
          <w:szCs w:val="21"/>
        </w:rPr>
        <w:t>应按照招标文件规定的时间或深圳公共资源交易中心（深圳交易集团有限公司罗湖分公司）另行书面通知（包括网站发布信息）的时间和地点，参与招标答疑会；</w:t>
      </w:r>
    </w:p>
    <w:p w14:paraId="7FA063F5">
      <w:pPr>
        <w:ind w:firstLine="411" w:firstLineChars="196"/>
        <w:rPr>
          <w:rFonts w:ascii="宋体" w:hAnsi="宋体"/>
          <w:szCs w:val="21"/>
        </w:rPr>
      </w:pPr>
      <w:r>
        <w:rPr>
          <w:rFonts w:hint="eastAsia" w:ascii="宋体" w:hAnsi="宋体"/>
          <w:szCs w:val="21"/>
        </w:rPr>
        <w:t>5.6未参与招标答疑不作为否定投标</w:t>
      </w:r>
      <w:r>
        <w:rPr>
          <w:rFonts w:hint="eastAsia" w:ascii="宋体" w:hAnsi="宋体"/>
          <w:color w:val="000000"/>
          <w:szCs w:val="21"/>
        </w:rPr>
        <w:t>供应商</w:t>
      </w:r>
      <w:r>
        <w:rPr>
          <w:rFonts w:hint="eastAsia" w:ascii="宋体" w:hAnsi="宋体"/>
          <w:szCs w:val="21"/>
        </w:rPr>
        <w:t>资格的理由。</w:t>
      </w:r>
    </w:p>
    <w:p w14:paraId="49705AAF">
      <w:pPr>
        <w:spacing w:after="120"/>
        <w:ind w:left="420" w:leftChars="200" w:firstLine="420" w:firstLineChars="200"/>
      </w:pPr>
    </w:p>
    <w:p w14:paraId="08879F38">
      <w:pPr>
        <w:keepNext/>
        <w:keepLines/>
        <w:adjustRightInd w:val="0"/>
        <w:spacing w:before="260" w:after="260"/>
        <w:jc w:val="center"/>
        <w:outlineLvl w:val="1"/>
        <w:rPr>
          <w:rFonts w:ascii="宋体" w:hAnsi="宋体" w:cs="宋体"/>
          <w:b/>
          <w:bCs/>
          <w:kern w:val="0"/>
          <w:sz w:val="24"/>
          <w:szCs w:val="20"/>
        </w:rPr>
      </w:pPr>
      <w:bookmarkStart w:id="85" w:name="_Toc101074878"/>
      <w:bookmarkStart w:id="86" w:name="_Toc100052373"/>
      <w:bookmarkStart w:id="87" w:name="_Toc194467301"/>
      <w:bookmarkStart w:id="88" w:name="_Toc73521644"/>
      <w:bookmarkStart w:id="89" w:name="_Toc73518126"/>
      <w:bookmarkStart w:id="90" w:name="_Toc73521556"/>
      <w:bookmarkStart w:id="91" w:name="_Toc73517648"/>
      <w:r>
        <w:rPr>
          <w:rFonts w:hint="eastAsia" w:ascii="宋体" w:hAnsi="宋体" w:cs="宋体"/>
          <w:b/>
          <w:bCs/>
          <w:kern w:val="0"/>
          <w:sz w:val="24"/>
          <w:szCs w:val="20"/>
        </w:rPr>
        <w:t>第二章 招标文件</w:t>
      </w:r>
      <w:bookmarkEnd w:id="85"/>
      <w:bookmarkEnd w:id="86"/>
      <w:bookmarkEnd w:id="87"/>
      <w:bookmarkEnd w:id="88"/>
      <w:bookmarkEnd w:id="89"/>
      <w:bookmarkEnd w:id="90"/>
      <w:bookmarkEnd w:id="91"/>
    </w:p>
    <w:p w14:paraId="47900C62">
      <w:pPr>
        <w:spacing w:line="360" w:lineRule="auto"/>
        <w:rPr>
          <w:rFonts w:ascii="黑体" w:hAnsi="宋体" w:eastAsia="黑体"/>
          <w:sz w:val="24"/>
        </w:rPr>
      </w:pPr>
      <w:bookmarkStart w:id="92" w:name="_Toc73521645"/>
      <w:bookmarkStart w:id="93" w:name="_Toc73521557"/>
      <w:bookmarkStart w:id="94" w:name="_Toc100052374"/>
      <w:bookmarkStart w:id="95" w:name="_Toc73518127"/>
      <w:bookmarkStart w:id="96" w:name="_Toc73517649"/>
      <w:r>
        <w:rPr>
          <w:rFonts w:hint="eastAsia" w:ascii="黑体" w:hAnsi="宋体" w:eastAsia="黑体"/>
          <w:sz w:val="24"/>
        </w:rPr>
        <w:t>6．招标文件的组成</w:t>
      </w:r>
      <w:bookmarkEnd w:id="92"/>
      <w:bookmarkEnd w:id="93"/>
      <w:bookmarkEnd w:id="94"/>
      <w:bookmarkEnd w:id="95"/>
      <w:bookmarkEnd w:id="96"/>
    </w:p>
    <w:p w14:paraId="063337B0">
      <w:pPr>
        <w:ind w:firstLine="411" w:firstLineChars="196"/>
        <w:rPr>
          <w:rFonts w:ascii="宋体" w:hAnsi="宋体"/>
          <w:szCs w:val="21"/>
        </w:rPr>
      </w:pPr>
      <w:r>
        <w:rPr>
          <w:rFonts w:hint="eastAsia" w:ascii="宋体" w:hAnsi="宋体"/>
          <w:szCs w:val="21"/>
        </w:rPr>
        <w:t>6.1招标文件除以下内容外，深圳公共资源交易中心（深圳交易集团有限公司罗湖分公司）在招标期间以书面形式（包括网站公开发布的方式）统一发出的答疑纪要和其他补充修改函件，均是招标文件的组成部分，对所有投标</w:t>
      </w:r>
      <w:r>
        <w:rPr>
          <w:rFonts w:hint="eastAsia" w:ascii="宋体" w:hAnsi="宋体"/>
          <w:color w:val="000000"/>
          <w:szCs w:val="21"/>
        </w:rPr>
        <w:t>供应商</w:t>
      </w:r>
      <w:r>
        <w:rPr>
          <w:rFonts w:hint="eastAsia" w:ascii="宋体" w:hAnsi="宋体"/>
          <w:szCs w:val="21"/>
        </w:rPr>
        <w:t>起约束作用；</w:t>
      </w:r>
    </w:p>
    <w:p w14:paraId="671833D0">
      <w:pPr>
        <w:ind w:firstLine="420" w:firstLineChars="200"/>
        <w:rPr>
          <w:rFonts w:ascii="宋体" w:hAnsi="宋体"/>
          <w:szCs w:val="21"/>
        </w:rPr>
      </w:pPr>
      <w:r>
        <w:rPr>
          <w:rFonts w:hint="eastAsia" w:ascii="宋体" w:hAnsi="宋体"/>
          <w:szCs w:val="21"/>
        </w:rPr>
        <w:t>6.2招标文件共分为关键信息和招标文件正文。</w:t>
      </w:r>
    </w:p>
    <w:p w14:paraId="348F8047">
      <w:pPr>
        <w:ind w:firstLine="420" w:firstLineChars="200"/>
        <w:rPr>
          <w:rFonts w:ascii="宋体" w:hAnsi="宋体"/>
          <w:szCs w:val="21"/>
        </w:rPr>
      </w:pPr>
      <w:r>
        <w:rPr>
          <w:rFonts w:hint="eastAsia" w:ascii="宋体" w:hAnsi="宋体"/>
          <w:szCs w:val="21"/>
        </w:rPr>
        <w:t>6.3 投标</w:t>
      </w:r>
      <w:r>
        <w:rPr>
          <w:rFonts w:hint="eastAsia" w:ascii="宋体" w:hAnsi="宋体"/>
          <w:color w:val="000000"/>
          <w:szCs w:val="21"/>
        </w:rPr>
        <w:t>供应商</w:t>
      </w:r>
      <w:r>
        <w:rPr>
          <w:rFonts w:hint="eastAsia" w:ascii="宋体" w:hAnsi="宋体"/>
          <w:szCs w:val="21"/>
        </w:rPr>
        <w:t>下载招标文件后，应仔细检查招标文件的所有内容，如有内容缺失应在提出澄清要求截止时间之前向深圳公共资源交易中心（深圳交易集团有限公司罗湖分公司）提出，否则，由此引起的投标损失自负；投标</w:t>
      </w:r>
      <w:r>
        <w:rPr>
          <w:rFonts w:hint="eastAsia" w:ascii="宋体" w:hAnsi="宋体"/>
          <w:color w:val="000000"/>
          <w:szCs w:val="21"/>
        </w:rPr>
        <w:t>供应商</w:t>
      </w:r>
      <w:r>
        <w:rPr>
          <w:rFonts w:hint="eastAsia" w:ascii="宋体" w:hAnsi="宋体"/>
          <w:szCs w:val="21"/>
        </w:rPr>
        <w:t>同时应认真审阅招标文件所有的事项、格式、条款和规范要求等，如果投标</w:t>
      </w:r>
      <w:r>
        <w:rPr>
          <w:rFonts w:hint="eastAsia" w:ascii="宋体" w:hAnsi="宋体"/>
          <w:color w:val="000000"/>
          <w:szCs w:val="21"/>
        </w:rPr>
        <w:t>供应商</w:t>
      </w:r>
      <w:r>
        <w:rPr>
          <w:rFonts w:hint="eastAsia" w:ascii="宋体" w:hAnsi="宋体"/>
          <w:szCs w:val="21"/>
        </w:rPr>
        <w:t>的投标文件没有按招标文件要求提交全部资料或者投标文件没有对招标文件做出实质性响应，其风险应由投标</w:t>
      </w:r>
      <w:r>
        <w:rPr>
          <w:rFonts w:hint="eastAsia" w:ascii="宋体" w:hAnsi="宋体"/>
          <w:color w:val="000000"/>
          <w:szCs w:val="21"/>
        </w:rPr>
        <w:t>供应商</w:t>
      </w:r>
      <w:r>
        <w:rPr>
          <w:rFonts w:hint="eastAsia" w:ascii="宋体" w:hAnsi="宋体"/>
          <w:szCs w:val="21"/>
        </w:rPr>
        <w:t>自行承担，并根据有关条款规定，其投标有可能被拒绝。</w:t>
      </w:r>
    </w:p>
    <w:p w14:paraId="4CB5AE87">
      <w:pPr>
        <w:ind w:firstLine="411" w:firstLineChars="196"/>
        <w:rPr>
          <w:rFonts w:ascii="宋体" w:hAnsi="宋体"/>
          <w:szCs w:val="21"/>
        </w:rPr>
      </w:pPr>
      <w:r>
        <w:rPr>
          <w:rFonts w:hint="eastAsia" w:ascii="宋体" w:hAnsi="宋体"/>
          <w:szCs w:val="21"/>
        </w:rPr>
        <w:t>6.4</w:t>
      </w:r>
      <w:r>
        <w:rPr>
          <w:rFonts w:hint="eastAsia" w:ascii="宋体" w:hAnsi="宋体"/>
        </w:rPr>
        <w:t>任何人或任何组织向投标</w:t>
      </w:r>
      <w:r>
        <w:rPr>
          <w:rFonts w:hint="eastAsia" w:ascii="宋体" w:hAnsi="宋体"/>
          <w:color w:val="000000"/>
          <w:szCs w:val="21"/>
        </w:rPr>
        <w:t>供应商</w:t>
      </w:r>
      <w:r>
        <w:rPr>
          <w:rFonts w:hint="eastAsia" w:ascii="宋体" w:hAnsi="宋体"/>
        </w:rPr>
        <w:t>提交的任何书面或口头资料，未经深圳公共资源交易中心（深圳交易集团有限公司罗湖分公司）在网上发布或书面通知，均作无效处理，不得作为招标文件的组成部分。深圳公共资源交易中心（深圳交易集团有限公司罗湖分公司）对投标</w:t>
      </w:r>
      <w:r>
        <w:rPr>
          <w:rFonts w:hint="eastAsia" w:ascii="宋体" w:hAnsi="宋体"/>
          <w:color w:val="000000"/>
          <w:szCs w:val="21"/>
        </w:rPr>
        <w:t>供应商</w:t>
      </w:r>
      <w:r>
        <w:rPr>
          <w:rFonts w:hint="eastAsia" w:ascii="宋体" w:hAnsi="宋体"/>
        </w:rPr>
        <w:t>由此而做出的推论、理解和结论概不负责。</w:t>
      </w:r>
    </w:p>
    <w:p w14:paraId="22B2D39B">
      <w:pPr>
        <w:spacing w:line="360" w:lineRule="auto"/>
        <w:rPr>
          <w:rFonts w:ascii="黑体" w:hAnsi="宋体" w:eastAsia="黑体"/>
          <w:sz w:val="24"/>
        </w:rPr>
      </w:pPr>
      <w:bookmarkStart w:id="97" w:name="_Toc73521646"/>
      <w:bookmarkStart w:id="98" w:name="_Toc60631631"/>
      <w:bookmarkStart w:id="99" w:name="_Toc73518128"/>
      <w:bookmarkStart w:id="100" w:name="_Toc73521558"/>
      <w:bookmarkStart w:id="101" w:name="_Toc100052375"/>
      <w:bookmarkStart w:id="102" w:name="_Toc73517650"/>
      <w:bookmarkStart w:id="103" w:name="_Toc60560636"/>
      <w:r>
        <w:rPr>
          <w:rFonts w:hint="eastAsia" w:ascii="黑体" w:hAnsi="宋体" w:eastAsia="黑体"/>
          <w:sz w:val="24"/>
        </w:rPr>
        <w:t>7．招标文件的澄清</w:t>
      </w:r>
      <w:bookmarkEnd w:id="97"/>
      <w:bookmarkEnd w:id="98"/>
      <w:bookmarkEnd w:id="99"/>
      <w:bookmarkEnd w:id="100"/>
      <w:bookmarkEnd w:id="101"/>
      <w:bookmarkEnd w:id="102"/>
      <w:bookmarkEnd w:id="103"/>
    </w:p>
    <w:p w14:paraId="36450348">
      <w:pPr>
        <w:ind w:firstLine="411" w:firstLineChars="196"/>
        <w:rPr>
          <w:rFonts w:ascii="宋体" w:hAnsi="宋体"/>
          <w:szCs w:val="21"/>
        </w:rPr>
      </w:pPr>
      <w:r>
        <w:rPr>
          <w:rFonts w:hint="eastAsia" w:ascii="宋体" w:hAnsi="宋体"/>
          <w:szCs w:val="21"/>
        </w:rPr>
        <w:t>7.1投标</w:t>
      </w:r>
      <w:r>
        <w:rPr>
          <w:rFonts w:hint="eastAsia" w:ascii="宋体" w:hAnsi="宋体"/>
          <w:color w:val="000000"/>
          <w:szCs w:val="21"/>
        </w:rPr>
        <w:t>供应商</w:t>
      </w:r>
      <w:r>
        <w:rPr>
          <w:rFonts w:hint="eastAsia" w:ascii="宋体" w:hAnsi="宋体"/>
          <w:szCs w:val="21"/>
        </w:rPr>
        <w:t>在收到招标文件后，对招标文件任何部分若有任何疑问，或要求澄清招标文件的，均应在招标公告规定的</w:t>
      </w:r>
      <w:r>
        <w:t>提出澄清要求截止时间</w:t>
      </w:r>
      <w:r>
        <w:rPr>
          <w:rFonts w:hint="eastAsia" w:ascii="宋体" w:hAnsi="宋体"/>
          <w:szCs w:val="21"/>
        </w:rPr>
        <w:t>前，按网上提问的形式向深圳公共资源交易中心（深圳交易集团有限公司罗湖分公司）提交。不论是深圳公共资源交易中心（深圳交易集团有限公司罗湖分公司）根据需要主动对招标文件进行必要的澄清或是根据投标</w:t>
      </w:r>
      <w:r>
        <w:rPr>
          <w:rFonts w:hint="eastAsia" w:ascii="宋体" w:hAnsi="宋体"/>
          <w:color w:val="000000"/>
          <w:szCs w:val="21"/>
        </w:rPr>
        <w:t>供应商</w:t>
      </w:r>
      <w:r>
        <w:rPr>
          <w:rFonts w:hint="eastAsia" w:ascii="宋体" w:hAnsi="宋体"/>
          <w:szCs w:val="21"/>
        </w:rPr>
        <w:t>的要求对招标文件做出澄清，深圳公共资源交易中心（深圳交易集团有限公司罗湖分公司）都将在投标截止日期前以书面形式（包括网站公开发布和深圳公共资源交易中心（深圳交易集团有限公司罗湖分公司）采购系统中发布的方式）答复或发送给所有投标</w:t>
      </w:r>
      <w:r>
        <w:rPr>
          <w:rFonts w:hint="eastAsia" w:ascii="宋体" w:hAnsi="宋体"/>
          <w:color w:val="000000"/>
          <w:szCs w:val="21"/>
        </w:rPr>
        <w:t>供应商</w:t>
      </w:r>
      <w:r>
        <w:rPr>
          <w:rFonts w:hint="eastAsia" w:ascii="宋体" w:hAnsi="宋体"/>
          <w:szCs w:val="21"/>
        </w:rPr>
        <w:t>。澄清纪要作为招标文件的组成部分，对投标</w:t>
      </w:r>
      <w:r>
        <w:rPr>
          <w:rFonts w:hint="eastAsia" w:ascii="宋体" w:hAnsi="宋体"/>
          <w:color w:val="000000"/>
          <w:szCs w:val="21"/>
        </w:rPr>
        <w:t>供应商</w:t>
      </w:r>
      <w:r>
        <w:rPr>
          <w:rFonts w:hint="eastAsia" w:ascii="宋体" w:hAnsi="宋体"/>
          <w:szCs w:val="21"/>
        </w:rPr>
        <w:t>起约束作用；</w:t>
      </w:r>
    </w:p>
    <w:p w14:paraId="722FB002">
      <w:pPr>
        <w:ind w:firstLine="411" w:firstLineChars="196"/>
        <w:rPr>
          <w:rFonts w:ascii="宋体" w:hAnsi="宋体"/>
          <w:szCs w:val="21"/>
        </w:rPr>
      </w:pPr>
      <w:r>
        <w:rPr>
          <w:rFonts w:hint="eastAsia" w:ascii="宋体" w:hAnsi="宋体"/>
          <w:szCs w:val="21"/>
        </w:rPr>
        <w:t>7.2对于没有提出澄清又参与了该项目投标的供应商将被视为完全认同该招标文件（含澄清纪要），投标截止期后不再受理针对招标文件的相关质疑或投诉。</w:t>
      </w:r>
    </w:p>
    <w:p w14:paraId="0DDEA6FE">
      <w:pPr>
        <w:ind w:firstLine="411" w:firstLineChars="196"/>
        <w:rPr>
          <w:rFonts w:ascii="宋体" w:hAnsi="宋体"/>
          <w:szCs w:val="21"/>
        </w:rPr>
      </w:pPr>
      <w:r>
        <w:rPr>
          <w:rFonts w:hint="eastAsia" w:ascii="宋体" w:hAnsi="宋体"/>
          <w:szCs w:val="21"/>
        </w:rPr>
        <w:t>7.3 对招标文件中描述有歧义或前后不一致的地方，评标委员会有权进行评判，但对同一条款的评判应适用于每个投标供应商。</w:t>
      </w:r>
    </w:p>
    <w:p w14:paraId="15CDF49E">
      <w:pPr>
        <w:spacing w:line="360" w:lineRule="auto"/>
        <w:rPr>
          <w:rFonts w:ascii="黑体" w:hAnsi="宋体" w:eastAsia="黑体"/>
          <w:sz w:val="24"/>
        </w:rPr>
      </w:pPr>
      <w:bookmarkStart w:id="104" w:name="_Toc100052376"/>
      <w:bookmarkStart w:id="105" w:name="_Toc60631632"/>
      <w:bookmarkStart w:id="106" w:name="_Toc73521647"/>
      <w:bookmarkStart w:id="107" w:name="_Toc73518129"/>
      <w:bookmarkStart w:id="108" w:name="_Toc60560637"/>
      <w:bookmarkStart w:id="109" w:name="_Toc73517651"/>
      <w:bookmarkStart w:id="110" w:name="_Toc73521559"/>
      <w:r>
        <w:rPr>
          <w:rFonts w:hint="eastAsia" w:ascii="黑体" w:hAnsi="宋体" w:eastAsia="黑体"/>
          <w:sz w:val="24"/>
        </w:rPr>
        <w:t>8．招标文件的修改</w:t>
      </w:r>
      <w:bookmarkEnd w:id="104"/>
      <w:bookmarkEnd w:id="105"/>
      <w:bookmarkEnd w:id="106"/>
      <w:bookmarkEnd w:id="107"/>
      <w:bookmarkEnd w:id="108"/>
      <w:bookmarkEnd w:id="109"/>
      <w:bookmarkEnd w:id="110"/>
    </w:p>
    <w:p w14:paraId="6A72C734">
      <w:pPr>
        <w:ind w:firstLine="411" w:firstLineChars="196"/>
        <w:rPr>
          <w:rFonts w:ascii="宋体" w:hAnsi="宋体"/>
          <w:szCs w:val="21"/>
        </w:rPr>
      </w:pPr>
      <w:r>
        <w:rPr>
          <w:rFonts w:hint="eastAsia" w:ascii="宋体" w:hAnsi="宋体"/>
          <w:szCs w:val="21"/>
        </w:rPr>
        <w:t>8.1招标文件发出后，在投标截止日期前任何时候，确需要变更招标内容的，深圳公共资源交易中心（深圳交易集团有限公司罗湖分公司）可主动地或在解答投标</w:t>
      </w:r>
      <w:r>
        <w:rPr>
          <w:rFonts w:hint="eastAsia" w:ascii="宋体" w:hAnsi="宋体"/>
          <w:color w:val="000000"/>
          <w:szCs w:val="21"/>
        </w:rPr>
        <w:t>供应商</w:t>
      </w:r>
      <w:r>
        <w:rPr>
          <w:rFonts w:hint="eastAsia" w:ascii="宋体" w:hAnsi="宋体"/>
          <w:szCs w:val="21"/>
        </w:rPr>
        <w:t>提出的澄清问题时对招标文件进行修改；</w:t>
      </w:r>
    </w:p>
    <w:p w14:paraId="178C8606">
      <w:pPr>
        <w:ind w:firstLine="411" w:firstLineChars="196"/>
        <w:rPr>
          <w:rFonts w:ascii="宋体" w:hAnsi="宋体"/>
          <w:szCs w:val="21"/>
        </w:rPr>
      </w:pPr>
      <w:r>
        <w:rPr>
          <w:rFonts w:hint="eastAsia" w:ascii="宋体" w:hAnsi="宋体"/>
          <w:szCs w:val="21"/>
        </w:rPr>
        <w:t>8.2招标文件的修改以书面形式（包括网站公开发布和深圳公共资源交易中心（深圳交易集团有限公司罗湖分公司）采购系统中发布的方式）发送给所有投标</w:t>
      </w:r>
      <w:r>
        <w:rPr>
          <w:rFonts w:hint="eastAsia" w:ascii="宋体" w:hAnsi="宋体"/>
          <w:color w:val="000000"/>
          <w:szCs w:val="21"/>
        </w:rPr>
        <w:t>供应商</w:t>
      </w:r>
      <w:r>
        <w:rPr>
          <w:rFonts w:hint="eastAsia" w:ascii="宋体" w:hAnsi="宋体"/>
          <w:szCs w:val="21"/>
        </w:rPr>
        <w:t>，招标文件的修改内容作为招标文件的组成部分，并具有约束力。</w:t>
      </w:r>
    </w:p>
    <w:p w14:paraId="5B93AEE3">
      <w:pPr>
        <w:ind w:firstLine="411" w:firstLineChars="196"/>
        <w:rPr>
          <w:rFonts w:ascii="宋体" w:hAnsi="宋体"/>
          <w:szCs w:val="21"/>
        </w:rPr>
      </w:pPr>
      <w:r>
        <w:rPr>
          <w:rFonts w:hint="eastAsia" w:ascii="宋体" w:hAnsi="宋体"/>
          <w:szCs w:val="21"/>
        </w:rPr>
        <w:t>8.3招标文件、招标文件澄清（答疑）纪要、招标文件修改补充通知内容均以书面明确的内容为准。当招标文件、修改补充通知、澄清（答疑）纪要内容相互矛盾时，以最后发出的通知（或纪要）或修改的文件为准；</w:t>
      </w:r>
    </w:p>
    <w:p w14:paraId="4EF96D13">
      <w:pPr>
        <w:ind w:firstLine="411" w:firstLineChars="196"/>
        <w:rPr>
          <w:rFonts w:ascii="宋体" w:hAnsi="宋体"/>
          <w:szCs w:val="21"/>
        </w:rPr>
      </w:pPr>
      <w:r>
        <w:rPr>
          <w:rFonts w:hint="eastAsia" w:ascii="宋体" w:hAnsi="宋体"/>
          <w:szCs w:val="21"/>
        </w:rPr>
        <w:t>8.4深圳公共资源交易中心（深圳交易集团有限公司罗湖分公司）保证招标文件澄清（答疑）纪要和招标文件修改补充通知在投标截止时间前以网站公开发布形式或书面形式发送给所有投标</w:t>
      </w:r>
      <w:r>
        <w:rPr>
          <w:rFonts w:hint="eastAsia" w:ascii="宋体" w:hAnsi="宋体"/>
          <w:color w:val="000000"/>
          <w:szCs w:val="21"/>
        </w:rPr>
        <w:t>供应商</w:t>
      </w:r>
      <w:r>
        <w:rPr>
          <w:rFonts w:hint="eastAsia" w:ascii="宋体" w:hAnsi="宋体"/>
          <w:szCs w:val="21"/>
        </w:rPr>
        <w:t>。为使投标</w:t>
      </w:r>
      <w:r>
        <w:rPr>
          <w:rFonts w:hint="eastAsia" w:ascii="宋体" w:hAnsi="宋体"/>
          <w:color w:val="000000"/>
          <w:szCs w:val="21"/>
        </w:rPr>
        <w:t>供应商</w:t>
      </w:r>
      <w:r>
        <w:rPr>
          <w:rFonts w:hint="eastAsia" w:ascii="宋体" w:hAnsi="宋体"/>
          <w:szCs w:val="21"/>
        </w:rPr>
        <w:t>在编写投标文件时有充分时间对招标文件的修改部分进行研究，深圳公共资源交易中心（深圳交易集团有限公司罗湖分公司）可以酌情延长递交投标文件的截止日期，具体时间将在修改补充通知中明确。</w:t>
      </w:r>
    </w:p>
    <w:p w14:paraId="62716600">
      <w:pPr>
        <w:keepNext/>
        <w:keepLines/>
        <w:adjustRightInd w:val="0"/>
        <w:spacing w:before="260" w:after="260"/>
        <w:jc w:val="center"/>
        <w:outlineLvl w:val="1"/>
        <w:rPr>
          <w:rFonts w:ascii="宋体" w:hAnsi="宋体" w:cs="宋体"/>
          <w:b/>
          <w:bCs/>
          <w:kern w:val="0"/>
          <w:sz w:val="24"/>
          <w:szCs w:val="20"/>
        </w:rPr>
      </w:pPr>
      <w:bookmarkStart w:id="111" w:name="bt投标文件"/>
      <w:bookmarkEnd w:id="111"/>
      <w:bookmarkStart w:id="112" w:name="_Toc73518131"/>
      <w:bookmarkStart w:id="113" w:name="_Toc73517653"/>
      <w:bookmarkStart w:id="114" w:name="_Toc60631634"/>
      <w:bookmarkStart w:id="115" w:name="_Toc60560639"/>
      <w:bookmarkStart w:id="116" w:name="_Toc73521649"/>
      <w:bookmarkStart w:id="117" w:name="_Toc73521561"/>
      <w:bookmarkStart w:id="118" w:name="_Toc100052378"/>
      <w:r>
        <w:rPr>
          <w:rFonts w:hint="eastAsia" w:ascii="宋体" w:hAnsi="宋体" w:cs="宋体"/>
          <w:b/>
          <w:bCs/>
          <w:kern w:val="0"/>
          <w:sz w:val="24"/>
          <w:szCs w:val="20"/>
        </w:rPr>
        <w:t>第三章 投标文件</w:t>
      </w:r>
    </w:p>
    <w:p w14:paraId="2B01E6EF">
      <w:pPr>
        <w:rPr>
          <w:rFonts w:ascii="黑体" w:hAnsi="宋体" w:eastAsia="黑体"/>
          <w:sz w:val="24"/>
        </w:rPr>
      </w:pPr>
      <w:r>
        <w:rPr>
          <w:rFonts w:hint="eastAsia" w:ascii="黑体" w:hAnsi="宋体" w:eastAsia="黑体"/>
          <w:sz w:val="24"/>
        </w:rPr>
        <w:t>9．投标文件的语言及度量单位</w:t>
      </w:r>
      <w:bookmarkEnd w:id="112"/>
      <w:bookmarkEnd w:id="113"/>
      <w:bookmarkEnd w:id="114"/>
      <w:bookmarkEnd w:id="115"/>
      <w:bookmarkEnd w:id="116"/>
      <w:bookmarkEnd w:id="117"/>
      <w:bookmarkEnd w:id="118"/>
    </w:p>
    <w:p w14:paraId="3AAF8663">
      <w:pPr>
        <w:ind w:firstLine="411" w:firstLineChars="196"/>
        <w:rPr>
          <w:rFonts w:ascii="宋体" w:hAnsi="宋体"/>
          <w:szCs w:val="21"/>
        </w:rPr>
      </w:pPr>
      <w:r>
        <w:rPr>
          <w:rFonts w:hint="eastAsia" w:ascii="宋体" w:hAnsi="宋体"/>
          <w:szCs w:val="21"/>
        </w:rPr>
        <w:t>9.1投标</w:t>
      </w:r>
      <w:r>
        <w:rPr>
          <w:rFonts w:hint="eastAsia" w:ascii="宋体" w:hAnsi="宋体"/>
          <w:color w:val="000000"/>
          <w:szCs w:val="21"/>
        </w:rPr>
        <w:t>供应商</w:t>
      </w:r>
      <w:r>
        <w:rPr>
          <w:rFonts w:hint="eastAsia" w:ascii="宋体" w:hAnsi="宋体"/>
          <w:szCs w:val="21"/>
        </w:rPr>
        <w:t>与深圳公共资源交易中心（深圳交易集团有限公司罗湖分公司）之间与投标有关的所有往来通知、函件和投标文件均用中文表述。投标</w:t>
      </w:r>
      <w:r>
        <w:rPr>
          <w:rFonts w:hint="eastAsia" w:ascii="宋体" w:hAnsi="宋体"/>
          <w:color w:val="000000"/>
          <w:szCs w:val="21"/>
        </w:rPr>
        <w:t>供应商</w:t>
      </w:r>
      <w:r>
        <w:rPr>
          <w:rFonts w:hint="eastAsia" w:ascii="宋体" w:hAnsi="宋体"/>
          <w:szCs w:val="21"/>
        </w:rPr>
        <w:t>随投标文件提供的证明文件和资料可以为其它语言，但必须附中文译文。在此，为了解释投标文件，应以中文为准；</w:t>
      </w:r>
    </w:p>
    <w:p w14:paraId="1A75F3A5">
      <w:pPr>
        <w:ind w:firstLine="411" w:firstLineChars="196"/>
        <w:rPr>
          <w:rFonts w:ascii="宋体" w:hAnsi="宋体"/>
          <w:szCs w:val="21"/>
        </w:rPr>
      </w:pPr>
      <w:r>
        <w:rPr>
          <w:rFonts w:hint="eastAsia" w:ascii="宋体" w:hAnsi="宋体"/>
          <w:szCs w:val="21"/>
        </w:rPr>
        <w:t>9.2除技术规范另有规定外，投标文件使用的度量单位，均采用中华人民共和国法定计量单位。</w:t>
      </w:r>
    </w:p>
    <w:p w14:paraId="79CA6515">
      <w:pPr>
        <w:spacing w:line="360" w:lineRule="auto"/>
        <w:rPr>
          <w:rFonts w:ascii="黑体" w:hAnsi="宋体" w:eastAsia="黑体"/>
          <w:sz w:val="24"/>
        </w:rPr>
      </w:pPr>
      <w:bookmarkStart w:id="119" w:name="_Toc73521650"/>
      <w:bookmarkStart w:id="120" w:name="_Toc60631635"/>
      <w:bookmarkStart w:id="121" w:name="_Toc100052379"/>
      <w:bookmarkStart w:id="122" w:name="_Toc60560640"/>
      <w:bookmarkStart w:id="123" w:name="_Toc73518132"/>
      <w:bookmarkStart w:id="124" w:name="_Toc73521562"/>
      <w:bookmarkStart w:id="125" w:name="_Toc73517654"/>
      <w:r>
        <w:rPr>
          <w:rFonts w:hint="eastAsia" w:ascii="黑体" w:hAnsi="宋体" w:eastAsia="黑体"/>
          <w:sz w:val="24"/>
        </w:rPr>
        <w:t>10．投标文件的组成</w:t>
      </w:r>
      <w:bookmarkEnd w:id="119"/>
      <w:bookmarkEnd w:id="120"/>
      <w:bookmarkEnd w:id="121"/>
      <w:bookmarkEnd w:id="122"/>
      <w:bookmarkEnd w:id="123"/>
      <w:bookmarkEnd w:id="124"/>
      <w:bookmarkEnd w:id="125"/>
    </w:p>
    <w:p w14:paraId="0A963E04">
      <w:pPr>
        <w:ind w:firstLine="413" w:firstLineChars="196"/>
        <w:rPr>
          <w:rFonts w:ascii="宋体" w:hAnsi="宋体"/>
          <w:b/>
          <w:szCs w:val="21"/>
        </w:rPr>
      </w:pPr>
      <w:r>
        <w:rPr>
          <w:rFonts w:hint="eastAsia" w:ascii="宋体" w:hAnsi="宋体"/>
          <w:b/>
          <w:szCs w:val="21"/>
        </w:rPr>
        <w:t>（具体内容请详见招标文件第一册第一章</w:t>
      </w:r>
      <w:bookmarkStart w:id="126" w:name="投标文件的组成"/>
      <w:bookmarkStart w:id="127" w:name="_Toc73521563"/>
      <w:bookmarkStart w:id="128" w:name="_Toc73518133"/>
      <w:bookmarkStart w:id="129" w:name="_Toc60560641"/>
      <w:bookmarkStart w:id="130" w:name="_Toc73521651"/>
      <w:bookmarkStart w:id="131" w:name="_Toc60631636"/>
      <w:bookmarkStart w:id="132" w:name="_Toc73517655"/>
      <w:r>
        <w:rPr>
          <w:rFonts w:hint="eastAsia" w:ascii="宋体" w:hAnsi="宋体"/>
          <w:b/>
          <w:szCs w:val="21"/>
        </w:rPr>
        <w:t>）</w:t>
      </w:r>
    </w:p>
    <w:p w14:paraId="765A0260">
      <w:pPr>
        <w:ind w:firstLine="420" w:firstLineChars="200"/>
        <w:rPr>
          <w:rFonts w:ascii="宋体" w:hAnsi="宋体"/>
          <w:szCs w:val="21"/>
        </w:rPr>
      </w:pPr>
      <w:r>
        <w:rPr>
          <w:rFonts w:hint="eastAsia" w:ascii="宋体" w:hAnsi="宋体"/>
          <w:szCs w:val="21"/>
        </w:rPr>
        <w:t>注意：为保证公平公正，除非另有规定或说明，投标人对同一货物或服务投标时，不得同时提供两套或两套以上的投标方案。</w:t>
      </w:r>
    </w:p>
    <w:bookmarkEnd w:id="126"/>
    <w:p w14:paraId="62AE3BB2">
      <w:pPr>
        <w:spacing w:line="360" w:lineRule="auto"/>
        <w:rPr>
          <w:rFonts w:ascii="黑体" w:hAnsi="宋体" w:eastAsia="黑体"/>
          <w:sz w:val="24"/>
        </w:rPr>
      </w:pPr>
      <w:bookmarkStart w:id="133" w:name="_Toc100052380"/>
      <w:r>
        <w:rPr>
          <w:rFonts w:hint="eastAsia" w:ascii="黑体" w:hAnsi="宋体" w:eastAsia="黑体"/>
          <w:sz w:val="24"/>
        </w:rPr>
        <w:t>11．投标文件格式</w:t>
      </w:r>
      <w:bookmarkEnd w:id="127"/>
      <w:bookmarkEnd w:id="128"/>
      <w:bookmarkEnd w:id="129"/>
      <w:bookmarkEnd w:id="130"/>
      <w:bookmarkEnd w:id="131"/>
      <w:bookmarkEnd w:id="132"/>
      <w:bookmarkEnd w:id="133"/>
    </w:p>
    <w:p w14:paraId="28AAFA7F">
      <w:pPr>
        <w:ind w:firstLine="411" w:firstLineChars="196"/>
        <w:rPr>
          <w:rFonts w:ascii="宋体" w:hAnsi="宋体"/>
          <w:szCs w:val="21"/>
        </w:rPr>
      </w:pPr>
      <w:r>
        <w:rPr>
          <w:rFonts w:hint="eastAsia" w:ascii="宋体" w:hAnsi="宋体"/>
          <w:szCs w:val="21"/>
        </w:rPr>
        <w:t>如招标文件提供了投标文件格式，则投标供应商提交的投标文件必须毫无例外地使用招标文件所提供的相应格式（表格可以按同样格式扩展）。</w:t>
      </w:r>
      <w:bookmarkStart w:id="134" w:name="_Toc73521653"/>
      <w:bookmarkStart w:id="135" w:name="_Toc73517657"/>
      <w:bookmarkStart w:id="136" w:name="_Toc73518135"/>
      <w:bookmarkStart w:id="137" w:name="_Toc60631638"/>
      <w:bookmarkStart w:id="138" w:name="_Toc73521565"/>
      <w:bookmarkStart w:id="139" w:name="_Toc60560643"/>
    </w:p>
    <w:p w14:paraId="367D772F">
      <w:pPr>
        <w:spacing w:line="360" w:lineRule="auto"/>
        <w:rPr>
          <w:rFonts w:ascii="黑体" w:hAnsi="宋体" w:eastAsia="黑体"/>
          <w:sz w:val="24"/>
        </w:rPr>
      </w:pPr>
      <w:bookmarkStart w:id="140" w:name="_Toc100052382"/>
      <w:r>
        <w:rPr>
          <w:rFonts w:hint="eastAsia" w:ascii="黑体" w:hAnsi="宋体" w:eastAsia="黑体"/>
          <w:sz w:val="24"/>
        </w:rPr>
        <w:t>12．投标货币</w:t>
      </w:r>
      <w:bookmarkEnd w:id="134"/>
      <w:bookmarkEnd w:id="135"/>
      <w:bookmarkEnd w:id="136"/>
      <w:bookmarkEnd w:id="137"/>
      <w:bookmarkEnd w:id="138"/>
      <w:bookmarkEnd w:id="139"/>
      <w:bookmarkEnd w:id="140"/>
    </w:p>
    <w:p w14:paraId="0A60CC97">
      <w:pPr>
        <w:ind w:firstLine="411" w:firstLineChars="196"/>
        <w:rPr>
          <w:rFonts w:ascii="宋体" w:hAnsi="宋体"/>
          <w:szCs w:val="21"/>
        </w:rPr>
      </w:pPr>
      <w:r>
        <w:rPr>
          <w:rFonts w:hint="eastAsia" w:ascii="宋体" w:hAnsi="宋体"/>
          <w:szCs w:val="21"/>
        </w:rPr>
        <w:t>12.1本项目的投标应以人民币计。</w:t>
      </w:r>
      <w:bookmarkStart w:id="141" w:name="bt递交投标文件"/>
      <w:bookmarkEnd w:id="141"/>
    </w:p>
    <w:p w14:paraId="698B932B">
      <w:pPr>
        <w:spacing w:after="120"/>
        <w:ind w:left="420" w:leftChars="200" w:firstLine="420" w:firstLineChars="200"/>
      </w:pPr>
    </w:p>
    <w:p w14:paraId="13C9DEF9">
      <w:pPr>
        <w:keepNext/>
        <w:keepLines/>
        <w:adjustRightInd w:val="0"/>
        <w:spacing w:before="260" w:after="260"/>
        <w:jc w:val="center"/>
        <w:outlineLvl w:val="1"/>
        <w:rPr>
          <w:rFonts w:ascii="宋体" w:hAnsi="宋体" w:cs="宋体"/>
          <w:b/>
          <w:bCs/>
          <w:kern w:val="0"/>
          <w:sz w:val="24"/>
          <w:szCs w:val="20"/>
        </w:rPr>
      </w:pPr>
      <w:bookmarkStart w:id="142" w:name="bt开标"/>
      <w:bookmarkEnd w:id="142"/>
      <w:bookmarkStart w:id="143" w:name="_Toc101074881"/>
      <w:bookmarkStart w:id="144" w:name="_Toc194467304"/>
      <w:bookmarkStart w:id="145" w:name="_Toc73521662"/>
      <w:bookmarkStart w:id="146" w:name="_Toc73521574"/>
      <w:bookmarkStart w:id="147" w:name="_Toc73517666"/>
      <w:bookmarkStart w:id="148" w:name="_Toc100052391"/>
      <w:bookmarkStart w:id="149" w:name="_Toc73518144"/>
      <w:r>
        <w:rPr>
          <w:rFonts w:hint="eastAsia" w:ascii="宋体" w:hAnsi="宋体" w:cs="宋体"/>
          <w:b/>
          <w:bCs/>
          <w:kern w:val="0"/>
          <w:sz w:val="24"/>
          <w:szCs w:val="20"/>
        </w:rPr>
        <w:t>第四章 开标</w:t>
      </w:r>
      <w:bookmarkEnd w:id="143"/>
      <w:bookmarkEnd w:id="144"/>
      <w:bookmarkEnd w:id="145"/>
      <w:bookmarkEnd w:id="146"/>
      <w:bookmarkEnd w:id="147"/>
      <w:bookmarkEnd w:id="148"/>
      <w:bookmarkEnd w:id="149"/>
    </w:p>
    <w:p w14:paraId="01AB43DE">
      <w:pPr>
        <w:spacing w:line="360" w:lineRule="auto"/>
        <w:rPr>
          <w:rFonts w:ascii="黑体" w:hAnsi="宋体" w:eastAsia="黑体"/>
          <w:sz w:val="24"/>
        </w:rPr>
      </w:pPr>
      <w:bookmarkStart w:id="150" w:name="_Toc73518145"/>
      <w:bookmarkStart w:id="151" w:name="_Toc60631650"/>
      <w:bookmarkStart w:id="152" w:name="_Toc73517667"/>
      <w:bookmarkStart w:id="153" w:name="_Toc100052392"/>
      <w:bookmarkStart w:id="154" w:name="_Toc73521663"/>
      <w:bookmarkStart w:id="155" w:name="_Toc73521575"/>
      <w:bookmarkStart w:id="156" w:name="_Toc60560655"/>
      <w:r>
        <w:rPr>
          <w:rFonts w:hint="eastAsia" w:ascii="黑体" w:hAnsi="宋体" w:eastAsia="黑体"/>
          <w:sz w:val="24"/>
        </w:rPr>
        <w:t>13．开标</w:t>
      </w:r>
      <w:bookmarkEnd w:id="150"/>
      <w:bookmarkEnd w:id="151"/>
      <w:bookmarkEnd w:id="152"/>
      <w:bookmarkEnd w:id="153"/>
      <w:bookmarkEnd w:id="154"/>
      <w:bookmarkEnd w:id="155"/>
      <w:bookmarkEnd w:id="156"/>
    </w:p>
    <w:p w14:paraId="31E0D5EF">
      <w:pPr>
        <w:ind w:firstLine="411" w:firstLineChars="196"/>
        <w:rPr>
          <w:rFonts w:ascii="宋体" w:hAnsi="宋体"/>
          <w:szCs w:val="21"/>
        </w:rPr>
      </w:pPr>
      <w:r>
        <w:rPr>
          <w:rFonts w:hint="eastAsia" w:ascii="宋体" w:hAnsi="宋体"/>
          <w:szCs w:val="21"/>
        </w:rPr>
        <w:t>13</w:t>
      </w:r>
      <w:r>
        <w:rPr>
          <w:rFonts w:ascii="宋体" w:hAnsi="宋体"/>
          <w:szCs w:val="21"/>
        </w:rPr>
        <w:t>.</w:t>
      </w:r>
      <w:r>
        <w:rPr>
          <w:rFonts w:hint="eastAsia" w:ascii="宋体" w:hAnsi="宋体"/>
          <w:szCs w:val="21"/>
        </w:rPr>
        <w:t>1深圳公共资源交易中心（深圳交易集团有限公司罗湖分公司）将在投标截止时间后，对投标文件进行开标，并在网上公布开标结果。</w:t>
      </w:r>
      <w:bookmarkStart w:id="157" w:name="bt评标会议"/>
      <w:bookmarkEnd w:id="157"/>
      <w:bookmarkStart w:id="158" w:name="bt评标"/>
      <w:bookmarkEnd w:id="158"/>
      <w:bookmarkStart w:id="159" w:name="_Toc73521665"/>
      <w:bookmarkStart w:id="160" w:name="_Toc100052394"/>
      <w:bookmarkStart w:id="161" w:name="_Toc73518147"/>
      <w:bookmarkStart w:id="162" w:name="_Toc73517669"/>
      <w:bookmarkStart w:id="163" w:name="_Toc73521577"/>
    </w:p>
    <w:p w14:paraId="19C58CC4">
      <w:pPr>
        <w:rPr>
          <w:rFonts w:ascii="黑体" w:hAnsi="宋体" w:eastAsia="黑体"/>
          <w:sz w:val="24"/>
        </w:rPr>
      </w:pPr>
      <w:r>
        <w:rPr>
          <w:rFonts w:hint="eastAsia" w:ascii="黑体" w:hAnsi="宋体" w:eastAsia="黑体"/>
          <w:sz w:val="24"/>
        </w:rPr>
        <w:t>14．评标会议</w:t>
      </w:r>
    </w:p>
    <w:p w14:paraId="7689B168">
      <w:pPr>
        <w:ind w:firstLine="411" w:firstLineChars="196"/>
        <w:rPr>
          <w:rFonts w:ascii="宋体" w:hAnsi="宋体"/>
        </w:rPr>
      </w:pPr>
      <w:r>
        <w:rPr>
          <w:rFonts w:hint="eastAsia" w:ascii="宋体" w:hAnsi="宋体"/>
        </w:rPr>
        <w:t>14.1评标定标应当遵循公平、公正、科学、择优的原则。</w:t>
      </w:r>
    </w:p>
    <w:p w14:paraId="297B4C03">
      <w:pPr>
        <w:ind w:firstLine="411" w:firstLineChars="196"/>
        <w:rPr>
          <w:rFonts w:ascii="宋体" w:hAnsi="宋体"/>
        </w:rPr>
      </w:pPr>
      <w:r>
        <w:rPr>
          <w:rFonts w:hint="eastAsia" w:ascii="宋体" w:hAnsi="宋体"/>
        </w:rPr>
        <w:t>14.2评标活动依法进行，任何单位和个人不得非法干预评标过程和结果。</w:t>
      </w:r>
    </w:p>
    <w:p w14:paraId="168B7921">
      <w:pPr>
        <w:ind w:firstLine="411" w:firstLineChars="196"/>
        <w:rPr>
          <w:rFonts w:ascii="宋体" w:hAnsi="宋体"/>
        </w:rPr>
      </w:pPr>
      <w:r>
        <w:rPr>
          <w:rFonts w:hint="eastAsia" w:ascii="宋体" w:hAnsi="宋体"/>
        </w:rPr>
        <w:t>14.3评标过程中不允许违背评标程序或采用招标文件未载明的评标方法或评标因素进行评标。</w:t>
      </w:r>
    </w:p>
    <w:p w14:paraId="0DA77F37">
      <w:pPr>
        <w:rPr>
          <w:rFonts w:ascii="宋体" w:hAnsi="宋体"/>
        </w:rPr>
      </w:pPr>
      <w:r>
        <w:rPr>
          <w:rFonts w:hint="eastAsia" w:ascii="黑体" w:hAnsi="宋体" w:eastAsia="黑体"/>
          <w:sz w:val="24"/>
        </w:rPr>
        <w:t>15．独立评标及评标程序</w:t>
      </w:r>
    </w:p>
    <w:p w14:paraId="17A6EAE2">
      <w:pPr>
        <w:ind w:firstLine="411" w:firstLineChars="196"/>
        <w:rPr>
          <w:rFonts w:ascii="宋体" w:hAnsi="宋体"/>
        </w:rPr>
      </w:pPr>
      <w:r>
        <w:rPr>
          <w:rFonts w:hint="eastAsia" w:ascii="宋体" w:hAnsi="宋体"/>
        </w:rPr>
        <w:t>15.1评标委员会成员的评标活动应当独立进行，并应遵循投标文件初审、澄清有关问题、比较与评价、确定中标供应商、编写评标报告的工作程序。</w:t>
      </w:r>
      <w:bookmarkEnd w:id="159"/>
      <w:bookmarkEnd w:id="160"/>
      <w:bookmarkEnd w:id="161"/>
      <w:bookmarkEnd w:id="162"/>
      <w:bookmarkEnd w:id="163"/>
      <w:bookmarkStart w:id="164" w:name="bt错误的修正"/>
      <w:bookmarkEnd w:id="164"/>
      <w:bookmarkStart w:id="165" w:name="bt评标过程的保密"/>
      <w:bookmarkEnd w:id="165"/>
    </w:p>
    <w:p w14:paraId="56013F45">
      <w:pPr>
        <w:spacing w:line="360" w:lineRule="auto"/>
        <w:rPr>
          <w:rFonts w:ascii="黑体" w:hAnsi="宋体" w:eastAsia="黑体"/>
          <w:sz w:val="24"/>
        </w:rPr>
      </w:pPr>
      <w:bookmarkStart w:id="166" w:name="_Toc100052398"/>
      <w:bookmarkStart w:id="167" w:name="_Toc73517671"/>
      <w:bookmarkStart w:id="168" w:name="_Toc73521579"/>
      <w:bookmarkStart w:id="169" w:name="_Toc73518149"/>
      <w:bookmarkStart w:id="170" w:name="_Toc73521667"/>
      <w:r>
        <w:rPr>
          <w:rFonts w:hint="eastAsia" w:ascii="黑体" w:hAnsi="宋体" w:eastAsia="黑体"/>
          <w:sz w:val="24"/>
        </w:rPr>
        <w:t>16．投标文件初审</w:t>
      </w:r>
      <w:bookmarkEnd w:id="166"/>
    </w:p>
    <w:bookmarkEnd w:id="167"/>
    <w:bookmarkEnd w:id="168"/>
    <w:bookmarkEnd w:id="169"/>
    <w:bookmarkEnd w:id="170"/>
    <w:p w14:paraId="44F9D948">
      <w:pPr>
        <w:ind w:firstLine="411" w:firstLineChars="196"/>
        <w:rPr>
          <w:rFonts w:ascii="宋体" w:hAnsi="宋体"/>
        </w:rPr>
      </w:pPr>
      <w:bookmarkStart w:id="171" w:name="_Toc100052399"/>
      <w:r>
        <w:rPr>
          <w:rFonts w:hint="eastAsia" w:ascii="宋体" w:hAnsi="宋体"/>
        </w:rPr>
        <w:t>16.1投标文件初审包括资格性审查和符合性审查。资格性审查：依据法律法规和招标文件的规定，对投标文件中的资格证明等进行审查，以确定投标供应商是否具备投标资格。符合性审查：依据招标文件的规定，从投标文件的有效性、完整性和对招标文件的响应程度进行审查，以确定是否对招标文件的实质性要求作出响应。</w:t>
      </w:r>
    </w:p>
    <w:p w14:paraId="414C101E">
      <w:pPr>
        <w:ind w:firstLine="411" w:firstLineChars="196"/>
        <w:rPr>
          <w:rFonts w:ascii="宋体" w:hAnsi="宋体"/>
        </w:rPr>
      </w:pPr>
      <w:r>
        <w:rPr>
          <w:rFonts w:hint="eastAsia" w:ascii="宋体" w:hAnsi="宋体"/>
        </w:rPr>
        <w:t>16.2投标文件初审内容请详见“关键信息”中的《资格性审查表》和《符合性审查表》部分。投标供应商若有一条审查不通过则按投标无效处理。</w:t>
      </w:r>
    </w:p>
    <w:p w14:paraId="7E4FA856">
      <w:pPr>
        <w:ind w:firstLine="411" w:firstLineChars="196"/>
        <w:rPr>
          <w:rFonts w:ascii="宋体" w:hAnsi="宋体"/>
        </w:rPr>
      </w:pPr>
      <w:r>
        <w:rPr>
          <w:rFonts w:hint="eastAsia" w:ascii="宋体" w:hAnsi="宋体"/>
        </w:rPr>
        <w:t>16.3对不属于《资格性审查表》和《符合性审查表》所列的其他情形，除法律法规另有规定外，不得作为投标无效的理由。</w:t>
      </w:r>
    </w:p>
    <w:p w14:paraId="02531A4B">
      <w:pPr>
        <w:spacing w:line="360" w:lineRule="auto"/>
        <w:rPr>
          <w:rFonts w:ascii="黑体" w:hAnsi="宋体" w:eastAsia="黑体"/>
          <w:sz w:val="24"/>
        </w:rPr>
      </w:pPr>
      <w:r>
        <w:rPr>
          <w:rFonts w:hint="eastAsia" w:ascii="黑体" w:hAnsi="宋体" w:eastAsia="黑体"/>
          <w:sz w:val="24"/>
        </w:rPr>
        <w:t>17．澄清有关问题</w:t>
      </w:r>
      <w:bookmarkEnd w:id="171"/>
    </w:p>
    <w:p w14:paraId="6BB88B25">
      <w:pPr>
        <w:ind w:firstLine="411" w:firstLineChars="196"/>
        <w:rPr>
          <w:rFonts w:ascii="宋体" w:hAnsi="宋体"/>
        </w:rPr>
      </w:pPr>
      <w:bookmarkStart w:id="172" w:name="bt废标"/>
      <w:bookmarkEnd w:id="172"/>
      <w:bookmarkStart w:id="173" w:name="bt投标文件的评估和比较"/>
      <w:bookmarkEnd w:id="173"/>
      <w:bookmarkStart w:id="174" w:name="bt投标文件的澄清"/>
      <w:bookmarkEnd w:id="174"/>
      <w:bookmarkStart w:id="175" w:name="_Hlk71407321"/>
      <w:bookmarkStart w:id="176" w:name="_Toc73521669"/>
      <w:bookmarkStart w:id="177" w:name="_Toc100052400"/>
      <w:bookmarkStart w:id="178" w:name="_Toc73517673"/>
      <w:bookmarkStart w:id="179" w:name="_Toc73521581"/>
      <w:bookmarkStart w:id="180" w:name="_Toc73518151"/>
      <w:bookmarkStart w:id="181" w:name="_Toc73517675"/>
      <w:bookmarkStart w:id="182" w:name="_Toc73518153"/>
      <w:bookmarkStart w:id="183" w:name="_Toc73521671"/>
      <w:bookmarkStart w:id="184" w:name="_Toc73521583"/>
      <w:r>
        <w:rPr>
          <w:rFonts w:hint="eastAsia" w:ascii="宋体" w:hAnsi="宋体"/>
        </w:rPr>
        <w:t>17</w:t>
      </w:r>
      <w:r>
        <w:rPr>
          <w:rFonts w:ascii="宋体" w:hAnsi="宋体"/>
        </w:rPr>
        <w:t>.1</w:t>
      </w:r>
      <w:r>
        <w:rPr>
          <w:rFonts w:hint="eastAsia" w:ascii="宋体" w:hAnsi="宋体"/>
        </w:rPr>
        <w:t>对招标文件中描述有歧义或前后不一致的地方（不含</w:t>
      </w:r>
      <w:r>
        <w:rPr>
          <w:szCs w:val="21"/>
        </w:rPr>
        <w:t>招标文件存在歧义、重大缺陷导致评</w:t>
      </w:r>
      <w:r>
        <w:rPr>
          <w:rFonts w:hint="eastAsia"/>
          <w:szCs w:val="21"/>
        </w:rPr>
        <w:t>审</w:t>
      </w:r>
      <w:r>
        <w:rPr>
          <w:szCs w:val="21"/>
        </w:rPr>
        <w:t>工作无法进行</w:t>
      </w:r>
      <w:r>
        <w:rPr>
          <w:rFonts w:hint="eastAsia"/>
          <w:szCs w:val="21"/>
        </w:rPr>
        <w:t>的情况）</w:t>
      </w:r>
      <w:r>
        <w:rPr>
          <w:rFonts w:hint="eastAsia" w:ascii="宋体" w:hAnsi="宋体"/>
        </w:rPr>
        <w:t>，评审委员会有权进行评判，但对同一条款的评判应适用于每个投标人。</w:t>
      </w:r>
      <w:bookmarkEnd w:id="175"/>
    </w:p>
    <w:p w14:paraId="15D2CC61">
      <w:pPr>
        <w:ind w:firstLine="411" w:firstLineChars="196"/>
        <w:rPr>
          <w:rFonts w:ascii="宋体" w:hAnsi="宋体"/>
        </w:rPr>
      </w:pPr>
      <w:r>
        <w:rPr>
          <w:rFonts w:hint="eastAsia" w:ascii="宋体" w:hAnsi="宋体"/>
        </w:rPr>
        <w:t>17</w:t>
      </w:r>
      <w:r>
        <w:rPr>
          <w:rFonts w:ascii="宋体" w:hAnsi="宋体"/>
        </w:rPr>
        <w:t>.</w:t>
      </w:r>
      <w:r>
        <w:rPr>
          <w:rFonts w:hint="eastAsia" w:ascii="宋体" w:hAnsi="宋体"/>
        </w:rPr>
        <w:t>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ascii="宋体" w:hAnsi="宋体"/>
          <w:szCs w:val="21"/>
        </w:rPr>
        <w:t>深圳公共资源交易中心（深圳交易集团有限公司罗湖分公司）</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14C57AE1">
      <w:pPr>
        <w:ind w:firstLine="411" w:firstLineChars="196"/>
        <w:rPr>
          <w:rFonts w:ascii="宋体" w:hAnsi="宋体"/>
          <w:color w:val="FF0000"/>
        </w:rPr>
      </w:pPr>
      <w:r>
        <w:rPr>
          <w:rFonts w:hint="eastAsia" w:ascii="宋体" w:hAnsi="宋体"/>
        </w:rPr>
        <w:t>17</w:t>
      </w:r>
      <w:r>
        <w:rPr>
          <w:rFonts w:ascii="宋体" w:hAnsi="宋体"/>
        </w:rPr>
        <w:t>.</w:t>
      </w:r>
      <w:r>
        <w:rPr>
          <w:rFonts w:hint="eastAsia" w:ascii="宋体" w:hAnsi="宋体"/>
        </w:rPr>
        <w:t>3</w:t>
      </w:r>
      <w:r>
        <w:rPr>
          <w:rFonts w:hint="eastAsia" w:ascii="宋体" w:hAnsi="宋体"/>
          <w:szCs w:val="21"/>
        </w:rPr>
        <w:t>对于投标文件中含义不明确、同类问题表述不一致或者有明显文字和计算错误的内容，评标委员会应当以书面形式要求投标供应商作出必要的澄清、说明或者补正。</w:t>
      </w:r>
    </w:p>
    <w:p w14:paraId="43F00F0C">
      <w:pPr>
        <w:ind w:firstLine="411" w:firstLineChars="196"/>
        <w:rPr>
          <w:rFonts w:ascii="宋体" w:hAnsi="宋体"/>
          <w:szCs w:val="21"/>
        </w:rPr>
      </w:pPr>
      <w:r>
        <w:rPr>
          <w:rFonts w:hint="eastAsia" w:ascii="宋体" w:hAnsi="宋体"/>
          <w:szCs w:val="21"/>
        </w:rPr>
        <w:t>投标供应商的澄清、说明或者补正应当采用书面形式，并加盖公章，或者由法定代表人或其授权的代表签字。投标供应商的澄清、说明或者补正不得超出投标文件的范围或者改变投标文件的实质性内容。</w:t>
      </w:r>
    </w:p>
    <w:p w14:paraId="39F5916D">
      <w:pPr>
        <w:spacing w:after="120"/>
        <w:ind w:firstLine="420" w:firstLineChars="200"/>
      </w:pPr>
      <w:r>
        <w:rPr>
          <w:rFonts w:hint="eastAsia"/>
        </w:rPr>
        <w:t>根据本通用条款第18条，凡属于评审委员会在评审中发现的算术错误进行核实的修改不在此列。</w:t>
      </w:r>
    </w:p>
    <w:p w14:paraId="66C4A279">
      <w:pPr>
        <w:spacing w:line="360" w:lineRule="auto"/>
        <w:rPr>
          <w:rFonts w:ascii="黑体" w:hAnsi="宋体" w:eastAsia="黑体"/>
          <w:sz w:val="24"/>
        </w:rPr>
      </w:pPr>
      <w:r>
        <w:rPr>
          <w:rFonts w:hint="eastAsia" w:ascii="黑体" w:hAnsi="宋体" w:eastAsia="黑体"/>
          <w:sz w:val="24"/>
        </w:rPr>
        <w:t>18．错误的修正</w:t>
      </w:r>
      <w:bookmarkEnd w:id="176"/>
      <w:bookmarkEnd w:id="177"/>
      <w:bookmarkEnd w:id="178"/>
      <w:bookmarkEnd w:id="179"/>
      <w:bookmarkEnd w:id="180"/>
    </w:p>
    <w:p w14:paraId="78ACA990">
      <w:pPr>
        <w:ind w:firstLine="411" w:firstLineChars="196"/>
        <w:rPr>
          <w:rFonts w:ascii="宋体" w:hAnsi="宋体"/>
          <w:szCs w:val="21"/>
        </w:rPr>
      </w:pPr>
      <w:r>
        <w:rPr>
          <w:rFonts w:hint="eastAsia" w:ascii="宋体" w:hAnsi="宋体"/>
          <w:szCs w:val="21"/>
        </w:rPr>
        <w:t>投标文件报价出现前后不一致的，除招标文件另有规定外，按照下列规定修正：</w:t>
      </w:r>
    </w:p>
    <w:p w14:paraId="0CA3E2D0">
      <w:pPr>
        <w:ind w:firstLine="411" w:firstLineChars="196"/>
        <w:rPr>
          <w:rFonts w:ascii="宋体" w:hAnsi="宋体"/>
          <w:szCs w:val="21"/>
        </w:rPr>
      </w:pPr>
      <w:r>
        <w:rPr>
          <w:rFonts w:hint="eastAsia" w:ascii="宋体" w:hAnsi="宋体"/>
          <w:szCs w:val="21"/>
        </w:rPr>
        <w:t>18.1投标文件中开标一览表内容与投标文件中相应内容不一致的，以开标一览表为准；</w:t>
      </w:r>
    </w:p>
    <w:p w14:paraId="4A4E378D">
      <w:pPr>
        <w:ind w:firstLine="411" w:firstLineChars="196"/>
        <w:rPr>
          <w:rFonts w:ascii="宋体" w:hAnsi="宋体"/>
          <w:szCs w:val="21"/>
        </w:rPr>
      </w:pPr>
      <w:r>
        <w:rPr>
          <w:rFonts w:hint="eastAsia" w:ascii="宋体" w:hAnsi="宋体"/>
          <w:szCs w:val="21"/>
        </w:rPr>
        <w:t>18.2大写金额和小写金额不一致的，以大写金额为准；</w:t>
      </w:r>
    </w:p>
    <w:p w14:paraId="4C950070">
      <w:pPr>
        <w:ind w:firstLine="411" w:firstLineChars="196"/>
        <w:rPr>
          <w:rFonts w:ascii="宋体" w:hAnsi="宋体"/>
          <w:szCs w:val="21"/>
        </w:rPr>
      </w:pPr>
      <w:r>
        <w:rPr>
          <w:rFonts w:hint="eastAsia" w:ascii="宋体" w:hAnsi="宋体"/>
          <w:szCs w:val="21"/>
        </w:rPr>
        <w:t>18.3单价金额小数点或者百分比有明显错位，以开标一览表的总价为准，并修改单价；</w:t>
      </w:r>
    </w:p>
    <w:p w14:paraId="1A51405F">
      <w:pPr>
        <w:ind w:firstLine="411" w:firstLineChars="196"/>
        <w:rPr>
          <w:rFonts w:ascii="宋体" w:hAnsi="宋体"/>
          <w:szCs w:val="21"/>
        </w:rPr>
      </w:pPr>
      <w:r>
        <w:rPr>
          <w:rFonts w:hint="eastAsia" w:ascii="宋体" w:hAnsi="宋体"/>
          <w:szCs w:val="21"/>
        </w:rPr>
        <w:t>18.4总价金额与按单价汇总金额不一致的，以单价金额计算结果为准。</w:t>
      </w:r>
    </w:p>
    <w:p w14:paraId="1DF32F47">
      <w:pPr>
        <w:ind w:firstLine="411" w:firstLineChars="196"/>
        <w:rPr>
          <w:rFonts w:ascii="宋体" w:hAnsi="宋体"/>
          <w:szCs w:val="21"/>
        </w:rPr>
      </w:pPr>
      <w:r>
        <w:rPr>
          <w:rFonts w:hint="eastAsia" w:ascii="宋体" w:hAnsi="宋体"/>
          <w:szCs w:val="21"/>
        </w:rPr>
        <w:t>18.5同时出现两种以上不一致的，按照前款规定的顺序修正。修正后的报价按照第17条规定，经投标供应商确认后产生约束力，投标人不确认的，其投标无效。</w:t>
      </w:r>
      <w:bookmarkEnd w:id="181"/>
      <w:bookmarkEnd w:id="182"/>
      <w:bookmarkEnd w:id="183"/>
      <w:bookmarkEnd w:id="184"/>
      <w:bookmarkStart w:id="185" w:name="_Toc100052402"/>
    </w:p>
    <w:p w14:paraId="5EAEA9E9">
      <w:pPr>
        <w:spacing w:line="360" w:lineRule="auto"/>
        <w:rPr>
          <w:rFonts w:ascii="黑体" w:hAnsi="宋体" w:eastAsia="黑体"/>
          <w:sz w:val="24"/>
        </w:rPr>
      </w:pPr>
      <w:r>
        <w:rPr>
          <w:rFonts w:hint="eastAsia" w:ascii="黑体" w:hAnsi="宋体" w:eastAsia="黑体"/>
          <w:sz w:val="24"/>
        </w:rPr>
        <w:t>19．评标方法</w:t>
      </w:r>
      <w:bookmarkEnd w:id="185"/>
      <w:bookmarkStart w:id="186" w:name="_Toc60560665"/>
      <w:bookmarkStart w:id="187" w:name="_Toc73521585"/>
      <w:bookmarkStart w:id="188" w:name="_Toc73521673"/>
      <w:bookmarkStart w:id="189" w:name="_Toc73517677"/>
      <w:bookmarkStart w:id="190" w:name="_Toc60631660"/>
      <w:bookmarkStart w:id="191" w:name="_Toc100052403"/>
      <w:bookmarkStart w:id="192" w:name="_Toc73518155"/>
    </w:p>
    <w:p w14:paraId="247E02FA">
      <w:pPr>
        <w:spacing w:line="360" w:lineRule="auto"/>
        <w:ind w:firstLine="420" w:firstLineChars="200"/>
        <w:rPr>
          <w:rFonts w:ascii="宋体" w:hAnsi="宋体"/>
          <w:szCs w:val="21"/>
        </w:rPr>
      </w:pPr>
      <w:r>
        <w:rPr>
          <w:rFonts w:hint="eastAsia" w:ascii="宋体" w:hAnsi="宋体"/>
          <w:szCs w:val="21"/>
        </w:rPr>
        <w:t>本项目采用评标方法详见招标文件中的《评标信息》部分。</w:t>
      </w:r>
    </w:p>
    <w:p w14:paraId="1D6CC3C8">
      <w:pPr>
        <w:spacing w:line="360" w:lineRule="auto"/>
        <w:rPr>
          <w:rFonts w:ascii="黑体" w:hAnsi="宋体" w:eastAsia="黑体"/>
          <w:sz w:val="24"/>
        </w:rPr>
      </w:pPr>
      <w:r>
        <w:rPr>
          <w:rFonts w:hint="eastAsia" w:ascii="黑体" w:hAnsi="宋体" w:eastAsia="黑体"/>
          <w:sz w:val="24"/>
        </w:rPr>
        <w:t>20．定标</w:t>
      </w:r>
      <w:bookmarkEnd w:id="186"/>
      <w:bookmarkEnd w:id="187"/>
      <w:bookmarkEnd w:id="188"/>
      <w:bookmarkEnd w:id="189"/>
      <w:bookmarkEnd w:id="190"/>
      <w:bookmarkEnd w:id="191"/>
      <w:bookmarkEnd w:id="192"/>
    </w:p>
    <w:p w14:paraId="5AD6128E">
      <w:pPr>
        <w:ind w:firstLine="411" w:firstLineChars="196"/>
        <w:rPr>
          <w:rFonts w:ascii="宋体" w:hAnsi="宋体"/>
          <w:szCs w:val="21"/>
        </w:rPr>
      </w:pPr>
      <w:bookmarkStart w:id="193" w:name="_Toc100052404"/>
      <w:r>
        <w:rPr>
          <w:rFonts w:hint="eastAsia" w:ascii="宋体" w:hAnsi="宋体"/>
          <w:szCs w:val="21"/>
        </w:rPr>
        <w:t>本项目采用定标方法详见招标文件中的《定标方法》部分。</w:t>
      </w:r>
    </w:p>
    <w:p w14:paraId="169AFBBF">
      <w:pPr>
        <w:spacing w:line="360" w:lineRule="auto"/>
        <w:rPr>
          <w:rFonts w:ascii="黑体" w:hAnsi="宋体" w:eastAsia="黑体"/>
          <w:sz w:val="24"/>
        </w:rPr>
      </w:pPr>
      <w:r>
        <w:rPr>
          <w:rFonts w:hint="eastAsia" w:ascii="黑体" w:hAnsi="宋体" w:eastAsia="黑体"/>
          <w:sz w:val="24"/>
        </w:rPr>
        <w:t>21．编写评标报告</w:t>
      </w:r>
      <w:bookmarkEnd w:id="193"/>
    </w:p>
    <w:p w14:paraId="4EFE497F">
      <w:pPr>
        <w:ind w:firstLine="411" w:firstLineChars="196"/>
        <w:rPr>
          <w:rFonts w:ascii="宋体" w:hAnsi="宋体"/>
          <w:szCs w:val="21"/>
        </w:rPr>
      </w:pPr>
      <w:r>
        <w:rPr>
          <w:rFonts w:hint="eastAsia" w:ascii="宋体" w:hAnsi="宋体"/>
          <w:szCs w:val="21"/>
        </w:rPr>
        <w:t>评标报告是评标委员会根据全体评标成员签字的原始评标记录和评标结果编写的报告，评标报告由评标委员会全体成员签字。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1548DAEE">
      <w:pPr>
        <w:spacing w:line="360" w:lineRule="auto"/>
        <w:rPr>
          <w:rFonts w:ascii="黑体" w:hAnsi="宋体" w:eastAsia="黑体"/>
          <w:sz w:val="24"/>
        </w:rPr>
      </w:pPr>
      <w:bookmarkStart w:id="194" w:name="_Toc100052405"/>
      <w:bookmarkStart w:id="195" w:name="_Toc73521588"/>
      <w:bookmarkStart w:id="196" w:name="_Toc73521676"/>
      <w:bookmarkStart w:id="197" w:name="_Toc73518159"/>
      <w:bookmarkStart w:id="198" w:name="_Toc73517681"/>
      <w:r>
        <w:rPr>
          <w:rFonts w:hint="eastAsia" w:ascii="黑体" w:hAnsi="宋体" w:eastAsia="黑体"/>
          <w:sz w:val="24"/>
        </w:rPr>
        <w:t>22．</w:t>
      </w:r>
      <w:bookmarkEnd w:id="194"/>
      <w:bookmarkEnd w:id="195"/>
      <w:bookmarkEnd w:id="196"/>
      <w:bookmarkEnd w:id="197"/>
      <w:bookmarkEnd w:id="198"/>
      <w:r>
        <w:rPr>
          <w:rFonts w:hint="eastAsia" w:ascii="黑体" w:hAnsi="宋体" w:eastAsia="黑体"/>
          <w:sz w:val="24"/>
        </w:rPr>
        <w:t>中标（成交）公告</w:t>
      </w:r>
    </w:p>
    <w:p w14:paraId="7C623DB8">
      <w:pPr>
        <w:ind w:firstLine="411" w:firstLineChars="196"/>
        <w:rPr>
          <w:rFonts w:ascii="宋体" w:hAnsi="宋体"/>
          <w:szCs w:val="21"/>
        </w:rPr>
      </w:pPr>
      <w:r>
        <w:rPr>
          <w:rFonts w:hint="eastAsia" w:ascii="宋体" w:hAnsi="宋体"/>
          <w:szCs w:val="21"/>
        </w:rPr>
        <w:t>22.1</w:t>
      </w:r>
      <w:bookmarkStart w:id="199" w:name="OLE_LINK5"/>
      <w:r>
        <w:rPr>
          <w:rFonts w:hint="eastAsia" w:ascii="宋体" w:hAnsi="宋体"/>
          <w:szCs w:val="21"/>
        </w:rPr>
        <w:t>为体现“公开、公平、公正”的原则，评标结束后，深圳公共资源交易中心（深圳交易集团有限公司罗湖分公司）将在</w:t>
      </w:r>
      <w:r>
        <w:rPr>
          <w:rFonts w:hint="eastAsia" w:ascii="宋体" w:hAnsi="宋体"/>
          <w:color w:val="FF0000"/>
          <w:szCs w:val="21"/>
        </w:rPr>
        <w:t>深圳交易集团罗湖分公司官网（https://lh.szexgrp.com/jyfw/zfcg-view.html?id=zfcg）</w:t>
      </w:r>
      <w:r>
        <w:rPr>
          <w:rFonts w:hint="eastAsia" w:ascii="宋体" w:hAnsi="宋体"/>
          <w:szCs w:val="21"/>
        </w:rPr>
        <w:t>上发布中标（成交）结果公告。</w:t>
      </w:r>
      <w:bookmarkEnd w:id="199"/>
    </w:p>
    <w:p w14:paraId="3A44776E">
      <w:pPr>
        <w:ind w:firstLine="411" w:firstLineChars="196"/>
        <w:rPr>
          <w:rFonts w:ascii="宋体" w:hAnsi="宋体"/>
          <w:szCs w:val="21"/>
        </w:rPr>
      </w:pPr>
    </w:p>
    <w:p w14:paraId="4FF5C254">
      <w:pPr>
        <w:spacing w:line="360" w:lineRule="auto"/>
        <w:rPr>
          <w:rFonts w:ascii="黑体" w:hAnsi="宋体" w:eastAsia="黑体"/>
          <w:sz w:val="24"/>
        </w:rPr>
      </w:pPr>
      <w:bookmarkStart w:id="200" w:name="_Toc100052406"/>
      <w:r>
        <w:rPr>
          <w:rFonts w:hint="eastAsia" w:ascii="黑体" w:hAnsi="宋体" w:eastAsia="黑体"/>
          <w:sz w:val="24"/>
        </w:rPr>
        <w:t>23．中标（成交）通知书</w:t>
      </w:r>
      <w:bookmarkEnd w:id="200"/>
    </w:p>
    <w:p w14:paraId="3AF951D3">
      <w:pPr>
        <w:ind w:firstLine="411" w:firstLineChars="196"/>
        <w:rPr>
          <w:rFonts w:ascii="宋体" w:hAnsi="宋体"/>
          <w:szCs w:val="21"/>
        </w:rPr>
      </w:pPr>
      <w:bookmarkStart w:id="201" w:name="bt合同的授予"/>
      <w:bookmarkEnd w:id="201"/>
      <w:r>
        <w:rPr>
          <w:rFonts w:hint="eastAsia" w:ascii="宋体" w:hAnsi="宋体"/>
          <w:szCs w:val="21"/>
        </w:rPr>
        <w:t>23</w:t>
      </w:r>
      <w:r>
        <w:rPr>
          <w:rFonts w:ascii="宋体" w:hAnsi="宋体"/>
          <w:szCs w:val="21"/>
        </w:rPr>
        <w:t>.</w:t>
      </w:r>
      <w:r>
        <w:rPr>
          <w:rFonts w:hint="eastAsia" w:ascii="宋体" w:hAnsi="宋体"/>
          <w:szCs w:val="21"/>
        </w:rPr>
        <w:t>1</w:t>
      </w:r>
      <w:bookmarkStart w:id="202" w:name="OLE_LINK40"/>
      <w:r>
        <w:rPr>
          <w:rFonts w:hint="eastAsia" w:ascii="宋体" w:hAnsi="宋体" w:cs="宋体"/>
          <w:color w:val="000000"/>
          <w:kern w:val="0"/>
          <w:szCs w:val="21"/>
        </w:rPr>
        <w:t>中标（成交）公告发布并公示1个</w:t>
      </w:r>
      <w:r>
        <w:rPr>
          <w:rFonts w:hint="eastAsia" w:ascii="宋体" w:hAnsi="宋体" w:cs="宋体"/>
          <w:color w:val="000000"/>
          <w:kern w:val="0"/>
          <w:szCs w:val="21"/>
          <w:lang w:val="en-US" w:eastAsia="zh-CN"/>
        </w:rPr>
        <w:t>工作日</w:t>
      </w:r>
      <w:r>
        <w:rPr>
          <w:rFonts w:hint="eastAsia" w:ascii="宋体" w:hAnsi="宋体" w:cs="宋体"/>
          <w:color w:val="000000"/>
          <w:kern w:val="0"/>
          <w:szCs w:val="21"/>
        </w:rPr>
        <w:t>后，</w:t>
      </w:r>
      <w:bookmarkEnd w:id="202"/>
      <w:r>
        <w:rPr>
          <w:rFonts w:hint="eastAsia" w:ascii="宋体" w:hAnsi="宋体" w:cs="宋体"/>
          <w:color w:val="000000"/>
          <w:kern w:val="0"/>
          <w:szCs w:val="21"/>
        </w:rPr>
        <w:t>公示期满无异议或者异议不成立的，中标人向深圳公共资源交易中心（深圳交易集团有限公司罗湖分公司）缴纳代理服务费后</w:t>
      </w:r>
      <w:r>
        <w:rPr>
          <w:rFonts w:hint="eastAsia" w:ascii="宋体" w:hAnsi="宋体" w:cs="宋体"/>
          <w:kern w:val="0"/>
          <w:szCs w:val="21"/>
        </w:rPr>
        <w:t>，</w:t>
      </w:r>
      <w:r>
        <w:rPr>
          <w:rFonts w:hint="eastAsia" w:ascii="宋体" w:hAnsi="宋体" w:cs="宋体"/>
          <w:szCs w:val="21"/>
        </w:rPr>
        <w:t>方可领取《中标（成交）通知书》</w:t>
      </w:r>
      <w:r>
        <w:rPr>
          <w:rFonts w:hint="eastAsia" w:ascii="宋体" w:hAnsi="宋体" w:cs="宋体"/>
          <w:kern w:val="0"/>
          <w:szCs w:val="21"/>
        </w:rPr>
        <w:t>。</w:t>
      </w:r>
    </w:p>
    <w:p w14:paraId="0B7B1179">
      <w:pPr>
        <w:ind w:firstLine="411" w:firstLineChars="196"/>
        <w:rPr>
          <w:rFonts w:ascii="宋体" w:hAnsi="宋体"/>
          <w:szCs w:val="21"/>
        </w:rPr>
      </w:pPr>
      <w:r>
        <w:rPr>
          <w:rFonts w:hint="eastAsia" w:ascii="宋体" w:hAnsi="宋体"/>
          <w:color w:val="FF0000"/>
          <w:szCs w:val="21"/>
        </w:rPr>
        <w:t>2</w:t>
      </w:r>
      <w:r>
        <w:rPr>
          <w:rFonts w:hint="eastAsia" w:ascii="宋体" w:hAnsi="宋体"/>
          <w:color w:val="FF0000"/>
          <w:szCs w:val="21"/>
          <w:lang w:val="en-US" w:eastAsia="zh-CN"/>
        </w:rPr>
        <w:t>3</w:t>
      </w:r>
      <w:r>
        <w:rPr>
          <w:rFonts w:hint="eastAsia" w:ascii="宋体" w:hAnsi="宋体"/>
          <w:color w:val="FF0000"/>
          <w:szCs w:val="21"/>
        </w:rPr>
        <w:t>.2因质疑投诉或其它原因导致项目结果变更或采购终止的，深圳公共资源交易中心（深圳交易集团有限公司罗湖分公司）有权收回中标（成交）通知书。</w:t>
      </w:r>
    </w:p>
    <w:p w14:paraId="423B4389">
      <w:pPr>
        <w:jc w:val="center"/>
      </w:pPr>
      <w:r>
        <w:t>---- END ----</w:t>
      </w:r>
    </w:p>
    <w:p w14:paraId="6CC748C8"/>
    <w:p w14:paraId="05B9F98D">
      <w:pPr>
        <w:spacing w:line="360" w:lineRule="auto"/>
        <w:rPr>
          <w:rFonts w:ascii="宋体" w:hAnsi="宋体"/>
          <w:szCs w:val="21"/>
        </w:rPr>
      </w:pPr>
    </w:p>
    <w:sectPr>
      <w:footerReference r:id="rId3" w:type="default"/>
      <w:footerReference r:id="rId4"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0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swiss"/>
    <w:pitch w:val="default"/>
    <w:sig w:usb0="FFFFFFFF" w:usb1="E9FFFFFF" w:usb2="0000003F" w:usb3="00000000" w:csb0="603F01FF" w:csb1="FFFF0000"/>
  </w:font>
  <w:font w:name="隶书">
    <w:panose1 w:val="0201050906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ctionIcon ! important">
    <w:altName w:val="Segoe Print"/>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Helvetica">
    <w:altName w:val="Arial"/>
    <w:panose1 w:val="020B0604020202020204"/>
    <w:charset w:val="00"/>
    <w:family w:val="swiss"/>
    <w:pitch w:val="default"/>
    <w:sig w:usb0="00000000" w:usb1="00000000" w:usb2="00000000" w:usb3="00000000" w:csb0="00000001" w:csb1="0000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文鼎粗黑">
    <w:altName w:val="SimSun-ExtB"/>
    <w:panose1 w:val="00000000000000000000"/>
    <w:charset w:val="86"/>
    <w:family w:val="modern"/>
    <w:pitch w:val="default"/>
    <w:sig w:usb0="00000000" w:usb1="00000000" w:usb2="00000010" w:usb3="00000000" w:csb0="00040000" w:csb1="00000000"/>
  </w:font>
  <w:font w:name="SimSun-ExtB">
    <w:panose1 w:val="02010609060101010101"/>
    <w:charset w:val="86"/>
    <w:family w:val="auto"/>
    <w:pitch w:val="default"/>
    <w:sig w:usb0="00000001" w:usb1="02000000" w:usb2="00000000" w:usb3="00000000" w:csb0="00040001" w:csb1="00000000"/>
  </w:font>
  <w:font w:name="仿宋_GB2312">
    <w:panose1 w:val="02010609030101010101"/>
    <w:charset w:val="86"/>
    <w:family w:val="modern"/>
    <w:pitch w:val="default"/>
    <w:sig w:usb0="00000001" w:usb1="080E0000" w:usb2="00000000" w:usb3="00000000" w:csb0="00040000" w:csb1="00000000"/>
  </w:font>
  <w:font w:name="ActionIcon">
    <w:altName w:val="Segoe Print"/>
    <w:panose1 w:val="00000000000000000000"/>
    <w:charset w:val="00"/>
    <w:family w:val="auto"/>
    <w:pitch w:val="default"/>
    <w:sig w:usb0="00000000" w:usb1="00000000" w:usb2="00000000" w:usb3="00000000" w:csb0="00000000" w:csb1="00000000"/>
  </w:font>
  <w:font w:name="ModIcon">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516F5">
    <w:pPr>
      <w:pStyle w:val="23"/>
      <w:framePr w:wrap="around" w:vAnchor="text" w:hAnchor="margin" w:xAlign="right" w:y="1"/>
      <w:rPr>
        <w:rStyle w:val="38"/>
        <w:rFonts w:eastAsia="宋体"/>
      </w:rPr>
    </w:pPr>
    <w:r>
      <w:fldChar w:fldCharType="begin"/>
    </w:r>
    <w:r>
      <w:rPr>
        <w:rStyle w:val="38"/>
        <w:rFonts w:eastAsia="宋体"/>
      </w:rPr>
      <w:instrText xml:space="preserve">PAGE  </w:instrText>
    </w:r>
    <w:r>
      <w:fldChar w:fldCharType="separate"/>
    </w:r>
    <w:r>
      <w:rPr>
        <w:rStyle w:val="38"/>
        <w:rFonts w:eastAsia="宋体"/>
      </w:rPr>
      <w:t>44</w:t>
    </w:r>
    <w:r>
      <w:fldChar w:fldCharType="end"/>
    </w:r>
  </w:p>
  <w:p w14:paraId="65DA4D9E">
    <w:pPr>
      <w:pStyle w:val="2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35F53">
    <w:pPr>
      <w:pStyle w:val="23"/>
      <w:framePr w:wrap="around" w:vAnchor="text" w:hAnchor="margin" w:xAlign="right" w:y="1"/>
      <w:rPr>
        <w:rStyle w:val="38"/>
        <w:rFonts w:eastAsia="宋体"/>
      </w:rPr>
    </w:pPr>
    <w:r>
      <w:fldChar w:fldCharType="begin"/>
    </w:r>
    <w:r>
      <w:rPr>
        <w:rStyle w:val="38"/>
        <w:rFonts w:eastAsia="宋体"/>
      </w:rPr>
      <w:instrText xml:space="preserve">PAGE  </w:instrText>
    </w:r>
    <w:r>
      <w:fldChar w:fldCharType="end"/>
    </w:r>
  </w:p>
  <w:p w14:paraId="607CE94E">
    <w:pPr>
      <w:pStyle w:val="23"/>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358C2E"/>
    <w:multiLevelType w:val="singleLevel"/>
    <w:tmpl w:val="B9358C2E"/>
    <w:lvl w:ilvl="0" w:tentative="0">
      <w:start w:val="2"/>
      <w:numFmt w:val="decimal"/>
      <w:suff w:val="nothing"/>
      <w:lvlText w:val="%1、"/>
      <w:lvlJc w:val="left"/>
    </w:lvl>
  </w:abstractNum>
  <w:abstractNum w:abstractNumId="1">
    <w:nsid w:val="7E5070A4"/>
    <w:multiLevelType w:val="singleLevel"/>
    <w:tmpl w:val="7E5070A4"/>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U4OGYzZWRkYWFlOTUxNDA2M2UzOTg0MDNkZjZlN2UifQ=="/>
  </w:docVars>
  <w:rsids>
    <w:rsidRoot w:val="00417DAE"/>
    <w:rsid w:val="00004C4B"/>
    <w:rsid w:val="000103A1"/>
    <w:rsid w:val="000120ED"/>
    <w:rsid w:val="00023D7D"/>
    <w:rsid w:val="000275D2"/>
    <w:rsid w:val="0003258B"/>
    <w:rsid w:val="00032A15"/>
    <w:rsid w:val="00034FE9"/>
    <w:rsid w:val="000376EF"/>
    <w:rsid w:val="00044CBC"/>
    <w:rsid w:val="00062906"/>
    <w:rsid w:val="00073252"/>
    <w:rsid w:val="00073CD4"/>
    <w:rsid w:val="00080499"/>
    <w:rsid w:val="0008386B"/>
    <w:rsid w:val="00092E6B"/>
    <w:rsid w:val="00097656"/>
    <w:rsid w:val="000B0CD7"/>
    <w:rsid w:val="000C0730"/>
    <w:rsid w:val="000C35EA"/>
    <w:rsid w:val="000C5725"/>
    <w:rsid w:val="000D2A05"/>
    <w:rsid w:val="000E24BC"/>
    <w:rsid w:val="000E3C39"/>
    <w:rsid w:val="000E4A96"/>
    <w:rsid w:val="000F351E"/>
    <w:rsid w:val="000F58C4"/>
    <w:rsid w:val="0010090E"/>
    <w:rsid w:val="00103D64"/>
    <w:rsid w:val="00106079"/>
    <w:rsid w:val="00106714"/>
    <w:rsid w:val="00120415"/>
    <w:rsid w:val="001206A2"/>
    <w:rsid w:val="00123954"/>
    <w:rsid w:val="0012485A"/>
    <w:rsid w:val="0013061E"/>
    <w:rsid w:val="00133690"/>
    <w:rsid w:val="00133FDB"/>
    <w:rsid w:val="0015688E"/>
    <w:rsid w:val="00164585"/>
    <w:rsid w:val="00165972"/>
    <w:rsid w:val="001676D6"/>
    <w:rsid w:val="00167E22"/>
    <w:rsid w:val="00171DB2"/>
    <w:rsid w:val="00175575"/>
    <w:rsid w:val="001803A5"/>
    <w:rsid w:val="00184AB7"/>
    <w:rsid w:val="00184D3C"/>
    <w:rsid w:val="00186107"/>
    <w:rsid w:val="001B47C5"/>
    <w:rsid w:val="001B6564"/>
    <w:rsid w:val="001C1BE4"/>
    <w:rsid w:val="001D2E45"/>
    <w:rsid w:val="001D7FD1"/>
    <w:rsid w:val="001E1FB6"/>
    <w:rsid w:val="001E7225"/>
    <w:rsid w:val="001E75C5"/>
    <w:rsid w:val="00205A2F"/>
    <w:rsid w:val="00207F4F"/>
    <w:rsid w:val="0021615A"/>
    <w:rsid w:val="002239B4"/>
    <w:rsid w:val="00235B82"/>
    <w:rsid w:val="00235BFC"/>
    <w:rsid w:val="002422F8"/>
    <w:rsid w:val="00242AB9"/>
    <w:rsid w:val="00247277"/>
    <w:rsid w:val="0025640E"/>
    <w:rsid w:val="00261F70"/>
    <w:rsid w:val="0026315E"/>
    <w:rsid w:val="002668A9"/>
    <w:rsid w:val="0026709E"/>
    <w:rsid w:val="0027712A"/>
    <w:rsid w:val="0028649E"/>
    <w:rsid w:val="00286594"/>
    <w:rsid w:val="002875AE"/>
    <w:rsid w:val="002927A1"/>
    <w:rsid w:val="002A7187"/>
    <w:rsid w:val="002A7A90"/>
    <w:rsid w:val="002B5C8E"/>
    <w:rsid w:val="002B6744"/>
    <w:rsid w:val="002D03E1"/>
    <w:rsid w:val="002E1A3C"/>
    <w:rsid w:val="002E56EC"/>
    <w:rsid w:val="002E6064"/>
    <w:rsid w:val="00304DAA"/>
    <w:rsid w:val="003160BA"/>
    <w:rsid w:val="00321F04"/>
    <w:rsid w:val="003226A4"/>
    <w:rsid w:val="003265E6"/>
    <w:rsid w:val="0033516A"/>
    <w:rsid w:val="0035374A"/>
    <w:rsid w:val="00357616"/>
    <w:rsid w:val="00363559"/>
    <w:rsid w:val="00365481"/>
    <w:rsid w:val="00374783"/>
    <w:rsid w:val="0038420D"/>
    <w:rsid w:val="00397945"/>
    <w:rsid w:val="003A0465"/>
    <w:rsid w:val="003A1493"/>
    <w:rsid w:val="003A77DB"/>
    <w:rsid w:val="003B032A"/>
    <w:rsid w:val="003B1AED"/>
    <w:rsid w:val="003C205A"/>
    <w:rsid w:val="003C2731"/>
    <w:rsid w:val="003C3339"/>
    <w:rsid w:val="003D0CE1"/>
    <w:rsid w:val="0040312C"/>
    <w:rsid w:val="00415422"/>
    <w:rsid w:val="00417DAE"/>
    <w:rsid w:val="00420786"/>
    <w:rsid w:val="00420975"/>
    <w:rsid w:val="00422660"/>
    <w:rsid w:val="0042389E"/>
    <w:rsid w:val="0044359E"/>
    <w:rsid w:val="0044588B"/>
    <w:rsid w:val="00445EB5"/>
    <w:rsid w:val="0045026A"/>
    <w:rsid w:val="004702D2"/>
    <w:rsid w:val="00492A8B"/>
    <w:rsid w:val="00494F36"/>
    <w:rsid w:val="004A3598"/>
    <w:rsid w:val="004A78AC"/>
    <w:rsid w:val="004B04C0"/>
    <w:rsid w:val="004B3782"/>
    <w:rsid w:val="004C0D81"/>
    <w:rsid w:val="004C15C6"/>
    <w:rsid w:val="004E2DB8"/>
    <w:rsid w:val="00510101"/>
    <w:rsid w:val="00511D70"/>
    <w:rsid w:val="00512CB9"/>
    <w:rsid w:val="0051310F"/>
    <w:rsid w:val="00515CEE"/>
    <w:rsid w:val="00530E12"/>
    <w:rsid w:val="005330E3"/>
    <w:rsid w:val="005344F5"/>
    <w:rsid w:val="005455B9"/>
    <w:rsid w:val="0054664E"/>
    <w:rsid w:val="0055044D"/>
    <w:rsid w:val="00552929"/>
    <w:rsid w:val="00554992"/>
    <w:rsid w:val="0055556E"/>
    <w:rsid w:val="00561137"/>
    <w:rsid w:val="0056762F"/>
    <w:rsid w:val="005726A7"/>
    <w:rsid w:val="00572823"/>
    <w:rsid w:val="00587502"/>
    <w:rsid w:val="00592DCB"/>
    <w:rsid w:val="005A5A8F"/>
    <w:rsid w:val="005A78BB"/>
    <w:rsid w:val="005C1F08"/>
    <w:rsid w:val="005C4253"/>
    <w:rsid w:val="005D065B"/>
    <w:rsid w:val="005D0FD2"/>
    <w:rsid w:val="005D3C09"/>
    <w:rsid w:val="005D5BAC"/>
    <w:rsid w:val="005E08F3"/>
    <w:rsid w:val="005E70C5"/>
    <w:rsid w:val="006013B9"/>
    <w:rsid w:val="00601FA9"/>
    <w:rsid w:val="00611EEE"/>
    <w:rsid w:val="006147B9"/>
    <w:rsid w:val="00615DDC"/>
    <w:rsid w:val="00617A41"/>
    <w:rsid w:val="00626644"/>
    <w:rsid w:val="006407F7"/>
    <w:rsid w:val="006413C7"/>
    <w:rsid w:val="00653CD6"/>
    <w:rsid w:val="00660066"/>
    <w:rsid w:val="00664393"/>
    <w:rsid w:val="006815AA"/>
    <w:rsid w:val="0068251B"/>
    <w:rsid w:val="006A50BD"/>
    <w:rsid w:val="006A7560"/>
    <w:rsid w:val="006B0390"/>
    <w:rsid w:val="006B1915"/>
    <w:rsid w:val="006B677C"/>
    <w:rsid w:val="006C589D"/>
    <w:rsid w:val="006D339E"/>
    <w:rsid w:val="006D4C97"/>
    <w:rsid w:val="006E3C9F"/>
    <w:rsid w:val="006F4974"/>
    <w:rsid w:val="006F5144"/>
    <w:rsid w:val="00703921"/>
    <w:rsid w:val="00711295"/>
    <w:rsid w:val="00720176"/>
    <w:rsid w:val="00726137"/>
    <w:rsid w:val="00726FE2"/>
    <w:rsid w:val="00730A2C"/>
    <w:rsid w:val="00735C60"/>
    <w:rsid w:val="007457CC"/>
    <w:rsid w:val="00747414"/>
    <w:rsid w:val="00747E91"/>
    <w:rsid w:val="00760916"/>
    <w:rsid w:val="007642CF"/>
    <w:rsid w:val="007668BC"/>
    <w:rsid w:val="00776899"/>
    <w:rsid w:val="00776C8B"/>
    <w:rsid w:val="007838AA"/>
    <w:rsid w:val="007911B4"/>
    <w:rsid w:val="007914F9"/>
    <w:rsid w:val="007929C6"/>
    <w:rsid w:val="00793706"/>
    <w:rsid w:val="007937B9"/>
    <w:rsid w:val="007A35E4"/>
    <w:rsid w:val="007A4663"/>
    <w:rsid w:val="007A6063"/>
    <w:rsid w:val="007A7165"/>
    <w:rsid w:val="007C4293"/>
    <w:rsid w:val="007C7C5F"/>
    <w:rsid w:val="007D3CCB"/>
    <w:rsid w:val="007D50AF"/>
    <w:rsid w:val="007D5A5E"/>
    <w:rsid w:val="007F3567"/>
    <w:rsid w:val="00800810"/>
    <w:rsid w:val="008043CF"/>
    <w:rsid w:val="00813019"/>
    <w:rsid w:val="008246AF"/>
    <w:rsid w:val="008278F1"/>
    <w:rsid w:val="0083787A"/>
    <w:rsid w:val="00841AE9"/>
    <w:rsid w:val="008560B5"/>
    <w:rsid w:val="0085724A"/>
    <w:rsid w:val="0085789B"/>
    <w:rsid w:val="008613B9"/>
    <w:rsid w:val="00861A79"/>
    <w:rsid w:val="00875766"/>
    <w:rsid w:val="00881834"/>
    <w:rsid w:val="00883FB2"/>
    <w:rsid w:val="008842AB"/>
    <w:rsid w:val="00890159"/>
    <w:rsid w:val="00890E0C"/>
    <w:rsid w:val="008A55B0"/>
    <w:rsid w:val="008B1581"/>
    <w:rsid w:val="008B75FE"/>
    <w:rsid w:val="008C2ABB"/>
    <w:rsid w:val="008C4ED5"/>
    <w:rsid w:val="008D0D2F"/>
    <w:rsid w:val="008D1159"/>
    <w:rsid w:val="008D2714"/>
    <w:rsid w:val="008E1041"/>
    <w:rsid w:val="008E330D"/>
    <w:rsid w:val="009021F3"/>
    <w:rsid w:val="009079C8"/>
    <w:rsid w:val="009148A9"/>
    <w:rsid w:val="0093223E"/>
    <w:rsid w:val="009404E3"/>
    <w:rsid w:val="00942FF1"/>
    <w:rsid w:val="00944006"/>
    <w:rsid w:val="00947CF6"/>
    <w:rsid w:val="00956B44"/>
    <w:rsid w:val="00966468"/>
    <w:rsid w:val="009673EA"/>
    <w:rsid w:val="00967D66"/>
    <w:rsid w:val="0097057D"/>
    <w:rsid w:val="009742C2"/>
    <w:rsid w:val="00977D61"/>
    <w:rsid w:val="009817B6"/>
    <w:rsid w:val="009930E5"/>
    <w:rsid w:val="009A3362"/>
    <w:rsid w:val="009A70AF"/>
    <w:rsid w:val="009A73F8"/>
    <w:rsid w:val="009B0491"/>
    <w:rsid w:val="009B19EE"/>
    <w:rsid w:val="009B239C"/>
    <w:rsid w:val="009B2F22"/>
    <w:rsid w:val="009B4405"/>
    <w:rsid w:val="009C3E2E"/>
    <w:rsid w:val="009C4F52"/>
    <w:rsid w:val="009C761F"/>
    <w:rsid w:val="009C76A3"/>
    <w:rsid w:val="009D555D"/>
    <w:rsid w:val="009E6A1C"/>
    <w:rsid w:val="009F1FB3"/>
    <w:rsid w:val="009F6AF5"/>
    <w:rsid w:val="00A00281"/>
    <w:rsid w:val="00A010C6"/>
    <w:rsid w:val="00A06FBB"/>
    <w:rsid w:val="00A15769"/>
    <w:rsid w:val="00A17A1C"/>
    <w:rsid w:val="00A22523"/>
    <w:rsid w:val="00A27E7F"/>
    <w:rsid w:val="00A37C5B"/>
    <w:rsid w:val="00A44EAA"/>
    <w:rsid w:val="00A51A0A"/>
    <w:rsid w:val="00A610F7"/>
    <w:rsid w:val="00A7506E"/>
    <w:rsid w:val="00A76D6A"/>
    <w:rsid w:val="00A8009B"/>
    <w:rsid w:val="00A854BD"/>
    <w:rsid w:val="00AB1CCB"/>
    <w:rsid w:val="00AB2D19"/>
    <w:rsid w:val="00AC2D55"/>
    <w:rsid w:val="00AC4B08"/>
    <w:rsid w:val="00AC7FEB"/>
    <w:rsid w:val="00AD0ED5"/>
    <w:rsid w:val="00AD7A7B"/>
    <w:rsid w:val="00AE2023"/>
    <w:rsid w:val="00AF334F"/>
    <w:rsid w:val="00B02B4E"/>
    <w:rsid w:val="00B02F03"/>
    <w:rsid w:val="00B13C10"/>
    <w:rsid w:val="00B32ECF"/>
    <w:rsid w:val="00B3315A"/>
    <w:rsid w:val="00B37DEE"/>
    <w:rsid w:val="00B42521"/>
    <w:rsid w:val="00B462EB"/>
    <w:rsid w:val="00B55A86"/>
    <w:rsid w:val="00B576F9"/>
    <w:rsid w:val="00B63995"/>
    <w:rsid w:val="00B64590"/>
    <w:rsid w:val="00B7145C"/>
    <w:rsid w:val="00B7264C"/>
    <w:rsid w:val="00B7514E"/>
    <w:rsid w:val="00B8686A"/>
    <w:rsid w:val="00B877F7"/>
    <w:rsid w:val="00BA0D02"/>
    <w:rsid w:val="00BA2A87"/>
    <w:rsid w:val="00BA4D9C"/>
    <w:rsid w:val="00BB0EDE"/>
    <w:rsid w:val="00BB21B1"/>
    <w:rsid w:val="00BC580D"/>
    <w:rsid w:val="00BC7416"/>
    <w:rsid w:val="00BE5DCD"/>
    <w:rsid w:val="00BE7345"/>
    <w:rsid w:val="00BF26BC"/>
    <w:rsid w:val="00BF4A8D"/>
    <w:rsid w:val="00C03008"/>
    <w:rsid w:val="00C047DC"/>
    <w:rsid w:val="00C06BFD"/>
    <w:rsid w:val="00C25E92"/>
    <w:rsid w:val="00C46536"/>
    <w:rsid w:val="00C527A1"/>
    <w:rsid w:val="00C54B07"/>
    <w:rsid w:val="00C657F0"/>
    <w:rsid w:val="00C73513"/>
    <w:rsid w:val="00C80125"/>
    <w:rsid w:val="00C90AAA"/>
    <w:rsid w:val="00C9499D"/>
    <w:rsid w:val="00C977EF"/>
    <w:rsid w:val="00CA378C"/>
    <w:rsid w:val="00CA75A3"/>
    <w:rsid w:val="00CC43C6"/>
    <w:rsid w:val="00CD336B"/>
    <w:rsid w:val="00CE0505"/>
    <w:rsid w:val="00D013D2"/>
    <w:rsid w:val="00D03EF4"/>
    <w:rsid w:val="00D112B3"/>
    <w:rsid w:val="00D26B0B"/>
    <w:rsid w:val="00D43CDA"/>
    <w:rsid w:val="00D464D7"/>
    <w:rsid w:val="00D46F7C"/>
    <w:rsid w:val="00D47C0E"/>
    <w:rsid w:val="00D60219"/>
    <w:rsid w:val="00D62EC0"/>
    <w:rsid w:val="00D64C0A"/>
    <w:rsid w:val="00D76DF8"/>
    <w:rsid w:val="00D80975"/>
    <w:rsid w:val="00D80ABD"/>
    <w:rsid w:val="00D82CA2"/>
    <w:rsid w:val="00D90DB7"/>
    <w:rsid w:val="00DA6D40"/>
    <w:rsid w:val="00DA72A7"/>
    <w:rsid w:val="00DB051D"/>
    <w:rsid w:val="00DC725E"/>
    <w:rsid w:val="00DD0CED"/>
    <w:rsid w:val="00DD7BBD"/>
    <w:rsid w:val="00DE7A48"/>
    <w:rsid w:val="00DF2E26"/>
    <w:rsid w:val="00DF300B"/>
    <w:rsid w:val="00DF7F61"/>
    <w:rsid w:val="00E02F90"/>
    <w:rsid w:val="00E03BC0"/>
    <w:rsid w:val="00E07029"/>
    <w:rsid w:val="00E07BF4"/>
    <w:rsid w:val="00E12EC0"/>
    <w:rsid w:val="00E12F85"/>
    <w:rsid w:val="00E14615"/>
    <w:rsid w:val="00E204EB"/>
    <w:rsid w:val="00E2055F"/>
    <w:rsid w:val="00E30BEA"/>
    <w:rsid w:val="00E31144"/>
    <w:rsid w:val="00E448DE"/>
    <w:rsid w:val="00E50613"/>
    <w:rsid w:val="00E5254D"/>
    <w:rsid w:val="00E55CC6"/>
    <w:rsid w:val="00E646D6"/>
    <w:rsid w:val="00E64942"/>
    <w:rsid w:val="00E65EB0"/>
    <w:rsid w:val="00E661D8"/>
    <w:rsid w:val="00E77838"/>
    <w:rsid w:val="00E81694"/>
    <w:rsid w:val="00E86586"/>
    <w:rsid w:val="00E9032D"/>
    <w:rsid w:val="00E920A4"/>
    <w:rsid w:val="00E936BD"/>
    <w:rsid w:val="00EA14BA"/>
    <w:rsid w:val="00EA18BF"/>
    <w:rsid w:val="00EA37BA"/>
    <w:rsid w:val="00EB1C5B"/>
    <w:rsid w:val="00EB307F"/>
    <w:rsid w:val="00EB5CC4"/>
    <w:rsid w:val="00EC33F6"/>
    <w:rsid w:val="00ED6869"/>
    <w:rsid w:val="00EE5B5B"/>
    <w:rsid w:val="00EF033C"/>
    <w:rsid w:val="00F12E01"/>
    <w:rsid w:val="00F233E9"/>
    <w:rsid w:val="00F36CE2"/>
    <w:rsid w:val="00F462EB"/>
    <w:rsid w:val="00F55612"/>
    <w:rsid w:val="00F63973"/>
    <w:rsid w:val="00F65680"/>
    <w:rsid w:val="00F7076C"/>
    <w:rsid w:val="00F71004"/>
    <w:rsid w:val="00F83488"/>
    <w:rsid w:val="00F91FCE"/>
    <w:rsid w:val="00F97D6A"/>
    <w:rsid w:val="00FA4823"/>
    <w:rsid w:val="00FA54C9"/>
    <w:rsid w:val="00FB352C"/>
    <w:rsid w:val="00FB679B"/>
    <w:rsid w:val="00FC2682"/>
    <w:rsid w:val="00FC53BD"/>
    <w:rsid w:val="05A70B15"/>
    <w:rsid w:val="088E5CC3"/>
    <w:rsid w:val="0A396D3C"/>
    <w:rsid w:val="0C410BD7"/>
    <w:rsid w:val="0D335069"/>
    <w:rsid w:val="137F7DA4"/>
    <w:rsid w:val="1CBB349E"/>
    <w:rsid w:val="22E360AF"/>
    <w:rsid w:val="282565A2"/>
    <w:rsid w:val="2D7B5F44"/>
    <w:rsid w:val="2EE32D5C"/>
    <w:rsid w:val="314457C1"/>
    <w:rsid w:val="3D8720EA"/>
    <w:rsid w:val="41866F7C"/>
    <w:rsid w:val="4C1C6969"/>
    <w:rsid w:val="4DF83D84"/>
    <w:rsid w:val="4F10041F"/>
    <w:rsid w:val="4F266210"/>
    <w:rsid w:val="573F1CAB"/>
    <w:rsid w:val="5EB21D38"/>
    <w:rsid w:val="6B40247D"/>
    <w:rsid w:val="6D8B5F33"/>
    <w:rsid w:val="6D98205C"/>
    <w:rsid w:val="6E462C0C"/>
    <w:rsid w:val="70AF741D"/>
    <w:rsid w:val="7802433A"/>
    <w:rsid w:val="795C3F2D"/>
    <w:rsid w:val="7D9F3958"/>
    <w:rsid w:val="7DBD78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55"/>
    <w:qFormat/>
    <w:uiPriority w:val="0"/>
    <w:pPr>
      <w:spacing w:before="340" w:after="330" w:line="360" w:lineRule="auto"/>
      <w:jc w:val="center"/>
      <w:outlineLvl w:val="0"/>
    </w:pPr>
    <w:rPr>
      <w:rFonts w:eastAsia="黑体"/>
      <w:bCs/>
      <w:kern w:val="44"/>
      <w:szCs w:val="44"/>
    </w:rPr>
  </w:style>
  <w:style w:type="paragraph" w:styleId="5">
    <w:name w:val="heading 2"/>
    <w:basedOn w:val="3"/>
    <w:next w:val="4"/>
    <w:link w:val="52"/>
    <w:qFormat/>
    <w:uiPriority w:val="0"/>
    <w:pPr>
      <w:adjustRightInd w:val="0"/>
      <w:jc w:val="center"/>
      <w:textAlignment w:val="baseline"/>
      <w:outlineLvl w:val="1"/>
    </w:pPr>
    <w:rPr>
      <w:bCs/>
      <w:kern w:val="0"/>
      <w:sz w:val="24"/>
      <w:szCs w:val="20"/>
    </w:rPr>
  </w:style>
  <w:style w:type="paragraph" w:styleId="3">
    <w:name w:val="heading 3"/>
    <w:basedOn w:val="4"/>
    <w:next w:val="1"/>
    <w:link w:val="69"/>
    <w:qFormat/>
    <w:uiPriority w:val="0"/>
    <w:pPr>
      <w:spacing w:before="260" w:after="260" w:line="240" w:lineRule="auto"/>
      <w:outlineLvl w:val="2"/>
    </w:pPr>
    <w:rPr>
      <w:rFonts w:ascii="宋体" w:hAnsi="宋体" w:eastAsia="宋体"/>
      <w:bCs w:val="0"/>
      <w:szCs w:val="32"/>
    </w:rPr>
  </w:style>
  <w:style w:type="paragraph" w:styleId="4">
    <w:name w:val="heading 4"/>
    <w:basedOn w:val="1"/>
    <w:next w:val="1"/>
    <w:link w:val="57"/>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58"/>
    <w:qFormat/>
    <w:uiPriority w:val="0"/>
    <w:pPr>
      <w:keepNext/>
      <w:keepLines/>
      <w:spacing w:before="280" w:after="290" w:line="376" w:lineRule="auto"/>
      <w:outlineLvl w:val="4"/>
    </w:pPr>
    <w:rPr>
      <w:b/>
      <w:bCs/>
      <w:sz w:val="28"/>
      <w:szCs w:val="28"/>
    </w:rPr>
  </w:style>
  <w:style w:type="paragraph" w:styleId="7">
    <w:name w:val="heading 6"/>
    <w:basedOn w:val="1"/>
    <w:next w:val="8"/>
    <w:link w:val="59"/>
    <w:qFormat/>
    <w:uiPriority w:val="0"/>
    <w:pPr>
      <w:keepNext/>
      <w:keepLines/>
      <w:spacing w:before="240" w:after="64" w:line="319" w:lineRule="auto"/>
      <w:outlineLvl w:val="5"/>
    </w:pPr>
    <w:rPr>
      <w:rFonts w:ascii="Arial" w:hAnsi="Arial" w:eastAsia="黑体"/>
      <w:b/>
      <w:sz w:val="24"/>
      <w:szCs w:val="20"/>
    </w:rPr>
  </w:style>
  <w:style w:type="paragraph" w:styleId="9">
    <w:name w:val="heading 7"/>
    <w:basedOn w:val="1"/>
    <w:next w:val="8"/>
    <w:link w:val="60"/>
    <w:qFormat/>
    <w:uiPriority w:val="0"/>
    <w:pPr>
      <w:keepNext/>
      <w:keepLines/>
      <w:spacing w:before="240" w:after="64" w:line="319" w:lineRule="auto"/>
      <w:outlineLvl w:val="6"/>
    </w:pPr>
    <w:rPr>
      <w:b/>
      <w:sz w:val="24"/>
      <w:szCs w:val="20"/>
    </w:rPr>
  </w:style>
  <w:style w:type="paragraph" w:styleId="10">
    <w:name w:val="heading 8"/>
    <w:basedOn w:val="1"/>
    <w:next w:val="8"/>
    <w:link w:val="61"/>
    <w:qFormat/>
    <w:uiPriority w:val="0"/>
    <w:pPr>
      <w:keepNext/>
      <w:keepLines/>
      <w:spacing w:before="240" w:after="64" w:line="319" w:lineRule="auto"/>
      <w:outlineLvl w:val="7"/>
    </w:pPr>
    <w:rPr>
      <w:rFonts w:ascii="Arial" w:hAnsi="Arial" w:eastAsia="黑体"/>
      <w:sz w:val="24"/>
      <w:szCs w:val="20"/>
    </w:rPr>
  </w:style>
  <w:style w:type="paragraph" w:styleId="11">
    <w:name w:val="heading 9"/>
    <w:basedOn w:val="1"/>
    <w:next w:val="8"/>
    <w:link w:val="62"/>
    <w:qFormat/>
    <w:uiPriority w:val="0"/>
    <w:pPr>
      <w:keepNext/>
      <w:keepLines/>
      <w:spacing w:before="240" w:after="64" w:line="319" w:lineRule="auto"/>
      <w:outlineLvl w:val="8"/>
    </w:pPr>
    <w:rPr>
      <w:rFonts w:ascii="Arial" w:hAnsi="Arial" w:eastAsia="黑体"/>
      <w:szCs w:val="20"/>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8">
    <w:name w:val="Normal Indent"/>
    <w:basedOn w:val="1"/>
    <w:link w:val="84"/>
    <w:qFormat/>
    <w:uiPriority w:val="0"/>
    <w:pPr>
      <w:ind w:firstLine="420"/>
    </w:pPr>
    <w:rPr>
      <w:rFonts w:asciiTheme="minorHAnsi" w:hAnsiTheme="minorHAnsi" w:eastAsiaTheme="minorEastAsia" w:cstheme="minorBidi"/>
      <w:szCs w:val="22"/>
    </w:rPr>
  </w:style>
  <w:style w:type="paragraph" w:styleId="12">
    <w:name w:val="List Bullet"/>
    <w:basedOn w:val="1"/>
    <w:qFormat/>
    <w:uiPriority w:val="0"/>
    <w:pPr>
      <w:tabs>
        <w:tab w:val="left" w:pos="360"/>
      </w:tabs>
      <w:ind w:left="360" w:hanging="360"/>
    </w:pPr>
    <w:rPr>
      <w:szCs w:val="20"/>
    </w:rPr>
  </w:style>
  <w:style w:type="paragraph" w:styleId="13">
    <w:name w:val="Document Map"/>
    <w:basedOn w:val="1"/>
    <w:link w:val="81"/>
    <w:semiHidden/>
    <w:qFormat/>
    <w:uiPriority w:val="0"/>
    <w:pPr>
      <w:shd w:val="clear" w:color="auto" w:fill="000080"/>
    </w:pPr>
    <w:rPr>
      <w:rFonts w:asciiTheme="minorHAnsi" w:hAnsiTheme="minorHAnsi" w:eastAsiaTheme="minorEastAsia" w:cstheme="minorBidi"/>
    </w:rPr>
  </w:style>
  <w:style w:type="paragraph" w:styleId="14">
    <w:name w:val="annotation text"/>
    <w:basedOn w:val="1"/>
    <w:link w:val="146"/>
    <w:unhideWhenUsed/>
    <w:qFormat/>
    <w:uiPriority w:val="99"/>
    <w:pPr>
      <w:jc w:val="left"/>
    </w:pPr>
  </w:style>
  <w:style w:type="paragraph" w:styleId="15">
    <w:name w:val="Body Text 3"/>
    <w:basedOn w:val="1"/>
    <w:link w:val="115"/>
    <w:qFormat/>
    <w:uiPriority w:val="0"/>
    <w:pPr>
      <w:spacing w:after="120"/>
    </w:pPr>
    <w:rPr>
      <w:rFonts w:ascii="宋体" w:hAnsi="宋体" w:eastAsiaTheme="minorEastAsia" w:cstheme="minorBidi"/>
      <w:sz w:val="16"/>
      <w:szCs w:val="16"/>
    </w:rPr>
  </w:style>
  <w:style w:type="paragraph" w:styleId="16">
    <w:name w:val="Body Text"/>
    <w:basedOn w:val="1"/>
    <w:link w:val="119"/>
    <w:qFormat/>
    <w:uiPriority w:val="0"/>
    <w:pPr>
      <w:spacing w:line="360" w:lineRule="auto"/>
    </w:pPr>
    <w:rPr>
      <w:rFonts w:ascii="宋体" w:hAnsi="宋体" w:eastAsiaTheme="minorEastAsia" w:cstheme="minorBidi"/>
      <w:b/>
      <w:bCs/>
      <w:sz w:val="24"/>
    </w:rPr>
  </w:style>
  <w:style w:type="paragraph" w:styleId="17">
    <w:name w:val="Body Text Indent"/>
    <w:basedOn w:val="1"/>
    <w:link w:val="150"/>
    <w:unhideWhenUsed/>
    <w:qFormat/>
    <w:uiPriority w:val="0"/>
    <w:pPr>
      <w:spacing w:after="120"/>
      <w:ind w:left="420" w:leftChars="200"/>
    </w:pPr>
  </w:style>
  <w:style w:type="paragraph" w:styleId="18">
    <w:name w:val="toc 3"/>
    <w:basedOn w:val="1"/>
    <w:next w:val="1"/>
    <w:semiHidden/>
    <w:qFormat/>
    <w:uiPriority w:val="0"/>
    <w:pPr>
      <w:ind w:left="420"/>
      <w:jc w:val="left"/>
    </w:pPr>
    <w:rPr>
      <w:i/>
      <w:iCs/>
    </w:rPr>
  </w:style>
  <w:style w:type="paragraph" w:styleId="19">
    <w:name w:val="Plain Text"/>
    <w:basedOn w:val="1"/>
    <w:link w:val="87"/>
    <w:qFormat/>
    <w:uiPriority w:val="0"/>
    <w:rPr>
      <w:rFonts w:ascii="宋体" w:hAnsi="Courier New" w:eastAsiaTheme="minorEastAsia" w:cstheme="minorBidi"/>
      <w:szCs w:val="22"/>
    </w:rPr>
  </w:style>
  <w:style w:type="paragraph" w:styleId="20">
    <w:name w:val="Date"/>
    <w:basedOn w:val="1"/>
    <w:next w:val="1"/>
    <w:link w:val="107"/>
    <w:qFormat/>
    <w:uiPriority w:val="0"/>
    <w:rPr>
      <w:rFonts w:ascii="宋体" w:hAnsi="Courier New" w:eastAsiaTheme="minorEastAsia" w:cstheme="minorBidi"/>
      <w:sz w:val="32"/>
      <w:szCs w:val="22"/>
    </w:rPr>
  </w:style>
  <w:style w:type="paragraph" w:styleId="21">
    <w:name w:val="Body Text Indent 2"/>
    <w:basedOn w:val="1"/>
    <w:link w:val="96"/>
    <w:qFormat/>
    <w:uiPriority w:val="0"/>
    <w:pPr>
      <w:spacing w:beforeLines="50" w:afterLines="50" w:line="120" w:lineRule="auto"/>
      <w:ind w:firstLine="840" w:firstLineChars="400"/>
      <w:jc w:val="left"/>
    </w:pPr>
    <w:rPr>
      <w:rFonts w:ascii="宋体" w:hAnsi="宋体" w:eastAsiaTheme="minorEastAsia" w:cstheme="minorBidi"/>
    </w:rPr>
  </w:style>
  <w:style w:type="paragraph" w:styleId="22">
    <w:name w:val="Balloon Text"/>
    <w:basedOn w:val="1"/>
    <w:link w:val="89"/>
    <w:qFormat/>
    <w:uiPriority w:val="0"/>
    <w:rPr>
      <w:rFonts w:ascii="Arial" w:hAnsi="Arial" w:eastAsia="Times New Roman" w:cs="Verdana"/>
      <w:b/>
      <w:sz w:val="18"/>
      <w:szCs w:val="18"/>
      <w:lang w:eastAsia="en-US"/>
    </w:rPr>
  </w:style>
  <w:style w:type="paragraph" w:styleId="23">
    <w:name w:val="footer"/>
    <w:basedOn w:val="1"/>
    <w:link w:val="54"/>
    <w:unhideWhenUsed/>
    <w:qFormat/>
    <w:uiPriority w:val="99"/>
    <w:pPr>
      <w:tabs>
        <w:tab w:val="center" w:pos="4153"/>
        <w:tab w:val="right" w:pos="8306"/>
      </w:tabs>
      <w:snapToGrid w:val="0"/>
      <w:jc w:val="left"/>
    </w:pPr>
    <w:rPr>
      <w:sz w:val="18"/>
      <w:szCs w:val="18"/>
    </w:rPr>
  </w:style>
  <w:style w:type="paragraph" w:styleId="24">
    <w:name w:val="header"/>
    <w:basedOn w:val="1"/>
    <w:link w:val="53"/>
    <w:unhideWhenUsed/>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semiHidden/>
    <w:qFormat/>
    <w:uiPriority w:val="0"/>
    <w:pPr>
      <w:spacing w:before="120" w:after="120"/>
      <w:jc w:val="left"/>
    </w:pPr>
    <w:rPr>
      <w:b/>
      <w:bCs/>
      <w:caps/>
    </w:rPr>
  </w:style>
  <w:style w:type="paragraph" w:styleId="26">
    <w:name w:val="Body Text Indent 3"/>
    <w:basedOn w:val="1"/>
    <w:link w:val="80"/>
    <w:qFormat/>
    <w:uiPriority w:val="0"/>
    <w:pPr>
      <w:spacing w:line="360" w:lineRule="auto"/>
      <w:ind w:firstLine="482" w:firstLineChars="200"/>
    </w:pPr>
    <w:rPr>
      <w:rFonts w:ascii="宋体" w:hAnsi="宋体" w:eastAsiaTheme="minorEastAsia" w:cstheme="minorBidi"/>
      <w:b/>
      <w:bCs/>
      <w:sz w:val="24"/>
    </w:rPr>
  </w:style>
  <w:style w:type="paragraph" w:styleId="27">
    <w:name w:val="toc 2"/>
    <w:basedOn w:val="1"/>
    <w:next w:val="1"/>
    <w:semiHidden/>
    <w:qFormat/>
    <w:uiPriority w:val="0"/>
    <w:pPr>
      <w:tabs>
        <w:tab w:val="right" w:leader="dot" w:pos="8296"/>
      </w:tabs>
      <w:ind w:left="210"/>
      <w:jc w:val="left"/>
    </w:pPr>
    <w:rPr>
      <w:smallCaps/>
    </w:rPr>
  </w:style>
  <w:style w:type="paragraph" w:styleId="28">
    <w:name w:val="Body Text 2"/>
    <w:basedOn w:val="1"/>
    <w:link w:val="78"/>
    <w:qFormat/>
    <w:uiPriority w:val="0"/>
    <w:pPr>
      <w:spacing w:line="360" w:lineRule="auto"/>
    </w:pPr>
    <w:rPr>
      <w:rFonts w:ascii="宋体" w:hAnsi="宋体" w:eastAsiaTheme="minorEastAsia" w:cstheme="minorBidi"/>
      <w:sz w:val="24"/>
    </w:rPr>
  </w:style>
  <w:style w:type="paragraph" w:styleId="29">
    <w:name w:val="HTML Preformatted"/>
    <w:basedOn w:val="1"/>
    <w:link w:val="10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stheme="minorBidi"/>
      <w:color w:val="000000"/>
      <w:szCs w:val="22"/>
    </w:rPr>
  </w:style>
  <w:style w:type="paragraph" w:styleId="30">
    <w:name w:val="Normal (Web)"/>
    <w:basedOn w:val="1"/>
    <w:qFormat/>
    <w:uiPriority w:val="0"/>
    <w:rPr>
      <w:sz w:val="24"/>
    </w:rPr>
  </w:style>
  <w:style w:type="paragraph" w:styleId="31">
    <w:name w:val="Title"/>
    <w:basedOn w:val="1"/>
    <w:link w:val="113"/>
    <w:qFormat/>
    <w:uiPriority w:val="0"/>
    <w:pPr>
      <w:spacing w:before="240" w:after="60"/>
      <w:jc w:val="center"/>
      <w:outlineLvl w:val="0"/>
    </w:pPr>
    <w:rPr>
      <w:rFonts w:ascii="Arial" w:hAnsi="Arial" w:eastAsia="隶书" w:cs="Arial"/>
      <w:b/>
      <w:bCs/>
      <w:sz w:val="32"/>
      <w:szCs w:val="32"/>
    </w:rPr>
  </w:style>
  <w:style w:type="paragraph" w:styleId="32">
    <w:name w:val="annotation subject"/>
    <w:basedOn w:val="14"/>
    <w:next w:val="14"/>
    <w:link w:val="85"/>
    <w:qFormat/>
    <w:uiPriority w:val="0"/>
    <w:rPr>
      <w:rFonts w:ascii="宋体" w:hAnsi="Arial" w:cs="Verdana"/>
      <w:b/>
      <w:bCs/>
    </w:rPr>
  </w:style>
  <w:style w:type="paragraph" w:styleId="33">
    <w:name w:val="Body Text First Indent 2"/>
    <w:basedOn w:val="17"/>
    <w:link w:val="93"/>
    <w:qFormat/>
    <w:uiPriority w:val="0"/>
    <w:pPr>
      <w:ind w:firstLine="420" w:firstLineChars="200"/>
    </w:pPr>
    <w:rPr>
      <w:rFonts w:asciiTheme="minorHAnsi" w:hAnsiTheme="minorHAnsi" w:eastAsiaTheme="minorEastAsia" w:cstheme="minorBidi"/>
    </w:rPr>
  </w:style>
  <w:style w:type="table" w:styleId="35">
    <w:name w:val="Table Grid"/>
    <w:basedOn w:val="34"/>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basedOn w:val="36"/>
    <w:qFormat/>
    <w:uiPriority w:val="0"/>
    <w:rPr>
      <w:b/>
      <w:bCs/>
    </w:rPr>
  </w:style>
  <w:style w:type="character" w:styleId="38">
    <w:name w:val="page number"/>
    <w:basedOn w:val="36"/>
    <w:qFormat/>
    <w:uiPriority w:val="0"/>
    <w:rPr>
      <w:rFonts w:ascii="Arial" w:hAnsi="Arial" w:eastAsia="Times New Roman" w:cs="Verdana"/>
      <w:b/>
      <w:kern w:val="0"/>
      <w:sz w:val="24"/>
      <w:szCs w:val="20"/>
      <w:lang w:eastAsia="en-US"/>
    </w:rPr>
  </w:style>
  <w:style w:type="character" w:styleId="39">
    <w:name w:val="FollowedHyperlink"/>
    <w:qFormat/>
    <w:uiPriority w:val="0"/>
    <w:rPr>
      <w:rFonts w:hint="eastAsia" w:ascii="宋体" w:hAnsi="宋体" w:eastAsia="宋体" w:cs="宋体"/>
      <w:b/>
      <w:color w:val="0031C1"/>
      <w:kern w:val="0"/>
      <w:sz w:val="18"/>
      <w:szCs w:val="18"/>
      <w:u w:val="none"/>
      <w:lang w:eastAsia="en-US"/>
    </w:rPr>
  </w:style>
  <w:style w:type="character" w:styleId="40">
    <w:name w:val="Emphasis"/>
    <w:qFormat/>
    <w:uiPriority w:val="0"/>
    <w:rPr>
      <w:rFonts w:ascii="Arial" w:hAnsi="Arial" w:eastAsia="Times New Roman" w:cs="Verdana"/>
      <w:b/>
      <w:kern w:val="0"/>
      <w:sz w:val="24"/>
      <w:szCs w:val="20"/>
      <w:lang w:eastAsia="en-US"/>
    </w:rPr>
  </w:style>
  <w:style w:type="character" w:styleId="41">
    <w:name w:val="HTML Definition"/>
    <w:basedOn w:val="36"/>
    <w:semiHidden/>
    <w:unhideWhenUsed/>
    <w:uiPriority w:val="99"/>
  </w:style>
  <w:style w:type="character" w:styleId="42">
    <w:name w:val="HTML Typewriter"/>
    <w:basedOn w:val="36"/>
    <w:semiHidden/>
    <w:unhideWhenUsed/>
    <w:uiPriority w:val="99"/>
    <w:rPr>
      <w:rFonts w:hint="default" w:ascii="monospace" w:hAnsi="monospace" w:eastAsia="monospace" w:cs="monospace"/>
      <w:sz w:val="20"/>
    </w:rPr>
  </w:style>
  <w:style w:type="character" w:styleId="43">
    <w:name w:val="HTML Acronym"/>
    <w:basedOn w:val="36"/>
    <w:semiHidden/>
    <w:unhideWhenUsed/>
    <w:uiPriority w:val="99"/>
  </w:style>
  <w:style w:type="character" w:styleId="44">
    <w:name w:val="HTML Variable"/>
    <w:basedOn w:val="36"/>
    <w:semiHidden/>
    <w:unhideWhenUsed/>
    <w:uiPriority w:val="99"/>
  </w:style>
  <w:style w:type="character" w:styleId="45">
    <w:name w:val="Hyperlink"/>
    <w:qFormat/>
    <w:uiPriority w:val="0"/>
    <w:rPr>
      <w:rFonts w:hint="eastAsia" w:ascii="宋体" w:hAnsi="宋体" w:eastAsia="宋体" w:cs="宋体"/>
      <w:b/>
      <w:color w:val="0031C1"/>
      <w:kern w:val="0"/>
      <w:sz w:val="18"/>
      <w:szCs w:val="18"/>
      <w:u w:val="none"/>
      <w:lang w:eastAsia="en-US"/>
    </w:rPr>
  </w:style>
  <w:style w:type="character" w:styleId="46">
    <w:name w:val="HTML Code"/>
    <w:basedOn w:val="36"/>
    <w:semiHidden/>
    <w:unhideWhenUsed/>
    <w:uiPriority w:val="99"/>
    <w:rPr>
      <w:rFonts w:ascii="monospace" w:hAnsi="monospace" w:eastAsia="monospace" w:cs="monospace"/>
      <w:sz w:val="20"/>
    </w:rPr>
  </w:style>
  <w:style w:type="character" w:styleId="47">
    <w:name w:val="annotation reference"/>
    <w:basedOn w:val="36"/>
    <w:unhideWhenUsed/>
    <w:qFormat/>
    <w:uiPriority w:val="99"/>
    <w:rPr>
      <w:sz w:val="21"/>
      <w:szCs w:val="21"/>
    </w:rPr>
  </w:style>
  <w:style w:type="character" w:styleId="48">
    <w:name w:val="HTML Cite"/>
    <w:basedOn w:val="36"/>
    <w:semiHidden/>
    <w:unhideWhenUsed/>
    <w:uiPriority w:val="99"/>
    <w:rPr>
      <w:rFonts w:ascii="ActionIcon ! important" w:hAnsi="ActionIcon ! important" w:eastAsia="ActionIcon ! important" w:cs="ActionIcon ! important"/>
      <w:sz w:val="21"/>
      <w:szCs w:val="21"/>
    </w:rPr>
  </w:style>
  <w:style w:type="character" w:styleId="49">
    <w:name w:val="HTML Keyboard"/>
    <w:basedOn w:val="36"/>
    <w:semiHidden/>
    <w:unhideWhenUsed/>
    <w:uiPriority w:val="99"/>
    <w:rPr>
      <w:rFonts w:hint="default" w:ascii="monospace" w:hAnsi="monospace" w:eastAsia="monospace" w:cs="monospace"/>
      <w:vanish/>
      <w:sz w:val="20"/>
      <w:shd w:val="clear" w:fill="FFFFFF"/>
    </w:rPr>
  </w:style>
  <w:style w:type="character" w:styleId="50">
    <w:name w:val="HTML Sample"/>
    <w:basedOn w:val="36"/>
    <w:semiHidden/>
    <w:unhideWhenUsed/>
    <w:uiPriority w:val="99"/>
    <w:rPr>
      <w:rFonts w:hint="default" w:ascii="monospace" w:hAnsi="monospace" w:eastAsia="monospace" w:cs="monospace"/>
    </w:rPr>
  </w:style>
  <w:style w:type="paragraph" w:styleId="51">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52">
    <w:name w:val="标题 2 Char"/>
    <w:basedOn w:val="36"/>
    <w:link w:val="5"/>
    <w:qFormat/>
    <w:uiPriority w:val="0"/>
    <w:rPr>
      <w:rFonts w:ascii="宋体" w:hAnsi="宋体" w:eastAsia="宋体" w:cs="Times New Roman"/>
      <w:b/>
      <w:bCs/>
      <w:kern w:val="0"/>
      <w:sz w:val="24"/>
      <w:szCs w:val="20"/>
    </w:rPr>
  </w:style>
  <w:style w:type="character" w:customStyle="1" w:styleId="53">
    <w:name w:val="页眉 Char"/>
    <w:basedOn w:val="36"/>
    <w:link w:val="24"/>
    <w:qFormat/>
    <w:uiPriority w:val="0"/>
    <w:rPr>
      <w:sz w:val="18"/>
      <w:szCs w:val="18"/>
    </w:rPr>
  </w:style>
  <w:style w:type="character" w:customStyle="1" w:styleId="54">
    <w:name w:val="页脚 Char"/>
    <w:basedOn w:val="36"/>
    <w:link w:val="23"/>
    <w:qFormat/>
    <w:uiPriority w:val="99"/>
    <w:rPr>
      <w:sz w:val="18"/>
      <w:szCs w:val="18"/>
    </w:rPr>
  </w:style>
  <w:style w:type="character" w:customStyle="1" w:styleId="55">
    <w:name w:val="标题 1 Char"/>
    <w:basedOn w:val="36"/>
    <w:link w:val="2"/>
    <w:qFormat/>
    <w:uiPriority w:val="0"/>
    <w:rPr>
      <w:rFonts w:ascii="宋体" w:hAnsi="宋体" w:eastAsia="黑体" w:cs="Times New Roman"/>
      <w:b/>
      <w:bCs/>
      <w:kern w:val="44"/>
      <w:sz w:val="28"/>
      <w:szCs w:val="44"/>
    </w:rPr>
  </w:style>
  <w:style w:type="character" w:customStyle="1" w:styleId="56">
    <w:name w:val="标题 3 Char"/>
    <w:basedOn w:val="36"/>
    <w:qFormat/>
    <w:uiPriority w:val="0"/>
    <w:rPr>
      <w:rFonts w:ascii="Times New Roman" w:hAnsi="Times New Roman" w:eastAsia="宋体" w:cs="Times New Roman"/>
      <w:b/>
      <w:bCs/>
      <w:sz w:val="32"/>
      <w:szCs w:val="32"/>
    </w:rPr>
  </w:style>
  <w:style w:type="character" w:customStyle="1" w:styleId="57">
    <w:name w:val="标题 4 Char"/>
    <w:basedOn w:val="36"/>
    <w:link w:val="4"/>
    <w:qFormat/>
    <w:uiPriority w:val="0"/>
    <w:rPr>
      <w:rFonts w:ascii="Arial" w:hAnsi="Arial" w:eastAsia="黑体" w:cs="Times New Roman"/>
      <w:b/>
      <w:bCs/>
      <w:sz w:val="28"/>
      <w:szCs w:val="28"/>
    </w:rPr>
  </w:style>
  <w:style w:type="character" w:customStyle="1" w:styleId="58">
    <w:name w:val="标题 5 Char"/>
    <w:basedOn w:val="36"/>
    <w:link w:val="6"/>
    <w:qFormat/>
    <w:uiPriority w:val="0"/>
    <w:rPr>
      <w:rFonts w:ascii="Times New Roman" w:hAnsi="Times New Roman" w:eastAsia="宋体" w:cs="Times New Roman"/>
      <w:b/>
      <w:bCs/>
      <w:sz w:val="28"/>
      <w:szCs w:val="28"/>
    </w:rPr>
  </w:style>
  <w:style w:type="character" w:customStyle="1" w:styleId="59">
    <w:name w:val="标题 6 Char"/>
    <w:basedOn w:val="36"/>
    <w:link w:val="7"/>
    <w:qFormat/>
    <w:uiPriority w:val="0"/>
    <w:rPr>
      <w:rFonts w:ascii="Arial" w:hAnsi="Arial" w:eastAsia="黑体" w:cs="Times New Roman"/>
      <w:b/>
      <w:sz w:val="24"/>
      <w:szCs w:val="20"/>
    </w:rPr>
  </w:style>
  <w:style w:type="character" w:customStyle="1" w:styleId="60">
    <w:name w:val="标题 7 Char"/>
    <w:basedOn w:val="36"/>
    <w:link w:val="9"/>
    <w:qFormat/>
    <w:uiPriority w:val="0"/>
    <w:rPr>
      <w:rFonts w:ascii="Times New Roman" w:hAnsi="Times New Roman" w:eastAsia="宋体" w:cs="Times New Roman"/>
      <w:b/>
      <w:sz w:val="24"/>
      <w:szCs w:val="20"/>
    </w:rPr>
  </w:style>
  <w:style w:type="character" w:customStyle="1" w:styleId="61">
    <w:name w:val="标题 8 Char"/>
    <w:basedOn w:val="36"/>
    <w:link w:val="10"/>
    <w:qFormat/>
    <w:uiPriority w:val="0"/>
    <w:rPr>
      <w:rFonts w:ascii="Arial" w:hAnsi="Arial" w:eastAsia="黑体" w:cs="Times New Roman"/>
      <w:sz w:val="24"/>
      <w:szCs w:val="20"/>
    </w:rPr>
  </w:style>
  <w:style w:type="character" w:customStyle="1" w:styleId="62">
    <w:name w:val="标题 9 Char"/>
    <w:basedOn w:val="36"/>
    <w:link w:val="11"/>
    <w:qFormat/>
    <w:uiPriority w:val="0"/>
    <w:rPr>
      <w:rFonts w:ascii="Arial" w:hAnsi="Arial" w:eastAsia="黑体" w:cs="Times New Roman"/>
      <w:szCs w:val="20"/>
    </w:rPr>
  </w:style>
  <w:style w:type="character" w:customStyle="1" w:styleId="63">
    <w:name w:val="active"/>
    <w:qFormat/>
    <w:uiPriority w:val="0"/>
    <w:rPr>
      <w:rFonts w:ascii="Arial" w:hAnsi="Arial" w:eastAsia="Times New Roman" w:cs="Verdana"/>
      <w:b/>
      <w:color w:val="FFFFFF"/>
      <w:kern w:val="0"/>
      <w:sz w:val="24"/>
      <w:szCs w:val="20"/>
      <w:lang w:eastAsia="en-US"/>
    </w:rPr>
  </w:style>
  <w:style w:type="character" w:customStyle="1" w:styleId="64">
    <w:name w:val="ca-3"/>
    <w:basedOn w:val="36"/>
    <w:qFormat/>
    <w:uiPriority w:val="0"/>
    <w:rPr>
      <w:rFonts w:ascii="Arial" w:hAnsi="Arial" w:eastAsia="Times New Roman" w:cs="Verdana"/>
      <w:b/>
      <w:kern w:val="0"/>
      <w:sz w:val="24"/>
      <w:szCs w:val="20"/>
      <w:lang w:eastAsia="en-US"/>
    </w:rPr>
  </w:style>
  <w:style w:type="character" w:customStyle="1" w:styleId="65">
    <w:name w:val="Char Char21"/>
    <w:qFormat/>
    <w:uiPriority w:val="0"/>
    <w:rPr>
      <w:rFonts w:hint="eastAsia" w:ascii="宋体" w:hAnsi="宋体" w:eastAsia="宋体" w:cs="宋体"/>
      <w:b/>
      <w:sz w:val="24"/>
    </w:rPr>
  </w:style>
  <w:style w:type="character" w:customStyle="1" w:styleId="66">
    <w:name w:val="Char Char14"/>
    <w:qFormat/>
    <w:uiPriority w:val="0"/>
    <w:rPr>
      <w:rFonts w:ascii="Arial" w:hAnsi="Arial" w:eastAsia="黑体" w:cs="Arial"/>
      <w:kern w:val="2"/>
      <w:sz w:val="21"/>
    </w:rPr>
  </w:style>
  <w:style w:type="character" w:customStyle="1" w:styleId="67">
    <w:name w:val="Char Char6"/>
    <w:qFormat/>
    <w:uiPriority w:val="0"/>
    <w:rPr>
      <w:rFonts w:hint="eastAsia" w:ascii="宋体" w:hAnsi="宋体" w:eastAsia="宋体" w:cs="宋体"/>
      <w:sz w:val="34"/>
    </w:rPr>
  </w:style>
  <w:style w:type="character" w:customStyle="1" w:styleId="68">
    <w:name w:val="Char Char19"/>
    <w:qFormat/>
    <w:uiPriority w:val="0"/>
    <w:rPr>
      <w:rFonts w:ascii="Arial" w:hAnsi="Arial" w:eastAsia="黑体" w:cs="Arial"/>
      <w:b/>
      <w:kern w:val="2"/>
      <w:sz w:val="28"/>
      <w:szCs w:val="28"/>
    </w:rPr>
  </w:style>
  <w:style w:type="character" w:customStyle="1" w:styleId="69">
    <w:name w:val="标题 3 Char1"/>
    <w:link w:val="3"/>
    <w:qFormat/>
    <w:locked/>
    <w:uiPriority w:val="0"/>
    <w:rPr>
      <w:rFonts w:ascii="宋体" w:hAnsi="宋体" w:eastAsia="宋体" w:cs="Times New Roman"/>
      <w:b/>
      <w:sz w:val="28"/>
      <w:szCs w:val="32"/>
    </w:rPr>
  </w:style>
  <w:style w:type="character" w:customStyle="1" w:styleId="70">
    <w:name w:val="Char Char11"/>
    <w:qFormat/>
    <w:uiPriority w:val="0"/>
    <w:rPr>
      <w:rFonts w:ascii="Arial" w:hAnsi="Arial" w:eastAsia="隶书" w:cs="Arial"/>
      <w:b/>
      <w:kern w:val="2"/>
      <w:sz w:val="32"/>
      <w:szCs w:val="32"/>
    </w:rPr>
  </w:style>
  <w:style w:type="character" w:customStyle="1" w:styleId="71">
    <w:name w:val="fielderror"/>
    <w:qFormat/>
    <w:uiPriority w:val="0"/>
    <w:rPr>
      <w:rFonts w:ascii="Arial" w:hAnsi="Arial" w:eastAsia="Times New Roman" w:cs="Verdana"/>
      <w:b/>
      <w:color w:val="800000"/>
      <w:kern w:val="0"/>
      <w:sz w:val="24"/>
      <w:szCs w:val="20"/>
      <w:lang w:eastAsia="en-US"/>
    </w:rPr>
  </w:style>
  <w:style w:type="character" w:customStyle="1" w:styleId="72">
    <w:name w:val="列出段落 Char"/>
    <w:link w:val="73"/>
    <w:qFormat/>
    <w:uiPriority w:val="0"/>
    <w:rPr>
      <w:rFonts w:ascii="Calibri" w:hAnsi="Calibri"/>
    </w:rPr>
  </w:style>
  <w:style w:type="paragraph" w:customStyle="1" w:styleId="73">
    <w:name w:val="msolistparagraph"/>
    <w:basedOn w:val="1"/>
    <w:link w:val="72"/>
    <w:qFormat/>
    <w:uiPriority w:val="0"/>
    <w:pPr>
      <w:ind w:firstLine="420" w:firstLineChars="200"/>
    </w:pPr>
    <w:rPr>
      <w:rFonts w:ascii="Calibri" w:hAnsi="Calibri" w:eastAsiaTheme="minorEastAsia" w:cstheme="minorBidi"/>
      <w:szCs w:val="22"/>
    </w:rPr>
  </w:style>
  <w:style w:type="character" w:customStyle="1" w:styleId="74">
    <w:name w:val="标准正文 Char"/>
    <w:link w:val="75"/>
    <w:qFormat/>
    <w:uiPriority w:val="0"/>
    <w:rPr>
      <w:rFonts w:ascii="宋体" w:hAnsi="宋体"/>
      <w:lang w:val="zh-CN"/>
    </w:rPr>
  </w:style>
  <w:style w:type="paragraph" w:customStyle="1" w:styleId="75">
    <w:name w:val="标准正文"/>
    <w:basedOn w:val="1"/>
    <w:link w:val="74"/>
    <w:qFormat/>
    <w:uiPriority w:val="0"/>
    <w:pPr>
      <w:tabs>
        <w:tab w:val="left" w:pos="0"/>
        <w:tab w:val="left" w:pos="360"/>
      </w:tabs>
      <w:autoSpaceDE w:val="0"/>
      <w:autoSpaceDN w:val="0"/>
      <w:adjustRightInd w:val="0"/>
      <w:jc w:val="left"/>
    </w:pPr>
    <w:rPr>
      <w:rFonts w:ascii="宋体" w:hAnsi="宋体" w:eastAsiaTheme="minorEastAsia" w:cstheme="minorBidi"/>
      <w:szCs w:val="22"/>
      <w:lang w:val="zh-CN"/>
    </w:rPr>
  </w:style>
  <w:style w:type="character" w:customStyle="1" w:styleId="76">
    <w:name w:val="正文首行缩进 2 Char"/>
    <w:basedOn w:val="77"/>
    <w:qFormat/>
    <w:uiPriority w:val="0"/>
    <w:rPr>
      <w:rFonts w:ascii="Arial" w:hAnsi="Arial" w:eastAsia="Times New Roman" w:cs="Verdana"/>
      <w:kern w:val="2"/>
      <w:sz w:val="21"/>
      <w:szCs w:val="24"/>
      <w:lang w:eastAsia="en-US"/>
    </w:rPr>
  </w:style>
  <w:style w:type="character" w:customStyle="1" w:styleId="77">
    <w:name w:val="正文文本缩进 Char1"/>
    <w:qFormat/>
    <w:uiPriority w:val="0"/>
    <w:rPr>
      <w:rFonts w:ascii="Arial" w:hAnsi="Arial" w:eastAsia="Times New Roman" w:cs="Verdana"/>
      <w:b/>
      <w:kern w:val="2"/>
      <w:sz w:val="21"/>
      <w:szCs w:val="24"/>
      <w:lang w:eastAsia="en-US"/>
    </w:rPr>
  </w:style>
  <w:style w:type="character" w:customStyle="1" w:styleId="78">
    <w:name w:val="正文文本 2 Char"/>
    <w:link w:val="28"/>
    <w:qFormat/>
    <w:locked/>
    <w:uiPriority w:val="0"/>
    <w:rPr>
      <w:rFonts w:ascii="宋体" w:hAnsi="宋体"/>
      <w:sz w:val="24"/>
      <w:szCs w:val="24"/>
    </w:rPr>
  </w:style>
  <w:style w:type="character" w:customStyle="1" w:styleId="79">
    <w:name w:val="ca-4"/>
    <w:basedOn w:val="36"/>
    <w:qFormat/>
    <w:uiPriority w:val="0"/>
    <w:rPr>
      <w:rFonts w:ascii="Arial" w:hAnsi="Arial" w:eastAsia="Times New Roman" w:cs="Verdana"/>
      <w:b/>
      <w:kern w:val="0"/>
      <w:sz w:val="24"/>
      <w:szCs w:val="20"/>
      <w:lang w:eastAsia="en-US"/>
    </w:rPr>
  </w:style>
  <w:style w:type="character" w:customStyle="1" w:styleId="80">
    <w:name w:val="正文文本缩进 3 Char"/>
    <w:link w:val="26"/>
    <w:qFormat/>
    <w:locked/>
    <w:uiPriority w:val="0"/>
    <w:rPr>
      <w:rFonts w:ascii="宋体" w:hAnsi="宋体"/>
      <w:b/>
      <w:bCs/>
      <w:sz w:val="24"/>
      <w:szCs w:val="24"/>
    </w:rPr>
  </w:style>
  <w:style w:type="character" w:customStyle="1" w:styleId="81">
    <w:name w:val="文档结构图 Char"/>
    <w:link w:val="13"/>
    <w:semiHidden/>
    <w:qFormat/>
    <w:locked/>
    <w:uiPriority w:val="0"/>
    <w:rPr>
      <w:szCs w:val="24"/>
      <w:shd w:val="clear" w:color="auto" w:fill="000080"/>
    </w:rPr>
  </w:style>
  <w:style w:type="character" w:customStyle="1" w:styleId="82">
    <w:name w:val="正文文本 2 Char1"/>
    <w:qFormat/>
    <w:uiPriority w:val="0"/>
    <w:rPr>
      <w:rFonts w:ascii="Arial" w:hAnsi="Arial" w:eastAsia="Times New Roman" w:cs="Verdana"/>
      <w:b/>
      <w:kern w:val="2"/>
      <w:sz w:val="21"/>
      <w:szCs w:val="24"/>
      <w:lang w:eastAsia="en-US"/>
    </w:rPr>
  </w:style>
  <w:style w:type="character" w:customStyle="1" w:styleId="83">
    <w:name w:val="Char Char9"/>
    <w:qFormat/>
    <w:uiPriority w:val="0"/>
    <w:rPr>
      <w:rFonts w:hint="eastAsia" w:ascii="宋体" w:hAnsi="宋体" w:eastAsia="宋体" w:cs="宋体"/>
      <w:b/>
      <w:kern w:val="2"/>
      <w:sz w:val="21"/>
      <w:szCs w:val="24"/>
    </w:rPr>
  </w:style>
  <w:style w:type="character" w:customStyle="1" w:styleId="84">
    <w:name w:val="正文缩进 Char"/>
    <w:link w:val="8"/>
    <w:qFormat/>
    <w:locked/>
    <w:uiPriority w:val="0"/>
  </w:style>
  <w:style w:type="character" w:customStyle="1" w:styleId="85">
    <w:name w:val="批注主题 Char"/>
    <w:link w:val="32"/>
    <w:qFormat/>
    <w:uiPriority w:val="0"/>
    <w:rPr>
      <w:rFonts w:ascii="宋体" w:hAnsi="Arial" w:eastAsia="宋体" w:cs="Verdana"/>
      <w:b/>
      <w:bCs/>
      <w:szCs w:val="24"/>
    </w:rPr>
  </w:style>
  <w:style w:type="character" w:customStyle="1" w:styleId="86">
    <w:name w:val="Char Char15"/>
    <w:qFormat/>
    <w:uiPriority w:val="0"/>
    <w:rPr>
      <w:rFonts w:ascii="Arial" w:hAnsi="Arial" w:eastAsia="黑体" w:cs="Arial"/>
      <w:kern w:val="2"/>
      <w:sz w:val="24"/>
    </w:rPr>
  </w:style>
  <w:style w:type="character" w:customStyle="1" w:styleId="87">
    <w:name w:val="纯文本 Char1"/>
    <w:link w:val="19"/>
    <w:qFormat/>
    <w:locked/>
    <w:uiPriority w:val="0"/>
    <w:rPr>
      <w:rFonts w:ascii="宋体" w:hAnsi="Courier New"/>
    </w:rPr>
  </w:style>
  <w:style w:type="character" w:customStyle="1" w:styleId="88">
    <w:name w:val="Char Char7"/>
    <w:qFormat/>
    <w:uiPriority w:val="0"/>
    <w:rPr>
      <w:kern w:val="2"/>
      <w:sz w:val="24"/>
      <w:szCs w:val="24"/>
    </w:rPr>
  </w:style>
  <w:style w:type="character" w:customStyle="1" w:styleId="89">
    <w:name w:val="批注框文本 Char"/>
    <w:link w:val="22"/>
    <w:qFormat/>
    <w:uiPriority w:val="0"/>
    <w:rPr>
      <w:rFonts w:ascii="Arial" w:hAnsi="Arial" w:eastAsia="Times New Roman" w:cs="Verdana"/>
      <w:b/>
      <w:sz w:val="18"/>
      <w:szCs w:val="18"/>
      <w:lang w:eastAsia="en-US"/>
    </w:rPr>
  </w:style>
  <w:style w:type="character" w:customStyle="1" w:styleId="90">
    <w:name w:val="Char Char8"/>
    <w:qFormat/>
    <w:uiPriority w:val="0"/>
    <w:rPr>
      <w:rFonts w:hint="eastAsia" w:ascii="Arial Unicode MS" w:hAnsi="Arial Unicode MS" w:eastAsia="Arial Unicode MS" w:cs="Arial Unicode MS"/>
      <w:color w:val="000000"/>
    </w:rPr>
  </w:style>
  <w:style w:type="character" w:customStyle="1" w:styleId="91">
    <w:name w:val="Char Char4"/>
    <w:qFormat/>
    <w:uiPriority w:val="0"/>
    <w:rPr>
      <w:rFonts w:hint="eastAsia" w:ascii="宋体" w:hAnsi="宋体" w:eastAsia="宋体" w:cs="宋体"/>
      <w:b/>
      <w:kern w:val="2"/>
      <w:sz w:val="24"/>
      <w:szCs w:val="24"/>
    </w:rPr>
  </w:style>
  <w:style w:type="character" w:customStyle="1" w:styleId="92">
    <w:name w:val="font31"/>
    <w:qFormat/>
    <w:uiPriority w:val="0"/>
    <w:rPr>
      <w:rFonts w:hint="eastAsia" w:ascii="宋体" w:hAnsi="宋体" w:eastAsia="宋体" w:cs="宋体"/>
      <w:color w:val="000000"/>
      <w:sz w:val="21"/>
      <w:szCs w:val="21"/>
      <w:u w:val="none"/>
    </w:rPr>
  </w:style>
  <w:style w:type="character" w:customStyle="1" w:styleId="93">
    <w:name w:val="正文首行缩进 2 Char1"/>
    <w:link w:val="33"/>
    <w:qFormat/>
    <w:uiPriority w:val="0"/>
    <w:rPr>
      <w:szCs w:val="24"/>
    </w:rPr>
  </w:style>
  <w:style w:type="character" w:customStyle="1" w:styleId="94">
    <w:name w:val="正文文本 Char"/>
    <w:qFormat/>
    <w:uiPriority w:val="0"/>
    <w:rPr>
      <w:rFonts w:ascii="Arial" w:hAnsi="Arial" w:eastAsia="Times New Roman" w:cs="Verdana"/>
      <w:b/>
      <w:kern w:val="2"/>
      <w:sz w:val="21"/>
      <w:szCs w:val="24"/>
      <w:lang w:eastAsia="en-US"/>
    </w:rPr>
  </w:style>
  <w:style w:type="character" w:customStyle="1" w:styleId="95">
    <w:name w:val="正文文本缩进 3 Char1"/>
    <w:qFormat/>
    <w:uiPriority w:val="0"/>
    <w:rPr>
      <w:rFonts w:ascii="Arial" w:hAnsi="Arial" w:eastAsia="Times New Roman" w:cs="Verdana"/>
      <w:b/>
      <w:kern w:val="2"/>
      <w:sz w:val="16"/>
      <w:szCs w:val="16"/>
      <w:lang w:eastAsia="en-US"/>
    </w:rPr>
  </w:style>
  <w:style w:type="character" w:customStyle="1" w:styleId="96">
    <w:name w:val="正文文本缩进 2 Char"/>
    <w:link w:val="21"/>
    <w:qFormat/>
    <w:locked/>
    <w:uiPriority w:val="0"/>
    <w:rPr>
      <w:rFonts w:ascii="宋体" w:hAnsi="宋体"/>
      <w:szCs w:val="24"/>
    </w:rPr>
  </w:style>
  <w:style w:type="character" w:customStyle="1" w:styleId="97">
    <w:name w:val="Char Char17"/>
    <w:qFormat/>
    <w:uiPriority w:val="0"/>
    <w:rPr>
      <w:rFonts w:ascii="Arial" w:hAnsi="Arial" w:eastAsia="黑体" w:cs="Arial"/>
      <w:b/>
      <w:kern w:val="2"/>
      <w:sz w:val="24"/>
    </w:rPr>
  </w:style>
  <w:style w:type="character" w:customStyle="1" w:styleId="98">
    <w:name w:val="正文文本缩进 Char"/>
    <w:qFormat/>
    <w:locked/>
    <w:uiPriority w:val="0"/>
    <w:rPr>
      <w:rFonts w:ascii="宋体" w:hAnsi="宋体"/>
      <w:kern w:val="2"/>
      <w:sz w:val="21"/>
      <w:szCs w:val="24"/>
    </w:rPr>
  </w:style>
  <w:style w:type="character" w:customStyle="1" w:styleId="99">
    <w:name w:val="正文文本缩进 2 Char1"/>
    <w:qFormat/>
    <w:uiPriority w:val="0"/>
    <w:rPr>
      <w:rFonts w:ascii="Arial" w:hAnsi="Arial" w:eastAsia="Times New Roman" w:cs="Verdana"/>
      <w:b/>
      <w:kern w:val="2"/>
      <w:sz w:val="21"/>
      <w:szCs w:val="24"/>
      <w:lang w:eastAsia="en-US"/>
    </w:rPr>
  </w:style>
  <w:style w:type="character" w:customStyle="1" w:styleId="100">
    <w:name w:val="font11"/>
    <w:qFormat/>
    <w:uiPriority w:val="0"/>
    <w:rPr>
      <w:rFonts w:hint="eastAsia" w:ascii="宋体" w:hAnsi="宋体" w:eastAsia="宋体" w:cs="宋体"/>
      <w:color w:val="0000FF"/>
      <w:sz w:val="21"/>
      <w:szCs w:val="21"/>
      <w:u w:val="none"/>
    </w:rPr>
  </w:style>
  <w:style w:type="character" w:customStyle="1" w:styleId="101">
    <w:name w:val="页眉 Char1"/>
    <w:qFormat/>
    <w:uiPriority w:val="0"/>
    <w:rPr>
      <w:rFonts w:ascii="Arial" w:hAnsi="Arial" w:eastAsia="Times New Roman" w:cs="Verdana"/>
      <w:b/>
      <w:kern w:val="2"/>
      <w:sz w:val="18"/>
      <w:szCs w:val="18"/>
      <w:lang w:eastAsia="en-US"/>
    </w:rPr>
  </w:style>
  <w:style w:type="character" w:customStyle="1" w:styleId="102">
    <w:name w:val="font51"/>
    <w:qFormat/>
    <w:uiPriority w:val="0"/>
    <w:rPr>
      <w:rFonts w:hint="eastAsia" w:ascii="宋体" w:hAnsi="宋体" w:eastAsia="宋体" w:cs="宋体"/>
      <w:color w:val="000000"/>
      <w:sz w:val="21"/>
      <w:szCs w:val="21"/>
      <w:u w:val="none"/>
    </w:rPr>
  </w:style>
  <w:style w:type="character" w:customStyle="1" w:styleId="103">
    <w:name w:val="Char Char18"/>
    <w:qFormat/>
    <w:uiPriority w:val="0"/>
    <w:rPr>
      <w:b/>
      <w:kern w:val="2"/>
      <w:sz w:val="28"/>
    </w:rPr>
  </w:style>
  <w:style w:type="character" w:customStyle="1" w:styleId="104">
    <w:name w:val="HTML 预设格式 Char"/>
    <w:link w:val="29"/>
    <w:qFormat/>
    <w:locked/>
    <w:uiPriority w:val="0"/>
    <w:rPr>
      <w:rFonts w:ascii="Arial Unicode MS" w:hAnsi="Arial Unicode MS" w:eastAsia="Arial Unicode MS"/>
      <w:color w:val="000000"/>
    </w:rPr>
  </w:style>
  <w:style w:type="character" w:customStyle="1" w:styleId="105">
    <w:name w:val="Char Char12"/>
    <w:qFormat/>
    <w:uiPriority w:val="0"/>
    <w:rPr>
      <w:kern w:val="2"/>
      <w:sz w:val="16"/>
      <w:szCs w:val="16"/>
    </w:rPr>
  </w:style>
  <w:style w:type="character" w:customStyle="1" w:styleId="106">
    <w:name w:val="Char Char13"/>
    <w:qFormat/>
    <w:uiPriority w:val="0"/>
    <w:rPr>
      <w:rFonts w:hint="eastAsia" w:ascii="宋体" w:hAnsi="宋体" w:eastAsia="宋体" w:cs="宋体"/>
      <w:kern w:val="2"/>
      <w:sz w:val="21"/>
      <w:szCs w:val="24"/>
    </w:rPr>
  </w:style>
  <w:style w:type="character" w:customStyle="1" w:styleId="107">
    <w:name w:val="日期 Char"/>
    <w:link w:val="20"/>
    <w:qFormat/>
    <w:locked/>
    <w:uiPriority w:val="0"/>
    <w:rPr>
      <w:rFonts w:ascii="宋体" w:hAnsi="Courier New"/>
      <w:sz w:val="32"/>
    </w:rPr>
  </w:style>
  <w:style w:type="character" w:customStyle="1" w:styleId="108">
    <w:name w:val="active6"/>
    <w:qFormat/>
    <w:uiPriority w:val="0"/>
    <w:rPr>
      <w:rFonts w:ascii="Arial" w:hAnsi="Arial" w:eastAsia="Times New Roman" w:cs="Verdana"/>
      <w:b/>
      <w:color w:val="FFFFFF"/>
      <w:kern w:val="0"/>
      <w:sz w:val="24"/>
      <w:szCs w:val="20"/>
      <w:lang w:eastAsia="en-US"/>
    </w:rPr>
  </w:style>
  <w:style w:type="character" w:customStyle="1" w:styleId="109">
    <w:name w:val="批注文字 Char"/>
    <w:qFormat/>
    <w:uiPriority w:val="99"/>
    <w:rPr>
      <w:rFonts w:ascii="宋体" w:hAnsi="Arial" w:eastAsia="宋体" w:cs="Verdana"/>
      <w:b/>
      <w:kern w:val="0"/>
      <w:sz w:val="34"/>
      <w:szCs w:val="20"/>
      <w:lang w:val="en-US" w:eastAsia="zh-CN" w:bidi="ar-SA"/>
    </w:rPr>
  </w:style>
  <w:style w:type="character" w:customStyle="1" w:styleId="110">
    <w:name w:val="search_content1"/>
    <w:qFormat/>
    <w:uiPriority w:val="0"/>
    <w:rPr>
      <w:rFonts w:ascii="Arial" w:hAnsi="Arial" w:eastAsia="Times New Roman" w:cs="Verdana"/>
      <w:b/>
      <w:kern w:val="0"/>
      <w:sz w:val="18"/>
      <w:szCs w:val="20"/>
      <w:lang w:eastAsia="en-US"/>
    </w:rPr>
  </w:style>
  <w:style w:type="character" w:customStyle="1" w:styleId="111">
    <w:name w:val="HTML 预设格式 Char1"/>
    <w:qFormat/>
    <w:uiPriority w:val="0"/>
    <w:rPr>
      <w:rFonts w:ascii="Courier New" w:hAnsi="Courier New" w:eastAsia="Times New Roman" w:cs="Courier New"/>
      <w:b/>
      <w:kern w:val="2"/>
      <w:sz w:val="24"/>
      <w:szCs w:val="20"/>
      <w:lang w:eastAsia="en-US"/>
    </w:rPr>
  </w:style>
  <w:style w:type="character" w:customStyle="1" w:styleId="112">
    <w:name w:val="hilite6"/>
    <w:qFormat/>
    <w:uiPriority w:val="0"/>
    <w:rPr>
      <w:rFonts w:ascii="Arial" w:hAnsi="Arial" w:eastAsia="Times New Roman" w:cs="Verdana"/>
      <w:b/>
      <w:color w:val="000000"/>
      <w:kern w:val="0"/>
      <w:sz w:val="24"/>
      <w:szCs w:val="20"/>
      <w:lang w:eastAsia="en-US"/>
    </w:rPr>
  </w:style>
  <w:style w:type="character" w:customStyle="1" w:styleId="113">
    <w:name w:val="标题 Char"/>
    <w:link w:val="31"/>
    <w:qFormat/>
    <w:locked/>
    <w:uiPriority w:val="0"/>
    <w:rPr>
      <w:rFonts w:ascii="Arial" w:hAnsi="Arial" w:eastAsia="隶书" w:cs="Arial"/>
      <w:b/>
      <w:bCs/>
      <w:sz w:val="32"/>
      <w:szCs w:val="32"/>
    </w:rPr>
  </w:style>
  <w:style w:type="character" w:customStyle="1" w:styleId="114">
    <w:name w:val="hilite"/>
    <w:qFormat/>
    <w:uiPriority w:val="0"/>
    <w:rPr>
      <w:rFonts w:ascii="Arial" w:hAnsi="Arial" w:eastAsia="Times New Roman" w:cs="Verdana"/>
      <w:b/>
      <w:color w:val="000000"/>
      <w:kern w:val="0"/>
      <w:sz w:val="24"/>
      <w:szCs w:val="20"/>
      <w:lang w:eastAsia="en-US"/>
    </w:rPr>
  </w:style>
  <w:style w:type="character" w:customStyle="1" w:styleId="115">
    <w:name w:val="正文文本 3 Char"/>
    <w:link w:val="15"/>
    <w:qFormat/>
    <w:locked/>
    <w:uiPriority w:val="0"/>
    <w:rPr>
      <w:rFonts w:ascii="宋体" w:hAnsi="宋体"/>
      <w:sz w:val="16"/>
      <w:szCs w:val="16"/>
    </w:rPr>
  </w:style>
  <w:style w:type="character" w:customStyle="1" w:styleId="116">
    <w:name w:val="Char Char16"/>
    <w:qFormat/>
    <w:uiPriority w:val="0"/>
    <w:rPr>
      <w:b/>
      <w:kern w:val="2"/>
      <w:sz w:val="24"/>
    </w:rPr>
  </w:style>
  <w:style w:type="character" w:customStyle="1" w:styleId="117">
    <w:name w:val="h Char Char"/>
    <w:qFormat/>
    <w:locked/>
    <w:uiPriority w:val="0"/>
    <w:rPr>
      <w:rFonts w:eastAsia="宋体"/>
      <w:kern w:val="2"/>
      <w:sz w:val="18"/>
      <w:lang w:val="en-US" w:eastAsia="zh-CN" w:bidi="ar-SA"/>
    </w:rPr>
  </w:style>
  <w:style w:type="character" w:customStyle="1" w:styleId="118">
    <w:name w:val="标题 Char1"/>
    <w:qFormat/>
    <w:uiPriority w:val="0"/>
    <w:rPr>
      <w:rFonts w:ascii="Cambria" w:hAnsi="Cambria" w:eastAsia="Times New Roman" w:cs="Times New Roman"/>
      <w:b/>
      <w:bCs/>
      <w:kern w:val="2"/>
      <w:sz w:val="32"/>
      <w:szCs w:val="32"/>
      <w:lang w:eastAsia="en-US"/>
    </w:rPr>
  </w:style>
  <w:style w:type="character" w:customStyle="1" w:styleId="119">
    <w:name w:val="正文文本 Char1"/>
    <w:link w:val="16"/>
    <w:qFormat/>
    <w:locked/>
    <w:uiPriority w:val="0"/>
    <w:rPr>
      <w:rFonts w:ascii="宋体" w:hAnsi="宋体"/>
      <w:b/>
      <w:bCs/>
      <w:sz w:val="24"/>
      <w:szCs w:val="24"/>
    </w:rPr>
  </w:style>
  <w:style w:type="character" w:customStyle="1" w:styleId="120">
    <w:name w:val="title_emph"/>
    <w:basedOn w:val="36"/>
    <w:qFormat/>
    <w:uiPriority w:val="0"/>
    <w:rPr>
      <w:rFonts w:ascii="Arial" w:hAnsi="Arial" w:eastAsia="Times New Roman" w:cs="Verdana"/>
      <w:b/>
      <w:kern w:val="0"/>
      <w:sz w:val="24"/>
      <w:szCs w:val="20"/>
      <w:lang w:eastAsia="en-US"/>
    </w:rPr>
  </w:style>
  <w:style w:type="character" w:customStyle="1" w:styleId="121">
    <w:name w:val="正文文本 3 Char1"/>
    <w:qFormat/>
    <w:uiPriority w:val="0"/>
    <w:rPr>
      <w:rFonts w:ascii="Arial" w:hAnsi="Arial" w:eastAsia="Times New Roman" w:cs="Verdana"/>
      <w:b/>
      <w:kern w:val="2"/>
      <w:sz w:val="16"/>
      <w:szCs w:val="16"/>
      <w:lang w:eastAsia="en-US"/>
    </w:rPr>
  </w:style>
  <w:style w:type="character" w:customStyle="1" w:styleId="122">
    <w:name w:val="Char Char20"/>
    <w:qFormat/>
    <w:uiPriority w:val="0"/>
    <w:rPr>
      <w:rFonts w:hint="eastAsia" w:ascii="宋体" w:hAnsi="宋体" w:eastAsia="宋体" w:cs="宋体"/>
      <w:b/>
      <w:kern w:val="2"/>
      <w:sz w:val="28"/>
      <w:szCs w:val="32"/>
    </w:rPr>
  </w:style>
  <w:style w:type="character" w:customStyle="1" w:styleId="123">
    <w:name w:val="纯文本 Char"/>
    <w:qFormat/>
    <w:uiPriority w:val="0"/>
    <w:rPr>
      <w:rFonts w:ascii="宋体" w:hAnsi="Courier New" w:eastAsia="Times New Roman" w:cs="Courier New"/>
      <w:b/>
      <w:kern w:val="2"/>
      <w:sz w:val="21"/>
      <w:szCs w:val="21"/>
      <w:lang w:eastAsia="en-US"/>
    </w:rPr>
  </w:style>
  <w:style w:type="character" w:customStyle="1" w:styleId="124">
    <w:name w:val="font21"/>
    <w:qFormat/>
    <w:uiPriority w:val="0"/>
    <w:rPr>
      <w:rFonts w:hint="default" w:ascii="Times New Roman" w:hAnsi="Times New Roman" w:cs="Times New Roman"/>
      <w:color w:val="000000"/>
      <w:sz w:val="21"/>
      <w:szCs w:val="21"/>
      <w:u w:val="none"/>
    </w:rPr>
  </w:style>
  <w:style w:type="character" w:customStyle="1" w:styleId="125">
    <w:name w:val="Char Char5"/>
    <w:qFormat/>
    <w:uiPriority w:val="0"/>
    <w:rPr>
      <w:kern w:val="2"/>
      <w:sz w:val="18"/>
      <w:szCs w:val="18"/>
    </w:rPr>
  </w:style>
  <w:style w:type="character" w:customStyle="1" w:styleId="126">
    <w:name w:val="apple-converted-space"/>
    <w:basedOn w:val="36"/>
    <w:qFormat/>
    <w:uiPriority w:val="0"/>
    <w:rPr>
      <w:rFonts w:ascii="Arial" w:hAnsi="Arial" w:eastAsia="Times New Roman" w:cs="Verdana"/>
      <w:b/>
      <w:kern w:val="0"/>
      <w:sz w:val="24"/>
      <w:szCs w:val="20"/>
      <w:lang w:eastAsia="en-US"/>
    </w:rPr>
  </w:style>
  <w:style w:type="character" w:customStyle="1" w:styleId="127">
    <w:name w:val="font61"/>
    <w:qFormat/>
    <w:uiPriority w:val="0"/>
    <w:rPr>
      <w:rFonts w:hint="default" w:ascii="Times New Roman" w:hAnsi="Times New Roman" w:cs="Times New Roman"/>
      <w:color w:val="000000"/>
      <w:sz w:val="21"/>
      <w:szCs w:val="21"/>
      <w:u w:val="none"/>
    </w:rPr>
  </w:style>
  <w:style w:type="paragraph" w:customStyle="1" w:styleId="128">
    <w:name w:val="Table Contents"/>
    <w:basedOn w:val="1"/>
    <w:qFormat/>
    <w:uiPriority w:val="0"/>
    <w:pPr>
      <w:suppressAutoHyphens/>
      <w:autoSpaceDE w:val="0"/>
      <w:spacing w:after="120"/>
      <w:jc w:val="left"/>
    </w:pPr>
    <w:rPr>
      <w:rFonts w:ascii="Helvetica" w:hAnsi="Helvetica"/>
      <w:sz w:val="20"/>
      <w:szCs w:val="20"/>
    </w:rPr>
  </w:style>
  <w:style w:type="character" w:customStyle="1" w:styleId="129">
    <w:name w:val="文档结构图 Char1"/>
    <w:basedOn w:val="36"/>
    <w:semiHidden/>
    <w:qFormat/>
    <w:uiPriority w:val="99"/>
    <w:rPr>
      <w:rFonts w:ascii="宋体" w:hAnsi="Times New Roman" w:eastAsia="宋体" w:cs="Times New Roman"/>
      <w:sz w:val="18"/>
      <w:szCs w:val="18"/>
    </w:rPr>
  </w:style>
  <w:style w:type="paragraph" w:customStyle="1" w:styleId="130">
    <w:name w:val="文档正文"/>
    <w:basedOn w:val="1"/>
    <w:qFormat/>
    <w:uiPriority w:val="0"/>
    <w:pPr>
      <w:adjustRightInd w:val="0"/>
      <w:spacing w:line="480" w:lineRule="atLeast"/>
      <w:ind w:firstLine="567" w:firstLineChars="200"/>
    </w:pPr>
    <w:rPr>
      <w:rFonts w:ascii="长城仿宋"/>
      <w:kern w:val="0"/>
      <w:szCs w:val="20"/>
    </w:rPr>
  </w:style>
  <w:style w:type="character" w:customStyle="1" w:styleId="131">
    <w:name w:val="HTML 预设格式 Char2"/>
    <w:basedOn w:val="36"/>
    <w:semiHidden/>
    <w:qFormat/>
    <w:uiPriority w:val="99"/>
    <w:rPr>
      <w:rFonts w:ascii="Courier New" w:hAnsi="Courier New" w:eastAsia="宋体" w:cs="Courier New"/>
      <w:sz w:val="20"/>
      <w:szCs w:val="20"/>
    </w:rPr>
  </w:style>
  <w:style w:type="character" w:customStyle="1" w:styleId="132">
    <w:name w:val="正文文本 2 Char2"/>
    <w:basedOn w:val="36"/>
    <w:semiHidden/>
    <w:qFormat/>
    <w:uiPriority w:val="99"/>
    <w:rPr>
      <w:rFonts w:ascii="Times New Roman" w:hAnsi="Times New Roman" w:eastAsia="宋体" w:cs="Times New Roman"/>
      <w:szCs w:val="24"/>
    </w:rPr>
  </w:style>
  <w:style w:type="paragraph" w:customStyle="1" w:styleId="133">
    <w:name w:val="自定义正文"/>
    <w:basedOn w:val="1"/>
    <w:qFormat/>
    <w:uiPriority w:val="0"/>
    <w:pPr>
      <w:spacing w:afterLines="50"/>
      <w:ind w:left="600" w:leftChars="600"/>
    </w:pPr>
  </w:style>
  <w:style w:type="paragraph" w:customStyle="1" w:styleId="134">
    <w:name w:val="z-窗体底端1"/>
    <w:basedOn w:val="1"/>
    <w:next w:val="1"/>
    <w:link w:val="135"/>
    <w:qFormat/>
    <w:uiPriority w:val="0"/>
    <w:pPr>
      <w:pBdr>
        <w:top w:val="single" w:color="auto" w:sz="6" w:space="1"/>
      </w:pBdr>
      <w:jc w:val="center"/>
    </w:pPr>
    <w:rPr>
      <w:rFonts w:ascii="Arial"/>
      <w:vanish/>
      <w:sz w:val="16"/>
    </w:rPr>
  </w:style>
  <w:style w:type="character" w:customStyle="1" w:styleId="135">
    <w:name w:val="z-窗体底端 Char"/>
    <w:basedOn w:val="36"/>
    <w:link w:val="134"/>
    <w:qFormat/>
    <w:uiPriority w:val="0"/>
    <w:rPr>
      <w:rFonts w:ascii="Arial" w:hAnsi="Times New Roman" w:eastAsia="宋体" w:cs="Times New Roman"/>
      <w:vanish/>
      <w:sz w:val="16"/>
      <w:szCs w:val="24"/>
    </w:rPr>
  </w:style>
  <w:style w:type="paragraph" w:customStyle="1" w:styleId="136">
    <w:name w:val="列出段落1"/>
    <w:basedOn w:val="1"/>
    <w:qFormat/>
    <w:uiPriority w:val="34"/>
    <w:pPr>
      <w:ind w:firstLine="420" w:firstLineChars="200"/>
    </w:pPr>
  </w:style>
  <w:style w:type="paragraph" w:customStyle="1" w:styleId="137">
    <w:name w:val="正文段落"/>
    <w:basedOn w:val="1"/>
    <w:qFormat/>
    <w:uiPriority w:val="0"/>
    <w:pPr>
      <w:spacing w:line="360" w:lineRule="auto"/>
      <w:ind w:firstLine="440" w:firstLineChars="200"/>
    </w:pPr>
    <w:rPr>
      <w:rFonts w:ascii="宋体" w:hAnsi="宋体" w:cs="宋体"/>
      <w:kern w:val="0"/>
      <w:szCs w:val="20"/>
    </w:rPr>
  </w:style>
  <w:style w:type="paragraph" w:customStyle="1" w:styleId="138">
    <w:name w:val="Char Char Char2 Char"/>
    <w:basedOn w:val="1"/>
    <w:qFormat/>
    <w:uiPriority w:val="0"/>
    <w:pPr>
      <w:widowControl/>
      <w:spacing w:after="160" w:line="240" w:lineRule="exact"/>
      <w:jc w:val="left"/>
    </w:pPr>
    <w:rPr>
      <w:rFonts w:ascii="Verdana" w:hAnsi="Verdana"/>
      <w:kern w:val="0"/>
      <w:szCs w:val="20"/>
      <w:lang w:eastAsia="en-US"/>
    </w:rPr>
  </w:style>
  <w:style w:type="paragraph" w:customStyle="1" w:styleId="139">
    <w:name w:val="Char Char"/>
    <w:basedOn w:val="1"/>
    <w:qFormat/>
    <w:uiPriority w:val="0"/>
    <w:rPr>
      <w:rFonts w:ascii="Tahoma" w:hAnsi="Tahoma"/>
      <w:sz w:val="24"/>
      <w:szCs w:val="20"/>
    </w:rPr>
  </w:style>
  <w:style w:type="paragraph" w:customStyle="1" w:styleId="140">
    <w:name w:val="样式41"/>
    <w:basedOn w:val="1"/>
    <w:qFormat/>
    <w:uiPriority w:val="0"/>
    <w:pPr>
      <w:tabs>
        <w:tab w:val="left" w:pos="420"/>
        <w:tab w:val="left" w:pos="945"/>
      </w:tabs>
      <w:spacing w:line="360" w:lineRule="auto"/>
      <w:ind w:hanging="420"/>
    </w:pPr>
    <w:rPr>
      <w:b/>
      <w:color w:val="000000"/>
      <w:sz w:val="24"/>
      <w:szCs w:val="20"/>
    </w:rPr>
  </w:style>
  <w:style w:type="paragraph" w:customStyle="1" w:styleId="141">
    <w:name w:val="Char Char Char2 Char1"/>
    <w:basedOn w:val="1"/>
    <w:qFormat/>
    <w:uiPriority w:val="0"/>
    <w:pPr>
      <w:widowControl/>
      <w:spacing w:after="160" w:line="240" w:lineRule="exact"/>
      <w:jc w:val="left"/>
    </w:pPr>
    <w:rPr>
      <w:rFonts w:ascii="Verdana" w:hAnsi="Verdana"/>
      <w:kern w:val="0"/>
      <w:szCs w:val="20"/>
      <w:lang w:eastAsia="en-US"/>
    </w:rPr>
  </w:style>
  <w:style w:type="paragraph" w:styleId="142">
    <w:name w:val="List Paragraph"/>
    <w:basedOn w:val="1"/>
    <w:qFormat/>
    <w:uiPriority w:val="0"/>
    <w:pPr>
      <w:ind w:firstLine="420" w:firstLineChars="200"/>
    </w:pPr>
    <w:rPr>
      <w:rFonts w:ascii="Calibri" w:hAnsi="Calibri"/>
      <w:szCs w:val="22"/>
    </w:rPr>
  </w:style>
  <w:style w:type="paragraph" w:customStyle="1" w:styleId="143">
    <w:name w:val="无间隔1"/>
    <w:qFormat/>
    <w:uiPriority w:val="0"/>
    <w:pPr>
      <w:adjustRightInd w:val="0"/>
      <w:snapToGrid w:val="0"/>
    </w:pPr>
    <w:rPr>
      <w:rFonts w:ascii="Tahoma" w:hAnsi="Tahoma" w:eastAsia="微软雅黑" w:cs="Tahoma"/>
      <w:sz w:val="22"/>
      <w:szCs w:val="22"/>
      <w:lang w:val="en-US" w:eastAsia="zh-CN" w:bidi="ar-SA"/>
    </w:rPr>
  </w:style>
  <w:style w:type="paragraph" w:customStyle="1" w:styleId="144">
    <w:name w:val="Char Char Char Char"/>
    <w:basedOn w:val="1"/>
    <w:semiHidden/>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145">
    <w:name w:val="图"/>
    <w:basedOn w:val="1"/>
    <w:qFormat/>
    <w:uiPriority w:val="0"/>
    <w:pPr>
      <w:keepNext/>
      <w:adjustRightInd w:val="0"/>
      <w:snapToGrid w:val="0"/>
      <w:spacing w:before="60" w:after="60" w:line="300" w:lineRule="auto"/>
      <w:jc w:val="center"/>
    </w:pPr>
    <w:rPr>
      <w:spacing w:val="20"/>
      <w:kern w:val="0"/>
      <w:sz w:val="24"/>
      <w:szCs w:val="20"/>
    </w:rPr>
  </w:style>
  <w:style w:type="character" w:customStyle="1" w:styleId="146">
    <w:name w:val="批注文字 Char1"/>
    <w:basedOn w:val="36"/>
    <w:link w:val="14"/>
    <w:qFormat/>
    <w:uiPriority w:val="0"/>
    <w:rPr>
      <w:rFonts w:ascii="Times New Roman" w:hAnsi="Times New Roman" w:eastAsia="宋体" w:cs="Times New Roman"/>
      <w:szCs w:val="24"/>
    </w:rPr>
  </w:style>
  <w:style w:type="character" w:customStyle="1" w:styleId="147">
    <w:name w:val="批注主题 Char1"/>
    <w:basedOn w:val="146"/>
    <w:semiHidden/>
    <w:qFormat/>
    <w:uiPriority w:val="99"/>
    <w:rPr>
      <w:rFonts w:ascii="Times New Roman" w:hAnsi="Times New Roman" w:eastAsia="宋体" w:cs="Times New Roman"/>
      <w:b/>
      <w:bCs/>
      <w:szCs w:val="24"/>
    </w:rPr>
  </w:style>
  <w:style w:type="paragraph" w:customStyle="1" w:styleId="148">
    <w:name w:val="È±Ê¡ÎÄ±¾"/>
    <w:basedOn w:val="1"/>
    <w:qFormat/>
    <w:uiPriority w:val="0"/>
    <w:pPr>
      <w:widowControl/>
      <w:overflowPunct w:val="0"/>
      <w:autoSpaceDE w:val="0"/>
      <w:autoSpaceDN w:val="0"/>
      <w:adjustRightInd w:val="0"/>
      <w:jc w:val="left"/>
    </w:pPr>
    <w:rPr>
      <w:kern w:val="0"/>
      <w:sz w:val="24"/>
      <w:szCs w:val="20"/>
    </w:rPr>
  </w:style>
  <w:style w:type="character" w:customStyle="1" w:styleId="149">
    <w:name w:val="标题 Char2"/>
    <w:basedOn w:val="36"/>
    <w:qFormat/>
    <w:uiPriority w:val="10"/>
    <w:rPr>
      <w:rFonts w:eastAsia="宋体" w:asciiTheme="majorHAnsi" w:hAnsiTheme="majorHAnsi" w:cstheme="majorBidi"/>
      <w:b/>
      <w:bCs/>
      <w:sz w:val="32"/>
      <w:szCs w:val="32"/>
    </w:rPr>
  </w:style>
  <w:style w:type="character" w:customStyle="1" w:styleId="150">
    <w:name w:val="正文文本缩进 Char2"/>
    <w:basedOn w:val="36"/>
    <w:link w:val="17"/>
    <w:semiHidden/>
    <w:qFormat/>
    <w:uiPriority w:val="99"/>
    <w:rPr>
      <w:rFonts w:ascii="Times New Roman" w:hAnsi="Times New Roman" w:eastAsia="宋体" w:cs="Times New Roman"/>
      <w:szCs w:val="24"/>
    </w:rPr>
  </w:style>
  <w:style w:type="character" w:customStyle="1" w:styleId="151">
    <w:name w:val="正文首行缩进 2 Char2"/>
    <w:basedOn w:val="150"/>
    <w:semiHidden/>
    <w:qFormat/>
    <w:uiPriority w:val="99"/>
    <w:rPr>
      <w:rFonts w:ascii="Times New Roman" w:hAnsi="Times New Roman" w:eastAsia="宋体" w:cs="Times New Roman"/>
      <w:szCs w:val="24"/>
    </w:rPr>
  </w:style>
  <w:style w:type="character" w:customStyle="1" w:styleId="152">
    <w:name w:val="纯文本 Char2"/>
    <w:basedOn w:val="36"/>
    <w:semiHidden/>
    <w:qFormat/>
    <w:uiPriority w:val="99"/>
    <w:rPr>
      <w:rFonts w:ascii="宋体" w:hAnsi="Courier New" w:eastAsia="宋体" w:cs="Courier New"/>
      <w:szCs w:val="21"/>
    </w:rPr>
  </w:style>
  <w:style w:type="paragraph" w:customStyle="1" w:styleId="153">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character" w:customStyle="1" w:styleId="154">
    <w:name w:val="正文文本缩进 3 Char2"/>
    <w:basedOn w:val="36"/>
    <w:semiHidden/>
    <w:qFormat/>
    <w:uiPriority w:val="99"/>
    <w:rPr>
      <w:rFonts w:ascii="Times New Roman" w:hAnsi="Times New Roman" w:eastAsia="宋体" w:cs="Times New Roman"/>
      <w:sz w:val="16"/>
      <w:szCs w:val="16"/>
    </w:rPr>
  </w:style>
  <w:style w:type="paragraph" w:customStyle="1" w:styleId="155">
    <w:name w:val="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6">
    <w:name w:val="z-窗体顶端1"/>
    <w:basedOn w:val="1"/>
    <w:next w:val="1"/>
    <w:link w:val="157"/>
    <w:qFormat/>
    <w:uiPriority w:val="0"/>
    <w:pPr>
      <w:pBdr>
        <w:bottom w:val="single" w:color="auto" w:sz="6" w:space="1"/>
      </w:pBdr>
      <w:jc w:val="center"/>
    </w:pPr>
    <w:rPr>
      <w:rFonts w:ascii="Arial"/>
      <w:vanish/>
      <w:sz w:val="16"/>
    </w:rPr>
  </w:style>
  <w:style w:type="character" w:customStyle="1" w:styleId="157">
    <w:name w:val="z-窗体顶端 Char"/>
    <w:basedOn w:val="36"/>
    <w:link w:val="156"/>
    <w:qFormat/>
    <w:uiPriority w:val="0"/>
    <w:rPr>
      <w:rFonts w:ascii="Arial" w:hAnsi="Times New Roman" w:eastAsia="宋体" w:cs="Times New Roman"/>
      <w:vanish/>
      <w:sz w:val="16"/>
      <w:szCs w:val="24"/>
    </w:rPr>
  </w:style>
  <w:style w:type="character" w:customStyle="1" w:styleId="158">
    <w:name w:val="批注框文本 Char1"/>
    <w:basedOn w:val="36"/>
    <w:semiHidden/>
    <w:qFormat/>
    <w:uiPriority w:val="99"/>
    <w:rPr>
      <w:rFonts w:ascii="Times New Roman" w:hAnsi="Times New Roman" w:eastAsia="宋体" w:cs="Times New Roman"/>
      <w:sz w:val="18"/>
      <w:szCs w:val="18"/>
    </w:rPr>
  </w:style>
  <w:style w:type="paragraph" w:customStyle="1" w:styleId="159">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60">
    <w:name w:val="日期 Char1"/>
    <w:basedOn w:val="36"/>
    <w:semiHidden/>
    <w:qFormat/>
    <w:uiPriority w:val="99"/>
    <w:rPr>
      <w:rFonts w:ascii="Times New Roman" w:hAnsi="Times New Roman" w:eastAsia="宋体" w:cs="Times New Roman"/>
      <w:szCs w:val="24"/>
    </w:rPr>
  </w:style>
  <w:style w:type="character" w:customStyle="1" w:styleId="161">
    <w:name w:val="正文文本 Char2"/>
    <w:basedOn w:val="36"/>
    <w:semiHidden/>
    <w:qFormat/>
    <w:uiPriority w:val="99"/>
    <w:rPr>
      <w:rFonts w:ascii="Times New Roman" w:hAnsi="Times New Roman" w:eastAsia="宋体" w:cs="Times New Roman"/>
      <w:szCs w:val="24"/>
    </w:rPr>
  </w:style>
  <w:style w:type="paragraph" w:customStyle="1" w:styleId="162">
    <w:name w:val="Char Char Char Char Char"/>
    <w:basedOn w:val="1"/>
    <w:qFormat/>
    <w:uiPriority w:val="0"/>
    <w:rPr>
      <w:rFonts w:ascii="Tahoma" w:hAnsi="Tahoma"/>
      <w:sz w:val="24"/>
      <w:szCs w:val="20"/>
    </w:rPr>
  </w:style>
  <w:style w:type="character" w:customStyle="1" w:styleId="163">
    <w:name w:val="正文文本缩进 2 Char2"/>
    <w:basedOn w:val="36"/>
    <w:semiHidden/>
    <w:qFormat/>
    <w:uiPriority w:val="99"/>
    <w:rPr>
      <w:rFonts w:ascii="Times New Roman" w:hAnsi="Times New Roman" w:eastAsia="宋体" w:cs="Times New Roman"/>
      <w:szCs w:val="24"/>
    </w:rPr>
  </w:style>
  <w:style w:type="paragraph" w:customStyle="1" w:styleId="164">
    <w:name w:val="修订1"/>
    <w:semiHidden/>
    <w:qFormat/>
    <w:uiPriority w:val="99"/>
    <w:rPr>
      <w:rFonts w:ascii="Times New Roman" w:hAnsi="Times New Roman" w:eastAsia="宋体" w:cs="Times New Roman"/>
      <w:kern w:val="2"/>
      <w:sz w:val="21"/>
      <w:szCs w:val="24"/>
      <w:lang w:val="en-US" w:eastAsia="zh-CN" w:bidi="ar-SA"/>
    </w:rPr>
  </w:style>
  <w:style w:type="character" w:customStyle="1" w:styleId="165">
    <w:name w:val="正文文本 3 Char2"/>
    <w:basedOn w:val="36"/>
    <w:semiHidden/>
    <w:qFormat/>
    <w:uiPriority w:val="99"/>
    <w:rPr>
      <w:rFonts w:ascii="Times New Roman" w:hAnsi="Times New Roman" w:eastAsia="宋体" w:cs="Times New Roman"/>
      <w:sz w:val="16"/>
      <w:szCs w:val="16"/>
    </w:rPr>
  </w:style>
  <w:style w:type="paragraph" w:customStyle="1" w:styleId="166">
    <w:name w:val="Char Char2 Char"/>
    <w:basedOn w:val="1"/>
    <w:qFormat/>
    <w:uiPriority w:val="0"/>
    <w:rPr>
      <w:rFonts w:ascii="Arial" w:hAnsi="Arial" w:eastAsia="Times New Roman"/>
      <w:b/>
      <w:kern w:val="0"/>
      <w:sz w:val="24"/>
      <w:szCs w:val="20"/>
      <w:lang w:eastAsia="en-US"/>
    </w:rPr>
  </w:style>
  <w:style w:type="paragraph" w:customStyle="1" w:styleId="167">
    <w:name w:val="_Style 33"/>
    <w:basedOn w:val="1"/>
    <w:semiHidden/>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168">
    <w:name w:val="Char Char Char Char Char Char Char"/>
    <w:basedOn w:val="1"/>
    <w:qFormat/>
    <w:uiPriority w:val="0"/>
    <w:pPr>
      <w:widowControl/>
      <w:spacing w:after="160" w:line="240" w:lineRule="exact"/>
      <w:jc w:val="left"/>
    </w:pPr>
  </w:style>
  <w:style w:type="paragraph" w:customStyle="1" w:styleId="169">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0">
    <w:name w:val="Char5 Char Char Char Char Char Char"/>
    <w:basedOn w:val="1"/>
    <w:qFormat/>
    <w:uiPriority w:val="0"/>
    <w:pPr>
      <w:widowControl/>
      <w:spacing w:after="160" w:line="320" w:lineRule="exact"/>
      <w:ind w:firstLine="480"/>
      <w:jc w:val="center"/>
    </w:pPr>
    <w:rPr>
      <w:rFonts w:ascii="宋体" w:hAnsi="宋体"/>
      <w:kern w:val="0"/>
      <w:sz w:val="24"/>
      <w:lang w:eastAsia="en-US"/>
    </w:rPr>
  </w:style>
  <w:style w:type="paragraph" w:customStyle="1" w:styleId="171">
    <w:name w:val="Char1"/>
    <w:basedOn w:val="1"/>
    <w:qFormat/>
    <w:uiPriority w:val="0"/>
    <w:pPr>
      <w:widowControl/>
      <w:tabs>
        <w:tab w:val="left" w:pos="360"/>
      </w:tabs>
      <w:spacing w:after="160" w:line="240" w:lineRule="exact"/>
      <w:ind w:left="360" w:hanging="360"/>
      <w:jc w:val="left"/>
    </w:pPr>
    <w:rPr>
      <w:rFonts w:ascii="Verdana" w:hAnsi="Verdana"/>
      <w:kern w:val="0"/>
      <w:szCs w:val="20"/>
      <w:lang w:eastAsia="en-US"/>
    </w:rPr>
  </w:style>
  <w:style w:type="paragraph" w:customStyle="1" w:styleId="172">
    <w:name w:val="Char5 Char Char Char Char Char Char1"/>
    <w:basedOn w:val="1"/>
    <w:qFormat/>
    <w:uiPriority w:val="0"/>
    <w:pPr>
      <w:widowControl/>
      <w:spacing w:after="160" w:line="320" w:lineRule="exact"/>
      <w:ind w:firstLine="480"/>
      <w:jc w:val="center"/>
    </w:pPr>
    <w:rPr>
      <w:rFonts w:ascii="宋体" w:hAnsi="宋体"/>
      <w:kern w:val="0"/>
      <w:sz w:val="24"/>
      <w:lang w:eastAsia="en-US"/>
    </w:rPr>
  </w:style>
  <w:style w:type="paragraph" w:customStyle="1" w:styleId="173">
    <w:name w:val="表格文字"/>
    <w:basedOn w:val="1"/>
    <w:qFormat/>
    <w:uiPriority w:val="0"/>
    <w:pPr>
      <w:spacing w:before="25" w:after="25"/>
      <w:jc w:val="left"/>
    </w:pPr>
    <w:rPr>
      <w:bCs/>
      <w:spacing w:val="10"/>
      <w:kern w:val="0"/>
      <w:sz w:val="24"/>
      <w:szCs w:val="20"/>
    </w:rPr>
  </w:style>
  <w:style w:type="paragraph" w:customStyle="1" w:styleId="174">
    <w:name w:val="规范"/>
    <w:basedOn w:val="1"/>
    <w:next w:val="1"/>
    <w:qFormat/>
    <w:uiPriority w:val="0"/>
    <w:pPr>
      <w:tabs>
        <w:tab w:val="left" w:pos="420"/>
      </w:tabs>
      <w:spacing w:line="288" w:lineRule="auto"/>
      <w:ind w:left="420" w:hanging="420"/>
      <w:jc w:val="left"/>
    </w:pPr>
    <w:rPr>
      <w:sz w:val="24"/>
    </w:rPr>
  </w:style>
  <w:style w:type="paragraph" w:customStyle="1" w:styleId="175">
    <w:name w:val="正文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6">
    <w:name w:val="列出段落2"/>
    <w:basedOn w:val="1"/>
    <w:qFormat/>
    <w:uiPriority w:val="0"/>
    <w:pPr>
      <w:ind w:firstLine="420" w:firstLineChars="200"/>
    </w:pPr>
    <w:rPr>
      <w:rFonts w:ascii="Calibri" w:hAnsi="Calibri"/>
      <w:szCs w:val="22"/>
    </w:rPr>
  </w:style>
  <w:style w:type="character" w:customStyle="1" w:styleId="177">
    <w:name w:val="正文缩进 Char1"/>
    <w:semiHidden/>
    <w:qFormat/>
    <w:locked/>
    <w:uiPriority w:val="0"/>
    <w:rPr>
      <w:rFonts w:ascii="Times New Roman" w:hAnsi="Times New Roman" w:eastAsia="宋体" w:cs="Times New Roman"/>
      <w:sz w:val="24"/>
      <w:szCs w:val="20"/>
      <w:lang w:val="zh-CN" w:eastAsia="zh-CN"/>
    </w:rPr>
  </w:style>
  <w:style w:type="table" w:customStyle="1" w:styleId="178">
    <w:name w:val="网格型1"/>
    <w:basedOn w:val="34"/>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9">
    <w:name w:val="网格型3"/>
    <w:basedOn w:val="34"/>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0">
    <w:name w:val="网格型2"/>
    <w:basedOn w:val="34"/>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1">
    <w:name w:val="网格型11"/>
    <w:basedOn w:val="34"/>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82">
    <w:name w:val="fontstyle01"/>
    <w:basedOn w:val="36"/>
    <w:qFormat/>
    <w:uiPriority w:val="0"/>
    <w:rPr>
      <w:rFonts w:ascii="仿宋_GB2312" w:eastAsia="仿宋_GB2312" w:cs="仿宋_GB2312"/>
      <w:color w:val="000000"/>
      <w:sz w:val="32"/>
      <w:szCs w:val="32"/>
    </w:rPr>
  </w:style>
  <w:style w:type="character" w:customStyle="1" w:styleId="183">
    <w:name w:val="hover"/>
    <w:basedOn w:val="36"/>
    <w:qFormat/>
    <w:uiPriority w:val="0"/>
  </w:style>
  <w:style w:type="character" w:customStyle="1" w:styleId="184">
    <w:name w:val="hover1"/>
    <w:basedOn w:val="36"/>
    <w:qFormat/>
    <w:uiPriority w:val="0"/>
    <w:rPr>
      <w:color w:val="2590EB"/>
      <w:shd w:val="clear" w:fill="E9F4FD"/>
    </w:rPr>
  </w:style>
  <w:style w:type="character" w:customStyle="1" w:styleId="185">
    <w:name w:val="hover2"/>
    <w:basedOn w:val="36"/>
    <w:qFormat/>
    <w:uiPriority w:val="0"/>
    <w:rPr>
      <w:color w:val="2590EB"/>
    </w:rPr>
  </w:style>
  <w:style w:type="character" w:customStyle="1" w:styleId="186">
    <w:name w:val="hover3"/>
    <w:basedOn w:val="36"/>
    <w:qFormat/>
    <w:uiPriority w:val="0"/>
    <w:rPr>
      <w:color w:val="2590EB"/>
    </w:rPr>
  </w:style>
  <w:style w:type="character" w:customStyle="1" w:styleId="187">
    <w:name w:val="hover4"/>
    <w:basedOn w:val="36"/>
    <w:qFormat/>
    <w:uiPriority w:val="0"/>
    <w:rPr>
      <w:color w:val="2590EB"/>
      <w:shd w:val="clear" w:fill="E9F4F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45</Pages>
  <Words>10310</Words>
  <Characters>12338</Characters>
  <Lines>229</Lines>
  <Paragraphs>64</Paragraphs>
  <TotalTime>4</TotalTime>
  <ScaleCrop>false</ScaleCrop>
  <LinksUpToDate>false</LinksUpToDate>
  <CharactersWithSpaces>12639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2019-08-20T03:50:00Z</dcterms:created>
  <dc:creator>陈思成</dc:creator>
  <cp:lastModifiedBy>桑旭</cp:lastModifiedBy>
  <cp:lastPrinted>2022-01-17T04:38:00Z</cp:lastPrinted>
  <dcterms:modified xsi:type="dcterms:W3CDTF">2026-07-20T09:05:47Z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753EBCC7D30144AE824C6703BE503DD8_13</vt:lpwstr>
  </property>
  <property fmtid="{D5CDD505-2E9C-101B-9397-08002B2CF9AE}" pid="4" name="KSOTemplateDocerSaveRecord">
    <vt:lpwstr>eyJoZGlkIjoiNDhhYjRlMTlkOWU5MGMyZjJiODNjMGQ4MzIzZTk2YjUiLCJ1c2VySWQiOiIxNTQ2MDUxMjc5In0=</vt:lpwstr>
  </property>
</Properties>
</file>