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7DEA7">
      <w:pPr>
        <w:keepLines w:val="0"/>
        <w:pageBreakBefore w:val="0"/>
        <w:kinsoku/>
        <w:overflowPunct w:val="0"/>
        <w:topLinePunct/>
        <w:autoSpaceDE/>
        <w:autoSpaceDN w:val="0"/>
        <w:bidi w:val="0"/>
        <w:snapToGrid/>
        <w:spacing w:line="560" w:lineRule="exact"/>
        <w:contextualSpacing/>
        <w:jc w:val="center"/>
        <w:textAlignment w:val="auto"/>
        <w:rPr>
          <w:rFonts w:hint="eastAsia" w:ascii="宋体" w:hAnsi="宋体" w:eastAsia="宋体" w:cs="宋体"/>
          <w:b/>
          <w:bCs w:val="0"/>
          <w:spacing w:val="-6"/>
          <w:sz w:val="44"/>
          <w:szCs w:val="44"/>
          <w:highlight w:val="none"/>
          <w:lang w:val="en-US" w:eastAsia="zh-CN"/>
        </w:rPr>
      </w:pPr>
      <w:bookmarkStart w:id="0" w:name="_GoBack"/>
      <w:bookmarkEnd w:id="0"/>
      <w:r>
        <w:rPr>
          <w:rFonts w:hint="eastAsia" w:ascii="宋体" w:hAnsi="宋体" w:cs="宋体"/>
          <w:b/>
          <w:bCs w:val="0"/>
          <w:spacing w:val="-6"/>
          <w:sz w:val="44"/>
          <w:szCs w:val="44"/>
          <w:highlight w:val="none"/>
          <w:lang w:val="en-US" w:eastAsia="zh-CN"/>
        </w:rPr>
        <w:t>梧桐山片区防洪排涝及水毁修复基础设施建设工程项目工程勘察</w:t>
      </w:r>
      <w:r>
        <w:rPr>
          <w:rFonts w:hint="eastAsia" w:ascii="宋体" w:hAnsi="宋体" w:eastAsia="宋体" w:cs="宋体"/>
          <w:b/>
          <w:bCs w:val="0"/>
          <w:spacing w:val="-6"/>
          <w:sz w:val="44"/>
          <w:szCs w:val="44"/>
          <w:highlight w:val="none"/>
          <w:lang w:val="en-US" w:eastAsia="zh-CN"/>
        </w:rPr>
        <w:t>采购</w:t>
      </w:r>
      <w:r>
        <w:rPr>
          <w:rFonts w:hint="eastAsia" w:ascii="宋体" w:hAnsi="宋体" w:eastAsia="宋体" w:cs="宋体"/>
          <w:b/>
          <w:bCs w:val="0"/>
          <w:spacing w:val="-6"/>
          <w:sz w:val="44"/>
          <w:szCs w:val="44"/>
          <w:highlight w:val="none"/>
        </w:rPr>
        <w:t>需求</w:t>
      </w:r>
      <w:r>
        <w:rPr>
          <w:rFonts w:hint="eastAsia" w:ascii="宋体" w:hAnsi="宋体" w:eastAsia="宋体" w:cs="宋体"/>
          <w:b/>
          <w:bCs w:val="0"/>
          <w:spacing w:val="-6"/>
          <w:sz w:val="44"/>
          <w:szCs w:val="44"/>
          <w:highlight w:val="none"/>
          <w:lang w:val="en-US" w:eastAsia="zh-CN"/>
        </w:rPr>
        <w:t>书</w:t>
      </w:r>
    </w:p>
    <w:p w14:paraId="0F871F25">
      <w:pPr>
        <w:keepLines w:val="0"/>
        <w:pageBreakBefore w:val="0"/>
        <w:widowControl w:val="0"/>
        <w:kinsoku/>
        <w:overflowPunct w:val="0"/>
        <w:topLinePunct/>
        <w:autoSpaceDE/>
        <w:autoSpaceDN w:val="0"/>
        <w:bidi w:val="0"/>
        <w:snapToGrid/>
        <w:spacing w:after="120" w:line="560" w:lineRule="exact"/>
        <w:ind w:left="420" w:leftChars="200"/>
        <w:jc w:val="both"/>
        <w:textAlignment w:val="auto"/>
        <w:rPr>
          <w:rFonts w:hint="eastAsia" w:ascii="华文仿宋" w:hAnsi="华文仿宋" w:eastAsia="华文仿宋" w:cs="华文仿宋"/>
          <w:spacing w:val="-6"/>
          <w:kern w:val="2"/>
          <w:sz w:val="32"/>
          <w:szCs w:val="32"/>
          <w:highlight w:val="none"/>
          <w:lang w:val="en-US" w:eastAsia="zh-CN" w:bidi="ar-SA"/>
        </w:rPr>
      </w:pPr>
    </w:p>
    <w:p w14:paraId="3FD0C649">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本项目为梧桐山片区防洪排涝及水毁修复基础设施建设工程项目工程勘察服务采购，采用自行采购-公开征集方式确定服务供应商，具体说明如下:</w:t>
      </w:r>
    </w:p>
    <w:p w14:paraId="38F3636A">
      <w:pPr>
        <w:keepNext w:val="0"/>
        <w:keepLines w:val="0"/>
        <w:pageBreakBefore w:val="0"/>
        <w:widowControl w:val="0"/>
        <w:kinsoku/>
        <w:wordWrap/>
        <w:overflowPunct/>
        <w:topLinePunct w:val="0"/>
        <w:autoSpaceDE/>
        <w:autoSpaceDN/>
        <w:bidi w:val="0"/>
        <w:adjustRightInd/>
        <w:snapToGrid/>
        <w:spacing w:line="560" w:lineRule="exact"/>
        <w:ind w:firstLine="617" w:firstLineChars="200"/>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一、</w:t>
      </w:r>
      <w:r>
        <w:rPr>
          <w:rFonts w:hint="eastAsia" w:ascii="华文仿宋" w:hAnsi="华文仿宋" w:eastAsia="华文仿宋" w:cs="华文仿宋"/>
          <w:b/>
          <w:bCs/>
          <w:spacing w:val="-6"/>
          <w:sz w:val="32"/>
          <w:szCs w:val="32"/>
          <w:highlight w:val="none"/>
        </w:rPr>
        <w:t>项目简介</w:t>
      </w:r>
    </w:p>
    <w:p w14:paraId="3B0E2A84">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（一）基础信息</w:t>
      </w:r>
    </w:p>
    <w:p w14:paraId="5A836CA4">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项目名称：</w:t>
      </w:r>
      <w:r>
        <w:rPr>
          <w:rFonts w:hint="eastAsia" w:ascii="仿宋_GB2312" w:eastAsia="仿宋_GB2312" w:cs="仿宋_GB2312"/>
          <w:spacing w:val="0"/>
          <w:kern w:val="2"/>
          <w:sz w:val="32"/>
          <w:szCs w:val="32"/>
          <w:highlight w:val="none"/>
          <w:u w:val="single"/>
          <w:lang w:val="en-US" w:eastAsia="zh-CN" w:bidi="ar"/>
        </w:rPr>
        <w:t>梧桐山片区防洪排涝及水毁修复基础设施建设工程项目</w:t>
      </w:r>
    </w:p>
    <w:p w14:paraId="34BFD751">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采购单位：</w:t>
      </w:r>
      <w:r>
        <w:rPr>
          <w:rFonts w:hint="eastAsia" w:ascii="仿宋_GB2312" w:eastAsia="仿宋_GB2312" w:cs="仿宋_GB2312"/>
          <w:spacing w:val="0"/>
          <w:kern w:val="2"/>
          <w:sz w:val="32"/>
          <w:szCs w:val="32"/>
          <w:highlight w:val="none"/>
          <w:u w:val="single"/>
          <w:lang w:val="en-US" w:eastAsia="zh-CN" w:bidi="ar"/>
        </w:rPr>
        <w:t>深圳市罗湖区水务局</w:t>
      </w:r>
    </w:p>
    <w:p w14:paraId="4ACD6F84">
      <w:pPr>
        <w:pStyle w:val="13"/>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u w:val="none"/>
          <w:lang w:val="en-US" w:eastAsia="zh-CN" w:bidi="ar"/>
        </w:rPr>
        <w:t>项目总投资：</w:t>
      </w:r>
      <w:r>
        <w:rPr>
          <w:rFonts w:hint="eastAsia" w:ascii="仿宋_GB2312" w:eastAsia="仿宋_GB2312" w:cs="仿宋_GB2312"/>
          <w:spacing w:val="0"/>
          <w:kern w:val="2"/>
          <w:sz w:val="32"/>
          <w:szCs w:val="32"/>
          <w:highlight w:val="none"/>
          <w:u w:val="single"/>
          <w:lang w:val="en-US" w:eastAsia="zh-CN" w:bidi="ar"/>
        </w:rPr>
        <w:t>4598.57万元</w:t>
      </w:r>
    </w:p>
    <w:p w14:paraId="01CA11C1">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资金来源：</w:t>
      </w:r>
      <w:r>
        <w:rPr>
          <w:rFonts w:hint="eastAsia" w:ascii="仿宋_GB2312" w:eastAsia="仿宋_GB2312" w:cs="仿宋_GB2312"/>
          <w:spacing w:val="0"/>
          <w:kern w:val="2"/>
          <w:sz w:val="32"/>
          <w:szCs w:val="32"/>
          <w:highlight w:val="none"/>
          <w:u w:val="single"/>
          <w:lang w:val="en-US" w:eastAsia="zh-CN" w:bidi="ar"/>
        </w:rPr>
        <w:t>财政性资金</w:t>
      </w:r>
    </w:p>
    <w:p w14:paraId="1AE0D280">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采购方式：</w:t>
      </w:r>
      <w:r>
        <w:rPr>
          <w:rFonts w:hint="eastAsia" w:ascii="仿宋_GB2312" w:eastAsia="仿宋_GB2312" w:cs="仿宋_GB2312"/>
          <w:spacing w:val="0"/>
          <w:kern w:val="2"/>
          <w:sz w:val="32"/>
          <w:szCs w:val="32"/>
          <w:highlight w:val="none"/>
          <w:u w:val="single"/>
          <w:lang w:val="en-US" w:eastAsia="zh-CN" w:bidi="ar"/>
        </w:rPr>
        <w:t>自行采购（公开征集）</w:t>
      </w:r>
    </w:p>
    <w:p w14:paraId="1208803B">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single"/>
          <w:lang w:val="en-US" w:eastAsia="zh-CN" w:bidi="ar"/>
        </w:rPr>
      </w:pPr>
      <w:r>
        <w:rPr>
          <w:rFonts w:hint="eastAsia" w:ascii="仿宋_GB2312" w:eastAsia="仿宋_GB2312" w:cs="仿宋_GB2312"/>
          <w:spacing w:val="0"/>
          <w:kern w:val="2"/>
          <w:sz w:val="32"/>
          <w:szCs w:val="32"/>
          <w:highlight w:val="none"/>
          <w:lang w:val="en-US" w:eastAsia="zh-CN" w:bidi="ar"/>
        </w:rPr>
        <w:t>定标方式：</w:t>
      </w:r>
      <w:r>
        <w:rPr>
          <w:rFonts w:hint="eastAsia" w:ascii="仿宋_GB2312" w:eastAsia="仿宋_GB2312" w:cs="仿宋_GB2312"/>
          <w:spacing w:val="0"/>
          <w:kern w:val="2"/>
          <w:sz w:val="32"/>
          <w:szCs w:val="32"/>
          <w:highlight w:val="none"/>
          <w:u w:val="single"/>
          <w:lang w:val="en-US" w:eastAsia="zh-CN" w:bidi="ar"/>
        </w:rPr>
        <w:t>公开征集择优确定</w:t>
      </w:r>
    </w:p>
    <w:p w14:paraId="01E44C78">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default" w:ascii="仿宋_GB2312" w:eastAsia="仿宋_GB2312" w:cs="仿宋_GB2312"/>
          <w:spacing w:val="0"/>
          <w:kern w:val="2"/>
          <w:sz w:val="32"/>
          <w:szCs w:val="32"/>
          <w:highlight w:val="none"/>
          <w:u w:val="single"/>
          <w:lang w:val="en-US" w:eastAsia="zh-CN" w:bidi="ar"/>
        </w:rPr>
      </w:pPr>
      <w:r>
        <w:rPr>
          <w:rFonts w:hint="default" w:ascii="仿宋_GB2312" w:eastAsia="仿宋_GB2312" w:cs="仿宋_GB2312"/>
          <w:spacing w:val="0"/>
          <w:kern w:val="2"/>
          <w:sz w:val="32"/>
          <w:szCs w:val="32"/>
          <w:highlight w:val="none"/>
          <w:u w:val="none"/>
          <w:lang w:val="en-US" w:eastAsia="zh-CN" w:bidi="ar"/>
        </w:rPr>
        <w:t>勘察费用基数：</w:t>
      </w:r>
      <w:r>
        <w:rPr>
          <w:rFonts w:hint="eastAsia" w:ascii="仿宋_GB2312" w:hAnsi="仿宋_GB2312" w:eastAsia="仿宋_GB2312" w:cs="仿宋_GB2312"/>
          <w:color w:val="auto"/>
          <w:sz w:val="32"/>
          <w:szCs w:val="32"/>
          <w:highlight w:val="none"/>
          <w:u w:val="single"/>
          <w:lang w:val="en-US" w:eastAsia="zh-CN"/>
        </w:rPr>
        <w:t>根据</w:t>
      </w:r>
      <w:r>
        <w:rPr>
          <w:rFonts w:hint="eastAsia" w:ascii="仿宋_GB2312" w:hAnsi="仿宋_GB2312" w:eastAsia="仿宋_GB2312" w:cs="仿宋_GB2312"/>
          <w:color w:val="auto"/>
          <w:kern w:val="0"/>
          <w:sz w:val="32"/>
          <w:szCs w:val="32"/>
          <w:highlight w:val="none"/>
          <w:u w:val="single"/>
          <w:lang w:val="en-US" w:eastAsia="zh-CN" w:bidi="ar"/>
        </w:rPr>
        <w:t>《罗湖区发展和改革局关于梧桐山片区防洪排涝及水毁修复基础设施建设工程项目建议书的批复》（罗发改投〔2026〕34号），</w:t>
      </w:r>
      <w:r>
        <w:rPr>
          <w:rFonts w:hint="eastAsia" w:ascii="仿宋_GB2312" w:eastAsia="仿宋_GB2312" w:cs="仿宋_GB2312"/>
          <w:spacing w:val="0"/>
          <w:kern w:val="2"/>
          <w:sz w:val="32"/>
          <w:szCs w:val="32"/>
          <w:highlight w:val="none"/>
          <w:u w:val="single"/>
          <w:lang w:val="en-US" w:eastAsia="zh-CN" w:bidi="ar"/>
        </w:rPr>
        <w:t>本项目</w:t>
      </w:r>
      <w:r>
        <w:rPr>
          <w:rFonts w:hint="default" w:ascii="仿宋_GB2312" w:eastAsia="仿宋_GB2312" w:cs="仿宋_GB2312"/>
          <w:spacing w:val="0"/>
          <w:kern w:val="2"/>
          <w:sz w:val="32"/>
          <w:szCs w:val="32"/>
          <w:highlight w:val="none"/>
          <w:u w:val="single"/>
          <w:lang w:val="en-US" w:eastAsia="zh-CN" w:bidi="ar"/>
        </w:rPr>
        <w:t>批复</w:t>
      </w:r>
      <w:r>
        <w:rPr>
          <w:rFonts w:hint="eastAsia" w:ascii="仿宋_GB2312" w:eastAsia="仿宋_GB2312" w:cs="仿宋_GB2312"/>
          <w:spacing w:val="0"/>
          <w:kern w:val="2"/>
          <w:sz w:val="32"/>
          <w:szCs w:val="32"/>
          <w:highlight w:val="none"/>
          <w:u w:val="single"/>
          <w:lang w:val="en-US" w:eastAsia="zh-CN" w:bidi="ar"/>
        </w:rPr>
        <w:t>的</w:t>
      </w:r>
      <w:r>
        <w:rPr>
          <w:rFonts w:hint="default" w:ascii="仿宋_GB2312" w:eastAsia="仿宋_GB2312" w:cs="仿宋_GB2312"/>
          <w:spacing w:val="0"/>
          <w:kern w:val="2"/>
          <w:sz w:val="32"/>
          <w:szCs w:val="32"/>
          <w:highlight w:val="none"/>
          <w:u w:val="single"/>
          <w:lang w:val="en-US" w:eastAsia="zh-CN" w:bidi="ar"/>
        </w:rPr>
        <w:t>勘察费35.66万元</w:t>
      </w:r>
      <w:r>
        <w:rPr>
          <w:rFonts w:hint="eastAsia" w:ascii="仿宋_GB2312" w:eastAsia="仿宋_GB2312" w:cs="仿宋_GB2312"/>
          <w:spacing w:val="0"/>
          <w:kern w:val="2"/>
          <w:sz w:val="32"/>
          <w:szCs w:val="32"/>
          <w:highlight w:val="none"/>
          <w:u w:val="single"/>
          <w:lang w:val="en-US" w:eastAsia="zh-CN" w:bidi="ar"/>
        </w:rPr>
        <w:t>。</w:t>
      </w:r>
    </w:p>
    <w:p w14:paraId="295B1CFA">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u w:val="none"/>
          <w:lang w:val="en-US" w:eastAsia="zh-CN" w:bidi="ar"/>
        </w:rPr>
      </w:pPr>
      <w:r>
        <w:rPr>
          <w:rFonts w:hint="eastAsia" w:ascii="仿宋_GB2312" w:eastAsia="仿宋_GB2312" w:cs="仿宋_GB2312"/>
          <w:spacing w:val="0"/>
          <w:kern w:val="2"/>
          <w:sz w:val="32"/>
          <w:szCs w:val="32"/>
          <w:highlight w:val="none"/>
          <w:u w:val="none"/>
          <w:lang w:val="en-US" w:eastAsia="zh-CN" w:bidi="ar"/>
        </w:rPr>
        <w:t>采购控制价规则：</w:t>
      </w:r>
      <w:r>
        <w:rPr>
          <w:rFonts w:hint="eastAsia" w:ascii="仿宋_GB2312" w:eastAsia="仿宋_GB2312" w:cs="仿宋_GB2312"/>
          <w:spacing w:val="0"/>
          <w:kern w:val="2"/>
          <w:sz w:val="32"/>
          <w:szCs w:val="32"/>
          <w:highlight w:val="none"/>
          <w:u w:val="single"/>
          <w:lang w:val="en-US" w:eastAsia="zh-CN" w:bidi="ar"/>
        </w:rPr>
        <w:t>依据《罗湖区水务建设与管理中心自行采购工程项目下浮率暂行规定（试行）》，对于50万元以下的工程服务类项目，不执行下浮率。本项目工程勘察最高限价为35.66万元，投标人报价不得高于此限价，否则按无效投标处理。</w:t>
      </w:r>
    </w:p>
    <w:p w14:paraId="00F08A8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（二）项目建设内容</w:t>
      </w:r>
    </w:p>
    <w:p w14:paraId="3BA06A7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对梧桐山片区横沥口水库及梧桐山河、正坑水、新田仔水、赤水洞水、坑背村排洪渠、茂仔水、仙湖水、梧桐山沟等河道进行整治修复，主要建设内容包括：清理水库及河道淤积物，修复河床及挡墙水毁部位，重建正坑水龙海桥及铁板桥段箱涵等。</w:t>
      </w:r>
    </w:p>
    <w:p w14:paraId="4AE98BDE">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（三）支付与结算方式</w:t>
      </w:r>
    </w:p>
    <w:p w14:paraId="213176A3">
      <w:pPr>
        <w:pStyle w:val="13"/>
        <w:ind w:left="0" w:leftChars="0" w:firstLine="640" w:firstLineChars="200"/>
        <w:rPr>
          <w:rFonts w:hint="eastAsia" w:ascii="仿宋_GB2312" w:hAnsi="Calibri"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1、计费与结算基数：</w:t>
      </w:r>
      <w:r>
        <w:rPr>
          <w:rFonts w:hint="eastAsia" w:ascii="仿宋_GB2312" w:hAnsi="仿宋_GB2312" w:eastAsia="仿宋_GB2312" w:cs="仿宋_GB2312"/>
          <w:color w:val="auto"/>
          <w:kern w:val="0"/>
          <w:sz w:val="32"/>
          <w:szCs w:val="32"/>
          <w:highlight w:val="none"/>
          <w:lang w:val="en-US" w:eastAsia="zh-CN" w:bidi="ar"/>
        </w:rPr>
        <w:t>根据《工程勘察设计收费管理规定》及其附件《工程勘察设计收费标准（2002年修订本）》(计价格〔2002〕10号)规定的标准，勘察费用按照业主或业主委托的相关单位核定的工程量据实计算，与概算批复的工程勘察费二者取低值作为计费基数，并根据报价折算下浮率进行结算。</w:t>
      </w:r>
      <w:r>
        <w:rPr>
          <w:rFonts w:hint="eastAsia" w:ascii="仿宋_GB2312" w:hAnsi="Calibri" w:eastAsia="仿宋_GB2312" w:cs="仿宋_GB2312"/>
          <w:spacing w:val="0"/>
          <w:kern w:val="2"/>
          <w:sz w:val="32"/>
          <w:szCs w:val="32"/>
          <w:highlight w:val="none"/>
          <w:lang w:val="en-US" w:eastAsia="zh-CN" w:bidi="ar"/>
        </w:rPr>
        <w:t>最终结算金额以审定部门或甲方认可的审定机构审定金额为准。</w:t>
      </w:r>
    </w:p>
    <w:p w14:paraId="75B85125">
      <w:pPr>
        <w:keepNext w:val="0"/>
        <w:keepLines w:val="0"/>
        <w:widowControl/>
        <w:suppressLineNumbers w:val="0"/>
        <w:overflowPunct/>
        <w:topLinePunct w:val="0"/>
        <w:autoSpaceDN/>
        <w:bidi w:val="0"/>
        <w:ind w:firstLine="640" w:firstLineChars="200"/>
        <w:jc w:val="left"/>
        <w:rPr>
          <w:rFonts w:hint="eastAsia" w:ascii="仿宋_GB2312" w:eastAsia="仿宋_GB2312" w:cs="仿宋_GB2312"/>
          <w:spacing w:val="0"/>
          <w:kern w:val="2"/>
          <w:sz w:val="32"/>
          <w:szCs w:val="32"/>
          <w:highlight w:val="none"/>
          <w:lang w:val="en-US" w:eastAsia="zh-CN" w:bidi="ar"/>
        </w:rPr>
      </w:pPr>
      <w:r>
        <w:rPr>
          <w:rFonts w:hint="eastAsia" w:ascii="仿宋_GB2312" w:hAnsi="Calibri" w:eastAsia="仿宋_GB2312" w:cs="仿宋_GB2312"/>
          <w:spacing w:val="0"/>
          <w:kern w:val="2"/>
          <w:sz w:val="32"/>
          <w:szCs w:val="32"/>
          <w:highlight w:val="none"/>
          <w:lang w:val="en-US" w:eastAsia="zh-CN" w:bidi="ar"/>
        </w:rPr>
        <w:t>项目实施过程中，若因政策调整、规划变更、主管部门要求、项目整体调整等原因出现合同变更、中止、终止情形的，双方按乙方实际完成合格工作量据实结算</w:t>
      </w:r>
      <w:r>
        <w:rPr>
          <w:rFonts w:hint="eastAsia" w:ascii="仿宋_GB2312" w:eastAsia="仿宋_GB2312" w:cs="仿宋_GB2312"/>
          <w:spacing w:val="0"/>
          <w:kern w:val="2"/>
          <w:sz w:val="32"/>
          <w:szCs w:val="32"/>
          <w:highlight w:val="none"/>
          <w:lang w:val="en-US" w:eastAsia="zh-CN" w:bidi="ar"/>
        </w:rPr>
        <w:t>。</w:t>
      </w:r>
    </w:p>
    <w:p w14:paraId="5442355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2、付款条件：（1）乙方提交施工控制点成果后，乙方报送全部勘察费用结算书，待甲方对勘察费结算价初审后，甲方向乙方支付至初审价的70%。</w:t>
      </w:r>
    </w:p>
    <w:p w14:paraId="6BC74D71">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（2）乙方向甲方提交勘察成果文件材料，且最终工程勘察费决算价经审定后，甲方向乙方支付审定部门或甲方认可的审定机构审定勘察费的剩余部分。</w:t>
      </w:r>
    </w:p>
    <w:p w14:paraId="100A4897">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3、免责说明：因财政审批、资金拨付流程等非乙方原因造成付款延迟的，乙方不得主张违约金及相关赔偿责任。乙方需按甲方要求完整提供报账资料，资料缺失导致延迟付款的，责任由乙方自行承担。</w:t>
      </w:r>
    </w:p>
    <w:p w14:paraId="752A6E29">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二、勘察工作内容</w:t>
      </w:r>
    </w:p>
    <w:p w14:paraId="7D729B95">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（1）承担项目全过程（初步设计、施工图设计）的工程勘察、工程测量等勘察工作，具体包括但不限于以下内容：</w:t>
      </w:r>
    </w:p>
    <w:p w14:paraId="40A9DBD6">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包括但不限于地形测绘、精细测绘、地下管线探测、周边建筑物排查及建筑基础资料收集、近点拍摄建筑物现状、土地权属调查、工程范围边线调查、初步勘察、详细勘察以及从工程开工至通过竣工验收并配合审计等服务工作。</w:t>
      </w:r>
    </w:p>
    <w:p w14:paraId="1591A915">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（2）勘察工程的具体范围和工作量以我局或者我局委托的设计单位提供的相关技术要求为准。</w:t>
      </w:r>
    </w:p>
    <w:p w14:paraId="5D822319">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三、</w:t>
      </w:r>
      <w:r>
        <w:rPr>
          <w:rFonts w:hint="eastAsia" w:ascii="华文仿宋" w:hAnsi="华文仿宋" w:eastAsia="华文仿宋" w:cs="华文仿宋"/>
          <w:b/>
          <w:bCs/>
          <w:spacing w:val="-6"/>
          <w:sz w:val="32"/>
          <w:szCs w:val="32"/>
          <w:highlight w:val="none"/>
        </w:rPr>
        <w:t>服务期限</w:t>
      </w:r>
    </w:p>
    <w:p w14:paraId="37D110F8">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本项目勘察服务总工期为120个日历天，自甲乙双方签订合同当日起正式起算，须按期完成全部初步设计成果编制及报审配合工作。若因政策调整、主管部门审查、甲方原因导致工期顺延，双方另行书面确认。</w:t>
      </w:r>
    </w:p>
    <w:p w14:paraId="3EBEC746">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b/>
          <w:bCs/>
          <w:spacing w:val="-6"/>
          <w:sz w:val="32"/>
          <w:szCs w:val="32"/>
          <w:highlight w:val="none"/>
          <w:lang w:val="en-US" w:eastAsia="zh-CN"/>
        </w:rPr>
      </w:pPr>
      <w:r>
        <w:rPr>
          <w:rFonts w:hint="eastAsia" w:ascii="华文仿宋" w:hAnsi="华文仿宋" w:eastAsia="华文仿宋" w:cs="华文仿宋"/>
          <w:b/>
          <w:bCs/>
          <w:spacing w:val="-6"/>
          <w:sz w:val="32"/>
          <w:szCs w:val="32"/>
          <w:highlight w:val="none"/>
          <w:lang w:val="en-US" w:eastAsia="zh-CN"/>
        </w:rPr>
        <w:t>四、商务、技术需求</w:t>
      </w:r>
    </w:p>
    <w:p w14:paraId="4CE6344C">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1、企业资质要求：工程勘察专业类 ( 岩土工程专业 ) 乙级资质及以上和工程勘察专业类 ( 工程测量专业 ) 乙级资质及以上。</w:t>
      </w:r>
    </w:p>
    <w:p w14:paraId="09040632">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2、项目负责人要求：须为投标单位在职人员，具备注册土木工程师（岩土）执业注册证书。</w:t>
      </w:r>
    </w:p>
    <w:p w14:paraId="0CFD5FBE">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3、投标主体要求：本项目不接受联合体投标。</w:t>
      </w:r>
    </w:p>
    <w:p w14:paraId="7BE9A03D">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4、信用要求：投标单位、项目负责人近3年内无重大质量安全事故、无行政处罚记录，未被建设行政主管部门、政府采购主管部门列入禁止投标、暂停承接业务黑名单，否则取消参选及中标资格。</w:t>
      </w:r>
    </w:p>
    <w:p w14:paraId="0F305E59">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5、报价要求：报价不得高于35.66万元，否则按无效投标处理。</w:t>
      </w:r>
    </w:p>
    <w:p w14:paraId="3323243F">
      <w:pPr>
        <w:keepLines w:val="0"/>
        <w:pageBreakBefore w:val="0"/>
        <w:kinsoku/>
        <w:overflowPunct w:val="0"/>
        <w:topLinePunct/>
        <w:autoSpaceDE/>
        <w:autoSpaceDN w:val="0"/>
        <w:bidi w:val="0"/>
        <w:snapToGrid/>
        <w:spacing w:line="560" w:lineRule="exact"/>
        <w:ind w:firstLine="617" w:firstLineChars="200"/>
        <w:jc w:val="both"/>
        <w:textAlignment w:val="auto"/>
        <w:rPr>
          <w:rFonts w:hint="eastAsia" w:ascii="华文仿宋" w:hAnsi="华文仿宋" w:eastAsia="华文仿宋" w:cs="华文仿宋"/>
          <w:spacing w:val="-6"/>
          <w:sz w:val="32"/>
          <w:szCs w:val="32"/>
          <w:highlight w:val="none"/>
        </w:rPr>
      </w:pPr>
      <w:r>
        <w:rPr>
          <w:rFonts w:hint="eastAsia" w:ascii="华文仿宋" w:hAnsi="华文仿宋" w:eastAsia="华文仿宋" w:cs="华文仿宋"/>
          <w:b/>
          <w:bCs/>
          <w:spacing w:val="-6"/>
          <w:sz w:val="32"/>
          <w:szCs w:val="32"/>
          <w:highlight w:val="none"/>
          <w:lang w:val="en-US" w:eastAsia="zh-CN"/>
        </w:rPr>
        <w:t>五、</w:t>
      </w:r>
      <w:r>
        <w:rPr>
          <w:rFonts w:hint="eastAsia" w:ascii="华文仿宋" w:hAnsi="华文仿宋" w:eastAsia="华文仿宋" w:cs="华文仿宋"/>
          <w:b/>
          <w:bCs/>
          <w:spacing w:val="-6"/>
          <w:sz w:val="32"/>
          <w:szCs w:val="32"/>
          <w:highlight w:val="none"/>
        </w:rPr>
        <w:t>其它要求</w:t>
      </w:r>
    </w:p>
    <w:p w14:paraId="49F46CC7">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default"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1、勘察单位须固定专人对接项目，初设、施工图阶段审查意见均须在规定时限内响应，完成补勘、报告修改、技术答疑等配套服务，不得以施工图设计另行招标为由拒绝提供后续技术支撑。</w:t>
      </w:r>
    </w:p>
    <w:p w14:paraId="3EBAA4BF">
      <w:pPr>
        <w:pStyle w:val="13"/>
        <w:rPr>
          <w:rFonts w:hint="eastAsia"/>
          <w:highlight w:val="none"/>
          <w:lang w:val="en-US" w:eastAsia="zh-CN"/>
        </w:rPr>
      </w:pPr>
    </w:p>
    <w:p w14:paraId="6E97AE2E">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both"/>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附件：梧桐山片区防洪排涝及水毁修复基础设施建设工程项目工程勘察评审定标评分表</w:t>
      </w:r>
    </w:p>
    <w:p w14:paraId="51528B10">
      <w:pPr>
        <w:pStyle w:val="2"/>
        <w:rPr>
          <w:rFonts w:hint="eastAsia"/>
          <w:highlight w:val="none"/>
          <w:lang w:val="en-US" w:eastAsia="zh-CN"/>
        </w:rPr>
      </w:pPr>
    </w:p>
    <w:p w14:paraId="527F4CFF">
      <w:pPr>
        <w:keepNext w:val="0"/>
        <w:keepLines w:val="0"/>
        <w:widowControl w:val="0"/>
        <w:suppressLineNumbers w:val="0"/>
        <w:overflowPunct w:val="0"/>
        <w:topLinePunct/>
        <w:autoSpaceDE w:val="0"/>
        <w:autoSpaceDN/>
        <w:snapToGrid w:val="0"/>
        <w:spacing w:before="0" w:beforeAutospacing="0" w:after="0" w:afterAutospacing="0" w:line="560" w:lineRule="exact"/>
        <w:ind w:right="0"/>
        <w:jc w:val="both"/>
        <w:rPr>
          <w:rFonts w:hint="eastAsia" w:ascii="仿宋_GB2312" w:eastAsia="仿宋_GB2312" w:cs="仿宋_GB2312"/>
          <w:spacing w:val="0"/>
          <w:kern w:val="2"/>
          <w:sz w:val="32"/>
          <w:szCs w:val="32"/>
          <w:highlight w:val="none"/>
          <w:lang w:val="en-US" w:eastAsia="zh-CN" w:bidi="ar"/>
        </w:rPr>
      </w:pPr>
    </w:p>
    <w:p w14:paraId="12D2E364">
      <w:pPr>
        <w:keepNext w:val="0"/>
        <w:keepLines w:val="0"/>
        <w:widowControl w:val="0"/>
        <w:suppressLineNumbers w:val="0"/>
        <w:overflowPunct w:val="0"/>
        <w:topLinePunct/>
        <w:autoSpaceDE w:val="0"/>
        <w:autoSpaceDN/>
        <w:snapToGrid w:val="0"/>
        <w:spacing w:before="0" w:beforeAutospacing="0" w:after="0" w:afterAutospacing="0" w:line="560" w:lineRule="exact"/>
        <w:ind w:left="0" w:right="0" w:firstLine="641"/>
        <w:jc w:val="right"/>
        <w:rPr>
          <w:rFonts w:hint="eastAsia" w:ascii="仿宋_GB2312" w:eastAsia="仿宋_GB2312" w:cs="仿宋_GB2312"/>
          <w:spacing w:val="0"/>
          <w:kern w:val="2"/>
          <w:sz w:val="32"/>
          <w:szCs w:val="32"/>
          <w:highlight w:val="none"/>
          <w:lang w:val="en-US" w:eastAsia="zh-CN" w:bidi="ar"/>
        </w:rPr>
      </w:pPr>
      <w:r>
        <w:rPr>
          <w:rFonts w:hint="eastAsia" w:ascii="仿宋_GB2312" w:eastAsia="仿宋_GB2312" w:cs="仿宋_GB2312"/>
          <w:spacing w:val="0"/>
          <w:kern w:val="2"/>
          <w:sz w:val="32"/>
          <w:szCs w:val="32"/>
          <w:highlight w:val="none"/>
          <w:lang w:val="en-US" w:eastAsia="zh-CN" w:bidi="ar"/>
        </w:rPr>
        <w:t>深圳市罗湖区水务局</w:t>
      </w:r>
    </w:p>
    <w:p w14:paraId="049192B0">
      <w:pPr>
        <w:jc w:val="right"/>
        <w:rPr>
          <w:rFonts w:hint="default"/>
          <w:highlight w:val="none"/>
          <w:lang w:val="en-US" w:eastAsia="zh-CN"/>
        </w:rPr>
        <w:sectPr>
          <w:headerReference r:id="rId3" w:type="default"/>
          <w:footerReference r:id="rId4" w:type="default"/>
          <w:type w:val="continuous"/>
          <w:pgSz w:w="11906" w:h="16838"/>
          <w:pgMar w:top="1440" w:right="1800" w:bottom="1440" w:left="1800" w:header="851" w:footer="992" w:gutter="0"/>
          <w:cols w:space="720" w:num="1"/>
          <w:docGrid w:type="lines" w:linePitch="312" w:charSpace="0"/>
        </w:sectPr>
      </w:pPr>
      <w:r>
        <w:rPr>
          <w:rFonts w:hint="eastAsia" w:ascii="仿宋_GB2312" w:eastAsia="仿宋_GB2312" w:cs="仿宋_GB2312"/>
          <w:spacing w:val="0"/>
          <w:kern w:val="2"/>
          <w:sz w:val="32"/>
          <w:szCs w:val="32"/>
          <w:highlight w:val="none"/>
          <w:lang w:val="en-US" w:eastAsia="zh-CN" w:bidi="ar"/>
        </w:rPr>
        <w:t>2026年7月24日</w:t>
      </w:r>
    </w:p>
    <w:p w14:paraId="69A750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CESI仿宋-GB2312" w:hAnsi="CESI仿宋-GB2312" w:eastAsia="CESI仿宋-GB2312" w:cs="CESI仿宋-GB2312"/>
          <w:color w:val="auto"/>
          <w:spacing w:val="-6"/>
          <w:sz w:val="32"/>
          <w:szCs w:val="32"/>
          <w:highlight w:val="none"/>
          <w:lang w:val="en-US" w:eastAsia="zh-CN"/>
        </w:rPr>
      </w:pPr>
      <w:r>
        <w:rPr>
          <w:rFonts w:hint="eastAsia" w:ascii="仿宋_GB2312" w:eastAsia="仿宋_GB2312" w:cs="仿宋_GB2312"/>
          <w:spacing w:val="0"/>
          <w:kern w:val="2"/>
          <w:sz w:val="32"/>
          <w:szCs w:val="32"/>
          <w:highlight w:val="none"/>
          <w:lang w:val="en-US" w:eastAsia="zh-CN" w:bidi="ar"/>
        </w:rPr>
        <w:t>附件：梧桐山片区防洪排涝及水毁修复基础设施建设工程项目工程勘察</w:t>
      </w:r>
      <w:r>
        <w:rPr>
          <w:rFonts w:hint="eastAsia" w:ascii="CESI仿宋-GB2312" w:hAnsi="CESI仿宋-GB2312" w:eastAsia="CESI仿宋-GB2312" w:cs="CESI仿宋-GB2312"/>
          <w:color w:val="auto"/>
          <w:spacing w:val="-6"/>
          <w:sz w:val="32"/>
          <w:szCs w:val="32"/>
          <w:highlight w:val="none"/>
          <w:lang w:val="en-US" w:eastAsia="zh-CN"/>
        </w:rPr>
        <w:t>评审定标评分表</w:t>
      </w:r>
    </w:p>
    <w:tbl>
      <w:tblPr>
        <w:tblStyle w:val="8"/>
        <w:tblW w:w="9124" w:type="dxa"/>
        <w:jc w:val="center"/>
        <w:tblLayout w:type="fixed"/>
        <w:tblCellMar>
          <w:top w:w="0" w:type="dxa"/>
          <w:left w:w="108" w:type="dxa"/>
          <w:bottom w:w="0" w:type="dxa"/>
          <w:right w:w="108" w:type="dxa"/>
        </w:tblCellMar>
      </w:tblPr>
      <w:tblGrid>
        <w:gridCol w:w="675"/>
        <w:gridCol w:w="650"/>
        <w:gridCol w:w="1150"/>
        <w:gridCol w:w="737"/>
        <w:gridCol w:w="4113"/>
        <w:gridCol w:w="1112"/>
        <w:gridCol w:w="687"/>
      </w:tblGrid>
      <w:tr w14:paraId="225CCAA4">
        <w:tblPrEx>
          <w:tblCellMar>
            <w:top w:w="0" w:type="dxa"/>
            <w:left w:w="108" w:type="dxa"/>
            <w:bottom w:w="0" w:type="dxa"/>
            <w:right w:w="108" w:type="dxa"/>
          </w:tblCellMar>
        </w:tblPrEx>
        <w:trPr>
          <w:trHeight w:val="506" w:hRule="atLeast"/>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1E9CC25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序号</w:t>
            </w:r>
          </w:p>
        </w:tc>
        <w:tc>
          <w:tcPr>
            <w:tcW w:w="2537" w:type="dxa"/>
            <w:gridSpan w:val="3"/>
            <w:tcBorders>
              <w:top w:val="single" w:color="auto" w:sz="4" w:space="0"/>
              <w:left w:val="nil"/>
              <w:bottom w:val="single" w:color="auto" w:sz="4" w:space="0"/>
              <w:right w:val="single" w:color="auto" w:sz="4" w:space="0"/>
            </w:tcBorders>
            <w:noWrap w:val="0"/>
            <w:vAlign w:val="center"/>
          </w:tcPr>
          <w:p w14:paraId="7FF167B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评分项</w:t>
            </w:r>
          </w:p>
        </w:tc>
        <w:tc>
          <w:tcPr>
            <w:tcW w:w="4113" w:type="dxa"/>
            <w:tcBorders>
              <w:top w:val="single" w:color="auto" w:sz="4" w:space="0"/>
              <w:left w:val="nil"/>
              <w:bottom w:val="single" w:color="auto" w:sz="4" w:space="0"/>
              <w:right w:val="single" w:color="auto" w:sz="4" w:space="0"/>
            </w:tcBorders>
            <w:noWrap w:val="0"/>
            <w:vAlign w:val="center"/>
          </w:tcPr>
          <w:p w14:paraId="0F6F579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评分准则</w:t>
            </w:r>
          </w:p>
        </w:tc>
        <w:tc>
          <w:tcPr>
            <w:tcW w:w="1112" w:type="dxa"/>
            <w:tcBorders>
              <w:top w:val="single" w:color="auto" w:sz="4" w:space="0"/>
              <w:left w:val="nil"/>
              <w:bottom w:val="single" w:color="auto" w:sz="4" w:space="0"/>
              <w:right w:val="single" w:color="auto" w:sz="4" w:space="0"/>
            </w:tcBorders>
            <w:noWrap w:val="0"/>
            <w:vAlign w:val="center"/>
          </w:tcPr>
          <w:p w14:paraId="454E613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评分记录</w:t>
            </w:r>
          </w:p>
        </w:tc>
        <w:tc>
          <w:tcPr>
            <w:tcW w:w="687" w:type="dxa"/>
            <w:tcBorders>
              <w:top w:val="single" w:color="auto" w:sz="4" w:space="0"/>
              <w:left w:val="nil"/>
              <w:bottom w:val="single" w:color="auto" w:sz="4" w:space="0"/>
              <w:right w:val="single" w:color="auto" w:sz="4" w:space="0"/>
            </w:tcBorders>
            <w:noWrap w:val="0"/>
            <w:vAlign w:val="center"/>
          </w:tcPr>
          <w:p w14:paraId="23F2DA7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bCs w:val="0"/>
                <w:color w:val="auto"/>
                <w:spacing w:val="-6"/>
                <w:sz w:val="21"/>
                <w:szCs w:val="21"/>
                <w:highlight w:val="none"/>
              </w:rPr>
            </w:pPr>
            <w:r>
              <w:rPr>
                <w:rFonts w:hint="eastAsia" w:ascii="仿宋_GB2312" w:hAnsi="仿宋_GB2312" w:eastAsia="仿宋_GB2312" w:cs="仿宋_GB2312"/>
                <w:b/>
                <w:bCs w:val="0"/>
                <w:color w:val="auto"/>
                <w:spacing w:val="-6"/>
                <w:kern w:val="44"/>
                <w:sz w:val="21"/>
                <w:szCs w:val="21"/>
                <w:highlight w:val="none"/>
              </w:rPr>
              <w:t>评分</w:t>
            </w:r>
          </w:p>
        </w:tc>
      </w:tr>
      <w:tr w14:paraId="501ACDC3">
        <w:tblPrEx>
          <w:tblCellMar>
            <w:top w:w="0" w:type="dxa"/>
            <w:left w:w="108" w:type="dxa"/>
            <w:bottom w:w="0" w:type="dxa"/>
            <w:right w:w="108" w:type="dxa"/>
          </w:tblCellMar>
        </w:tblPrEx>
        <w:trPr>
          <w:trHeight w:val="650" w:hRule="atLeast"/>
          <w:jc w:val="center"/>
        </w:trPr>
        <w:tc>
          <w:tcPr>
            <w:tcW w:w="675" w:type="dxa"/>
            <w:tcBorders>
              <w:top w:val="nil"/>
              <w:left w:val="single" w:color="auto" w:sz="4" w:space="0"/>
              <w:bottom w:val="single" w:color="auto" w:sz="4" w:space="0"/>
              <w:right w:val="single" w:color="auto" w:sz="4" w:space="0"/>
            </w:tcBorders>
            <w:noWrap w:val="0"/>
            <w:vAlign w:val="center"/>
          </w:tcPr>
          <w:p w14:paraId="4A4D656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1</w:t>
            </w:r>
          </w:p>
        </w:tc>
        <w:tc>
          <w:tcPr>
            <w:tcW w:w="2537" w:type="dxa"/>
            <w:gridSpan w:val="3"/>
            <w:tcBorders>
              <w:top w:val="single" w:color="auto" w:sz="4" w:space="0"/>
              <w:left w:val="nil"/>
              <w:bottom w:val="single" w:color="auto" w:sz="4" w:space="0"/>
              <w:right w:val="single" w:color="auto" w:sz="4" w:space="0"/>
            </w:tcBorders>
            <w:noWrap w:val="0"/>
            <w:vAlign w:val="center"/>
          </w:tcPr>
          <w:p w14:paraId="15827DA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价格（权重</w:t>
            </w:r>
            <w:r>
              <w:rPr>
                <w:rFonts w:hint="eastAsia" w:ascii="仿宋_GB2312" w:hAnsi="仿宋_GB2312" w:eastAsia="仿宋_GB2312" w:cs="仿宋_GB2312"/>
                <w:b w:val="0"/>
                <w:bCs/>
                <w:color w:val="auto"/>
                <w:spacing w:val="-6"/>
                <w:kern w:val="44"/>
                <w:sz w:val="21"/>
                <w:szCs w:val="21"/>
                <w:highlight w:val="none"/>
                <w:lang w:val="en-US"/>
              </w:rPr>
              <w:t>10</w:t>
            </w:r>
            <w:r>
              <w:rPr>
                <w:rFonts w:hint="eastAsia" w:ascii="仿宋_GB2312" w:hAnsi="仿宋_GB2312" w:eastAsia="仿宋_GB2312" w:cs="仿宋_GB2312"/>
                <w:b w:val="0"/>
                <w:bCs/>
                <w:color w:val="auto"/>
                <w:spacing w:val="-6"/>
                <w:kern w:val="44"/>
                <w:sz w:val="21"/>
                <w:szCs w:val="21"/>
                <w:highlight w:val="none"/>
              </w:rPr>
              <w:t>）</w:t>
            </w:r>
          </w:p>
        </w:tc>
        <w:tc>
          <w:tcPr>
            <w:tcW w:w="4113" w:type="dxa"/>
            <w:tcBorders>
              <w:top w:val="single" w:color="auto" w:sz="4" w:space="0"/>
              <w:left w:val="nil"/>
              <w:bottom w:val="single" w:color="auto" w:sz="4" w:space="0"/>
              <w:right w:val="single" w:color="auto" w:sz="4" w:space="0"/>
            </w:tcBorders>
            <w:noWrap w:val="0"/>
            <w:vAlign w:val="center"/>
          </w:tcPr>
          <w:p w14:paraId="71AD55B3">
            <w:pPr>
              <w:keepNext w:val="0"/>
              <w:keepLines w:val="0"/>
              <w:pageBreakBefore w:val="0"/>
              <w:kinsoku/>
              <w:overflowPunct w:val="0"/>
              <w:topLinePunct/>
              <w:autoSpaceDE/>
              <w:autoSpaceDN w:val="0"/>
              <w:bidi w:val="0"/>
              <w:snapToGrid w:val="0"/>
              <w:spacing w:before="78" w:beforeLines="25" w:after="78" w:afterLines="25" w:line="560" w:lineRule="exact"/>
              <w:jc w:val="left"/>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价格分=[1-（投标报价-最低价）/最低价]×价格权重×100</w:t>
            </w:r>
          </w:p>
        </w:tc>
        <w:tc>
          <w:tcPr>
            <w:tcW w:w="1112" w:type="dxa"/>
            <w:tcBorders>
              <w:top w:val="single" w:color="auto" w:sz="4" w:space="0"/>
              <w:left w:val="nil"/>
              <w:bottom w:val="single" w:color="auto" w:sz="4" w:space="0"/>
              <w:right w:val="single" w:color="auto" w:sz="4" w:space="0"/>
            </w:tcBorders>
            <w:noWrap w:val="0"/>
            <w:vAlign w:val="center"/>
          </w:tcPr>
          <w:p w14:paraId="264B29C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66104B0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4856ED99">
        <w:tblPrEx>
          <w:tblCellMar>
            <w:top w:w="0" w:type="dxa"/>
            <w:left w:w="108" w:type="dxa"/>
            <w:bottom w:w="0" w:type="dxa"/>
            <w:right w:w="108" w:type="dxa"/>
          </w:tblCellMar>
        </w:tblPrEx>
        <w:trPr>
          <w:trHeight w:val="390" w:hRule="atLeast"/>
          <w:jc w:val="center"/>
        </w:trPr>
        <w:tc>
          <w:tcPr>
            <w:tcW w:w="675" w:type="dxa"/>
            <w:tcBorders>
              <w:top w:val="nil"/>
              <w:left w:val="single" w:color="auto" w:sz="4" w:space="0"/>
              <w:bottom w:val="single" w:color="auto" w:sz="4" w:space="0"/>
              <w:right w:val="single" w:color="auto" w:sz="4" w:space="0"/>
            </w:tcBorders>
            <w:noWrap w:val="0"/>
            <w:vAlign w:val="center"/>
          </w:tcPr>
          <w:p w14:paraId="28DEE68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2</w:t>
            </w:r>
          </w:p>
        </w:tc>
        <w:tc>
          <w:tcPr>
            <w:tcW w:w="2537" w:type="dxa"/>
            <w:gridSpan w:val="3"/>
            <w:tcBorders>
              <w:top w:val="single" w:color="auto" w:sz="4" w:space="0"/>
              <w:left w:val="nil"/>
              <w:bottom w:val="single" w:color="auto" w:sz="4" w:space="0"/>
              <w:right w:val="single" w:color="auto" w:sz="4" w:space="0"/>
            </w:tcBorders>
            <w:noWrap w:val="0"/>
            <w:vAlign w:val="center"/>
          </w:tcPr>
          <w:p w14:paraId="10E77DB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技术服务部分（权重</w:t>
            </w:r>
            <w:r>
              <w:rPr>
                <w:rFonts w:hint="eastAsia" w:ascii="仿宋_GB2312" w:hAnsi="仿宋_GB2312" w:eastAsia="仿宋_GB2312" w:cs="仿宋_GB2312"/>
                <w:b w:val="0"/>
                <w:bCs/>
                <w:color w:val="auto"/>
                <w:spacing w:val="-6"/>
                <w:kern w:val="44"/>
                <w:sz w:val="21"/>
                <w:szCs w:val="21"/>
                <w:highlight w:val="none"/>
                <w:lang w:val="en-US" w:eastAsia="zh-CN"/>
              </w:rPr>
              <w:t>45</w:t>
            </w:r>
            <w:r>
              <w:rPr>
                <w:rFonts w:hint="eastAsia" w:ascii="仿宋_GB2312" w:hAnsi="仿宋_GB2312" w:eastAsia="仿宋_GB2312" w:cs="仿宋_GB2312"/>
                <w:b w:val="0"/>
                <w:bCs/>
                <w:color w:val="auto"/>
                <w:spacing w:val="-6"/>
                <w:kern w:val="44"/>
                <w:sz w:val="21"/>
                <w:szCs w:val="21"/>
                <w:highlight w:val="none"/>
              </w:rPr>
              <w:t>）</w:t>
            </w:r>
          </w:p>
        </w:tc>
        <w:tc>
          <w:tcPr>
            <w:tcW w:w="4113" w:type="dxa"/>
            <w:vMerge w:val="restart"/>
            <w:tcBorders>
              <w:top w:val="single" w:color="auto" w:sz="4" w:space="0"/>
              <w:left w:val="nil"/>
              <w:bottom w:val="single" w:color="auto" w:sz="4" w:space="0"/>
              <w:right w:val="single" w:color="auto" w:sz="4" w:space="0"/>
            </w:tcBorders>
            <w:noWrap w:val="0"/>
            <w:vAlign w:val="center"/>
          </w:tcPr>
          <w:p w14:paraId="071AE7E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评分准则</w:t>
            </w:r>
          </w:p>
        </w:tc>
        <w:tc>
          <w:tcPr>
            <w:tcW w:w="1112" w:type="dxa"/>
            <w:vMerge w:val="restart"/>
            <w:tcBorders>
              <w:top w:val="single" w:color="auto" w:sz="4" w:space="0"/>
              <w:left w:val="nil"/>
              <w:bottom w:val="single" w:color="auto" w:sz="4" w:space="0"/>
              <w:right w:val="single" w:color="auto" w:sz="4" w:space="0"/>
            </w:tcBorders>
            <w:noWrap w:val="0"/>
            <w:vAlign w:val="center"/>
          </w:tcPr>
          <w:p w14:paraId="7E2AEBCE">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评分记录</w:t>
            </w:r>
          </w:p>
        </w:tc>
        <w:tc>
          <w:tcPr>
            <w:tcW w:w="687" w:type="dxa"/>
            <w:vMerge w:val="restart"/>
            <w:tcBorders>
              <w:top w:val="single" w:color="auto" w:sz="4" w:space="0"/>
              <w:left w:val="nil"/>
              <w:bottom w:val="single" w:color="auto" w:sz="4" w:space="0"/>
              <w:right w:val="single" w:color="auto" w:sz="4" w:space="0"/>
            </w:tcBorders>
            <w:noWrap w:val="0"/>
            <w:vAlign w:val="center"/>
          </w:tcPr>
          <w:p w14:paraId="69B5518E">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w:t>
            </w:r>
          </w:p>
        </w:tc>
      </w:tr>
      <w:tr w14:paraId="36AF158E">
        <w:tblPrEx>
          <w:tblCellMar>
            <w:top w:w="0" w:type="dxa"/>
            <w:left w:w="108" w:type="dxa"/>
            <w:bottom w:w="0" w:type="dxa"/>
            <w:right w:w="108" w:type="dxa"/>
          </w:tblCellMar>
        </w:tblPrEx>
        <w:trPr>
          <w:trHeight w:val="400" w:hRule="atLeast"/>
          <w:jc w:val="center"/>
        </w:trPr>
        <w:tc>
          <w:tcPr>
            <w:tcW w:w="675" w:type="dxa"/>
            <w:vMerge w:val="restart"/>
            <w:tcBorders>
              <w:top w:val="nil"/>
              <w:left w:val="single" w:color="auto" w:sz="4" w:space="0"/>
              <w:bottom w:val="nil"/>
              <w:right w:val="single" w:color="auto" w:sz="4" w:space="0"/>
            </w:tcBorders>
            <w:noWrap w:val="0"/>
            <w:vAlign w:val="center"/>
          </w:tcPr>
          <w:p w14:paraId="382AAED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rPr>
            </w:pPr>
          </w:p>
        </w:tc>
        <w:tc>
          <w:tcPr>
            <w:tcW w:w="650" w:type="dxa"/>
            <w:tcBorders>
              <w:top w:val="single" w:color="auto" w:sz="4" w:space="0"/>
              <w:left w:val="nil"/>
              <w:bottom w:val="single" w:color="auto" w:sz="4" w:space="0"/>
              <w:right w:val="single" w:color="auto" w:sz="4" w:space="0"/>
            </w:tcBorders>
            <w:noWrap w:val="0"/>
            <w:vAlign w:val="center"/>
          </w:tcPr>
          <w:p w14:paraId="46FD46A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序号</w:t>
            </w:r>
          </w:p>
        </w:tc>
        <w:tc>
          <w:tcPr>
            <w:tcW w:w="1150" w:type="dxa"/>
            <w:tcBorders>
              <w:top w:val="single" w:color="auto" w:sz="4" w:space="0"/>
              <w:left w:val="nil"/>
              <w:bottom w:val="single" w:color="auto" w:sz="4" w:space="0"/>
              <w:right w:val="single" w:color="auto" w:sz="4" w:space="0"/>
            </w:tcBorders>
            <w:noWrap w:val="0"/>
            <w:vAlign w:val="center"/>
          </w:tcPr>
          <w:p w14:paraId="04903E8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评分因素</w:t>
            </w:r>
          </w:p>
        </w:tc>
        <w:tc>
          <w:tcPr>
            <w:tcW w:w="737" w:type="dxa"/>
            <w:tcBorders>
              <w:top w:val="single" w:color="auto" w:sz="4" w:space="0"/>
              <w:left w:val="nil"/>
              <w:bottom w:val="single" w:color="auto" w:sz="4" w:space="0"/>
              <w:right w:val="single" w:color="auto" w:sz="4" w:space="0"/>
            </w:tcBorders>
            <w:noWrap w:val="0"/>
            <w:vAlign w:val="center"/>
          </w:tcPr>
          <w:p w14:paraId="79F26A3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权重</w:t>
            </w:r>
          </w:p>
        </w:tc>
        <w:tc>
          <w:tcPr>
            <w:tcW w:w="4113" w:type="dxa"/>
            <w:vMerge w:val="continue"/>
            <w:tcBorders>
              <w:top w:val="single" w:color="auto" w:sz="4" w:space="0"/>
              <w:left w:val="nil"/>
              <w:bottom w:val="single" w:color="auto" w:sz="4" w:space="0"/>
              <w:right w:val="single" w:color="auto" w:sz="4" w:space="0"/>
            </w:tcBorders>
            <w:noWrap w:val="0"/>
            <w:vAlign w:val="center"/>
          </w:tcPr>
          <w:p w14:paraId="0C5351B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1112" w:type="dxa"/>
            <w:vMerge w:val="continue"/>
            <w:tcBorders>
              <w:top w:val="single" w:color="auto" w:sz="4" w:space="0"/>
              <w:left w:val="nil"/>
              <w:bottom w:val="single" w:color="auto" w:sz="4" w:space="0"/>
              <w:right w:val="single" w:color="auto" w:sz="4" w:space="0"/>
            </w:tcBorders>
            <w:noWrap w:val="0"/>
            <w:vAlign w:val="center"/>
          </w:tcPr>
          <w:p w14:paraId="7E2B557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vMerge w:val="continue"/>
            <w:tcBorders>
              <w:top w:val="single" w:color="auto" w:sz="4" w:space="0"/>
              <w:left w:val="nil"/>
              <w:bottom w:val="single" w:color="auto" w:sz="4" w:space="0"/>
              <w:right w:val="single" w:color="auto" w:sz="4" w:space="0"/>
            </w:tcBorders>
            <w:noWrap w:val="0"/>
            <w:vAlign w:val="center"/>
          </w:tcPr>
          <w:p w14:paraId="30F5143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1CB030F5">
        <w:tblPrEx>
          <w:tblCellMar>
            <w:top w:w="0" w:type="dxa"/>
            <w:left w:w="108" w:type="dxa"/>
            <w:bottom w:w="0" w:type="dxa"/>
            <w:right w:w="108" w:type="dxa"/>
          </w:tblCellMar>
        </w:tblPrEx>
        <w:trPr>
          <w:trHeight w:val="3749" w:hRule="atLeast"/>
          <w:jc w:val="center"/>
        </w:trPr>
        <w:tc>
          <w:tcPr>
            <w:tcW w:w="675" w:type="dxa"/>
            <w:vMerge w:val="continue"/>
            <w:tcBorders>
              <w:top w:val="nil"/>
              <w:left w:val="single" w:color="auto" w:sz="4" w:space="0"/>
              <w:bottom w:val="nil"/>
              <w:right w:val="single" w:color="auto" w:sz="4" w:space="0"/>
            </w:tcBorders>
            <w:noWrap w:val="0"/>
            <w:vAlign w:val="center"/>
          </w:tcPr>
          <w:p w14:paraId="194AFBC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06127AC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1</w:t>
            </w:r>
          </w:p>
        </w:tc>
        <w:tc>
          <w:tcPr>
            <w:tcW w:w="1150" w:type="dxa"/>
            <w:tcBorders>
              <w:top w:val="single" w:color="auto" w:sz="4" w:space="0"/>
              <w:left w:val="nil"/>
              <w:bottom w:val="single" w:color="auto" w:sz="4" w:space="0"/>
              <w:right w:val="single" w:color="auto" w:sz="4" w:space="0"/>
            </w:tcBorders>
            <w:noWrap w:val="0"/>
            <w:vAlign w:val="center"/>
          </w:tcPr>
          <w:p w14:paraId="6F1AAFD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项目整体实施方案总评价</w:t>
            </w:r>
          </w:p>
        </w:tc>
        <w:tc>
          <w:tcPr>
            <w:tcW w:w="737" w:type="dxa"/>
            <w:tcBorders>
              <w:top w:val="single" w:color="auto" w:sz="4" w:space="0"/>
              <w:left w:val="nil"/>
              <w:bottom w:val="single" w:color="auto" w:sz="4" w:space="0"/>
              <w:right w:val="single" w:color="auto" w:sz="4" w:space="0"/>
            </w:tcBorders>
            <w:noWrap w:val="0"/>
            <w:vAlign w:val="center"/>
          </w:tcPr>
          <w:p w14:paraId="2EB87A8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20</w:t>
            </w:r>
          </w:p>
        </w:tc>
        <w:tc>
          <w:tcPr>
            <w:tcW w:w="4113" w:type="dxa"/>
            <w:tcBorders>
              <w:top w:val="single" w:color="auto" w:sz="4" w:space="0"/>
              <w:left w:val="nil"/>
              <w:bottom w:val="single" w:color="auto" w:sz="4" w:space="0"/>
              <w:right w:val="single" w:color="auto" w:sz="4" w:space="0"/>
            </w:tcBorders>
            <w:noWrap w:val="0"/>
            <w:vAlign w:val="top"/>
          </w:tcPr>
          <w:p w14:paraId="3594D614">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勘察方案完整覆盖横沥口水库及所有河道全线，勘察手段、勘探点位、测绘范围完全匹配水毁修复、箱涵重建、清淤整治工程；勘察深度同时满足初步设计、施工图设计双阶段规范要求，方案逻辑完整、可落地，得20分；</w:t>
            </w:r>
          </w:p>
          <w:p w14:paraId="3EAD1F63">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（2）勘察范围覆盖全部建设区域，满足初设勘察深度，但未针对施工图阶段补充勘探、地质复核制定专项方案，得14分；</w:t>
            </w:r>
          </w:p>
          <w:p w14:paraId="1BB8A97A">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（3）仅覆盖部分河道勘察内容，水库、箱涵、水毁修复重点区域勘察措施缺失，得8分；</w:t>
            </w:r>
          </w:p>
          <w:p w14:paraId="12C1D153">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rPr>
            </w:pPr>
            <w:r>
              <w:rPr>
                <w:rFonts w:hint="eastAsia" w:ascii="仿宋_GB2312" w:hAnsi="仿宋_GB2312" w:eastAsia="仿宋_GB2312" w:cs="仿宋_GB2312"/>
                <w:b w:val="0"/>
                <w:bCs/>
                <w:color w:val="auto"/>
                <w:spacing w:val="-6"/>
                <w:kern w:val="44"/>
                <w:sz w:val="21"/>
                <w:szCs w:val="21"/>
                <w:highlight w:val="none"/>
                <w:lang w:val="en-US" w:eastAsia="zh-CN"/>
              </w:rPr>
              <w:t>（4）方案内容缺失严重，对项目勘察需求理解存在明显偏差，或未提交实施方案，得0分。</w:t>
            </w:r>
          </w:p>
        </w:tc>
        <w:tc>
          <w:tcPr>
            <w:tcW w:w="1112" w:type="dxa"/>
            <w:tcBorders>
              <w:top w:val="single" w:color="auto" w:sz="4" w:space="0"/>
              <w:left w:val="nil"/>
              <w:bottom w:val="single" w:color="auto" w:sz="4" w:space="0"/>
              <w:right w:val="single" w:color="auto" w:sz="4" w:space="0"/>
            </w:tcBorders>
            <w:noWrap w:val="0"/>
            <w:vAlign w:val="center"/>
          </w:tcPr>
          <w:p w14:paraId="0639BFC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69A432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009DE0EF">
        <w:tblPrEx>
          <w:tblCellMar>
            <w:top w:w="0" w:type="dxa"/>
            <w:left w:w="108" w:type="dxa"/>
            <w:bottom w:w="0" w:type="dxa"/>
            <w:right w:w="108" w:type="dxa"/>
          </w:tblCellMar>
        </w:tblPrEx>
        <w:trPr>
          <w:jc w:val="center"/>
        </w:trPr>
        <w:tc>
          <w:tcPr>
            <w:tcW w:w="675" w:type="dxa"/>
            <w:vMerge w:val="continue"/>
            <w:tcBorders>
              <w:top w:val="nil"/>
              <w:left w:val="single" w:color="auto" w:sz="4" w:space="0"/>
              <w:bottom w:val="nil"/>
              <w:right w:val="single" w:color="auto" w:sz="4" w:space="0"/>
            </w:tcBorders>
            <w:noWrap w:val="0"/>
            <w:vAlign w:val="center"/>
          </w:tcPr>
          <w:p w14:paraId="2336C1E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233077A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2</w:t>
            </w:r>
          </w:p>
        </w:tc>
        <w:tc>
          <w:tcPr>
            <w:tcW w:w="1150" w:type="dxa"/>
            <w:tcBorders>
              <w:top w:val="single" w:color="auto" w:sz="4" w:space="0"/>
              <w:left w:val="nil"/>
              <w:bottom w:val="single" w:color="auto" w:sz="4" w:space="0"/>
              <w:right w:val="single" w:color="auto" w:sz="4" w:space="0"/>
            </w:tcBorders>
            <w:noWrap w:val="0"/>
            <w:vAlign w:val="center"/>
          </w:tcPr>
          <w:p w14:paraId="76C650A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项目重难点分析、针对性技术措施及管理建议</w:t>
            </w:r>
          </w:p>
        </w:tc>
        <w:tc>
          <w:tcPr>
            <w:tcW w:w="737" w:type="dxa"/>
            <w:tcBorders>
              <w:top w:val="single" w:color="auto" w:sz="4" w:space="0"/>
              <w:left w:val="nil"/>
              <w:bottom w:val="single" w:color="auto" w:sz="4" w:space="0"/>
              <w:right w:val="single" w:color="auto" w:sz="4" w:space="0"/>
            </w:tcBorders>
            <w:noWrap w:val="0"/>
            <w:vAlign w:val="center"/>
          </w:tcPr>
          <w:p w14:paraId="0C6DFF8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top"/>
          </w:tcPr>
          <w:p w14:paraId="5A0AD069">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（1）精准梳理多河道带状勘察、库区淤积取样、水毁挡墙病害勘察、城区狭小场地钻探等重难点，配套专项勘察技术措施；同时提供3条及以上勘察全过程、分阶段管理优化建议，得10分；</w:t>
            </w:r>
          </w:p>
          <w:p w14:paraId="02A159EA">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（2）识别2-3项项目勘察重难点，配套基础勘察技术措施，提供1-2条管理优化建议，得6分；</w:t>
            </w:r>
          </w:p>
          <w:p w14:paraId="613E6F51">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（3）仅简单罗列勘察难点，无配套专项勘察措施、无管理优化建议，得2分；</w:t>
            </w:r>
          </w:p>
          <w:p w14:paraId="0F892436">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（4）未开展重难点分析、无针对性勘察技术措施，得0分。</w:t>
            </w:r>
          </w:p>
        </w:tc>
        <w:tc>
          <w:tcPr>
            <w:tcW w:w="1112" w:type="dxa"/>
            <w:tcBorders>
              <w:top w:val="single" w:color="auto" w:sz="4" w:space="0"/>
              <w:left w:val="nil"/>
              <w:bottom w:val="single" w:color="auto" w:sz="4" w:space="0"/>
              <w:right w:val="single" w:color="auto" w:sz="4" w:space="0"/>
            </w:tcBorders>
            <w:noWrap w:val="0"/>
            <w:vAlign w:val="center"/>
          </w:tcPr>
          <w:p w14:paraId="28A660A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2DBCDE1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2DBC30C9">
        <w:tblPrEx>
          <w:tblCellMar>
            <w:top w:w="0" w:type="dxa"/>
            <w:left w:w="108" w:type="dxa"/>
            <w:bottom w:w="0" w:type="dxa"/>
            <w:right w:w="108" w:type="dxa"/>
          </w:tblCellMar>
        </w:tblPrEx>
        <w:trPr>
          <w:jc w:val="center"/>
        </w:trPr>
        <w:tc>
          <w:tcPr>
            <w:tcW w:w="675" w:type="dxa"/>
            <w:tcBorders>
              <w:top w:val="nil"/>
              <w:left w:val="single" w:color="auto" w:sz="4" w:space="0"/>
              <w:bottom w:val="nil"/>
              <w:right w:val="single" w:color="auto" w:sz="4" w:space="0"/>
            </w:tcBorders>
            <w:noWrap w:val="0"/>
            <w:vAlign w:val="center"/>
          </w:tcPr>
          <w:p w14:paraId="6690E25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270FEF0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rPr>
              <w:t>3</w:t>
            </w:r>
          </w:p>
        </w:tc>
        <w:tc>
          <w:tcPr>
            <w:tcW w:w="1150" w:type="dxa"/>
            <w:tcBorders>
              <w:top w:val="single" w:color="auto" w:sz="4" w:space="0"/>
              <w:left w:val="nil"/>
              <w:bottom w:val="single" w:color="auto" w:sz="4" w:space="0"/>
              <w:right w:val="single" w:color="auto" w:sz="4" w:space="0"/>
            </w:tcBorders>
            <w:noWrap w:val="0"/>
            <w:vAlign w:val="center"/>
          </w:tcPr>
          <w:p w14:paraId="501F871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进度计划及服务保障措施</w:t>
            </w:r>
          </w:p>
        </w:tc>
        <w:tc>
          <w:tcPr>
            <w:tcW w:w="737" w:type="dxa"/>
            <w:tcBorders>
              <w:top w:val="single" w:color="auto" w:sz="4" w:space="0"/>
              <w:left w:val="nil"/>
              <w:bottom w:val="single" w:color="auto" w:sz="4" w:space="0"/>
              <w:right w:val="single" w:color="auto" w:sz="4" w:space="0"/>
            </w:tcBorders>
            <w:noWrap w:val="0"/>
            <w:vAlign w:val="center"/>
          </w:tcPr>
          <w:p w14:paraId="63D7B36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top"/>
          </w:tcPr>
          <w:p w14:paraId="50BD6A83">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（1）勘察工期分阶段节点清晰，包含外业、试验、报告编制、初设修改全流程；明确承诺持续服务至施工图审批办结，配套人员、设备、补勘、技术答疑四项完整保障机制，得10分；</w:t>
            </w:r>
          </w:p>
          <w:p w14:paraId="498D8A95">
            <w:pPr>
              <w:keepNext w:val="0"/>
              <w:keepLines w:val="0"/>
              <w:widowControl/>
              <w:suppressLineNumbers w:val="0"/>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（2）提供完整勘察进度计划，仅配备人员、设备两项基础保障措施，施工图阶段服务承诺简单笼统，得6分；</w:t>
            </w:r>
          </w:p>
          <w:p w14:paraId="391B0CD9">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（3）仅标注总工期，无细分节点，服务保障措施简略，未明确施工图配套服务责任，得2分；</w:t>
            </w:r>
          </w:p>
          <w:p w14:paraId="0B62936C">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（4）未提供勘察进度计划、全周期服务保障方案，得0分。</w:t>
            </w:r>
          </w:p>
        </w:tc>
        <w:tc>
          <w:tcPr>
            <w:tcW w:w="1112" w:type="dxa"/>
            <w:tcBorders>
              <w:top w:val="single" w:color="auto" w:sz="4" w:space="0"/>
              <w:left w:val="nil"/>
              <w:bottom w:val="single" w:color="auto" w:sz="4" w:space="0"/>
              <w:right w:val="single" w:color="auto" w:sz="4" w:space="0"/>
            </w:tcBorders>
            <w:noWrap w:val="0"/>
            <w:vAlign w:val="center"/>
          </w:tcPr>
          <w:p w14:paraId="64BB714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33C79D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3234DE1C">
        <w:tblPrEx>
          <w:tblCellMar>
            <w:top w:w="0" w:type="dxa"/>
            <w:left w:w="108" w:type="dxa"/>
            <w:bottom w:w="0" w:type="dxa"/>
            <w:right w:w="108" w:type="dxa"/>
          </w:tblCellMar>
        </w:tblPrEx>
        <w:trPr>
          <w:trHeight w:val="245" w:hRule="atLeast"/>
          <w:jc w:val="center"/>
        </w:trPr>
        <w:tc>
          <w:tcPr>
            <w:tcW w:w="675" w:type="dxa"/>
            <w:tcBorders>
              <w:top w:val="nil"/>
              <w:left w:val="single" w:color="auto" w:sz="4" w:space="0"/>
              <w:bottom w:val="nil"/>
              <w:right w:val="single" w:color="auto" w:sz="4" w:space="0"/>
            </w:tcBorders>
            <w:noWrap w:val="0"/>
            <w:vAlign w:val="center"/>
          </w:tcPr>
          <w:p w14:paraId="243A92C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3C6A3AA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4</w:t>
            </w:r>
          </w:p>
        </w:tc>
        <w:tc>
          <w:tcPr>
            <w:tcW w:w="1150" w:type="dxa"/>
            <w:tcBorders>
              <w:top w:val="single" w:color="auto" w:sz="4" w:space="0"/>
              <w:left w:val="nil"/>
              <w:bottom w:val="single" w:color="auto" w:sz="4" w:space="0"/>
              <w:right w:val="single" w:color="auto" w:sz="4" w:space="0"/>
            </w:tcBorders>
            <w:noWrap w:val="0"/>
            <w:vAlign w:val="center"/>
          </w:tcPr>
          <w:p w14:paraId="381F94C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eastAsia="zh-CN"/>
              </w:rPr>
              <w:t>履约违约承诺</w:t>
            </w:r>
          </w:p>
        </w:tc>
        <w:tc>
          <w:tcPr>
            <w:tcW w:w="737" w:type="dxa"/>
            <w:tcBorders>
              <w:top w:val="single" w:color="auto" w:sz="4" w:space="0"/>
              <w:left w:val="nil"/>
              <w:bottom w:val="single" w:color="auto" w:sz="4" w:space="0"/>
              <w:right w:val="single" w:color="auto" w:sz="4" w:space="0"/>
            </w:tcBorders>
            <w:noWrap w:val="0"/>
            <w:vAlign w:val="center"/>
          </w:tcPr>
          <w:p w14:paraId="338B7B0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5</w:t>
            </w:r>
          </w:p>
        </w:tc>
        <w:tc>
          <w:tcPr>
            <w:tcW w:w="4113" w:type="dxa"/>
            <w:tcBorders>
              <w:top w:val="single" w:color="auto" w:sz="4" w:space="0"/>
              <w:left w:val="nil"/>
              <w:bottom w:val="single" w:color="auto" w:sz="4" w:space="0"/>
              <w:right w:val="single" w:color="auto" w:sz="4" w:space="0"/>
            </w:tcBorders>
            <w:noWrap w:val="0"/>
            <w:vAlign w:val="top"/>
          </w:tcPr>
          <w:p w14:paraId="425ECCA4">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（1）书面承诺按合同要求完成勘察成果、配合初设及施工图全周期补勘、技术答疑、不分包转包；清晰约定逾期交付、勘察成果不达标对应的违约赔偿条款，得5分；</w:t>
            </w:r>
          </w:p>
          <w:p w14:paraId="3EB7004A">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（2）仅承诺按期完成勘察工作，未明确施工图配套服务及违约责任，得3分；</w:t>
            </w:r>
          </w:p>
          <w:p w14:paraId="5B07B833">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（3）履约承诺内容简短，缺失施工图全周期服务核心条款，得1分；</w:t>
            </w:r>
          </w:p>
          <w:p w14:paraId="60962461">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lang w:val="en-US" w:eastAsia="zh-CN"/>
              </w:rPr>
              <w:t>（4）未提供书面履约及违约承诺文件，得0分。</w:t>
            </w:r>
          </w:p>
        </w:tc>
        <w:tc>
          <w:tcPr>
            <w:tcW w:w="1112" w:type="dxa"/>
            <w:tcBorders>
              <w:top w:val="single" w:color="auto" w:sz="4" w:space="0"/>
              <w:left w:val="nil"/>
              <w:bottom w:val="single" w:color="auto" w:sz="4" w:space="0"/>
              <w:right w:val="single" w:color="auto" w:sz="4" w:space="0"/>
            </w:tcBorders>
            <w:noWrap w:val="0"/>
            <w:vAlign w:val="center"/>
          </w:tcPr>
          <w:p w14:paraId="2E0FCBF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4DDFE30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749D15D8">
        <w:tblPrEx>
          <w:tblCellMar>
            <w:top w:w="0" w:type="dxa"/>
            <w:left w:w="108" w:type="dxa"/>
            <w:bottom w:w="0" w:type="dxa"/>
            <w:right w:w="108" w:type="dxa"/>
          </w:tblCellMar>
        </w:tblPrEx>
        <w:trPr>
          <w:jc w:val="center"/>
        </w:trPr>
        <w:tc>
          <w:tcPr>
            <w:tcW w:w="675" w:type="dxa"/>
            <w:tcBorders>
              <w:top w:val="single" w:color="auto" w:sz="4" w:space="0"/>
              <w:left w:val="single" w:color="auto" w:sz="4" w:space="0"/>
              <w:bottom w:val="single" w:color="auto" w:sz="4" w:space="0"/>
              <w:right w:val="single" w:color="auto" w:sz="4" w:space="0"/>
            </w:tcBorders>
            <w:noWrap w:val="0"/>
            <w:vAlign w:val="center"/>
          </w:tcPr>
          <w:p w14:paraId="28F3044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3</w:t>
            </w:r>
          </w:p>
        </w:tc>
        <w:tc>
          <w:tcPr>
            <w:tcW w:w="2537" w:type="dxa"/>
            <w:gridSpan w:val="3"/>
            <w:tcBorders>
              <w:top w:val="single" w:color="auto" w:sz="4" w:space="0"/>
              <w:left w:val="nil"/>
              <w:bottom w:val="single" w:color="auto" w:sz="4" w:space="0"/>
              <w:right w:val="single" w:color="auto" w:sz="4" w:space="0"/>
            </w:tcBorders>
            <w:noWrap w:val="0"/>
            <w:vAlign w:val="center"/>
          </w:tcPr>
          <w:p w14:paraId="476706F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商务部分（权重</w:t>
            </w:r>
            <w:r>
              <w:rPr>
                <w:rFonts w:hint="eastAsia" w:ascii="仿宋_GB2312" w:hAnsi="仿宋_GB2312" w:eastAsia="仿宋_GB2312" w:cs="仿宋_GB2312"/>
                <w:b w:val="0"/>
                <w:bCs/>
                <w:color w:val="auto"/>
                <w:spacing w:val="-6"/>
                <w:kern w:val="44"/>
                <w:sz w:val="21"/>
                <w:szCs w:val="21"/>
                <w:highlight w:val="none"/>
                <w:lang w:val="en-US" w:eastAsia="zh-CN"/>
              </w:rPr>
              <w:t>45</w:t>
            </w:r>
            <w:r>
              <w:rPr>
                <w:rFonts w:hint="eastAsia" w:ascii="仿宋_GB2312" w:hAnsi="仿宋_GB2312" w:eastAsia="仿宋_GB2312" w:cs="仿宋_GB2312"/>
                <w:b w:val="0"/>
                <w:bCs/>
                <w:color w:val="auto"/>
                <w:spacing w:val="-6"/>
                <w:kern w:val="44"/>
                <w:sz w:val="21"/>
                <w:szCs w:val="21"/>
                <w:highlight w:val="none"/>
              </w:rPr>
              <w:t>）</w:t>
            </w:r>
          </w:p>
        </w:tc>
        <w:tc>
          <w:tcPr>
            <w:tcW w:w="4113" w:type="dxa"/>
            <w:tcBorders>
              <w:top w:val="single" w:color="auto" w:sz="4" w:space="0"/>
              <w:left w:val="nil"/>
              <w:bottom w:val="single" w:color="auto" w:sz="4" w:space="0"/>
              <w:right w:val="single" w:color="auto" w:sz="4" w:space="0"/>
            </w:tcBorders>
            <w:noWrap w:val="0"/>
            <w:vAlign w:val="center"/>
          </w:tcPr>
          <w:p w14:paraId="696D4B7F">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评分准则</w:t>
            </w:r>
          </w:p>
        </w:tc>
        <w:tc>
          <w:tcPr>
            <w:tcW w:w="1112" w:type="dxa"/>
            <w:tcBorders>
              <w:top w:val="single" w:color="auto" w:sz="4" w:space="0"/>
              <w:left w:val="nil"/>
              <w:bottom w:val="single" w:color="auto" w:sz="4" w:space="0"/>
              <w:right w:val="single" w:color="auto" w:sz="4" w:space="0"/>
            </w:tcBorders>
            <w:noWrap w:val="0"/>
            <w:vAlign w:val="center"/>
          </w:tcPr>
          <w:p w14:paraId="3C14A93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评分记录</w:t>
            </w:r>
          </w:p>
        </w:tc>
        <w:tc>
          <w:tcPr>
            <w:tcW w:w="687" w:type="dxa"/>
            <w:tcBorders>
              <w:top w:val="single" w:color="auto" w:sz="4" w:space="0"/>
              <w:left w:val="nil"/>
              <w:bottom w:val="single" w:color="auto" w:sz="4" w:space="0"/>
              <w:right w:val="single" w:color="auto" w:sz="4" w:space="0"/>
            </w:tcBorders>
            <w:noWrap w:val="0"/>
            <w:vAlign w:val="center"/>
          </w:tcPr>
          <w:p w14:paraId="0453E88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w:t>
            </w:r>
          </w:p>
        </w:tc>
      </w:tr>
      <w:tr w14:paraId="342C07D9">
        <w:tblPrEx>
          <w:tblCellMar>
            <w:top w:w="0" w:type="dxa"/>
            <w:left w:w="108" w:type="dxa"/>
            <w:bottom w:w="0" w:type="dxa"/>
            <w:right w:w="108" w:type="dxa"/>
          </w:tblCellMar>
        </w:tblPrEx>
        <w:trPr>
          <w:jc w:val="center"/>
        </w:trPr>
        <w:tc>
          <w:tcPr>
            <w:tcW w:w="675" w:type="dxa"/>
            <w:vMerge w:val="restart"/>
            <w:tcBorders>
              <w:top w:val="nil"/>
              <w:left w:val="single" w:color="auto" w:sz="4" w:space="0"/>
              <w:right w:val="single" w:color="auto" w:sz="4" w:space="0"/>
            </w:tcBorders>
            <w:noWrap w:val="0"/>
            <w:vAlign w:val="center"/>
          </w:tcPr>
          <w:p w14:paraId="43F8A7B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7A159EF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序号</w:t>
            </w:r>
          </w:p>
        </w:tc>
        <w:tc>
          <w:tcPr>
            <w:tcW w:w="1150" w:type="dxa"/>
            <w:tcBorders>
              <w:top w:val="single" w:color="auto" w:sz="4" w:space="0"/>
              <w:left w:val="nil"/>
              <w:bottom w:val="single" w:color="auto" w:sz="4" w:space="0"/>
              <w:right w:val="single" w:color="auto" w:sz="4" w:space="0"/>
            </w:tcBorders>
            <w:noWrap w:val="0"/>
            <w:vAlign w:val="center"/>
          </w:tcPr>
          <w:p w14:paraId="7513945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评分因素</w:t>
            </w:r>
          </w:p>
        </w:tc>
        <w:tc>
          <w:tcPr>
            <w:tcW w:w="737" w:type="dxa"/>
            <w:tcBorders>
              <w:top w:val="single" w:color="auto" w:sz="4" w:space="0"/>
              <w:left w:val="nil"/>
              <w:bottom w:val="single" w:color="auto" w:sz="4" w:space="0"/>
              <w:right w:val="single" w:color="auto" w:sz="4" w:space="0"/>
            </w:tcBorders>
            <w:noWrap w:val="0"/>
            <w:vAlign w:val="center"/>
          </w:tcPr>
          <w:p w14:paraId="3F20ED5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权重</w:t>
            </w:r>
          </w:p>
        </w:tc>
        <w:tc>
          <w:tcPr>
            <w:tcW w:w="4113" w:type="dxa"/>
            <w:tcBorders>
              <w:top w:val="single" w:color="auto" w:sz="4" w:space="0"/>
              <w:left w:val="nil"/>
              <w:bottom w:val="single" w:color="auto" w:sz="4" w:space="0"/>
              <w:right w:val="single" w:color="auto" w:sz="4" w:space="0"/>
            </w:tcBorders>
            <w:noWrap w:val="0"/>
            <w:vAlign w:val="center"/>
          </w:tcPr>
          <w:p w14:paraId="74F05F99">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p>
        </w:tc>
        <w:tc>
          <w:tcPr>
            <w:tcW w:w="1112" w:type="dxa"/>
            <w:tcBorders>
              <w:top w:val="single" w:color="auto" w:sz="4" w:space="0"/>
              <w:left w:val="nil"/>
              <w:bottom w:val="single" w:color="auto" w:sz="4" w:space="0"/>
              <w:right w:val="single" w:color="auto" w:sz="4" w:space="0"/>
            </w:tcBorders>
            <w:noWrap w:val="0"/>
            <w:vAlign w:val="center"/>
          </w:tcPr>
          <w:p w14:paraId="3779D7E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0FB8F0A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r w14:paraId="64E52CC4">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6EB8DF4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5DDC4B7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color w:val="auto"/>
                <w:spacing w:val="-6"/>
                <w:sz w:val="21"/>
                <w:szCs w:val="21"/>
                <w:highlight w:val="none"/>
                <w:lang w:val="en-US" w:eastAsia="zh-CN"/>
              </w:rPr>
              <w:t>1</w:t>
            </w:r>
          </w:p>
        </w:tc>
        <w:tc>
          <w:tcPr>
            <w:tcW w:w="1150" w:type="dxa"/>
            <w:tcBorders>
              <w:top w:val="single" w:color="auto" w:sz="4" w:space="0"/>
              <w:left w:val="nil"/>
              <w:bottom w:val="single" w:color="auto" w:sz="4" w:space="0"/>
              <w:right w:val="single" w:color="auto" w:sz="4" w:space="0"/>
            </w:tcBorders>
            <w:noWrap w:val="0"/>
            <w:vAlign w:val="center"/>
          </w:tcPr>
          <w:p w14:paraId="64C0C32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color w:val="auto"/>
                <w:spacing w:val="-6"/>
                <w:sz w:val="21"/>
                <w:szCs w:val="21"/>
                <w:highlight w:val="none"/>
                <w:lang w:val="en-US" w:eastAsia="zh-CN"/>
              </w:rPr>
              <w:t>同类业绩和资质情况</w:t>
            </w:r>
          </w:p>
          <w:p w14:paraId="24F8372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p w14:paraId="37AC706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0E2016A3">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rPr>
              <w:t>1</w:t>
            </w:r>
            <w:r>
              <w:rPr>
                <w:rFonts w:hint="eastAsia" w:ascii="仿宋_GB2312" w:hAnsi="仿宋_GB2312" w:eastAsia="仿宋_GB2312" w:cs="仿宋_GB2312"/>
                <w:b w:val="0"/>
                <w:bCs/>
                <w:color w:val="auto"/>
                <w:spacing w:val="-6"/>
                <w:kern w:val="44"/>
                <w:sz w:val="21"/>
                <w:szCs w:val="21"/>
                <w:highlight w:val="none"/>
                <w:lang w:val="en-US" w:eastAsia="zh-CN"/>
              </w:rPr>
              <w:t>5</w:t>
            </w:r>
          </w:p>
        </w:tc>
        <w:tc>
          <w:tcPr>
            <w:tcW w:w="4113" w:type="dxa"/>
            <w:tcBorders>
              <w:top w:val="single" w:color="auto" w:sz="4" w:space="0"/>
              <w:left w:val="nil"/>
              <w:bottom w:val="single" w:color="auto" w:sz="4" w:space="0"/>
              <w:right w:val="single" w:color="auto" w:sz="4" w:space="0"/>
            </w:tcBorders>
            <w:noWrap w:val="0"/>
            <w:vAlign w:val="center"/>
          </w:tcPr>
          <w:p w14:paraId="3156EAA4">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rPr>
              <w:t>（一）评分内容：</w:t>
            </w:r>
          </w:p>
          <w:p w14:paraId="429FAD13">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rPr>
              <w:t>投标人近</w:t>
            </w:r>
            <w:r>
              <w:rPr>
                <w:rFonts w:hint="eastAsia" w:ascii="仿宋_GB2312" w:hAnsi="仿宋_GB2312" w:eastAsia="仿宋_GB2312" w:cs="仿宋_GB2312"/>
                <w:b w:val="0"/>
                <w:bCs/>
                <w:color w:val="auto"/>
                <w:kern w:val="44"/>
                <w:sz w:val="21"/>
                <w:szCs w:val="21"/>
                <w:highlight w:val="none"/>
                <w:lang w:val="en-US" w:eastAsia="zh-CN"/>
              </w:rPr>
              <w:t>三</w:t>
            </w:r>
            <w:r>
              <w:rPr>
                <w:rFonts w:hint="eastAsia" w:ascii="仿宋_GB2312" w:hAnsi="仿宋_GB2312" w:eastAsia="仿宋_GB2312" w:cs="仿宋_GB2312"/>
                <w:b w:val="0"/>
                <w:bCs/>
                <w:color w:val="auto"/>
                <w:kern w:val="44"/>
                <w:sz w:val="21"/>
                <w:szCs w:val="21"/>
                <w:highlight w:val="none"/>
              </w:rPr>
              <w:t>年（</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eastAsia="zh-CN"/>
              </w:rPr>
              <w:t>同类项目业绩情况：</w:t>
            </w:r>
            <w:r>
              <w:rPr>
                <w:rFonts w:hint="eastAsia" w:ascii="仿宋_GB2312" w:hAnsi="仿宋_GB2312" w:eastAsia="仿宋_GB2312" w:cs="仿宋_GB2312"/>
                <w:b w:val="0"/>
                <w:bCs/>
                <w:color w:val="auto"/>
                <w:spacing w:val="-6"/>
                <w:kern w:val="44"/>
                <w:sz w:val="21"/>
                <w:szCs w:val="21"/>
                <w:highlight w:val="none"/>
                <w:lang w:val="en-US" w:eastAsia="zh-CN"/>
              </w:rPr>
              <w:t>近3年具有水利水电工程类勘察业绩，</w:t>
            </w:r>
            <w:r>
              <w:rPr>
                <w:rFonts w:hint="eastAsia" w:ascii="仿宋_GB2312" w:hAnsi="仿宋_GB2312" w:eastAsia="仿宋_GB2312" w:cs="仿宋_GB2312"/>
                <w:b w:val="0"/>
                <w:bCs/>
                <w:color w:val="auto"/>
                <w:kern w:val="44"/>
                <w:sz w:val="21"/>
                <w:szCs w:val="21"/>
                <w:highlight w:val="none"/>
                <w:lang w:val="en-US" w:eastAsia="zh-CN"/>
              </w:rPr>
              <w:t>每有一项得3分，本项最高15分。</w:t>
            </w:r>
          </w:p>
          <w:p w14:paraId="52384625">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lang w:eastAsia="zh-CN"/>
              </w:rPr>
              <w:t>（二）</w:t>
            </w:r>
            <w:r>
              <w:rPr>
                <w:rFonts w:hint="eastAsia" w:ascii="仿宋_GB2312" w:hAnsi="仿宋_GB2312" w:eastAsia="仿宋_GB2312" w:cs="仿宋_GB2312"/>
                <w:b w:val="0"/>
                <w:bCs/>
                <w:color w:val="auto"/>
                <w:kern w:val="44"/>
                <w:sz w:val="21"/>
                <w:szCs w:val="21"/>
                <w:highlight w:val="none"/>
              </w:rPr>
              <w:t>评分依据：</w:t>
            </w:r>
          </w:p>
          <w:p w14:paraId="3AE1769A">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rPr>
              <w:t>1.要求提供中标通知书或合同关键信息作为得分依据，以项目合同签订时间为准，合同中需体现合同签订时间、建设单位、项目名称、项目内容、合同金额等关键信息，否则业绩无效。</w:t>
            </w:r>
          </w:p>
          <w:p w14:paraId="671E9932">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rPr>
              <w:t>.通过合同关键信息无法判断是否得分的，也可以提供能证明得分的其它证明资料，如项目报告或合同甲方出具的证明文件等。</w:t>
            </w:r>
          </w:p>
          <w:p w14:paraId="6B1B2F20">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3</w:t>
            </w:r>
            <w:r>
              <w:rPr>
                <w:rFonts w:hint="eastAsia" w:ascii="仿宋_GB2312" w:hAnsi="仿宋_GB2312" w:eastAsia="仿宋_GB2312" w:cs="仿宋_GB2312"/>
                <w:b w:val="0"/>
                <w:bCs/>
                <w:color w:val="auto"/>
                <w:kern w:val="44"/>
                <w:sz w:val="21"/>
                <w:szCs w:val="21"/>
                <w:highlight w:val="none"/>
              </w:rPr>
              <w:t>.以上资料均要求提供扫描件，原件备查，未</w:t>
            </w:r>
            <w:r>
              <w:rPr>
                <w:rFonts w:hint="eastAsia" w:ascii="仿宋_GB2312" w:hAnsi="仿宋_GB2312" w:eastAsia="仿宋_GB2312" w:cs="仿宋_GB2312"/>
                <w:b w:val="0"/>
                <w:bCs/>
                <w:color w:val="auto"/>
                <w:kern w:val="44"/>
                <w:sz w:val="21"/>
                <w:szCs w:val="21"/>
                <w:highlight w:val="none"/>
                <w:lang w:eastAsia="zh-CN"/>
              </w:rPr>
              <w:t>按要求</w:t>
            </w:r>
            <w:r>
              <w:rPr>
                <w:rFonts w:hint="eastAsia" w:ascii="仿宋_GB2312" w:hAnsi="仿宋_GB2312" w:eastAsia="仿宋_GB2312" w:cs="仿宋_GB2312"/>
                <w:b w:val="0"/>
                <w:bCs/>
                <w:color w:val="auto"/>
                <w:kern w:val="44"/>
                <w:sz w:val="21"/>
                <w:szCs w:val="21"/>
                <w:highlight w:val="none"/>
              </w:rPr>
              <w:t>提供不得分。</w:t>
            </w:r>
          </w:p>
        </w:tc>
        <w:tc>
          <w:tcPr>
            <w:tcW w:w="1112" w:type="dxa"/>
            <w:tcBorders>
              <w:top w:val="single" w:color="auto" w:sz="4" w:space="0"/>
              <w:left w:val="nil"/>
              <w:bottom w:val="single" w:color="auto" w:sz="4" w:space="0"/>
              <w:right w:val="single" w:color="auto" w:sz="4" w:space="0"/>
            </w:tcBorders>
            <w:noWrap w:val="0"/>
            <w:vAlign w:val="center"/>
          </w:tcPr>
          <w:p w14:paraId="496FB4E6">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E022218">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0580BEAC">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6F946A8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54BF2CC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2</w:t>
            </w:r>
          </w:p>
        </w:tc>
        <w:tc>
          <w:tcPr>
            <w:tcW w:w="1150" w:type="dxa"/>
            <w:tcBorders>
              <w:top w:val="single" w:color="auto" w:sz="4" w:space="0"/>
              <w:left w:val="nil"/>
              <w:bottom w:val="single" w:color="auto" w:sz="4" w:space="0"/>
              <w:right w:val="single" w:color="auto" w:sz="4" w:space="0"/>
            </w:tcBorders>
            <w:noWrap w:val="0"/>
            <w:vAlign w:val="center"/>
          </w:tcPr>
          <w:p w14:paraId="487AF9B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color w:val="auto"/>
                <w:spacing w:val="-6"/>
                <w:sz w:val="21"/>
                <w:szCs w:val="21"/>
                <w:highlight w:val="none"/>
                <w:lang w:val="en-US" w:eastAsia="zh-CN"/>
              </w:rPr>
              <w:t>项目负责人综合实力</w:t>
            </w:r>
          </w:p>
          <w:p w14:paraId="3B50C7B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p w14:paraId="4D4FC968">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373BD13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12</w:t>
            </w:r>
          </w:p>
        </w:tc>
        <w:tc>
          <w:tcPr>
            <w:tcW w:w="4113" w:type="dxa"/>
            <w:tcBorders>
              <w:top w:val="single" w:color="auto" w:sz="4" w:space="0"/>
              <w:left w:val="nil"/>
              <w:bottom w:val="single" w:color="auto" w:sz="4" w:space="0"/>
              <w:right w:val="single" w:color="auto" w:sz="4" w:space="0"/>
            </w:tcBorders>
            <w:noWrap w:val="0"/>
            <w:vAlign w:val="center"/>
          </w:tcPr>
          <w:p w14:paraId="30F7654C">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rPr>
              <w:t>（一）评分内容：拟安排的项目</w:t>
            </w:r>
            <w:r>
              <w:rPr>
                <w:rFonts w:hint="eastAsia" w:ascii="仿宋_GB2312" w:hAnsi="仿宋_GB2312" w:eastAsia="仿宋_GB2312" w:cs="仿宋_GB2312"/>
                <w:b w:val="0"/>
                <w:bCs/>
                <w:color w:val="auto"/>
                <w:kern w:val="44"/>
                <w:sz w:val="21"/>
                <w:szCs w:val="21"/>
                <w:highlight w:val="none"/>
                <w:lang w:val="en-US" w:eastAsia="zh-CN"/>
              </w:rPr>
              <w:t>负责人</w:t>
            </w:r>
            <w:r>
              <w:rPr>
                <w:rFonts w:hint="eastAsia" w:ascii="仿宋_GB2312" w:hAnsi="仿宋_GB2312" w:eastAsia="仿宋_GB2312" w:cs="仿宋_GB2312"/>
                <w:b w:val="0"/>
                <w:bCs/>
                <w:color w:val="auto"/>
                <w:kern w:val="44"/>
                <w:sz w:val="21"/>
                <w:szCs w:val="21"/>
                <w:highlight w:val="none"/>
              </w:rPr>
              <w:t>须为投标人自有员工：</w:t>
            </w:r>
          </w:p>
          <w:p w14:paraId="5D023559">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lang w:val="en-US"/>
              </w:rPr>
              <w:t>具有副高级及以上技术职称</w:t>
            </w:r>
            <w:r>
              <w:rPr>
                <w:rFonts w:hint="eastAsia" w:ascii="仿宋_GB2312" w:hAnsi="仿宋_GB2312" w:eastAsia="仿宋_GB2312" w:cs="仿宋_GB2312"/>
                <w:b w:val="0"/>
                <w:bCs/>
                <w:color w:val="auto"/>
                <w:kern w:val="44"/>
                <w:sz w:val="21"/>
                <w:szCs w:val="21"/>
                <w:highlight w:val="none"/>
              </w:rPr>
              <w:t>，得</w:t>
            </w:r>
            <w:r>
              <w:rPr>
                <w:rFonts w:hint="eastAsia" w:ascii="仿宋_GB2312" w:hAnsi="仿宋_GB2312" w:eastAsia="仿宋_GB2312" w:cs="仿宋_GB2312"/>
                <w:b w:val="0"/>
                <w:bCs/>
                <w:color w:val="auto"/>
                <w:kern w:val="44"/>
                <w:sz w:val="21"/>
                <w:szCs w:val="21"/>
                <w:highlight w:val="none"/>
                <w:lang w:val="en-US" w:eastAsia="zh-CN"/>
              </w:rPr>
              <w:t>3</w:t>
            </w:r>
            <w:r>
              <w:rPr>
                <w:rFonts w:hint="eastAsia" w:ascii="仿宋_GB2312" w:hAnsi="仿宋_GB2312" w:eastAsia="仿宋_GB2312" w:cs="仿宋_GB2312"/>
                <w:b w:val="0"/>
                <w:bCs/>
                <w:color w:val="auto"/>
                <w:kern w:val="44"/>
                <w:sz w:val="21"/>
                <w:szCs w:val="21"/>
                <w:highlight w:val="none"/>
              </w:rPr>
              <w:t>分；</w:t>
            </w:r>
          </w:p>
          <w:p w14:paraId="3D02A8BC">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lang w:val="en-US" w:eastAsia="zh-CN"/>
              </w:rPr>
              <w:t>（2）近三年来</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）具有</w:t>
            </w:r>
            <w:r>
              <w:rPr>
                <w:rFonts w:hint="eastAsia" w:ascii="仿宋_GB2312" w:hAnsi="仿宋_GB2312" w:eastAsia="仿宋_GB2312" w:cs="仿宋_GB2312"/>
                <w:b w:val="0"/>
                <w:bCs/>
                <w:color w:val="auto"/>
                <w:kern w:val="44"/>
                <w:sz w:val="21"/>
                <w:szCs w:val="21"/>
                <w:highlight w:val="none"/>
                <w:lang w:eastAsia="zh-CN"/>
              </w:rPr>
              <w:t>勘察</w:t>
            </w:r>
            <w:r>
              <w:rPr>
                <w:rFonts w:hint="eastAsia" w:ascii="仿宋_GB2312" w:hAnsi="仿宋_GB2312" w:eastAsia="仿宋_GB2312" w:cs="仿宋_GB2312"/>
                <w:b w:val="0"/>
                <w:bCs/>
                <w:color w:val="auto"/>
                <w:kern w:val="44"/>
                <w:sz w:val="21"/>
                <w:szCs w:val="21"/>
                <w:highlight w:val="none"/>
              </w:rPr>
              <w:t>项目取得业主方良或以上履约评价的，每提交一项得</w:t>
            </w: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rPr>
              <w:t>分，</w:t>
            </w:r>
            <w:r>
              <w:rPr>
                <w:rFonts w:hint="eastAsia" w:ascii="仿宋_GB2312" w:hAnsi="仿宋_GB2312" w:eastAsia="仿宋_GB2312" w:cs="仿宋_GB2312"/>
                <w:b w:val="0"/>
                <w:bCs/>
                <w:color w:val="auto"/>
                <w:kern w:val="44"/>
                <w:sz w:val="21"/>
                <w:szCs w:val="21"/>
                <w:highlight w:val="none"/>
                <w:lang w:val="en-US" w:eastAsia="zh-CN"/>
              </w:rPr>
              <w:t>本小项最高得4分。</w:t>
            </w:r>
          </w:p>
          <w:p w14:paraId="2795A595">
            <w:pPr>
              <w:snapToGrid w:val="0"/>
              <w:spacing w:before="78" w:beforeLines="25" w:after="78" w:afterLines="25"/>
              <w:jc w:val="left"/>
              <w:rPr>
                <w:rFonts w:hint="default" w:ascii="仿宋_GB2312" w:hAnsi="仿宋_GB2312" w:eastAsia="仿宋_GB2312" w:cs="仿宋_GB2312"/>
                <w:b w:val="0"/>
                <w:bCs/>
                <w:color w:val="auto"/>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lang w:val="en-US" w:eastAsia="zh-CN"/>
              </w:rPr>
              <w:t>（3）</w:t>
            </w:r>
            <w:r>
              <w:rPr>
                <w:rFonts w:hint="eastAsia" w:ascii="仿宋_GB2312" w:hAnsi="仿宋_GB2312" w:eastAsia="仿宋_GB2312" w:cs="仿宋_GB2312"/>
                <w:b w:val="0"/>
                <w:bCs/>
                <w:color w:val="auto"/>
                <w:kern w:val="44"/>
                <w:sz w:val="21"/>
                <w:szCs w:val="21"/>
                <w:highlight w:val="none"/>
                <w:lang w:val="en-US"/>
              </w:rPr>
              <w:t>作为</w:t>
            </w:r>
            <w:r>
              <w:rPr>
                <w:rFonts w:hint="eastAsia" w:ascii="仿宋_GB2312" w:hAnsi="仿宋_GB2312" w:eastAsia="仿宋_GB2312" w:cs="仿宋_GB2312"/>
                <w:b w:val="0"/>
                <w:bCs/>
                <w:color w:val="auto"/>
                <w:kern w:val="44"/>
                <w:sz w:val="21"/>
                <w:szCs w:val="21"/>
                <w:highlight w:val="none"/>
                <w:lang w:val="en-US" w:eastAsia="zh-CN"/>
              </w:rPr>
              <w:t>项目负责人</w:t>
            </w:r>
            <w:r>
              <w:rPr>
                <w:rFonts w:hint="eastAsia" w:ascii="仿宋_GB2312" w:hAnsi="仿宋_GB2312" w:eastAsia="仿宋_GB2312" w:cs="仿宋_GB2312"/>
                <w:b w:val="0"/>
                <w:bCs/>
                <w:color w:val="auto"/>
                <w:kern w:val="44"/>
                <w:sz w:val="21"/>
                <w:szCs w:val="21"/>
                <w:highlight w:val="none"/>
                <w:lang w:val="en-US"/>
              </w:rPr>
              <w:t>近</w:t>
            </w:r>
            <w:r>
              <w:rPr>
                <w:rFonts w:hint="eastAsia" w:ascii="仿宋_GB2312" w:hAnsi="仿宋_GB2312" w:eastAsia="仿宋_GB2312" w:cs="仿宋_GB2312"/>
                <w:b w:val="0"/>
                <w:bCs/>
                <w:color w:val="auto"/>
                <w:kern w:val="44"/>
                <w:sz w:val="21"/>
                <w:szCs w:val="21"/>
                <w:highlight w:val="none"/>
                <w:lang w:val="en-US" w:eastAsia="zh-CN"/>
              </w:rPr>
              <w:t>三</w:t>
            </w:r>
            <w:r>
              <w:rPr>
                <w:rFonts w:hint="eastAsia" w:ascii="仿宋_GB2312" w:hAnsi="仿宋_GB2312" w:eastAsia="仿宋_GB2312" w:cs="仿宋_GB2312"/>
                <w:b w:val="0"/>
                <w:bCs/>
                <w:color w:val="auto"/>
                <w:kern w:val="44"/>
                <w:sz w:val="21"/>
                <w:szCs w:val="21"/>
                <w:highlight w:val="none"/>
                <w:lang w:val="en-US"/>
              </w:rPr>
              <w:t>年内</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val="en-US" w:eastAsia="zh-CN"/>
              </w:rPr>
              <w:t>自投标之日起，以合同签订日期为准</w:t>
            </w:r>
            <w:r>
              <w:rPr>
                <w:rFonts w:hint="eastAsia" w:ascii="仿宋_GB2312" w:hAnsi="仿宋_GB2312" w:eastAsia="仿宋_GB2312" w:cs="仿宋_GB2312"/>
                <w:b w:val="0"/>
                <w:bCs/>
                <w:color w:val="auto"/>
                <w:kern w:val="44"/>
                <w:sz w:val="21"/>
                <w:szCs w:val="21"/>
                <w:highlight w:val="none"/>
              </w:rPr>
              <w:t>）</w:t>
            </w:r>
            <w:r>
              <w:rPr>
                <w:rFonts w:hint="eastAsia" w:ascii="仿宋_GB2312" w:hAnsi="仿宋_GB2312" w:eastAsia="仿宋_GB2312" w:cs="仿宋_GB2312"/>
                <w:b w:val="0"/>
                <w:bCs/>
                <w:color w:val="auto"/>
                <w:kern w:val="44"/>
                <w:sz w:val="21"/>
                <w:szCs w:val="21"/>
                <w:highlight w:val="none"/>
                <w:lang w:val="en-US"/>
              </w:rPr>
              <w:t>完成的最具代表性的</w:t>
            </w:r>
            <w:r>
              <w:rPr>
                <w:rFonts w:hint="eastAsia" w:ascii="仿宋_GB2312" w:hAnsi="仿宋_GB2312" w:eastAsia="仿宋_GB2312" w:cs="仿宋_GB2312"/>
                <w:b w:val="0"/>
                <w:bCs/>
                <w:color w:val="auto"/>
                <w:kern w:val="44"/>
                <w:sz w:val="21"/>
                <w:szCs w:val="21"/>
                <w:highlight w:val="none"/>
                <w:lang w:val="en-US" w:eastAsia="zh-CN"/>
              </w:rPr>
              <w:t>水利水电工程勘察</w:t>
            </w:r>
            <w:r>
              <w:rPr>
                <w:rFonts w:hint="eastAsia" w:ascii="仿宋_GB2312" w:hAnsi="仿宋_GB2312" w:eastAsia="仿宋_GB2312" w:cs="仿宋_GB2312"/>
                <w:b w:val="0"/>
                <w:bCs/>
                <w:color w:val="auto"/>
                <w:kern w:val="44"/>
                <w:sz w:val="21"/>
                <w:szCs w:val="21"/>
                <w:highlight w:val="none"/>
              </w:rPr>
              <w:t>类</w:t>
            </w:r>
            <w:r>
              <w:rPr>
                <w:rFonts w:hint="eastAsia" w:ascii="仿宋_GB2312" w:hAnsi="仿宋_GB2312" w:eastAsia="仿宋_GB2312" w:cs="仿宋_GB2312"/>
                <w:b w:val="0"/>
                <w:bCs/>
                <w:color w:val="auto"/>
                <w:kern w:val="44"/>
                <w:sz w:val="21"/>
                <w:szCs w:val="21"/>
                <w:highlight w:val="none"/>
                <w:lang w:val="en-US"/>
              </w:rPr>
              <w:t>业绩</w:t>
            </w:r>
            <w:r>
              <w:rPr>
                <w:rFonts w:hint="eastAsia" w:ascii="仿宋_GB2312" w:hAnsi="仿宋_GB2312" w:eastAsia="仿宋_GB2312" w:cs="仿宋_GB2312"/>
                <w:b w:val="0"/>
                <w:bCs/>
                <w:color w:val="auto"/>
                <w:kern w:val="44"/>
                <w:sz w:val="21"/>
                <w:szCs w:val="21"/>
                <w:highlight w:val="none"/>
              </w:rPr>
              <w:t>，每提交一项得</w:t>
            </w: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rPr>
              <w:t>分，</w:t>
            </w:r>
            <w:r>
              <w:rPr>
                <w:rFonts w:hint="eastAsia" w:ascii="仿宋_GB2312" w:hAnsi="仿宋_GB2312" w:eastAsia="仿宋_GB2312" w:cs="仿宋_GB2312"/>
                <w:b w:val="0"/>
                <w:bCs/>
                <w:color w:val="auto"/>
                <w:kern w:val="44"/>
                <w:sz w:val="21"/>
                <w:szCs w:val="21"/>
                <w:highlight w:val="none"/>
                <w:lang w:val="en-US" w:eastAsia="zh-CN"/>
              </w:rPr>
              <w:t>本小项最高得5分。</w:t>
            </w:r>
          </w:p>
          <w:p w14:paraId="27203827">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以上3项累计加分，最高得12分</w:t>
            </w:r>
            <w:r>
              <w:rPr>
                <w:rFonts w:hint="eastAsia" w:ascii="仿宋_GB2312" w:hAnsi="仿宋_GB2312" w:eastAsia="仿宋_GB2312" w:cs="仿宋_GB2312"/>
                <w:b w:val="0"/>
                <w:bCs/>
                <w:color w:val="auto"/>
                <w:kern w:val="44"/>
                <w:sz w:val="21"/>
                <w:szCs w:val="21"/>
                <w:highlight w:val="none"/>
              </w:rPr>
              <w:t>。</w:t>
            </w:r>
          </w:p>
          <w:p w14:paraId="65FA0DC4">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rPr>
              <w:t>（二）评分依据：</w:t>
            </w:r>
          </w:p>
          <w:p w14:paraId="3A44B2F3">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rPr>
              <w:t>1.</w:t>
            </w:r>
            <w:r>
              <w:rPr>
                <w:rFonts w:hint="eastAsia" w:ascii="仿宋_GB2312" w:hAnsi="仿宋_GB2312" w:eastAsia="仿宋_GB2312" w:cs="仿宋_GB2312"/>
                <w:b w:val="0"/>
                <w:bCs/>
                <w:color w:val="auto"/>
                <w:kern w:val="44"/>
                <w:sz w:val="21"/>
                <w:szCs w:val="21"/>
                <w:highlight w:val="none"/>
                <w:lang w:eastAsia="zh-CN"/>
              </w:rPr>
              <w:t>安排的项目负责人</w:t>
            </w:r>
            <w:r>
              <w:rPr>
                <w:rFonts w:hint="eastAsia" w:ascii="仿宋_GB2312" w:hAnsi="仿宋_GB2312" w:eastAsia="仿宋_GB2312" w:cs="仿宋_GB2312"/>
                <w:b w:val="0"/>
                <w:bCs/>
                <w:color w:val="auto"/>
                <w:kern w:val="44"/>
                <w:sz w:val="21"/>
                <w:szCs w:val="21"/>
                <w:highlight w:val="none"/>
              </w:rPr>
              <w:t>要求提供通过投标人缴纳的近三个月的任意一个月的社保证明作为本单位员工的证明依据。若供应商成立不足三个月的，需提供成立情况说明函（格式自拟），无需提供相关人员社保，亦可得分。</w:t>
            </w:r>
          </w:p>
          <w:p w14:paraId="2D99FF24">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rPr>
              <w:t>.第</w:t>
            </w: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rPr>
              <w:t>项要求投标人提供相关证书扫描件或证明材料作为得分依据，原件备查。</w:t>
            </w:r>
          </w:p>
          <w:p w14:paraId="1314A358">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rPr>
              <w:t>3.第</w:t>
            </w: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lang w:eastAsia="zh-CN"/>
              </w:rPr>
              <w:t>、</w:t>
            </w:r>
            <w:r>
              <w:rPr>
                <w:rFonts w:hint="eastAsia" w:ascii="仿宋_GB2312" w:hAnsi="仿宋_GB2312" w:eastAsia="仿宋_GB2312" w:cs="仿宋_GB2312"/>
                <w:b w:val="0"/>
                <w:bCs/>
                <w:color w:val="auto"/>
                <w:kern w:val="44"/>
                <w:sz w:val="21"/>
                <w:szCs w:val="21"/>
                <w:highlight w:val="none"/>
                <w:lang w:val="en-US" w:eastAsia="zh-CN"/>
              </w:rPr>
              <w:t>3</w:t>
            </w:r>
            <w:r>
              <w:rPr>
                <w:rFonts w:hint="eastAsia" w:ascii="仿宋_GB2312" w:hAnsi="仿宋_GB2312" w:eastAsia="仿宋_GB2312" w:cs="仿宋_GB2312"/>
                <w:b w:val="0"/>
                <w:bCs/>
                <w:color w:val="auto"/>
                <w:kern w:val="44"/>
                <w:sz w:val="21"/>
                <w:szCs w:val="21"/>
                <w:highlight w:val="none"/>
              </w:rPr>
              <w:t>项：要求投标人提供项目合同关键页及项目业主方盖章的履约评价（需体现项目负责人姓名）</w:t>
            </w:r>
            <w:r>
              <w:rPr>
                <w:rFonts w:hint="eastAsia" w:ascii="仿宋_GB2312" w:hAnsi="仿宋_GB2312" w:eastAsia="仿宋_GB2312" w:cs="仿宋_GB2312"/>
                <w:b w:val="0"/>
                <w:bCs/>
                <w:color w:val="auto"/>
                <w:kern w:val="44"/>
                <w:sz w:val="21"/>
                <w:szCs w:val="21"/>
                <w:highlight w:val="none"/>
                <w:lang w:eastAsia="zh-CN"/>
              </w:rPr>
              <w:t>以及负责人</w:t>
            </w:r>
            <w:r>
              <w:rPr>
                <w:rFonts w:hint="eastAsia" w:ascii="仿宋_GB2312" w:hAnsi="仿宋_GB2312" w:eastAsia="仿宋_GB2312" w:cs="仿宋_GB2312"/>
                <w:b w:val="0"/>
                <w:bCs/>
                <w:color w:val="auto"/>
                <w:kern w:val="44"/>
                <w:sz w:val="21"/>
                <w:szCs w:val="21"/>
                <w:highlight w:val="none"/>
                <w:lang w:val="en-US"/>
              </w:rPr>
              <w:t>业绩</w:t>
            </w:r>
            <w:r>
              <w:rPr>
                <w:rFonts w:hint="eastAsia" w:ascii="仿宋_GB2312" w:hAnsi="仿宋_GB2312" w:eastAsia="仿宋_GB2312" w:cs="仿宋_GB2312"/>
                <w:b w:val="0"/>
                <w:bCs/>
                <w:color w:val="auto"/>
                <w:kern w:val="44"/>
                <w:sz w:val="21"/>
                <w:szCs w:val="21"/>
                <w:highlight w:val="none"/>
                <w:lang w:val="en-US" w:eastAsia="zh-CN"/>
              </w:rPr>
              <w:t>关键页</w:t>
            </w:r>
            <w:r>
              <w:rPr>
                <w:rFonts w:hint="eastAsia" w:ascii="仿宋_GB2312" w:hAnsi="仿宋_GB2312" w:eastAsia="仿宋_GB2312" w:cs="仿宋_GB2312"/>
                <w:b w:val="0"/>
                <w:bCs/>
                <w:color w:val="auto"/>
                <w:kern w:val="44"/>
                <w:sz w:val="21"/>
                <w:szCs w:val="21"/>
                <w:highlight w:val="none"/>
              </w:rPr>
              <w:t>证明资料复印件加盖投标人公章，原件备查。</w:t>
            </w:r>
          </w:p>
          <w:p w14:paraId="28D742B2">
            <w:pPr>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kern w:val="44"/>
                <w:sz w:val="21"/>
                <w:szCs w:val="21"/>
                <w:highlight w:val="none"/>
              </w:rPr>
              <w:t>备注：评分中出现无证明资料或证书过期或专家无法凭所提供资料判断是否得分的情况，一律作不得分处理。</w:t>
            </w:r>
          </w:p>
        </w:tc>
        <w:tc>
          <w:tcPr>
            <w:tcW w:w="1112" w:type="dxa"/>
            <w:tcBorders>
              <w:top w:val="single" w:color="auto" w:sz="4" w:space="0"/>
              <w:left w:val="nil"/>
              <w:bottom w:val="single" w:color="auto" w:sz="4" w:space="0"/>
              <w:right w:val="single" w:color="auto" w:sz="4" w:space="0"/>
            </w:tcBorders>
            <w:noWrap w:val="0"/>
            <w:vAlign w:val="center"/>
          </w:tcPr>
          <w:p w14:paraId="1F3057EB">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60DFB6A0">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3751FF73">
        <w:tblPrEx>
          <w:tblCellMar>
            <w:top w:w="0" w:type="dxa"/>
            <w:left w:w="108" w:type="dxa"/>
            <w:bottom w:w="0" w:type="dxa"/>
            <w:right w:w="108" w:type="dxa"/>
          </w:tblCellMar>
        </w:tblPrEx>
        <w:trPr>
          <w:jc w:val="center"/>
        </w:trPr>
        <w:tc>
          <w:tcPr>
            <w:tcW w:w="675" w:type="dxa"/>
            <w:vMerge w:val="continue"/>
            <w:tcBorders>
              <w:left w:val="single" w:color="auto" w:sz="4" w:space="0"/>
              <w:right w:val="single" w:color="auto" w:sz="4" w:space="0"/>
            </w:tcBorders>
            <w:noWrap w:val="0"/>
            <w:vAlign w:val="center"/>
          </w:tcPr>
          <w:p w14:paraId="5E99937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68CD3AA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3</w:t>
            </w:r>
          </w:p>
        </w:tc>
        <w:tc>
          <w:tcPr>
            <w:tcW w:w="1150" w:type="dxa"/>
            <w:tcBorders>
              <w:top w:val="single" w:color="auto" w:sz="4" w:space="0"/>
              <w:left w:val="nil"/>
              <w:bottom w:val="single" w:color="auto" w:sz="4" w:space="0"/>
              <w:right w:val="single" w:color="auto" w:sz="4" w:space="0"/>
            </w:tcBorders>
            <w:noWrap w:val="0"/>
            <w:vAlign w:val="center"/>
          </w:tcPr>
          <w:p w14:paraId="6E982B59">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拟安排团队成员情况</w:t>
            </w:r>
          </w:p>
          <w:p w14:paraId="15BFC684">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737" w:type="dxa"/>
            <w:tcBorders>
              <w:top w:val="single" w:color="auto" w:sz="4" w:space="0"/>
              <w:left w:val="nil"/>
              <w:bottom w:val="single" w:color="auto" w:sz="4" w:space="0"/>
              <w:right w:val="single" w:color="auto" w:sz="4" w:space="0"/>
            </w:tcBorders>
            <w:noWrap w:val="0"/>
            <w:vAlign w:val="center"/>
          </w:tcPr>
          <w:p w14:paraId="16ADD95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color w:val="auto"/>
                <w:spacing w:val="-6"/>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10</w:t>
            </w:r>
          </w:p>
        </w:tc>
        <w:tc>
          <w:tcPr>
            <w:tcW w:w="4113" w:type="dxa"/>
            <w:tcBorders>
              <w:top w:val="single" w:color="auto" w:sz="4" w:space="0"/>
              <w:left w:val="nil"/>
              <w:bottom w:val="single" w:color="auto" w:sz="4" w:space="0"/>
              <w:right w:val="single" w:color="auto" w:sz="4" w:space="0"/>
            </w:tcBorders>
            <w:noWrap w:val="0"/>
            <w:vAlign w:val="center"/>
          </w:tcPr>
          <w:p w14:paraId="1E0D9D4C">
            <w:pPr>
              <w:snapToGrid w:val="0"/>
              <w:spacing w:before="78" w:beforeLines="25" w:after="78" w:afterLines="25"/>
              <w:jc w:val="left"/>
              <w:rPr>
                <w:rFonts w:hint="default" w:ascii="仿宋_GB2312" w:hAnsi="仿宋_GB2312" w:eastAsia="仿宋_GB2312" w:cs="仿宋_GB2312"/>
                <w:b w:val="0"/>
                <w:color w:val="auto"/>
                <w:sz w:val="21"/>
                <w:szCs w:val="21"/>
                <w:highlight w:val="none"/>
                <w:lang w:val="en-US"/>
              </w:rPr>
            </w:pPr>
            <w:r>
              <w:rPr>
                <w:rFonts w:hint="eastAsia" w:ascii="仿宋_GB2312" w:hAnsi="仿宋_GB2312" w:eastAsia="仿宋_GB2312" w:cs="仿宋_GB2312"/>
                <w:b w:val="0"/>
                <w:bCs/>
                <w:color w:val="auto"/>
                <w:kern w:val="44"/>
                <w:sz w:val="21"/>
                <w:szCs w:val="21"/>
                <w:highlight w:val="none"/>
                <w:lang w:eastAsia="zh-CN"/>
              </w:rPr>
              <w:t>（</w:t>
            </w:r>
            <w:r>
              <w:rPr>
                <w:rFonts w:hint="eastAsia" w:ascii="仿宋_GB2312" w:hAnsi="仿宋_GB2312" w:eastAsia="仿宋_GB2312" w:cs="仿宋_GB2312"/>
                <w:b w:val="0"/>
                <w:bCs/>
                <w:color w:val="auto"/>
                <w:kern w:val="44"/>
                <w:sz w:val="21"/>
                <w:szCs w:val="21"/>
                <w:highlight w:val="none"/>
                <w:lang w:val="en-US" w:eastAsia="zh-CN"/>
              </w:rPr>
              <w:t>一）</w:t>
            </w:r>
            <w:r>
              <w:rPr>
                <w:rFonts w:hint="eastAsia" w:ascii="仿宋_GB2312" w:hAnsi="仿宋_GB2312" w:eastAsia="仿宋_GB2312" w:cs="仿宋_GB2312"/>
                <w:b w:val="0"/>
                <w:bCs/>
                <w:color w:val="auto"/>
                <w:kern w:val="44"/>
                <w:sz w:val="21"/>
                <w:szCs w:val="21"/>
                <w:highlight w:val="none"/>
              </w:rPr>
              <w:t>评分内容：拟安排的团队成员须为投标人自有员工：</w:t>
            </w:r>
          </w:p>
          <w:p w14:paraId="41FECD06">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val="en-US" w:eastAsia="zh-CN"/>
              </w:rPr>
              <w:t>（1）</w:t>
            </w:r>
            <w:r>
              <w:rPr>
                <w:rFonts w:hint="eastAsia" w:ascii="仿宋_GB2312" w:hAnsi="仿宋_GB2312" w:eastAsia="仿宋_GB2312" w:cs="仿宋_GB2312"/>
                <w:b w:val="0"/>
                <w:bCs/>
                <w:color w:val="auto"/>
                <w:kern w:val="44"/>
                <w:sz w:val="21"/>
                <w:szCs w:val="21"/>
                <w:highlight w:val="none"/>
              </w:rPr>
              <w:t>具有岩土类专业工程师或以上职称</w:t>
            </w:r>
            <w:r>
              <w:rPr>
                <w:rFonts w:hint="eastAsia" w:ascii="仿宋_GB2312" w:hAnsi="仿宋_GB2312" w:eastAsia="仿宋_GB2312" w:cs="仿宋_GB2312"/>
                <w:b w:val="0"/>
                <w:bCs/>
                <w:color w:val="auto"/>
                <w:kern w:val="44"/>
                <w:sz w:val="21"/>
                <w:szCs w:val="21"/>
                <w:highlight w:val="none"/>
                <w:lang w:val="en-US" w:eastAsia="zh-CN"/>
              </w:rPr>
              <w:t>，</w:t>
            </w:r>
            <w:r>
              <w:rPr>
                <w:rFonts w:hint="eastAsia" w:ascii="仿宋_GB2312" w:hAnsi="仿宋_GB2312" w:eastAsia="仿宋_GB2312" w:cs="仿宋_GB2312"/>
                <w:b w:val="0"/>
                <w:bCs/>
                <w:color w:val="auto"/>
                <w:kern w:val="44"/>
                <w:sz w:val="21"/>
                <w:szCs w:val="21"/>
                <w:highlight w:val="none"/>
              </w:rPr>
              <w:t>每有一人得</w:t>
            </w: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rPr>
              <w:t>分，此</w:t>
            </w:r>
            <w:r>
              <w:rPr>
                <w:rFonts w:hint="eastAsia" w:ascii="仿宋_GB2312" w:hAnsi="仿宋_GB2312" w:eastAsia="仿宋_GB2312" w:cs="仿宋_GB2312"/>
                <w:b w:val="0"/>
                <w:bCs/>
                <w:color w:val="auto"/>
                <w:kern w:val="44"/>
                <w:sz w:val="21"/>
                <w:szCs w:val="21"/>
                <w:highlight w:val="none"/>
                <w:lang w:eastAsia="zh-CN"/>
              </w:rPr>
              <w:t>项最高得</w:t>
            </w:r>
            <w:r>
              <w:rPr>
                <w:rFonts w:hint="eastAsia" w:ascii="仿宋_GB2312" w:hAnsi="仿宋_GB2312" w:eastAsia="仿宋_GB2312" w:cs="仿宋_GB2312"/>
                <w:b w:val="0"/>
                <w:bCs/>
                <w:color w:val="auto"/>
                <w:kern w:val="44"/>
                <w:sz w:val="21"/>
                <w:szCs w:val="21"/>
                <w:highlight w:val="none"/>
                <w:lang w:val="en-US" w:eastAsia="zh-CN"/>
              </w:rPr>
              <w:t>6</w:t>
            </w:r>
            <w:r>
              <w:rPr>
                <w:rFonts w:hint="eastAsia" w:ascii="仿宋_GB2312" w:hAnsi="仿宋_GB2312" w:eastAsia="仿宋_GB2312" w:cs="仿宋_GB2312"/>
                <w:b w:val="0"/>
                <w:bCs/>
                <w:color w:val="auto"/>
                <w:kern w:val="44"/>
                <w:sz w:val="21"/>
                <w:szCs w:val="21"/>
                <w:highlight w:val="none"/>
                <w:lang w:eastAsia="zh-CN"/>
              </w:rPr>
              <w:t>分；</w:t>
            </w:r>
          </w:p>
          <w:p w14:paraId="41FD6875">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val="en-US" w:eastAsia="zh-CN"/>
              </w:rPr>
              <w:t>（2）具有</w:t>
            </w:r>
            <w:r>
              <w:rPr>
                <w:rFonts w:hint="eastAsia" w:ascii="仿宋_GB2312" w:hAnsi="仿宋_GB2312" w:eastAsia="仿宋_GB2312" w:cs="仿宋_GB2312"/>
                <w:b w:val="0"/>
                <w:bCs/>
                <w:color w:val="auto"/>
                <w:kern w:val="44"/>
                <w:sz w:val="21"/>
                <w:szCs w:val="21"/>
                <w:highlight w:val="none"/>
                <w:lang w:eastAsia="zh-CN"/>
              </w:rPr>
              <w:t>测绘类工程师或以上职称，每有一人得</w:t>
            </w: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lang w:eastAsia="zh-CN"/>
              </w:rPr>
              <w:t>分，此项最高得</w:t>
            </w:r>
            <w:r>
              <w:rPr>
                <w:rFonts w:hint="eastAsia" w:ascii="仿宋_GB2312" w:hAnsi="仿宋_GB2312" w:eastAsia="仿宋_GB2312" w:cs="仿宋_GB2312"/>
                <w:b w:val="0"/>
                <w:bCs/>
                <w:color w:val="auto"/>
                <w:kern w:val="44"/>
                <w:sz w:val="21"/>
                <w:szCs w:val="21"/>
                <w:highlight w:val="none"/>
                <w:lang w:val="en-US" w:eastAsia="zh-CN"/>
              </w:rPr>
              <w:t>4</w:t>
            </w:r>
            <w:r>
              <w:rPr>
                <w:rFonts w:hint="eastAsia" w:ascii="仿宋_GB2312" w:hAnsi="仿宋_GB2312" w:eastAsia="仿宋_GB2312" w:cs="仿宋_GB2312"/>
                <w:b w:val="0"/>
                <w:bCs/>
                <w:color w:val="auto"/>
                <w:kern w:val="44"/>
                <w:sz w:val="21"/>
                <w:szCs w:val="21"/>
                <w:highlight w:val="none"/>
                <w:lang w:eastAsia="zh-CN"/>
              </w:rPr>
              <w:t>分。</w:t>
            </w:r>
          </w:p>
          <w:p w14:paraId="0E5CFEB7">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同一人不重复计分，以上</w:t>
            </w: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lang w:eastAsia="zh-CN"/>
              </w:rPr>
              <w:t>项累计加分，最高得</w:t>
            </w:r>
            <w:r>
              <w:rPr>
                <w:rFonts w:hint="eastAsia" w:ascii="仿宋_GB2312" w:hAnsi="仿宋_GB2312" w:eastAsia="仿宋_GB2312" w:cs="仿宋_GB2312"/>
                <w:b w:val="0"/>
                <w:bCs/>
                <w:color w:val="auto"/>
                <w:kern w:val="44"/>
                <w:sz w:val="21"/>
                <w:szCs w:val="21"/>
                <w:highlight w:val="none"/>
                <w:lang w:val="en-US" w:eastAsia="zh-CN"/>
              </w:rPr>
              <w:t>10</w:t>
            </w:r>
            <w:r>
              <w:rPr>
                <w:rFonts w:hint="eastAsia" w:ascii="仿宋_GB2312" w:hAnsi="仿宋_GB2312" w:eastAsia="仿宋_GB2312" w:cs="仿宋_GB2312"/>
                <w:b w:val="0"/>
                <w:bCs/>
                <w:color w:val="auto"/>
                <w:kern w:val="44"/>
                <w:sz w:val="21"/>
                <w:szCs w:val="21"/>
                <w:highlight w:val="none"/>
                <w:lang w:eastAsia="zh-CN"/>
              </w:rPr>
              <w:t>分。</w:t>
            </w:r>
          </w:p>
          <w:p w14:paraId="5DE6FCE3">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（二）评分依据：</w:t>
            </w:r>
          </w:p>
          <w:p w14:paraId="75E6BC98">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1.安排的团队成员要求提供通过投标人缴纳的近三个月的任意一个月的社保证明作为本单位员工的证明依据。若供应商成立不足三个月的，需提供成立情况说明函（格式自拟），无需提供相关人员社保，亦可得分。</w:t>
            </w:r>
          </w:p>
          <w:p w14:paraId="373FBC07">
            <w:pPr>
              <w:snapToGrid w:val="0"/>
              <w:spacing w:before="78" w:beforeLines="25" w:after="78" w:afterLines="25"/>
              <w:jc w:val="left"/>
              <w:rPr>
                <w:rFonts w:hint="eastAsia" w:ascii="仿宋_GB2312" w:hAnsi="仿宋_GB2312" w:eastAsia="仿宋_GB2312" w:cs="仿宋_GB2312"/>
                <w:b w:val="0"/>
                <w:bCs/>
                <w:color w:val="auto"/>
                <w:kern w:val="44"/>
                <w:sz w:val="21"/>
                <w:szCs w:val="21"/>
                <w:highlight w:val="none"/>
                <w:lang w:eastAsia="zh-CN"/>
              </w:rPr>
            </w:pPr>
            <w:r>
              <w:rPr>
                <w:rFonts w:hint="eastAsia" w:ascii="仿宋_GB2312" w:hAnsi="仿宋_GB2312" w:eastAsia="仿宋_GB2312" w:cs="仿宋_GB2312"/>
                <w:b w:val="0"/>
                <w:bCs/>
                <w:color w:val="auto"/>
                <w:kern w:val="44"/>
                <w:sz w:val="21"/>
                <w:szCs w:val="21"/>
                <w:highlight w:val="none"/>
                <w:lang w:eastAsia="zh-CN"/>
              </w:rPr>
              <w:t>2.</w:t>
            </w:r>
            <w:r>
              <w:rPr>
                <w:rFonts w:hint="eastAsia" w:ascii="仿宋_GB2312" w:hAnsi="仿宋_GB2312" w:eastAsia="仿宋_GB2312" w:cs="仿宋_GB2312"/>
                <w:b w:val="0"/>
                <w:bCs/>
                <w:color w:val="auto"/>
                <w:kern w:val="44"/>
                <w:sz w:val="21"/>
                <w:szCs w:val="21"/>
                <w:highlight w:val="none"/>
                <w:lang w:val="en-US" w:eastAsia="zh-CN"/>
              </w:rPr>
              <w:t>上述评分项，投标人应按要求</w:t>
            </w:r>
            <w:r>
              <w:rPr>
                <w:rFonts w:hint="eastAsia" w:ascii="仿宋_GB2312" w:hAnsi="仿宋_GB2312" w:eastAsia="仿宋_GB2312" w:cs="仿宋_GB2312"/>
                <w:b w:val="0"/>
                <w:bCs/>
                <w:color w:val="auto"/>
                <w:kern w:val="44"/>
                <w:sz w:val="21"/>
                <w:szCs w:val="21"/>
                <w:highlight w:val="none"/>
                <w:lang w:eastAsia="zh-CN"/>
              </w:rPr>
              <w:t>提供相关证书扫描件或证明材料，作为得分依据。</w:t>
            </w:r>
          </w:p>
          <w:p w14:paraId="72E3E7ED">
            <w:pPr>
              <w:snapToGrid w:val="0"/>
              <w:spacing w:before="78" w:beforeLines="25" w:after="78" w:afterLines="25"/>
              <w:jc w:val="left"/>
              <w:rPr>
                <w:rFonts w:hint="eastAsia"/>
                <w:highlight w:val="none"/>
                <w:lang w:eastAsia="zh-CN"/>
              </w:rPr>
            </w:pPr>
            <w:r>
              <w:rPr>
                <w:rFonts w:hint="eastAsia" w:ascii="仿宋_GB2312" w:hAnsi="仿宋_GB2312" w:eastAsia="仿宋_GB2312" w:cs="仿宋_GB2312"/>
                <w:b w:val="0"/>
                <w:bCs/>
                <w:color w:val="auto"/>
                <w:kern w:val="44"/>
                <w:sz w:val="21"/>
                <w:szCs w:val="21"/>
                <w:highlight w:val="none"/>
                <w:lang w:eastAsia="zh-CN"/>
              </w:rPr>
              <w:t>备注：评分中出现无证明资料或证书过期或专家无法凭所提供资料判断是否得分的情况，一律作不得分处理。</w:t>
            </w:r>
          </w:p>
        </w:tc>
        <w:tc>
          <w:tcPr>
            <w:tcW w:w="1112" w:type="dxa"/>
            <w:tcBorders>
              <w:top w:val="single" w:color="auto" w:sz="4" w:space="0"/>
              <w:left w:val="nil"/>
              <w:bottom w:val="single" w:color="auto" w:sz="4" w:space="0"/>
              <w:right w:val="single" w:color="auto" w:sz="4" w:space="0"/>
            </w:tcBorders>
            <w:noWrap w:val="0"/>
            <w:vAlign w:val="center"/>
          </w:tcPr>
          <w:p w14:paraId="23BA3867">
            <w:pPr>
              <w:keepNext w:val="0"/>
              <w:keepLines w:val="0"/>
              <w:pageBreakBefore w:val="0"/>
              <w:kinsoku/>
              <w:wordWrap w:val="0"/>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1A534EDC">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19776F6E">
        <w:tblPrEx>
          <w:tblCellMar>
            <w:top w:w="0" w:type="dxa"/>
            <w:left w:w="108" w:type="dxa"/>
            <w:bottom w:w="0" w:type="dxa"/>
            <w:right w:w="108" w:type="dxa"/>
          </w:tblCellMar>
        </w:tblPrEx>
        <w:trPr>
          <w:trHeight w:val="1782" w:hRule="atLeast"/>
          <w:jc w:val="center"/>
        </w:trPr>
        <w:tc>
          <w:tcPr>
            <w:tcW w:w="675" w:type="dxa"/>
            <w:vMerge w:val="continue"/>
            <w:tcBorders>
              <w:left w:val="single" w:color="auto" w:sz="4" w:space="0"/>
              <w:right w:val="single" w:color="auto" w:sz="4" w:space="0"/>
            </w:tcBorders>
            <w:noWrap w:val="0"/>
            <w:vAlign w:val="center"/>
          </w:tcPr>
          <w:p w14:paraId="4F63FD60">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01AA35B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4</w:t>
            </w:r>
          </w:p>
        </w:tc>
        <w:tc>
          <w:tcPr>
            <w:tcW w:w="1150" w:type="dxa"/>
            <w:tcBorders>
              <w:top w:val="single" w:color="auto" w:sz="4" w:space="0"/>
              <w:left w:val="nil"/>
              <w:bottom w:val="single" w:color="auto" w:sz="4" w:space="0"/>
              <w:right w:val="single" w:color="auto" w:sz="4" w:space="0"/>
            </w:tcBorders>
            <w:noWrap w:val="0"/>
            <w:vAlign w:val="center"/>
          </w:tcPr>
          <w:p w14:paraId="55EAD3E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bidi="ar-SA"/>
              </w:rPr>
            </w:pPr>
            <w:r>
              <w:rPr>
                <w:rFonts w:hint="eastAsia" w:ascii="仿宋_GB2312" w:hAnsi="仿宋_GB2312" w:eastAsia="仿宋_GB2312" w:cs="仿宋_GB2312"/>
                <w:b w:val="0"/>
                <w:bCs/>
                <w:color w:val="auto"/>
                <w:spacing w:val="-6"/>
                <w:kern w:val="44"/>
                <w:sz w:val="21"/>
                <w:szCs w:val="21"/>
                <w:highlight w:val="none"/>
                <w:lang w:val="en-US" w:eastAsia="zh-CN"/>
              </w:rPr>
              <w:t>获奖情况</w:t>
            </w:r>
          </w:p>
        </w:tc>
        <w:tc>
          <w:tcPr>
            <w:tcW w:w="737" w:type="dxa"/>
            <w:tcBorders>
              <w:top w:val="single" w:color="auto" w:sz="4" w:space="0"/>
              <w:left w:val="nil"/>
              <w:bottom w:val="single" w:color="auto" w:sz="4" w:space="0"/>
              <w:right w:val="single" w:color="auto" w:sz="4" w:space="0"/>
            </w:tcBorders>
            <w:noWrap w:val="0"/>
            <w:vAlign w:val="center"/>
          </w:tcPr>
          <w:p w14:paraId="3FA74851">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kern w:val="2"/>
                <w:sz w:val="21"/>
                <w:szCs w:val="21"/>
                <w:highlight w:val="none"/>
                <w:lang w:val="en-US" w:eastAsia="zh-CN" w:bidi="ar-SA"/>
              </w:rPr>
            </w:pPr>
            <w:r>
              <w:rPr>
                <w:rFonts w:hint="eastAsia" w:ascii="仿宋_GB2312" w:hAnsi="仿宋_GB2312" w:eastAsia="仿宋_GB2312" w:cs="仿宋_GB2312"/>
                <w:b w:val="0"/>
                <w:color w:val="auto"/>
                <w:spacing w:val="-6"/>
                <w:sz w:val="21"/>
                <w:szCs w:val="21"/>
                <w:highlight w:val="none"/>
                <w:lang w:val="en-US" w:eastAsia="zh-CN"/>
              </w:rPr>
              <w:t>2</w:t>
            </w:r>
          </w:p>
        </w:tc>
        <w:tc>
          <w:tcPr>
            <w:tcW w:w="4113" w:type="dxa"/>
            <w:tcBorders>
              <w:top w:val="single" w:color="auto" w:sz="4" w:space="0"/>
              <w:left w:val="nil"/>
              <w:bottom w:val="single" w:color="auto" w:sz="4" w:space="0"/>
              <w:right w:val="single" w:color="auto" w:sz="4" w:space="0"/>
            </w:tcBorders>
            <w:noWrap w:val="0"/>
            <w:vAlign w:val="center"/>
          </w:tcPr>
          <w:p w14:paraId="60B70F64">
            <w:pPr>
              <w:snapToGrid w:val="0"/>
              <w:spacing w:before="78" w:beforeLines="25" w:after="78" w:afterLines="25"/>
              <w:jc w:val="left"/>
              <w:rPr>
                <w:rFonts w:hint="eastAsia" w:ascii="仿宋_GB2312" w:hAnsi="仿宋_GB2312" w:eastAsia="仿宋_GB2312" w:cs="仿宋_GB2312"/>
                <w:b w:val="0"/>
                <w:color w:val="auto"/>
                <w:sz w:val="21"/>
                <w:szCs w:val="21"/>
                <w:highlight w:val="none"/>
              </w:rPr>
            </w:pPr>
            <w:r>
              <w:rPr>
                <w:rFonts w:hint="eastAsia" w:ascii="仿宋_GB2312" w:hAnsi="仿宋_GB2312" w:eastAsia="仿宋_GB2312" w:cs="仿宋_GB2312"/>
                <w:b w:val="0"/>
                <w:bCs/>
                <w:color w:val="auto"/>
                <w:kern w:val="44"/>
                <w:sz w:val="21"/>
                <w:szCs w:val="21"/>
                <w:highlight w:val="none"/>
              </w:rPr>
              <w:t>（一）评分内容：</w:t>
            </w:r>
          </w:p>
          <w:p w14:paraId="40E4B5FF">
            <w:pPr>
              <w:snapToGrid w:val="0"/>
              <w:spacing w:before="78" w:beforeLines="25" w:after="78" w:afterLines="25"/>
              <w:jc w:val="left"/>
              <w:rPr>
                <w:rFonts w:hint="eastAsia"/>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（1）近3年水利水电工程类勘察项目获省市级及以上优秀勘察奖项，每个奖项得1分。本项</w:t>
            </w:r>
            <w:r>
              <w:rPr>
                <w:rFonts w:hint="eastAsia" w:ascii="仿宋_GB2312" w:hAnsi="仿宋_GB2312" w:eastAsia="仿宋_GB2312" w:cs="仿宋_GB2312"/>
                <w:b w:val="0"/>
                <w:bCs/>
                <w:color w:val="auto"/>
                <w:kern w:val="44"/>
                <w:sz w:val="21"/>
                <w:szCs w:val="21"/>
                <w:highlight w:val="none"/>
                <w:lang w:eastAsia="zh-CN"/>
              </w:rPr>
              <w:t>最高得</w:t>
            </w:r>
            <w:r>
              <w:rPr>
                <w:rFonts w:hint="eastAsia" w:ascii="仿宋_GB2312" w:hAnsi="仿宋_GB2312" w:eastAsia="仿宋_GB2312" w:cs="仿宋_GB2312"/>
                <w:b w:val="0"/>
                <w:bCs/>
                <w:color w:val="auto"/>
                <w:kern w:val="44"/>
                <w:sz w:val="21"/>
                <w:szCs w:val="21"/>
                <w:highlight w:val="none"/>
                <w:lang w:val="en-US" w:eastAsia="zh-CN"/>
              </w:rPr>
              <w:t>2</w:t>
            </w:r>
            <w:r>
              <w:rPr>
                <w:rFonts w:hint="eastAsia" w:ascii="仿宋_GB2312" w:hAnsi="仿宋_GB2312" w:eastAsia="仿宋_GB2312" w:cs="仿宋_GB2312"/>
                <w:b w:val="0"/>
                <w:bCs/>
                <w:color w:val="auto"/>
                <w:kern w:val="44"/>
                <w:sz w:val="21"/>
                <w:szCs w:val="21"/>
                <w:highlight w:val="none"/>
                <w:lang w:eastAsia="zh-CN"/>
              </w:rPr>
              <w:t>分。</w:t>
            </w:r>
          </w:p>
          <w:p w14:paraId="3A8263C4">
            <w:pPr>
              <w:overflowPunct w:val="0"/>
              <w:topLinePunct/>
              <w:autoSpaceDN w:val="0"/>
              <w:snapToGrid w:val="0"/>
              <w:spacing w:before="78" w:beforeLines="25" w:after="78" w:afterLines="25" w:line="240" w:lineRule="auto"/>
              <w:jc w:val="left"/>
              <w:rPr>
                <w:rFonts w:hint="eastAsia" w:eastAsia="仿宋_GB2312"/>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备注：投标人提供相关证书扫描件或证明材料作为得分依据，原件备查。</w:t>
            </w:r>
            <w:r>
              <w:rPr>
                <w:rFonts w:hint="eastAsia" w:ascii="仿宋_GB2312" w:hAnsi="仿宋_GB2312" w:eastAsia="仿宋_GB2312" w:cs="仿宋_GB2312"/>
                <w:b w:val="0"/>
                <w:bCs/>
                <w:color w:val="auto"/>
                <w:kern w:val="44"/>
                <w:sz w:val="21"/>
                <w:szCs w:val="21"/>
                <w:highlight w:val="none"/>
              </w:rPr>
              <w:t>评分中出现无证明资料或证书过期或专家无法凭所提供资料判断是否得分的情况，一律作不得分处理</w:t>
            </w:r>
            <w:r>
              <w:rPr>
                <w:rFonts w:hint="eastAsia" w:ascii="仿宋_GB2312" w:hAnsi="仿宋_GB2312" w:eastAsia="仿宋_GB2312" w:cs="仿宋_GB2312"/>
                <w:b w:val="0"/>
                <w:bCs/>
                <w:color w:val="auto"/>
                <w:kern w:val="44"/>
                <w:sz w:val="21"/>
                <w:szCs w:val="21"/>
                <w:highlight w:val="none"/>
                <w:lang w:eastAsia="zh-CN"/>
              </w:rPr>
              <w:t>。</w:t>
            </w:r>
          </w:p>
        </w:tc>
        <w:tc>
          <w:tcPr>
            <w:tcW w:w="1112" w:type="dxa"/>
            <w:tcBorders>
              <w:top w:val="single" w:color="auto" w:sz="4" w:space="0"/>
              <w:left w:val="nil"/>
              <w:bottom w:val="single" w:color="auto" w:sz="4" w:space="0"/>
              <w:right w:val="single" w:color="auto" w:sz="4" w:space="0"/>
            </w:tcBorders>
            <w:noWrap w:val="0"/>
            <w:vAlign w:val="center"/>
          </w:tcPr>
          <w:p w14:paraId="637FA71C">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733FC95">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07B1D534">
        <w:tblPrEx>
          <w:tblCellMar>
            <w:top w:w="0" w:type="dxa"/>
            <w:left w:w="108" w:type="dxa"/>
            <w:bottom w:w="0" w:type="dxa"/>
            <w:right w:w="108" w:type="dxa"/>
          </w:tblCellMar>
        </w:tblPrEx>
        <w:trPr>
          <w:trHeight w:val="1782" w:hRule="atLeast"/>
          <w:jc w:val="center"/>
        </w:trPr>
        <w:tc>
          <w:tcPr>
            <w:tcW w:w="675" w:type="dxa"/>
            <w:vMerge w:val="continue"/>
            <w:tcBorders>
              <w:left w:val="single" w:color="auto" w:sz="4" w:space="0"/>
              <w:right w:val="single" w:color="auto" w:sz="4" w:space="0"/>
            </w:tcBorders>
            <w:noWrap w:val="0"/>
            <w:vAlign w:val="center"/>
          </w:tcPr>
          <w:p w14:paraId="3FADA776">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3D4DD7B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5</w:t>
            </w:r>
          </w:p>
        </w:tc>
        <w:tc>
          <w:tcPr>
            <w:tcW w:w="1150" w:type="dxa"/>
            <w:tcBorders>
              <w:top w:val="single" w:color="auto" w:sz="4" w:space="0"/>
              <w:left w:val="nil"/>
              <w:bottom w:val="single" w:color="auto" w:sz="4" w:space="0"/>
              <w:right w:val="single" w:color="auto" w:sz="4" w:space="0"/>
            </w:tcBorders>
            <w:noWrap w:val="0"/>
            <w:vAlign w:val="center"/>
          </w:tcPr>
          <w:p w14:paraId="33F8D68F">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企业管理体系与资质认证</w:t>
            </w:r>
          </w:p>
        </w:tc>
        <w:tc>
          <w:tcPr>
            <w:tcW w:w="737" w:type="dxa"/>
            <w:tcBorders>
              <w:top w:val="single" w:color="auto" w:sz="4" w:space="0"/>
              <w:left w:val="nil"/>
              <w:bottom w:val="single" w:color="auto" w:sz="4" w:space="0"/>
              <w:right w:val="single" w:color="auto" w:sz="4" w:space="0"/>
            </w:tcBorders>
            <w:noWrap w:val="0"/>
            <w:vAlign w:val="center"/>
          </w:tcPr>
          <w:p w14:paraId="12F2F70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lang w:eastAsia="zh-CN"/>
              </w:rPr>
            </w:pPr>
            <w:r>
              <w:rPr>
                <w:rFonts w:hint="eastAsia" w:ascii="仿宋_GB2312" w:hAnsi="仿宋_GB2312" w:eastAsia="仿宋_GB2312" w:cs="仿宋_GB2312"/>
                <w:b w:val="0"/>
                <w:bCs/>
                <w:color w:val="auto"/>
                <w:spacing w:val="-6"/>
                <w:kern w:val="44"/>
                <w:sz w:val="21"/>
                <w:szCs w:val="21"/>
                <w:highlight w:val="none"/>
                <w:lang w:val="en-US" w:eastAsia="zh-CN"/>
              </w:rPr>
              <w:t>4</w:t>
            </w:r>
          </w:p>
        </w:tc>
        <w:tc>
          <w:tcPr>
            <w:tcW w:w="4113" w:type="dxa"/>
            <w:tcBorders>
              <w:top w:val="single" w:color="auto" w:sz="4" w:space="0"/>
              <w:left w:val="nil"/>
              <w:bottom w:val="single" w:color="auto" w:sz="4" w:space="0"/>
              <w:right w:val="single" w:color="auto" w:sz="4" w:space="0"/>
            </w:tcBorders>
            <w:noWrap w:val="0"/>
            <w:vAlign w:val="center"/>
          </w:tcPr>
          <w:p w14:paraId="416DB85C">
            <w:pPr>
              <w:numPr>
                <w:ilvl w:val="0"/>
                <w:numId w:val="0"/>
              </w:numPr>
              <w:overflowPunct w:val="0"/>
              <w:topLinePunct/>
              <w:autoSpaceDN w:val="0"/>
              <w:snapToGrid w:val="0"/>
              <w:spacing w:before="78" w:beforeLines="25" w:after="78" w:afterLines="25"/>
              <w:jc w:val="left"/>
              <w:rPr>
                <w:rFonts w:hint="eastAsia"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1.</w:t>
            </w:r>
            <w:r>
              <w:rPr>
                <w:rFonts w:hint="eastAsia" w:ascii="仿宋_GB2312" w:hAnsi="仿宋_GB2312" w:eastAsia="仿宋_GB2312" w:cs="仿宋_GB2312"/>
                <w:b w:val="0"/>
                <w:bCs/>
                <w:color w:val="auto"/>
                <w:spacing w:val="-6"/>
                <w:kern w:val="44"/>
                <w:sz w:val="21"/>
                <w:szCs w:val="21"/>
                <w:highlight w:val="none"/>
              </w:rPr>
              <w:t>投标人具有国家认证认可监督管理委员会批准的认证机构颁发的质量管理体系认证证书、环境管理体系认证证书、职业健康安全管理体系认证证书</w:t>
            </w:r>
            <w:r>
              <w:rPr>
                <w:rFonts w:hint="eastAsia" w:ascii="仿宋_GB2312" w:hAnsi="仿宋_GB2312" w:eastAsia="仿宋_GB2312" w:cs="仿宋_GB2312"/>
                <w:b w:val="0"/>
                <w:bCs/>
                <w:color w:val="auto"/>
                <w:spacing w:val="-6"/>
                <w:kern w:val="44"/>
                <w:sz w:val="21"/>
                <w:szCs w:val="21"/>
                <w:highlight w:val="none"/>
                <w:lang w:eastAsia="zh-CN"/>
              </w:rPr>
              <w:t>、</w:t>
            </w:r>
            <w:r>
              <w:rPr>
                <w:rFonts w:hint="eastAsia" w:ascii="仿宋_GB2312" w:hAnsi="仿宋_GB2312" w:eastAsia="仿宋_GB2312" w:cs="仿宋_GB2312"/>
                <w:b w:val="0"/>
                <w:bCs/>
                <w:color w:val="auto"/>
                <w:spacing w:val="-6"/>
                <w:kern w:val="44"/>
                <w:sz w:val="21"/>
                <w:szCs w:val="21"/>
                <w:highlight w:val="none"/>
              </w:rPr>
              <w:t>安全生产标准化证书，每具有一项证书得</w:t>
            </w:r>
            <w:r>
              <w:rPr>
                <w:rFonts w:hint="eastAsia" w:ascii="仿宋_GB2312" w:hAnsi="仿宋_GB2312" w:eastAsia="仿宋_GB2312" w:cs="仿宋_GB2312"/>
                <w:b w:val="0"/>
                <w:bCs/>
                <w:color w:val="auto"/>
                <w:spacing w:val="-6"/>
                <w:kern w:val="44"/>
                <w:sz w:val="21"/>
                <w:szCs w:val="21"/>
                <w:highlight w:val="none"/>
                <w:lang w:val="en-US" w:eastAsia="zh-CN"/>
              </w:rPr>
              <w:t>1</w:t>
            </w:r>
            <w:r>
              <w:rPr>
                <w:rFonts w:hint="eastAsia" w:ascii="仿宋_GB2312" w:hAnsi="仿宋_GB2312" w:eastAsia="仿宋_GB2312" w:cs="仿宋_GB2312"/>
                <w:b w:val="0"/>
                <w:bCs/>
                <w:color w:val="auto"/>
                <w:spacing w:val="-6"/>
                <w:kern w:val="44"/>
                <w:sz w:val="21"/>
                <w:szCs w:val="21"/>
                <w:highlight w:val="none"/>
                <w:lang w:val="en-US"/>
              </w:rPr>
              <w:t>分</w:t>
            </w:r>
            <w:r>
              <w:rPr>
                <w:rFonts w:hint="eastAsia" w:ascii="仿宋_GB2312" w:hAnsi="仿宋_GB2312" w:eastAsia="仿宋_GB2312" w:cs="仿宋_GB2312"/>
                <w:b w:val="0"/>
                <w:bCs/>
                <w:color w:val="auto"/>
                <w:spacing w:val="-6"/>
                <w:kern w:val="44"/>
                <w:sz w:val="21"/>
                <w:szCs w:val="21"/>
                <w:highlight w:val="none"/>
                <w:lang w:val="en-US" w:eastAsia="zh-CN"/>
              </w:rPr>
              <w:t>。</w:t>
            </w:r>
          </w:p>
          <w:p w14:paraId="2FDE2DC4">
            <w:pPr>
              <w:overflowPunct w:val="0"/>
              <w:topLinePunct/>
              <w:autoSpaceDN w:val="0"/>
              <w:snapToGrid w:val="0"/>
              <w:spacing w:before="78" w:beforeLines="25" w:after="78" w:afterLines="25" w:line="240" w:lineRule="auto"/>
              <w:jc w:val="left"/>
              <w:rPr>
                <w:rFonts w:hint="eastAsia" w:ascii="仿宋_GB2312" w:hAnsi="仿宋_GB2312" w:eastAsia="仿宋_GB2312" w:cs="仿宋_GB2312"/>
                <w:b w:val="0"/>
                <w:bCs/>
                <w:color w:val="auto"/>
                <w:spacing w:val="-6"/>
                <w:kern w:val="44"/>
                <w:sz w:val="21"/>
                <w:szCs w:val="21"/>
                <w:highlight w:val="none"/>
              </w:rPr>
            </w:pPr>
            <w:r>
              <w:rPr>
                <w:rFonts w:hint="eastAsia" w:ascii="仿宋_GB2312" w:hAnsi="仿宋_GB2312" w:eastAsia="仿宋_GB2312" w:cs="仿宋_GB2312"/>
                <w:b w:val="0"/>
                <w:bCs/>
                <w:color w:val="auto"/>
                <w:kern w:val="44"/>
                <w:sz w:val="21"/>
                <w:szCs w:val="21"/>
                <w:highlight w:val="none"/>
                <w:lang w:eastAsia="zh-CN"/>
              </w:rPr>
              <w:t>备注：</w:t>
            </w:r>
            <w:r>
              <w:rPr>
                <w:rFonts w:hint="eastAsia" w:ascii="仿宋_GB2312" w:hAnsi="仿宋_GB2312" w:eastAsia="仿宋_GB2312" w:cs="仿宋_GB2312"/>
                <w:b w:val="0"/>
                <w:bCs/>
                <w:color w:val="auto"/>
                <w:kern w:val="44"/>
                <w:sz w:val="21"/>
                <w:szCs w:val="21"/>
                <w:highlight w:val="none"/>
              </w:rPr>
              <w:t>提供相关证明文件（或官方网站截图）扫描件加盖投标人公章，原件备查。）</w:t>
            </w:r>
          </w:p>
        </w:tc>
        <w:tc>
          <w:tcPr>
            <w:tcW w:w="1112" w:type="dxa"/>
            <w:tcBorders>
              <w:top w:val="single" w:color="auto" w:sz="4" w:space="0"/>
              <w:left w:val="nil"/>
              <w:bottom w:val="single" w:color="auto" w:sz="4" w:space="0"/>
              <w:right w:val="single" w:color="auto" w:sz="4" w:space="0"/>
            </w:tcBorders>
            <w:noWrap w:val="0"/>
            <w:vAlign w:val="center"/>
          </w:tcPr>
          <w:p w14:paraId="7BEFDC2B">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7636F836">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387D6FEB">
        <w:tblPrEx>
          <w:tblCellMar>
            <w:top w:w="0" w:type="dxa"/>
            <w:left w:w="108" w:type="dxa"/>
            <w:bottom w:w="0" w:type="dxa"/>
            <w:right w:w="108" w:type="dxa"/>
          </w:tblCellMar>
        </w:tblPrEx>
        <w:trPr>
          <w:trHeight w:val="1782" w:hRule="atLeast"/>
          <w:jc w:val="center"/>
        </w:trPr>
        <w:tc>
          <w:tcPr>
            <w:tcW w:w="675" w:type="dxa"/>
            <w:tcBorders>
              <w:left w:val="single" w:color="auto" w:sz="4" w:space="0"/>
              <w:right w:val="single" w:color="auto" w:sz="4" w:space="0"/>
            </w:tcBorders>
            <w:noWrap w:val="0"/>
            <w:vAlign w:val="center"/>
          </w:tcPr>
          <w:p w14:paraId="45B7E1A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50" w:type="dxa"/>
            <w:tcBorders>
              <w:top w:val="single" w:color="auto" w:sz="4" w:space="0"/>
              <w:left w:val="nil"/>
              <w:bottom w:val="single" w:color="auto" w:sz="4" w:space="0"/>
              <w:right w:val="single" w:color="auto" w:sz="4" w:space="0"/>
            </w:tcBorders>
            <w:noWrap w:val="0"/>
            <w:vAlign w:val="center"/>
          </w:tcPr>
          <w:p w14:paraId="7A668AA5">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default" w:ascii="仿宋_GB2312" w:hAnsi="仿宋_GB2312" w:eastAsia="仿宋_GB2312" w:cs="仿宋_GB2312"/>
                <w:b w:val="0"/>
                <w:bCs/>
                <w:color w:val="auto"/>
                <w:spacing w:val="-6"/>
                <w:kern w:val="44"/>
                <w:sz w:val="21"/>
                <w:szCs w:val="21"/>
                <w:highlight w:val="none"/>
                <w:lang w:val="en-US" w:eastAsia="zh-CN"/>
              </w:rPr>
            </w:pPr>
            <w:r>
              <w:rPr>
                <w:rFonts w:hint="eastAsia" w:ascii="仿宋_GB2312" w:hAnsi="仿宋_GB2312" w:eastAsia="仿宋_GB2312" w:cs="仿宋_GB2312"/>
                <w:b w:val="0"/>
                <w:bCs/>
                <w:color w:val="auto"/>
                <w:spacing w:val="-6"/>
                <w:kern w:val="44"/>
                <w:sz w:val="21"/>
                <w:szCs w:val="21"/>
                <w:highlight w:val="none"/>
                <w:lang w:val="en-US" w:eastAsia="zh-CN"/>
              </w:rPr>
              <w:t>6</w:t>
            </w:r>
          </w:p>
        </w:tc>
        <w:tc>
          <w:tcPr>
            <w:tcW w:w="1150" w:type="dxa"/>
            <w:tcBorders>
              <w:top w:val="single" w:color="auto" w:sz="4" w:space="0"/>
              <w:left w:val="nil"/>
              <w:bottom w:val="single" w:color="auto" w:sz="4" w:space="0"/>
              <w:right w:val="single" w:color="auto" w:sz="4" w:space="0"/>
            </w:tcBorders>
            <w:noWrap w:val="0"/>
            <w:vAlign w:val="center"/>
          </w:tcPr>
          <w:p w14:paraId="71B2229B">
            <w:pPr>
              <w:snapToGrid w:val="0"/>
              <w:spacing w:before="78" w:beforeLines="25" w:after="78" w:afterLines="25"/>
              <w:jc w:val="center"/>
              <w:rPr>
                <w:rFonts w:hint="eastAsia" w:ascii="仿宋_GB2312" w:hAnsi="仿宋_GB2312" w:eastAsia="仿宋_GB2312" w:cs="仿宋_GB2312"/>
                <w:b w:val="0"/>
                <w:color w:val="auto"/>
                <w:kern w:val="2"/>
                <w:sz w:val="21"/>
                <w:szCs w:val="21"/>
                <w:highlight w:val="none"/>
                <w:lang w:val="en-US" w:eastAsia="zh-CN" w:bidi="ar-SA"/>
              </w:rPr>
            </w:pPr>
            <w:r>
              <w:rPr>
                <w:rFonts w:hint="eastAsia" w:ascii="仿宋_GB2312" w:hAnsi="仿宋_GB2312" w:eastAsia="仿宋_GB2312" w:cs="仿宋_GB2312"/>
                <w:b w:val="0"/>
                <w:bCs/>
                <w:color w:val="auto"/>
                <w:kern w:val="44"/>
                <w:sz w:val="21"/>
                <w:szCs w:val="21"/>
                <w:highlight w:val="none"/>
              </w:rPr>
              <w:t>诚信</w:t>
            </w:r>
            <w:r>
              <w:rPr>
                <w:rFonts w:hint="eastAsia" w:ascii="仿宋_GB2312" w:hAnsi="仿宋_GB2312" w:eastAsia="仿宋_GB2312" w:cs="仿宋_GB2312"/>
                <w:b w:val="0"/>
                <w:bCs/>
                <w:color w:val="auto"/>
                <w:kern w:val="44"/>
                <w:sz w:val="21"/>
                <w:szCs w:val="21"/>
                <w:highlight w:val="none"/>
                <w:lang w:val="en-US"/>
              </w:rPr>
              <w:t>及履约评价</w:t>
            </w:r>
            <w:r>
              <w:rPr>
                <w:rFonts w:hint="eastAsia" w:ascii="仿宋_GB2312" w:hAnsi="仿宋_GB2312" w:eastAsia="仿宋_GB2312" w:cs="仿宋_GB2312"/>
                <w:b w:val="0"/>
                <w:bCs/>
                <w:color w:val="auto"/>
                <w:kern w:val="44"/>
                <w:sz w:val="21"/>
                <w:szCs w:val="21"/>
                <w:highlight w:val="none"/>
              </w:rPr>
              <w:t>体系</w:t>
            </w:r>
          </w:p>
        </w:tc>
        <w:tc>
          <w:tcPr>
            <w:tcW w:w="737" w:type="dxa"/>
            <w:tcBorders>
              <w:top w:val="single" w:color="auto" w:sz="4" w:space="0"/>
              <w:left w:val="nil"/>
              <w:bottom w:val="single" w:color="auto" w:sz="4" w:space="0"/>
              <w:right w:val="single" w:color="auto" w:sz="4" w:space="0"/>
            </w:tcBorders>
            <w:noWrap w:val="0"/>
            <w:vAlign w:val="center"/>
          </w:tcPr>
          <w:p w14:paraId="0E8AD44A">
            <w:pPr>
              <w:snapToGrid w:val="0"/>
              <w:spacing w:before="78" w:beforeLines="25" w:after="78" w:afterLines="25"/>
              <w:jc w:val="center"/>
              <w:rPr>
                <w:rFonts w:hint="eastAsia" w:ascii="仿宋_GB2312" w:hAnsi="仿宋_GB2312" w:eastAsia="仿宋_GB2312" w:cs="仿宋_GB2312"/>
                <w:b w:val="0"/>
                <w:color w:val="auto"/>
                <w:kern w:val="2"/>
                <w:sz w:val="21"/>
                <w:szCs w:val="21"/>
                <w:highlight w:val="none"/>
                <w:lang w:val="en-US" w:eastAsia="zh-CN" w:bidi="ar-SA"/>
              </w:rPr>
            </w:pPr>
            <w:r>
              <w:rPr>
                <w:rFonts w:hint="eastAsia" w:ascii="仿宋_GB2312" w:hAnsi="仿宋_GB2312" w:eastAsia="仿宋_GB2312" w:cs="仿宋_GB2312"/>
                <w:b w:val="0"/>
                <w:bCs/>
                <w:color w:val="auto"/>
                <w:kern w:val="44"/>
                <w:sz w:val="21"/>
                <w:szCs w:val="21"/>
                <w:highlight w:val="none"/>
                <w:lang w:val="en-US" w:eastAsia="zh-CN"/>
              </w:rPr>
              <w:t>2</w:t>
            </w:r>
          </w:p>
        </w:tc>
        <w:tc>
          <w:tcPr>
            <w:tcW w:w="4113" w:type="dxa"/>
            <w:tcBorders>
              <w:top w:val="single" w:color="auto" w:sz="4" w:space="0"/>
              <w:left w:val="nil"/>
              <w:bottom w:val="single" w:color="auto" w:sz="4" w:space="0"/>
              <w:right w:val="single" w:color="auto" w:sz="4" w:space="0"/>
            </w:tcBorders>
            <w:noWrap w:val="0"/>
            <w:vAlign w:val="center"/>
          </w:tcPr>
          <w:p w14:paraId="7A4EFEDE">
            <w:pPr>
              <w:snapToGrid w:val="0"/>
              <w:spacing w:before="78" w:beforeLines="25" w:after="78" w:afterLines="25"/>
              <w:jc w:val="left"/>
              <w:rPr>
                <w:rFonts w:hint="eastAsia" w:ascii="Calibri" w:hAnsi="Calibri" w:eastAsia="仿宋_GB2312" w:cs="Times New Roman"/>
                <w:color w:val="auto"/>
                <w:kern w:val="2"/>
                <w:sz w:val="21"/>
                <w:szCs w:val="22"/>
                <w:highlight w:val="none"/>
                <w:lang w:val="en-US" w:eastAsia="zh-CN" w:bidi="ar-SA"/>
              </w:rPr>
            </w:pPr>
            <w:r>
              <w:rPr>
                <w:rFonts w:hint="eastAsia" w:ascii="Calibri" w:hAnsi="Calibri" w:eastAsia="仿宋_GB2312" w:cs="Times New Roman"/>
                <w:color w:val="auto"/>
                <w:kern w:val="2"/>
                <w:sz w:val="21"/>
                <w:szCs w:val="22"/>
                <w:highlight w:val="none"/>
                <w:lang w:val="en-US" w:eastAsia="zh-CN" w:bidi="ar-SA"/>
              </w:rPr>
              <w:t>投标人存在《深圳市财政局政府采购供应商信用信息管理办法》（深财规〔2023〕3号）列明的一般行政处罚信息、一般违法失信记录信息的，本项不得分，不存在上述情形的本项得</w:t>
            </w:r>
            <w:r>
              <w:rPr>
                <w:rFonts w:hint="eastAsia" w:eastAsia="仿宋_GB2312" w:cs="Times New Roman"/>
                <w:color w:val="auto"/>
                <w:kern w:val="2"/>
                <w:sz w:val="21"/>
                <w:szCs w:val="22"/>
                <w:highlight w:val="none"/>
                <w:lang w:val="en-US" w:eastAsia="zh-CN" w:bidi="ar-SA"/>
              </w:rPr>
              <w:t>2</w:t>
            </w:r>
            <w:r>
              <w:rPr>
                <w:rFonts w:hint="eastAsia" w:ascii="Calibri" w:hAnsi="Calibri" w:eastAsia="仿宋_GB2312" w:cs="Times New Roman"/>
                <w:color w:val="auto"/>
                <w:kern w:val="2"/>
                <w:sz w:val="21"/>
                <w:szCs w:val="22"/>
                <w:highlight w:val="none"/>
                <w:lang w:val="en-US" w:eastAsia="zh-CN" w:bidi="ar-SA"/>
              </w:rPr>
              <w:t>分。投标人无需提供任何证明材料，评标过程中由工作人员向评审委员会提供有关供应商诚信查询结果。</w:t>
            </w:r>
          </w:p>
        </w:tc>
        <w:tc>
          <w:tcPr>
            <w:tcW w:w="1112" w:type="dxa"/>
            <w:tcBorders>
              <w:top w:val="single" w:color="auto" w:sz="4" w:space="0"/>
              <w:left w:val="nil"/>
              <w:bottom w:val="single" w:color="auto" w:sz="4" w:space="0"/>
              <w:right w:val="single" w:color="auto" w:sz="4" w:space="0"/>
            </w:tcBorders>
            <w:noWrap w:val="0"/>
            <w:vAlign w:val="center"/>
          </w:tcPr>
          <w:p w14:paraId="1012C522">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687" w:type="dxa"/>
            <w:tcBorders>
              <w:top w:val="single" w:color="auto" w:sz="4" w:space="0"/>
              <w:left w:val="nil"/>
              <w:bottom w:val="single" w:color="auto" w:sz="4" w:space="0"/>
              <w:right w:val="single" w:color="auto" w:sz="4" w:space="0"/>
            </w:tcBorders>
            <w:noWrap w:val="0"/>
            <w:vAlign w:val="center"/>
          </w:tcPr>
          <w:p w14:paraId="38AA1D46">
            <w:pPr>
              <w:keepNext w:val="0"/>
              <w:keepLines w:val="0"/>
              <w:pageBreakBefore w:val="0"/>
              <w:widowControl/>
              <w:kinsoku/>
              <w:overflowPunct w:val="0"/>
              <w:topLinePunct/>
              <w:autoSpaceDE/>
              <w:autoSpaceDN w:val="0"/>
              <w:bidi w:val="0"/>
              <w:spacing w:line="560" w:lineRule="exact"/>
              <w:jc w:val="center"/>
              <w:rPr>
                <w:rFonts w:hint="eastAsia" w:ascii="仿宋_GB2312" w:hAnsi="仿宋_GB2312" w:eastAsia="仿宋_GB2312" w:cs="仿宋_GB2312"/>
                <w:b w:val="0"/>
                <w:color w:val="auto"/>
                <w:spacing w:val="-6"/>
                <w:sz w:val="21"/>
                <w:szCs w:val="21"/>
                <w:highlight w:val="none"/>
              </w:rPr>
            </w:pPr>
          </w:p>
        </w:tc>
      </w:tr>
      <w:tr w14:paraId="269C8FE1">
        <w:tblPrEx>
          <w:tblCellMar>
            <w:top w:w="0" w:type="dxa"/>
            <w:left w:w="108" w:type="dxa"/>
            <w:bottom w:w="0" w:type="dxa"/>
            <w:right w:w="108" w:type="dxa"/>
          </w:tblCellMar>
        </w:tblPrEx>
        <w:trPr>
          <w:trHeight w:val="738" w:hRule="atLeast"/>
          <w:jc w:val="center"/>
        </w:trPr>
        <w:tc>
          <w:tcPr>
            <w:tcW w:w="1325" w:type="dxa"/>
            <w:gridSpan w:val="2"/>
            <w:tcBorders>
              <w:top w:val="single" w:color="auto" w:sz="4" w:space="0"/>
              <w:left w:val="single" w:color="auto" w:sz="4" w:space="0"/>
              <w:bottom w:val="single" w:color="auto" w:sz="4" w:space="0"/>
              <w:right w:val="single" w:color="auto" w:sz="4" w:space="0"/>
            </w:tcBorders>
            <w:noWrap w:val="0"/>
            <w:vAlign w:val="center"/>
          </w:tcPr>
          <w:p w14:paraId="153EFEAA">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投标人</w:t>
            </w:r>
          </w:p>
        </w:tc>
        <w:tc>
          <w:tcPr>
            <w:tcW w:w="6000" w:type="dxa"/>
            <w:gridSpan w:val="3"/>
            <w:tcBorders>
              <w:top w:val="single" w:color="auto" w:sz="4" w:space="0"/>
              <w:left w:val="single" w:color="auto" w:sz="4" w:space="0"/>
              <w:bottom w:val="single" w:color="auto" w:sz="4" w:space="0"/>
              <w:right w:val="single" w:color="auto" w:sz="4" w:space="0"/>
            </w:tcBorders>
            <w:noWrap w:val="0"/>
            <w:vAlign w:val="center"/>
          </w:tcPr>
          <w:p w14:paraId="6A879B17">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5397CEEE">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r>
              <w:rPr>
                <w:rFonts w:hint="eastAsia" w:ascii="仿宋_GB2312" w:hAnsi="仿宋_GB2312" w:eastAsia="仿宋_GB2312" w:cs="仿宋_GB2312"/>
                <w:b w:val="0"/>
                <w:bCs/>
                <w:color w:val="auto"/>
                <w:spacing w:val="-6"/>
                <w:kern w:val="44"/>
                <w:sz w:val="21"/>
                <w:szCs w:val="21"/>
                <w:highlight w:val="none"/>
              </w:rPr>
              <w:t>总得分</w:t>
            </w:r>
          </w:p>
        </w:tc>
        <w:tc>
          <w:tcPr>
            <w:tcW w:w="687" w:type="dxa"/>
            <w:tcBorders>
              <w:top w:val="single" w:color="auto" w:sz="4" w:space="0"/>
              <w:left w:val="nil"/>
              <w:bottom w:val="single" w:color="auto" w:sz="4" w:space="0"/>
              <w:right w:val="single" w:color="auto" w:sz="4" w:space="0"/>
            </w:tcBorders>
            <w:noWrap w:val="0"/>
            <w:vAlign w:val="center"/>
          </w:tcPr>
          <w:p w14:paraId="24A00BAD">
            <w:pPr>
              <w:keepNext w:val="0"/>
              <w:keepLines w:val="0"/>
              <w:pageBreakBefore w:val="0"/>
              <w:kinsoku/>
              <w:overflowPunct w:val="0"/>
              <w:topLinePunct/>
              <w:autoSpaceDE/>
              <w:autoSpaceDN w:val="0"/>
              <w:bidi w:val="0"/>
              <w:snapToGrid w:val="0"/>
              <w:spacing w:before="78" w:beforeLines="25" w:after="78" w:afterLines="25" w:line="560" w:lineRule="exact"/>
              <w:jc w:val="center"/>
              <w:rPr>
                <w:rFonts w:hint="eastAsia" w:ascii="仿宋_GB2312" w:hAnsi="仿宋_GB2312" w:eastAsia="仿宋_GB2312" w:cs="仿宋_GB2312"/>
                <w:b w:val="0"/>
                <w:color w:val="auto"/>
                <w:spacing w:val="-6"/>
                <w:sz w:val="21"/>
                <w:szCs w:val="21"/>
                <w:highlight w:val="none"/>
              </w:rPr>
            </w:pPr>
          </w:p>
        </w:tc>
      </w:tr>
    </w:tbl>
    <w:p w14:paraId="278018B4">
      <w:pPr>
        <w:keepLines w:val="0"/>
        <w:pageBreakBefore w:val="0"/>
        <w:widowControl/>
        <w:kinsoku/>
        <w:autoSpaceDE/>
        <w:bidi w:val="0"/>
        <w:snapToGrid/>
        <w:spacing w:line="560" w:lineRule="exact"/>
        <w:jc w:val="left"/>
        <w:textAlignment w:val="auto"/>
        <w:rPr>
          <w:rFonts w:hint="eastAsia" w:ascii="华文仿宋" w:hAnsi="华文仿宋" w:eastAsia="华文仿宋" w:cs="华文仿宋"/>
          <w:sz w:val="32"/>
          <w:szCs w:val="32"/>
          <w:highlight w:val="none"/>
        </w:rPr>
      </w:pPr>
    </w:p>
    <w:sectPr>
      <w:headerReference r:id="rId5" w:type="default"/>
      <w:footerReference r:id="rId6" w:type="default"/>
      <w:type w:val="continuous"/>
      <w:pgSz w:w="11900" w:h="16840"/>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CBAC2">
    <w:pPr>
      <w:overflowPunct w:val="0"/>
      <w:topLinePunct/>
      <w:autoSpaceDN w:val="0"/>
      <w:jc w:val="center"/>
      <w:rPr>
        <w:rFonts w:hint="eastAsia" w:ascii="Times New Roman" w:hAnsi="Times New Roman" w:eastAsia="宋体" w:cs="Times New Roman"/>
        <w:spacing w:val="-6"/>
        <w:sz w:val="3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8A7D8">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1BFCB">
    <w:pPr>
      <w:overflowPunct w:val="0"/>
      <w:topLinePunct/>
      <w:autoSpaceDN w:val="0"/>
      <w:jc w:val="center"/>
      <w:rPr>
        <w:rFonts w:hint="eastAsia" w:ascii="Times New Roman" w:hAnsi="Times New Roman" w:eastAsia="宋体" w:cs="Times New Roman"/>
        <w:spacing w:val="-6"/>
        <w:sz w:val="3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A3CE3">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OTNlYTI3OGQ1ZDFkYTQ4Yjg3NmM3ODZhYzAwMWYifQ=="/>
  </w:docVars>
  <w:rsids>
    <w:rsidRoot w:val="35DF25E8"/>
    <w:rsid w:val="25F746EC"/>
    <w:rsid w:val="26BD8E3F"/>
    <w:rsid w:val="299EF280"/>
    <w:rsid w:val="35DF25E8"/>
    <w:rsid w:val="35E26F95"/>
    <w:rsid w:val="3678F97E"/>
    <w:rsid w:val="36FDC60D"/>
    <w:rsid w:val="3D3F7272"/>
    <w:rsid w:val="3DEF7FC5"/>
    <w:rsid w:val="4FF9CC25"/>
    <w:rsid w:val="53F7AB16"/>
    <w:rsid w:val="54467DB4"/>
    <w:rsid w:val="57BD26B0"/>
    <w:rsid w:val="5C9AA5E9"/>
    <w:rsid w:val="5DFBC619"/>
    <w:rsid w:val="5E7FBF3F"/>
    <w:rsid w:val="5FF78E84"/>
    <w:rsid w:val="67180F76"/>
    <w:rsid w:val="6A676B49"/>
    <w:rsid w:val="6BE5D5F2"/>
    <w:rsid w:val="6FF56B46"/>
    <w:rsid w:val="717FEA02"/>
    <w:rsid w:val="73E7B7BC"/>
    <w:rsid w:val="73FFF180"/>
    <w:rsid w:val="777FF26B"/>
    <w:rsid w:val="77B84742"/>
    <w:rsid w:val="77CF2D98"/>
    <w:rsid w:val="77DF4C28"/>
    <w:rsid w:val="79ED4AD0"/>
    <w:rsid w:val="79F4BFF3"/>
    <w:rsid w:val="79FF9CB2"/>
    <w:rsid w:val="7ADF4C67"/>
    <w:rsid w:val="7DF7E2C8"/>
    <w:rsid w:val="7DFA73B9"/>
    <w:rsid w:val="7DFED9F8"/>
    <w:rsid w:val="7E7D6A57"/>
    <w:rsid w:val="7EED8D4F"/>
    <w:rsid w:val="7EF43E1B"/>
    <w:rsid w:val="7EFBCA47"/>
    <w:rsid w:val="7EFD14E8"/>
    <w:rsid w:val="7EFD8C29"/>
    <w:rsid w:val="7EFE3F9D"/>
    <w:rsid w:val="7F5651BE"/>
    <w:rsid w:val="7F5F38FF"/>
    <w:rsid w:val="7F5FF409"/>
    <w:rsid w:val="7FB5751E"/>
    <w:rsid w:val="7FDFA9E2"/>
    <w:rsid w:val="7FEF9A94"/>
    <w:rsid w:val="7FF7A7E2"/>
    <w:rsid w:val="7FFA6EE5"/>
    <w:rsid w:val="7FFEC11F"/>
    <w:rsid w:val="7FFF1BE7"/>
    <w:rsid w:val="9BCF2548"/>
    <w:rsid w:val="9D7DB949"/>
    <w:rsid w:val="9FDFC8FB"/>
    <w:rsid w:val="A4FECAF3"/>
    <w:rsid w:val="AEFFAA53"/>
    <w:rsid w:val="AFEF3002"/>
    <w:rsid w:val="AFFFA6B2"/>
    <w:rsid w:val="B7D19765"/>
    <w:rsid w:val="BA9E8AFC"/>
    <w:rsid w:val="BBCFD967"/>
    <w:rsid w:val="BBEF8CB7"/>
    <w:rsid w:val="BE7A96ED"/>
    <w:rsid w:val="BFBFE8B1"/>
    <w:rsid w:val="BFDB20B6"/>
    <w:rsid w:val="C1FCD4F6"/>
    <w:rsid w:val="D37E928E"/>
    <w:rsid w:val="D71F25FB"/>
    <w:rsid w:val="D7FE52E6"/>
    <w:rsid w:val="DC737453"/>
    <w:rsid w:val="DDEB1461"/>
    <w:rsid w:val="DF9B67B0"/>
    <w:rsid w:val="DFA3AE2B"/>
    <w:rsid w:val="E2F7B891"/>
    <w:rsid w:val="E5FF4CC7"/>
    <w:rsid w:val="ED77FBB0"/>
    <w:rsid w:val="ED978706"/>
    <w:rsid w:val="EEFF5007"/>
    <w:rsid w:val="EF3BAF27"/>
    <w:rsid w:val="EF6D7624"/>
    <w:rsid w:val="EF779A18"/>
    <w:rsid w:val="EFBD4A8E"/>
    <w:rsid w:val="EFFED1C6"/>
    <w:rsid w:val="EFFFDBE8"/>
    <w:rsid w:val="F2F686F9"/>
    <w:rsid w:val="F3DE85E9"/>
    <w:rsid w:val="F4FF5D0E"/>
    <w:rsid w:val="F5CBC382"/>
    <w:rsid w:val="F5FD723F"/>
    <w:rsid w:val="F67DB322"/>
    <w:rsid w:val="F6C736D2"/>
    <w:rsid w:val="F6FF5406"/>
    <w:rsid w:val="F766CE96"/>
    <w:rsid w:val="F777731B"/>
    <w:rsid w:val="F7BF0430"/>
    <w:rsid w:val="F7D9FA26"/>
    <w:rsid w:val="F7F6718B"/>
    <w:rsid w:val="FAB709CE"/>
    <w:rsid w:val="FAFF80B5"/>
    <w:rsid w:val="FB7DD71A"/>
    <w:rsid w:val="FBBB8B11"/>
    <w:rsid w:val="FBBB8CFF"/>
    <w:rsid w:val="FBD383C8"/>
    <w:rsid w:val="FBDF056D"/>
    <w:rsid w:val="FBFBE1CA"/>
    <w:rsid w:val="FCDA030D"/>
    <w:rsid w:val="FCF95A23"/>
    <w:rsid w:val="FD4B988E"/>
    <w:rsid w:val="FD7B465F"/>
    <w:rsid w:val="FDD5C276"/>
    <w:rsid w:val="FDF714C7"/>
    <w:rsid w:val="FE7B16AD"/>
    <w:rsid w:val="FF3BBF2B"/>
    <w:rsid w:val="FF9D583D"/>
    <w:rsid w:val="FFB7DD15"/>
    <w:rsid w:val="FFBF0142"/>
    <w:rsid w:val="FFCBA4A0"/>
    <w:rsid w:val="FFE61DE0"/>
    <w:rsid w:val="FFFF2C45"/>
    <w:rsid w:val="FFFFD6B7"/>
    <w:rsid w:val="FFFFFE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next w:val="1"/>
    <w:qFormat/>
    <w:uiPriority w:val="99"/>
    <w:pPr>
      <w:keepNext/>
      <w:keepLines/>
      <w:widowControl/>
      <w:adjustRightInd w:val="0"/>
      <w:snapToGrid w:val="0"/>
      <w:spacing w:before="120" w:after="120" w:line="360" w:lineRule="auto"/>
      <w:jc w:val="left"/>
      <w:outlineLvl w:val="1"/>
    </w:pPr>
    <w:rPr>
      <w:rFonts w:ascii="Times New Roman" w:hAnsi="Times New Roman" w:eastAsia="宋体" w:cs="宋体"/>
      <w:b/>
      <w:bCs/>
      <w:kern w:val="2"/>
      <w:sz w:val="28"/>
      <w:szCs w:val="20"/>
      <w:lang w:val="en-US" w:eastAsia="zh-CN" w:bidi="ar-SA"/>
    </w:rPr>
  </w:style>
  <w:style w:type="paragraph" w:styleId="3">
    <w:name w:val="heading 3"/>
    <w:basedOn w:val="1"/>
    <w:next w:val="1"/>
    <w:qFormat/>
    <w:uiPriority w:val="0"/>
    <w:pPr>
      <w:keepNext/>
      <w:outlineLvl w:val="2"/>
    </w:pPr>
    <w:rPr>
      <w:rFonts w:ascii="楷体_GB2312" w:hAnsi="宋体" w:eastAsia="黑体"/>
      <w:b/>
      <w:bCs/>
      <w:sz w:val="32"/>
    </w:rPr>
  </w:style>
  <w:style w:type="character" w:default="1" w:styleId="10">
    <w:name w:val="Default Paragraph Font"/>
    <w:semiHidden/>
    <w:qFormat/>
    <w:uiPriority w:val="0"/>
  </w:style>
  <w:style w:type="table" w:default="1" w:styleId="8">
    <w:name w:val="Normal Table"/>
    <w:semiHidden/>
    <w:qFormat/>
    <w:uiPriority w:val="0"/>
    <w:tblPr>
      <w:tblStyle w:val="8"/>
      <w:tblCellMar>
        <w:top w:w="0" w:type="dxa"/>
        <w:left w:w="108" w:type="dxa"/>
        <w:bottom w:w="0" w:type="dxa"/>
        <w:right w:w="108" w:type="dxa"/>
      </w:tblCellMar>
    </w:tblPr>
  </w:style>
  <w:style w:type="paragraph" w:styleId="4">
    <w:name w:val="Body Text Indent 2"/>
    <w:basedOn w:val="1"/>
    <w:next w:val="1"/>
    <w:qFormat/>
    <w:uiPriority w:val="0"/>
    <w:pPr>
      <w:widowControl w:val="0"/>
      <w:spacing w:after="120" w:line="480" w:lineRule="auto"/>
      <w:ind w:left="420" w:leftChars="200"/>
      <w:jc w:val="both"/>
    </w:pPr>
    <w:rPr>
      <w:rFonts w:ascii="Calibri" w:hAnsi="Calibri" w:eastAsia="宋体" w:cs="Times New Roman"/>
      <w:kern w:val="2"/>
      <w:sz w:val="21"/>
      <w:szCs w:val="22"/>
      <w:lang w:val="en-US" w:eastAsia="zh-CN" w:bidi="ar-SA"/>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39"/>
    <w:pPr>
      <w:widowControl w:val="0"/>
      <w:jc w:val="both"/>
    </w:pPr>
    <w:tblPr>
      <w:tblStyle w:val="8"/>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page number"/>
    <w:qFormat/>
    <w:uiPriority w:val="0"/>
    <w:rPr>
      <w:rFonts w:ascii="Times New Roman" w:hAnsi="Times New Roman" w:eastAsia="宋体" w:cs="Times New Roman"/>
    </w:rPr>
  </w:style>
  <w:style w:type="paragraph" w:customStyle="1" w:styleId="13">
    <w:name w:val="文档正文"/>
    <w:qFormat/>
    <w:uiPriority w:val="0"/>
    <w:pPr>
      <w:widowControl w:val="0"/>
      <w:overflowPunct w:val="0"/>
      <w:topLinePunct/>
      <w:autoSpaceDN w:val="0"/>
      <w:adjustRightInd w:val="0"/>
      <w:spacing w:line="480" w:lineRule="atLeast"/>
      <w:ind w:firstLine="567" w:firstLineChars="200"/>
      <w:jc w:val="both"/>
      <w:textAlignment w:val="baseline"/>
    </w:pPr>
    <w:rPr>
      <w:rFonts w:hint="eastAsia" w:ascii="长城仿宋" w:hAnsi="Times New Roman" w:eastAsia="仿宋" w:cs="Times New Roman"/>
      <w:spacing w:val="-6"/>
      <w:kern w:val="0"/>
      <w:sz w:val="32"/>
      <w:szCs w:val="20"/>
      <w:lang w:val="en-US" w:eastAsia="zh-CN" w:bidi="ar-SA"/>
    </w:rPr>
  </w:style>
  <w:style w:type="paragraph" w:styleId="14">
    <w:name w:val="List Paragraph"/>
    <w:basedOn w:val="1"/>
    <w:qFormat/>
    <w:uiPriority w:val="34"/>
    <w:pPr>
      <w:ind w:firstLine="420" w:firstLineChars="200"/>
    </w:pPr>
    <w:rPr>
      <w:rFonts w:eastAsia="黑体"/>
      <w:bCs/>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5</TotalTime>
  <ScaleCrop>false</ScaleCrop>
  <LinksUpToDate>false</LinksUpToDate>
  <CharactersWithSpaces>0</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2023-06-10T23:10:00Z</dcterms:created>
  <dc:creator>yangwj</dc:creator>
  <cp:lastModifiedBy>fcc</cp:lastModifiedBy>
  <cp:lastPrinted>2026-07-17T09:58:43Z</cp:lastPrinted>
  <dcterms:modified xsi:type="dcterms:W3CDTF">2026-07-24T10:37:26Z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BAD0634161891C8EE6CF626AE82E0D64_43</vt:lpwstr>
  </property>
</Properties>
</file>