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1D6319">
      <w:pPr>
        <w:autoSpaceDE w:val="0"/>
        <w:autoSpaceDN w:val="0"/>
        <w:spacing w:after="240" w:afterLines="100"/>
        <w:jc w:val="center"/>
        <w:textAlignment w:val="bottom"/>
        <w:rPr>
          <w:rFonts w:hint="eastAsia" w:ascii="黑体" w:hAnsi="黑体" w:eastAsia="黑体" w:cs="黑体"/>
          <w:bCs/>
          <w:color w:val="000000"/>
          <w:sz w:val="96"/>
          <w:szCs w:val="96"/>
          <w:lang w:eastAsia="zh-CN"/>
        </w:rPr>
      </w:pPr>
      <w:r>
        <w:rPr>
          <w:rFonts w:hint="eastAsia" w:ascii="黑体" w:hAnsi="黑体" w:eastAsia="黑体" w:cs="黑体"/>
          <w:bCs/>
          <w:color w:val="000000"/>
          <w:sz w:val="84"/>
          <w:szCs w:val="84"/>
          <w:lang w:eastAsia="zh-CN"/>
        </w:rPr>
        <w:t>低温质子辐照终端</w:t>
      </w:r>
    </w:p>
    <w:p w14:paraId="376F83EF">
      <w:pPr>
        <w:pStyle w:val="21"/>
        <w:jc w:val="center"/>
        <w:rPr>
          <w:rFonts w:eastAsia="宋体"/>
          <w:b/>
          <w:bCs/>
          <w:highlight w:val="green"/>
        </w:rPr>
      </w:pPr>
    </w:p>
    <w:p w14:paraId="4C253719">
      <w:pPr>
        <w:pStyle w:val="8"/>
        <w:jc w:val="center"/>
        <w:rPr>
          <w:rFonts w:eastAsia="宋体"/>
          <w:highlight w:val="green"/>
        </w:rPr>
      </w:pPr>
      <w:bookmarkStart w:id="39" w:name="_GoBack"/>
      <w:bookmarkEnd w:id="39"/>
    </w:p>
    <w:p w14:paraId="4ABF9AAA">
      <w:pPr>
        <w:jc w:val="center"/>
        <w:rPr>
          <w:rFonts w:eastAsia="宋体"/>
          <w:b/>
          <w:bCs/>
          <w:highlight w:val="green"/>
        </w:rPr>
      </w:pPr>
    </w:p>
    <w:p w14:paraId="339D4AC5">
      <w:pPr>
        <w:pStyle w:val="44"/>
      </w:pPr>
    </w:p>
    <w:p w14:paraId="344A2755">
      <w:pPr>
        <w:pStyle w:val="8"/>
      </w:pPr>
    </w:p>
    <w:p w14:paraId="1BD3B176">
      <w:pPr>
        <w:tabs>
          <w:tab w:val="left" w:pos="1620"/>
        </w:tabs>
        <w:autoSpaceDE w:val="0"/>
        <w:autoSpaceDN w:val="0"/>
        <w:spacing w:line="360" w:lineRule="auto"/>
        <w:ind w:right="-36"/>
        <w:jc w:val="center"/>
        <w:textAlignment w:val="bottom"/>
        <w:rPr>
          <w:rFonts w:ascii="黑体" w:hAnsi="黑体" w:eastAsia="黑体" w:cs="黑体"/>
          <w:bCs/>
          <w:color w:val="000000"/>
          <w:sz w:val="28"/>
          <w:szCs w:val="28"/>
        </w:rPr>
      </w:pPr>
      <w:r>
        <w:rPr>
          <w:rFonts w:hint="eastAsia" w:ascii="黑体" w:hAnsi="黑体" w:eastAsia="黑体" w:cs="黑体"/>
          <w:bCs/>
          <w:color w:val="000000"/>
          <w:sz w:val="84"/>
          <w:szCs w:val="84"/>
        </w:rPr>
        <w:t>招 标 文 件</w:t>
      </w:r>
    </w:p>
    <w:p w14:paraId="234BBD95">
      <w:pPr>
        <w:autoSpaceDE w:val="0"/>
        <w:autoSpaceDN w:val="0"/>
        <w:spacing w:line="360" w:lineRule="auto"/>
        <w:ind w:right="-36"/>
        <w:jc w:val="center"/>
        <w:textAlignment w:val="bottom"/>
        <w:rPr>
          <w:rFonts w:ascii="黑体" w:hAnsi="黑体" w:eastAsia="黑体" w:cs="黑体"/>
          <w:bCs/>
          <w:color w:val="000000"/>
          <w:sz w:val="28"/>
          <w:szCs w:val="28"/>
        </w:rPr>
      </w:pPr>
      <w:r>
        <w:rPr>
          <w:rFonts w:hint="eastAsia" w:ascii="黑体" w:hAnsi="黑体" w:eastAsia="黑体" w:cs="黑体"/>
          <w:bCs/>
          <w:color w:val="000000"/>
          <w:sz w:val="28"/>
          <w:szCs w:val="28"/>
        </w:rPr>
        <w:t>（项目编号：</w:t>
      </w:r>
      <w:r>
        <w:rPr>
          <w:rFonts w:hint="eastAsia" w:ascii="黑体" w:hAnsi="黑体" w:eastAsia="黑体" w:cs="黑体"/>
          <w:bCs/>
          <w:color w:val="000000"/>
          <w:sz w:val="28"/>
          <w:szCs w:val="28"/>
          <w:lang w:eastAsia="zh-CN"/>
        </w:rPr>
        <w:t>SZDL2026001799</w:t>
      </w:r>
      <w:r>
        <w:rPr>
          <w:rFonts w:hint="eastAsia" w:ascii="黑体" w:hAnsi="黑体" w:eastAsia="黑体" w:cs="黑体"/>
          <w:bCs/>
          <w:color w:val="000000"/>
          <w:sz w:val="28"/>
          <w:szCs w:val="28"/>
        </w:rPr>
        <w:t>）</w:t>
      </w:r>
    </w:p>
    <w:p w14:paraId="2BB4BC12">
      <w:pPr>
        <w:autoSpaceDE w:val="0"/>
        <w:autoSpaceDN w:val="0"/>
        <w:spacing w:line="360" w:lineRule="auto"/>
        <w:ind w:right="-36"/>
        <w:jc w:val="center"/>
        <w:textAlignment w:val="bottom"/>
        <w:rPr>
          <w:rFonts w:ascii="黑体" w:hAnsi="黑体" w:eastAsia="黑体" w:cs="黑体"/>
          <w:bCs/>
          <w:color w:val="000000"/>
          <w:sz w:val="28"/>
          <w:szCs w:val="28"/>
        </w:rPr>
      </w:pPr>
      <w:r>
        <w:rPr>
          <w:rFonts w:hint="eastAsia" w:ascii="黑体" w:hAnsi="黑体" w:eastAsia="黑体" w:cs="黑体"/>
          <w:bCs/>
          <w:color w:val="000000"/>
          <w:sz w:val="28"/>
          <w:szCs w:val="28"/>
        </w:rPr>
        <w:t>（货物类）</w:t>
      </w:r>
    </w:p>
    <w:p w14:paraId="4F9FC831">
      <w:pPr>
        <w:jc w:val="center"/>
        <w:rPr>
          <w:rFonts w:ascii="黑体" w:hAnsi="黑体" w:eastAsia="黑体" w:cs="黑体"/>
          <w:b/>
          <w:color w:val="000000"/>
          <w:sz w:val="28"/>
          <w:szCs w:val="28"/>
        </w:rPr>
      </w:pPr>
      <w:r>
        <w:rPr>
          <w:rFonts w:hint="eastAsia" w:ascii="黑体" w:hAnsi="黑体" w:eastAsia="黑体" w:cs="黑体"/>
          <w:b/>
          <w:sz w:val="44"/>
        </w:rPr>
        <w:drawing>
          <wp:inline distT="0" distB="0" distL="114300" distR="114300">
            <wp:extent cx="1800225" cy="1800225"/>
            <wp:effectExtent l="0" t="0" r="9525" b="9525"/>
            <wp:docPr id="6" name="图片 1" descr="75d5396b0d4d6cfc6977e105a142234"/>
            <wp:cNvGraphicFramePr/>
            <a:graphic xmlns:a="http://schemas.openxmlformats.org/drawingml/2006/main">
              <a:graphicData uri="http://schemas.openxmlformats.org/drawingml/2006/picture">
                <pic:pic xmlns:pic="http://schemas.openxmlformats.org/drawingml/2006/picture">
                  <pic:nvPicPr>
                    <pic:cNvPr id="6" name="图片 1" descr="75d5396b0d4d6cfc6977e105a142234"/>
                    <pic:cNvPicPr/>
                  </pic:nvPicPr>
                  <pic:blipFill>
                    <a:blip r:embed="rId6"/>
                    <a:stretch>
                      <a:fillRect/>
                    </a:stretch>
                  </pic:blipFill>
                  <pic:spPr>
                    <a:xfrm>
                      <a:off x="0" y="0"/>
                      <a:ext cx="1800225" cy="1800225"/>
                    </a:xfrm>
                    <a:prstGeom prst="rect">
                      <a:avLst/>
                    </a:prstGeom>
                    <a:noFill/>
                    <a:ln>
                      <a:noFill/>
                    </a:ln>
                  </pic:spPr>
                </pic:pic>
              </a:graphicData>
            </a:graphic>
          </wp:inline>
        </w:drawing>
      </w:r>
    </w:p>
    <w:p w14:paraId="3FCFEED8">
      <w:pPr>
        <w:pStyle w:val="21"/>
        <w:rPr>
          <w:rFonts w:ascii="黑体" w:hAnsi="黑体" w:eastAsia="黑体" w:cs="黑体"/>
          <w:bCs/>
          <w:color w:val="000000"/>
          <w:sz w:val="36"/>
          <w:szCs w:val="36"/>
        </w:rPr>
      </w:pPr>
    </w:p>
    <w:p w14:paraId="270AB5A7">
      <w:pPr>
        <w:pStyle w:val="21"/>
        <w:rPr>
          <w:rFonts w:ascii="黑体" w:hAnsi="黑体" w:eastAsia="黑体" w:cs="黑体"/>
          <w:bCs/>
          <w:color w:val="000000"/>
          <w:sz w:val="36"/>
          <w:szCs w:val="36"/>
        </w:rPr>
      </w:pPr>
    </w:p>
    <w:p w14:paraId="60E791B2">
      <w:pPr>
        <w:autoSpaceDE w:val="0"/>
        <w:autoSpaceDN w:val="0"/>
        <w:spacing w:line="360" w:lineRule="auto"/>
        <w:ind w:right="-36"/>
        <w:jc w:val="center"/>
        <w:textAlignment w:val="bottom"/>
        <w:rPr>
          <w:rFonts w:ascii="黑体" w:hAnsi="黑体" w:eastAsia="黑体" w:cs="黑体"/>
          <w:bCs/>
          <w:color w:val="000000"/>
          <w:sz w:val="36"/>
          <w:szCs w:val="36"/>
        </w:rPr>
      </w:pPr>
      <w:r>
        <w:rPr>
          <w:rFonts w:hint="eastAsia" w:ascii="黑体" w:hAnsi="黑体" w:eastAsia="黑体" w:cs="黑体"/>
          <w:bCs/>
          <w:color w:val="000000"/>
          <w:sz w:val="36"/>
          <w:szCs w:val="36"/>
        </w:rPr>
        <w:t>采购人：哈尔滨工业大学（深圳）</w:t>
      </w:r>
    </w:p>
    <w:p w14:paraId="2ECD4530">
      <w:pPr>
        <w:autoSpaceDE w:val="0"/>
        <w:autoSpaceDN w:val="0"/>
        <w:spacing w:line="360" w:lineRule="auto"/>
        <w:ind w:right="-36"/>
        <w:jc w:val="center"/>
        <w:textAlignment w:val="bottom"/>
        <w:rPr>
          <w:rFonts w:ascii="黑体" w:hAnsi="黑体" w:eastAsia="黑体" w:cs="黑体"/>
          <w:bCs/>
          <w:color w:val="000000"/>
          <w:sz w:val="36"/>
          <w:szCs w:val="36"/>
        </w:rPr>
      </w:pPr>
      <w:r>
        <w:rPr>
          <w:rFonts w:hint="eastAsia" w:ascii="黑体" w:hAnsi="黑体" w:eastAsia="黑体" w:cs="黑体"/>
          <w:bCs/>
          <w:color w:val="000000"/>
          <w:sz w:val="36"/>
          <w:szCs w:val="36"/>
        </w:rPr>
        <w:t>采购代理：中国远东国际招标有限公司</w:t>
      </w:r>
    </w:p>
    <w:p w14:paraId="13E40F04">
      <w:pPr>
        <w:jc w:val="center"/>
        <w:rPr>
          <w:rFonts w:ascii="黑体" w:hAnsi="黑体" w:eastAsia="黑体" w:cs="黑体"/>
          <w:bCs/>
          <w:color w:val="000000"/>
          <w:sz w:val="36"/>
          <w:szCs w:val="36"/>
        </w:rPr>
      </w:pPr>
      <w:r>
        <w:rPr>
          <w:rFonts w:hint="eastAsia" w:ascii="黑体" w:hAnsi="黑体" w:eastAsia="黑体" w:cs="黑体"/>
          <w:bCs/>
          <w:color w:val="000000"/>
          <w:sz w:val="36"/>
          <w:szCs w:val="36"/>
        </w:rPr>
        <w:t>202</w:t>
      </w:r>
      <w:r>
        <w:rPr>
          <w:rFonts w:hint="eastAsia" w:ascii="黑体" w:hAnsi="黑体" w:eastAsia="黑体" w:cs="黑体"/>
          <w:bCs/>
          <w:color w:val="000000"/>
          <w:sz w:val="36"/>
          <w:szCs w:val="36"/>
          <w:lang w:val="en-US" w:eastAsia="zh-CN"/>
        </w:rPr>
        <w:t>6</w:t>
      </w:r>
      <w:r>
        <w:rPr>
          <w:rFonts w:hint="eastAsia" w:ascii="黑体" w:hAnsi="黑体" w:eastAsia="黑体" w:cs="黑体"/>
          <w:bCs/>
          <w:color w:val="000000"/>
          <w:sz w:val="36"/>
          <w:szCs w:val="36"/>
        </w:rPr>
        <w:t>年</w:t>
      </w:r>
    </w:p>
    <w:p w14:paraId="2F20D85B">
      <w:pPr>
        <w:autoSpaceDE w:val="0"/>
        <w:autoSpaceDN w:val="0"/>
        <w:adjustRightInd w:val="0"/>
        <w:jc w:val="center"/>
        <w:rPr>
          <w:rFonts w:ascii="宋体" w:hAnsi="宋体" w:cs="仿宋_GB2312"/>
          <w:color w:val="FF0000"/>
        </w:rPr>
      </w:pPr>
      <w:r>
        <w:rPr>
          <w:rFonts w:hint="eastAsia" w:ascii="宋体" w:hAnsi="宋体" w:cs="仿宋_GB2312"/>
          <w:b/>
          <w:bCs/>
          <w:color w:val="FF0000"/>
        </w:rPr>
        <w:br w:type="page"/>
      </w:r>
      <w:r>
        <w:rPr>
          <w:rFonts w:hint="eastAsia" w:ascii="宋体" w:hAnsi="宋体" w:cs="仿宋_GB2312"/>
          <w:b/>
          <w:bCs/>
          <w:color w:val="FF0000"/>
        </w:rPr>
        <w:t>特别警示条款</w:t>
      </w:r>
    </w:p>
    <w:p w14:paraId="1A18F4FA">
      <w:pPr>
        <w:autoSpaceDE w:val="0"/>
        <w:autoSpaceDN w:val="0"/>
        <w:adjustRightInd w:val="0"/>
        <w:spacing w:line="300" w:lineRule="exact"/>
        <w:ind w:firstLine="360" w:firstLineChars="200"/>
        <w:rPr>
          <w:rFonts w:ascii="宋体" w:hAnsi="宋体" w:cs="宋体"/>
          <w:b/>
          <w:bCs/>
          <w:color w:val="FF0000"/>
          <w:sz w:val="18"/>
          <w:szCs w:val="18"/>
        </w:rPr>
      </w:pPr>
      <w:r>
        <w:rPr>
          <w:rFonts w:hint="eastAsia" w:ascii="宋体" w:hAnsi="宋体" w:cs="宋体"/>
          <w:b/>
          <w:bCs/>
          <w:color w:val="FF0000"/>
          <w:sz w:val="18"/>
          <w:szCs w:val="18"/>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14:paraId="7CDC0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4A7ACD19">
            <w:pPr>
              <w:widowControl w:val="0"/>
              <w:spacing w:line="400" w:lineRule="exact"/>
              <w:jc w:val="center"/>
              <w:rPr>
                <w:rFonts w:ascii="宋体" w:hAnsi="宋体" w:eastAsia="宋体" w:cs="宋体"/>
                <w:color w:val="FF0000"/>
                <w:sz w:val="18"/>
                <w:szCs w:val="18"/>
              </w:rPr>
            </w:pPr>
            <w:r>
              <w:rPr>
                <w:rFonts w:hint="eastAsia" w:ascii="宋体" w:hAnsi="宋体" w:eastAsia="宋体" w:cs="宋体"/>
                <w:color w:val="FF0000"/>
                <w:sz w:val="18"/>
                <w:szCs w:val="18"/>
              </w:rPr>
              <w:t>序号</w:t>
            </w:r>
          </w:p>
        </w:tc>
        <w:tc>
          <w:tcPr>
            <w:tcW w:w="7711" w:type="dxa"/>
            <w:vAlign w:val="center"/>
          </w:tcPr>
          <w:p w14:paraId="641B0D59">
            <w:pPr>
              <w:widowControl w:val="0"/>
              <w:spacing w:line="400" w:lineRule="exact"/>
              <w:jc w:val="center"/>
              <w:rPr>
                <w:rFonts w:ascii="宋体" w:hAnsi="宋体" w:eastAsia="宋体" w:cs="宋体"/>
                <w:color w:val="FF0000"/>
                <w:sz w:val="18"/>
                <w:szCs w:val="18"/>
              </w:rPr>
            </w:pPr>
            <w:r>
              <w:rPr>
                <w:rFonts w:hint="eastAsia" w:ascii="宋体" w:hAnsi="宋体" w:eastAsia="宋体" w:cs="宋体"/>
                <w:b/>
                <w:bCs/>
                <w:color w:val="FF0000"/>
                <w:sz w:val="18"/>
                <w:szCs w:val="18"/>
              </w:rPr>
              <w:t>供应商参与投标禁止情形</w:t>
            </w:r>
          </w:p>
        </w:tc>
      </w:tr>
      <w:tr w14:paraId="7DD09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1F9D9FD8">
            <w:pPr>
              <w:widowControl w:val="0"/>
              <w:spacing w:line="400" w:lineRule="exact"/>
              <w:jc w:val="center"/>
              <w:rPr>
                <w:rFonts w:ascii="宋体" w:hAnsi="宋体" w:eastAsia="宋体" w:cs="宋体"/>
                <w:color w:val="FF0000"/>
                <w:sz w:val="18"/>
                <w:szCs w:val="18"/>
              </w:rPr>
            </w:pPr>
            <w:r>
              <w:rPr>
                <w:rFonts w:hint="eastAsia" w:ascii="宋体" w:hAnsi="宋体" w:eastAsia="宋体" w:cs="宋体"/>
                <w:color w:val="FF0000"/>
                <w:sz w:val="18"/>
                <w:szCs w:val="18"/>
              </w:rPr>
              <w:t>1</w:t>
            </w:r>
          </w:p>
        </w:tc>
        <w:tc>
          <w:tcPr>
            <w:tcW w:w="7711" w:type="dxa"/>
            <w:vAlign w:val="center"/>
          </w:tcPr>
          <w:p w14:paraId="7D09D8D6">
            <w:pPr>
              <w:widowControl w:val="0"/>
              <w:spacing w:line="400" w:lineRule="exact"/>
              <w:jc w:val="left"/>
              <w:rPr>
                <w:rFonts w:ascii="宋体" w:hAnsi="宋体" w:eastAsia="宋体" w:cs="宋体"/>
                <w:color w:val="FF0000"/>
                <w:sz w:val="18"/>
                <w:szCs w:val="18"/>
              </w:rPr>
            </w:pPr>
            <w:r>
              <w:rPr>
                <w:rFonts w:hint="eastAsia" w:ascii="宋体" w:hAnsi="宋体" w:eastAsia="宋体" w:cs="宋体"/>
                <w:color w:val="FF0000"/>
                <w:sz w:val="18"/>
                <w:szCs w:val="18"/>
              </w:rPr>
              <w:t>与其他投标供应商的法定代表人、主要经营负责人、投标授权代表人、项目负责人、主要技术人员为</w:t>
            </w:r>
            <w:r>
              <w:rPr>
                <w:rFonts w:hint="eastAsia" w:ascii="宋体" w:hAnsi="宋体" w:eastAsia="宋体" w:cs="宋体"/>
                <w:b/>
                <w:bCs/>
                <w:color w:val="FF0000"/>
                <w:sz w:val="18"/>
                <w:szCs w:val="18"/>
              </w:rPr>
              <w:t>同一人、属同一单位或者在同一单位缴纳社会保险</w:t>
            </w:r>
            <w:r>
              <w:rPr>
                <w:rFonts w:hint="eastAsia" w:ascii="宋体" w:hAnsi="宋体" w:eastAsia="宋体" w:cs="宋体"/>
                <w:color w:val="FF0000"/>
                <w:sz w:val="18"/>
                <w:szCs w:val="18"/>
              </w:rPr>
              <w:t>。</w:t>
            </w:r>
          </w:p>
        </w:tc>
      </w:tr>
      <w:tr w14:paraId="2683F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459EEB59">
            <w:pPr>
              <w:widowControl w:val="0"/>
              <w:spacing w:line="400" w:lineRule="exact"/>
              <w:jc w:val="center"/>
              <w:rPr>
                <w:rFonts w:ascii="宋体" w:hAnsi="宋体" w:eastAsia="宋体" w:cs="宋体"/>
                <w:color w:val="FF0000"/>
                <w:sz w:val="18"/>
                <w:szCs w:val="18"/>
              </w:rPr>
            </w:pPr>
            <w:r>
              <w:rPr>
                <w:rFonts w:hint="eastAsia" w:ascii="宋体" w:hAnsi="宋体" w:eastAsia="宋体" w:cs="宋体"/>
                <w:color w:val="FF0000"/>
                <w:sz w:val="18"/>
                <w:szCs w:val="18"/>
              </w:rPr>
              <w:t>2</w:t>
            </w:r>
          </w:p>
        </w:tc>
        <w:tc>
          <w:tcPr>
            <w:tcW w:w="7711" w:type="dxa"/>
            <w:vAlign w:val="center"/>
          </w:tcPr>
          <w:p w14:paraId="7CB77EAF">
            <w:pPr>
              <w:widowControl w:val="0"/>
              <w:spacing w:line="400" w:lineRule="exact"/>
              <w:jc w:val="left"/>
              <w:rPr>
                <w:rFonts w:ascii="宋体" w:hAnsi="宋体" w:eastAsia="宋体" w:cs="宋体"/>
                <w:color w:val="FF0000"/>
                <w:sz w:val="18"/>
                <w:szCs w:val="18"/>
              </w:rPr>
            </w:pPr>
            <w:r>
              <w:rPr>
                <w:rFonts w:hint="eastAsia" w:ascii="宋体" w:hAnsi="宋体" w:eastAsia="宋体" w:cs="宋体"/>
                <w:color w:val="FF0000"/>
                <w:sz w:val="18"/>
                <w:szCs w:val="18"/>
              </w:rPr>
              <w:t>参与本项目政府采购活动时，与其他投标供应商存在单位负责人为</w:t>
            </w:r>
            <w:r>
              <w:rPr>
                <w:rFonts w:hint="eastAsia" w:ascii="宋体" w:hAnsi="宋体" w:eastAsia="宋体" w:cs="宋体"/>
                <w:b/>
                <w:bCs/>
                <w:color w:val="FF0000"/>
                <w:sz w:val="18"/>
                <w:szCs w:val="18"/>
              </w:rPr>
              <w:t>同一人或直接控股、管理关系</w:t>
            </w:r>
            <w:r>
              <w:rPr>
                <w:rFonts w:hint="eastAsia" w:ascii="宋体" w:hAnsi="宋体" w:eastAsia="宋体" w:cs="宋体"/>
                <w:color w:val="FF0000"/>
                <w:sz w:val="18"/>
                <w:szCs w:val="18"/>
              </w:rPr>
              <w:t>。</w:t>
            </w:r>
          </w:p>
        </w:tc>
      </w:tr>
      <w:tr w14:paraId="129EA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2FF872A0">
            <w:pPr>
              <w:widowControl w:val="0"/>
              <w:spacing w:line="400" w:lineRule="exact"/>
              <w:jc w:val="center"/>
              <w:rPr>
                <w:rFonts w:ascii="宋体" w:hAnsi="宋体" w:eastAsia="宋体" w:cs="宋体"/>
                <w:color w:val="FF0000"/>
                <w:sz w:val="18"/>
                <w:szCs w:val="18"/>
              </w:rPr>
            </w:pPr>
            <w:r>
              <w:rPr>
                <w:rFonts w:hint="eastAsia" w:ascii="宋体" w:hAnsi="宋体" w:eastAsia="宋体" w:cs="宋体"/>
                <w:color w:val="FF0000"/>
                <w:sz w:val="18"/>
                <w:szCs w:val="18"/>
              </w:rPr>
              <w:t>3</w:t>
            </w:r>
          </w:p>
        </w:tc>
        <w:tc>
          <w:tcPr>
            <w:tcW w:w="7711" w:type="dxa"/>
            <w:vAlign w:val="center"/>
          </w:tcPr>
          <w:p w14:paraId="69523A97">
            <w:pPr>
              <w:widowControl w:val="0"/>
              <w:spacing w:line="400" w:lineRule="exact"/>
              <w:jc w:val="left"/>
              <w:rPr>
                <w:rFonts w:ascii="宋体" w:hAnsi="宋体" w:eastAsia="宋体" w:cs="宋体"/>
                <w:color w:val="FF0000"/>
                <w:sz w:val="18"/>
                <w:szCs w:val="18"/>
              </w:rPr>
            </w:pPr>
            <w:r>
              <w:rPr>
                <w:rFonts w:hint="eastAsia" w:ascii="宋体" w:hAnsi="宋体" w:eastAsia="宋体" w:cs="宋体"/>
                <w:color w:val="FF0000"/>
                <w:sz w:val="18"/>
                <w:szCs w:val="18"/>
              </w:rPr>
              <w:t>与其他投标供应商的投标文件或部分投标文件</w:t>
            </w:r>
            <w:r>
              <w:rPr>
                <w:rFonts w:hint="eastAsia" w:ascii="宋体" w:hAnsi="宋体" w:eastAsia="宋体" w:cs="宋体"/>
                <w:b/>
                <w:bCs/>
                <w:color w:val="FF0000"/>
                <w:sz w:val="18"/>
                <w:szCs w:val="18"/>
              </w:rPr>
              <w:t>相互混装或存在非正常一致</w:t>
            </w:r>
            <w:r>
              <w:rPr>
                <w:rFonts w:hint="eastAsia" w:ascii="宋体" w:hAnsi="宋体" w:eastAsia="宋体" w:cs="宋体"/>
                <w:color w:val="FF0000"/>
                <w:sz w:val="18"/>
                <w:szCs w:val="18"/>
              </w:rPr>
              <w:t>。</w:t>
            </w:r>
          </w:p>
        </w:tc>
      </w:tr>
      <w:tr w14:paraId="6B816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6B0EF1BA">
            <w:pPr>
              <w:widowControl w:val="0"/>
              <w:spacing w:line="400" w:lineRule="exact"/>
              <w:jc w:val="center"/>
              <w:rPr>
                <w:rFonts w:ascii="宋体" w:hAnsi="宋体" w:eastAsia="宋体" w:cs="宋体"/>
                <w:color w:val="FF0000"/>
                <w:sz w:val="18"/>
                <w:szCs w:val="18"/>
              </w:rPr>
            </w:pPr>
            <w:r>
              <w:rPr>
                <w:rFonts w:hint="eastAsia" w:ascii="宋体" w:hAnsi="宋体" w:eastAsia="宋体" w:cs="宋体"/>
                <w:color w:val="FF0000"/>
                <w:sz w:val="18"/>
                <w:szCs w:val="18"/>
              </w:rPr>
              <w:t>4</w:t>
            </w:r>
          </w:p>
        </w:tc>
        <w:tc>
          <w:tcPr>
            <w:tcW w:w="7711" w:type="dxa"/>
            <w:vAlign w:val="center"/>
          </w:tcPr>
          <w:p w14:paraId="375C504D">
            <w:pPr>
              <w:widowControl w:val="0"/>
              <w:spacing w:line="400" w:lineRule="exact"/>
              <w:jc w:val="left"/>
              <w:rPr>
                <w:rFonts w:ascii="宋体" w:hAnsi="宋体" w:eastAsia="宋体" w:cs="宋体"/>
                <w:color w:val="FF0000"/>
                <w:kern w:val="2"/>
                <w:sz w:val="18"/>
                <w:szCs w:val="18"/>
              </w:rPr>
            </w:pPr>
            <w:r>
              <w:rPr>
                <w:rFonts w:hint="eastAsia" w:ascii="宋体" w:hAnsi="宋体" w:eastAsia="宋体" w:cs="宋体"/>
                <w:color w:val="FF0000"/>
                <w:sz w:val="18"/>
                <w:szCs w:val="18"/>
              </w:rPr>
              <w:t>与其他投标供应商的投标文件由</w:t>
            </w:r>
            <w:r>
              <w:rPr>
                <w:rFonts w:hint="eastAsia" w:ascii="宋体" w:hAnsi="宋体" w:eastAsia="宋体" w:cs="宋体"/>
                <w:b/>
                <w:bCs/>
                <w:color w:val="FF0000"/>
                <w:sz w:val="18"/>
                <w:szCs w:val="18"/>
              </w:rPr>
              <w:t>同一单位或者同一人编制</w:t>
            </w:r>
            <w:r>
              <w:rPr>
                <w:rFonts w:hint="eastAsia" w:ascii="宋体" w:hAnsi="宋体" w:eastAsia="宋体" w:cs="宋体"/>
                <w:color w:val="FF0000"/>
                <w:sz w:val="18"/>
                <w:szCs w:val="18"/>
              </w:rPr>
              <w:t>，或者使用</w:t>
            </w:r>
            <w:r>
              <w:rPr>
                <w:rFonts w:hint="eastAsia" w:ascii="宋体" w:hAnsi="宋体" w:eastAsia="宋体" w:cs="宋体"/>
                <w:b/>
                <w:bCs/>
                <w:color w:val="FF0000"/>
                <w:sz w:val="18"/>
                <w:szCs w:val="18"/>
              </w:rPr>
              <w:t>同一设备编制</w:t>
            </w:r>
            <w:r>
              <w:rPr>
                <w:rFonts w:hint="eastAsia" w:ascii="宋体" w:hAnsi="宋体" w:eastAsia="宋体" w:cs="宋体"/>
                <w:color w:val="FF0000"/>
                <w:sz w:val="18"/>
                <w:szCs w:val="18"/>
              </w:rPr>
              <w:t>（“文件制作机器码”“文件创建标识码”一致）。</w:t>
            </w:r>
          </w:p>
        </w:tc>
      </w:tr>
      <w:tr w14:paraId="3ADF2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5EEBD3C0">
            <w:pPr>
              <w:widowControl w:val="0"/>
              <w:spacing w:line="400" w:lineRule="exact"/>
              <w:jc w:val="center"/>
              <w:rPr>
                <w:rFonts w:ascii="宋体" w:hAnsi="宋体" w:eastAsia="宋体" w:cs="宋体"/>
                <w:color w:val="FF0000"/>
                <w:sz w:val="18"/>
                <w:szCs w:val="18"/>
              </w:rPr>
            </w:pPr>
            <w:r>
              <w:rPr>
                <w:rFonts w:hint="eastAsia" w:ascii="宋体" w:hAnsi="宋体" w:eastAsia="宋体" w:cs="宋体"/>
                <w:color w:val="FF0000"/>
                <w:sz w:val="18"/>
                <w:szCs w:val="18"/>
              </w:rPr>
              <w:t>5</w:t>
            </w:r>
          </w:p>
        </w:tc>
        <w:tc>
          <w:tcPr>
            <w:tcW w:w="7711" w:type="dxa"/>
            <w:vAlign w:val="center"/>
          </w:tcPr>
          <w:p w14:paraId="18276876">
            <w:pPr>
              <w:widowControl w:val="0"/>
              <w:spacing w:line="400" w:lineRule="exact"/>
              <w:jc w:val="left"/>
              <w:rPr>
                <w:rFonts w:ascii="宋体" w:hAnsi="宋体" w:eastAsia="宋体" w:cs="宋体"/>
                <w:color w:val="FF0000"/>
                <w:sz w:val="18"/>
                <w:szCs w:val="18"/>
              </w:rPr>
            </w:pPr>
            <w:r>
              <w:rPr>
                <w:rFonts w:hint="eastAsia" w:ascii="宋体" w:hAnsi="宋体" w:eastAsia="宋体" w:cs="宋体"/>
                <w:color w:val="FF0000"/>
                <w:sz w:val="18"/>
                <w:szCs w:val="18"/>
              </w:rPr>
              <w:t>提供</w:t>
            </w:r>
            <w:r>
              <w:rPr>
                <w:rFonts w:hint="eastAsia" w:ascii="宋体" w:hAnsi="宋体" w:eastAsia="宋体" w:cs="宋体"/>
                <w:b/>
                <w:bCs/>
                <w:color w:val="FF0000"/>
                <w:sz w:val="18"/>
                <w:szCs w:val="18"/>
              </w:rPr>
              <w:t>未经出具机构核实</w:t>
            </w:r>
            <w:r>
              <w:rPr>
                <w:rFonts w:hint="eastAsia" w:ascii="宋体" w:hAnsi="宋体" w:eastAsia="宋体" w:cs="宋体"/>
                <w:color w:val="FF0000"/>
                <w:sz w:val="18"/>
                <w:szCs w:val="18"/>
              </w:rPr>
              <w:t>的虚假的检验检测报告、业绩材料、社保缴纳证明、学历学位证书、职称认证证书等材料。</w:t>
            </w:r>
          </w:p>
        </w:tc>
      </w:tr>
      <w:tr w14:paraId="2027F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1DC46B04">
            <w:pPr>
              <w:widowControl w:val="0"/>
              <w:spacing w:line="400" w:lineRule="exact"/>
              <w:jc w:val="center"/>
              <w:rPr>
                <w:rFonts w:ascii="宋体" w:hAnsi="宋体" w:eastAsia="宋体" w:cs="宋体"/>
                <w:color w:val="FF0000"/>
                <w:sz w:val="18"/>
                <w:szCs w:val="18"/>
              </w:rPr>
            </w:pPr>
            <w:r>
              <w:rPr>
                <w:rFonts w:hint="eastAsia" w:ascii="宋体" w:hAnsi="宋体" w:eastAsia="宋体" w:cs="宋体"/>
                <w:color w:val="FF0000"/>
                <w:sz w:val="18"/>
                <w:szCs w:val="18"/>
              </w:rPr>
              <w:t>6</w:t>
            </w:r>
          </w:p>
        </w:tc>
        <w:tc>
          <w:tcPr>
            <w:tcW w:w="7711" w:type="dxa"/>
            <w:vAlign w:val="center"/>
          </w:tcPr>
          <w:p w14:paraId="134A3034">
            <w:pPr>
              <w:widowControl w:val="0"/>
              <w:spacing w:line="400" w:lineRule="exact"/>
              <w:jc w:val="left"/>
              <w:rPr>
                <w:rFonts w:ascii="宋体" w:hAnsi="宋体" w:eastAsia="宋体" w:cs="宋体"/>
                <w:color w:val="FF0000"/>
                <w:kern w:val="2"/>
                <w:sz w:val="18"/>
                <w:szCs w:val="18"/>
              </w:rPr>
            </w:pPr>
            <w:r>
              <w:rPr>
                <w:rFonts w:hint="eastAsia" w:ascii="宋体" w:hAnsi="宋体" w:eastAsia="宋体" w:cs="宋体"/>
                <w:color w:val="FF0000"/>
                <w:sz w:val="18"/>
                <w:szCs w:val="18"/>
              </w:rPr>
              <w:t>擅自将投标密钥或电子营业执照出借他人使用或未妥善保管。</w:t>
            </w:r>
          </w:p>
        </w:tc>
      </w:tr>
    </w:tbl>
    <w:p w14:paraId="37BF5482">
      <w:pPr>
        <w:autoSpaceDE w:val="0"/>
        <w:autoSpaceDN w:val="0"/>
        <w:adjustRightInd w:val="0"/>
        <w:spacing w:line="300" w:lineRule="exact"/>
        <w:jc w:val="center"/>
        <w:rPr>
          <w:rFonts w:ascii="宋体" w:hAnsi="宋体" w:cs="宋体"/>
          <w:b/>
          <w:color w:val="FF0000"/>
          <w:sz w:val="18"/>
          <w:szCs w:val="18"/>
        </w:rPr>
      </w:pPr>
    </w:p>
    <w:p w14:paraId="4219E2CE">
      <w:pPr>
        <w:autoSpaceDE w:val="0"/>
        <w:autoSpaceDN w:val="0"/>
        <w:adjustRightInd w:val="0"/>
        <w:spacing w:line="300" w:lineRule="exact"/>
        <w:jc w:val="center"/>
        <w:rPr>
          <w:rFonts w:ascii="宋体" w:hAnsi="宋体" w:cs="宋体"/>
          <w:b/>
          <w:color w:val="FF0000"/>
          <w:sz w:val="18"/>
          <w:szCs w:val="18"/>
        </w:rPr>
      </w:pPr>
      <w:r>
        <w:rPr>
          <w:rFonts w:hint="eastAsia" w:ascii="宋体" w:hAnsi="宋体" w:cs="宋体"/>
          <w:b/>
          <w:color w:val="FF0000"/>
          <w:sz w:val="18"/>
          <w:szCs w:val="18"/>
        </w:rPr>
        <w:t>《深圳经济特区政府采购条例》</w:t>
      </w:r>
    </w:p>
    <w:p w14:paraId="761EE208">
      <w:pPr>
        <w:autoSpaceDE w:val="0"/>
        <w:autoSpaceDN w:val="0"/>
        <w:adjustRightInd w:val="0"/>
        <w:spacing w:line="300" w:lineRule="exact"/>
        <w:ind w:firstLine="360" w:firstLineChars="200"/>
        <w:rPr>
          <w:rFonts w:ascii="宋体" w:hAnsi="宋体" w:cs="宋体"/>
          <w:color w:val="FF0000"/>
          <w:sz w:val="18"/>
          <w:szCs w:val="18"/>
        </w:rPr>
      </w:pPr>
      <w:r>
        <w:rPr>
          <w:rStyle w:val="31"/>
          <w:rFonts w:hint="eastAsia" w:ascii="宋体" w:hAnsi="宋体" w:cs="宋体"/>
          <w:color w:val="FF0000"/>
          <w:sz w:val="18"/>
          <w:szCs w:val="18"/>
        </w:rPr>
        <w:t>第五十七条</w:t>
      </w:r>
      <w:r>
        <w:rPr>
          <w:rFonts w:hint="eastAsia" w:ascii="宋体" w:hAnsi="宋体" w:cs="宋体"/>
          <w:color w:val="FF0000"/>
          <w:sz w:val="18"/>
          <w:szCs w:val="18"/>
        </w:rPr>
        <w:t> 供应商在政府采购中，有下列行为之一的，一至三年内禁止其参与本市政府采购，并由主管部门记入供应商诚信档案，处采购金额千分之十以上千分之二十以下罚款；情节严重的，取消其参与本市政府采购资格，处采购金额千分之二十以上千分之三十以下罚款，并由市场监管部门依法吊销其营业执照；给他人造成损失的，依法承担赔偿责任；构成犯罪的，依法追究刑事责任：（一）在采购活动中应当回避而未回避的；（二）未按照本条例规定签订、履行采购合同，造成严重后果的；（三）隐瞒真实情况，提供虚假资料的；（四）以非法手段排斥其他供应商参与竞争的；（五）与其他采购参加人串通投标的；（六）恶意投诉的；（七）向采购项目相关人行贿或者提供其他不当利益的；（八）阻碍、抗拒主管部门监督检查的；（九）其他违反本条例规定的行为。</w:t>
      </w:r>
    </w:p>
    <w:p w14:paraId="19D24E03">
      <w:pPr>
        <w:autoSpaceDE w:val="0"/>
        <w:autoSpaceDN w:val="0"/>
        <w:adjustRightInd w:val="0"/>
        <w:spacing w:line="300" w:lineRule="exact"/>
        <w:jc w:val="center"/>
        <w:rPr>
          <w:rFonts w:ascii="宋体" w:hAnsi="宋体" w:cs="宋体"/>
          <w:b/>
          <w:color w:val="FF0000"/>
          <w:sz w:val="18"/>
          <w:szCs w:val="18"/>
        </w:rPr>
      </w:pPr>
      <w:r>
        <w:rPr>
          <w:rFonts w:hint="eastAsia" w:ascii="宋体" w:hAnsi="宋体" w:cs="宋体"/>
          <w:b/>
          <w:color w:val="FF0000"/>
          <w:sz w:val="18"/>
          <w:szCs w:val="18"/>
        </w:rPr>
        <w:t>《深圳经济特区政府采购条例实施细则》</w:t>
      </w:r>
    </w:p>
    <w:p w14:paraId="34077B5E">
      <w:pPr>
        <w:keepLines/>
        <w:spacing w:line="300" w:lineRule="exact"/>
        <w:ind w:firstLine="360" w:firstLineChars="200"/>
        <w:rPr>
          <w:rFonts w:ascii="宋体" w:hAnsi="宋体" w:cs="宋体"/>
          <w:color w:val="FF0000"/>
          <w:sz w:val="18"/>
          <w:szCs w:val="18"/>
        </w:rPr>
      </w:pPr>
      <w:r>
        <w:rPr>
          <w:rFonts w:hint="eastAsia" w:ascii="宋体" w:hAnsi="宋体" w:cs="宋体"/>
          <w:b/>
          <w:bCs/>
          <w:color w:val="FF0000"/>
          <w:sz w:val="18"/>
          <w:szCs w:val="18"/>
        </w:rPr>
        <w:t>第七十五条</w:t>
      </w:r>
      <w:r>
        <w:rPr>
          <w:rFonts w:hint="eastAsia" w:ascii="宋体" w:hAnsi="宋体" w:cs="宋体"/>
          <w:color w:val="FF0000"/>
          <w:sz w:val="18"/>
          <w:szCs w:val="18"/>
        </w:rPr>
        <w:t> 供应商有下列情形的，属于采购条例所称的串通投标行为，按照采购条例第五十七条有关规定处理：（一）投标供应商之间相互约定给予未中标的供应商利益补偿；（二）不同投标供应商的法定代表人、主要经营负责人、项目投标授权代表人、项目负责人、主要技术人员为同一人、属同一单位或者在同一单位缴纳社会保险；（三）不同投标供应商的投标文件由同一单位或者同一人编制，或者由同一人分阶段参与编制的；（四）不同投标供应商的投标文件或部分投标文件相互混装；（五）不同投标供应商的投标文件内容存在非正常一致；（六）由同一单位工作人员为两家以上（含两家）供应商进行同一项投标活动的；（七）主管部门依照法律、法规认定的其他情形。</w:t>
      </w:r>
    </w:p>
    <w:p w14:paraId="1E149A6B">
      <w:pPr>
        <w:keepLines/>
        <w:spacing w:line="300" w:lineRule="exact"/>
        <w:ind w:firstLine="360" w:firstLineChars="200"/>
        <w:rPr>
          <w:rFonts w:ascii="宋体" w:hAnsi="宋体" w:cs="宋体"/>
          <w:color w:val="FF0000"/>
          <w:sz w:val="18"/>
          <w:szCs w:val="18"/>
        </w:rPr>
      </w:pPr>
      <w:r>
        <w:rPr>
          <w:rFonts w:hint="eastAsia" w:ascii="宋体" w:hAnsi="宋体" w:cs="宋体"/>
          <w:b/>
          <w:bCs/>
          <w:color w:val="FF0000"/>
          <w:sz w:val="18"/>
          <w:szCs w:val="18"/>
        </w:rPr>
        <w:t>第七十七条</w:t>
      </w:r>
      <w:r>
        <w:rPr>
          <w:rFonts w:hint="eastAsia" w:ascii="宋体" w:hAnsi="宋体" w:cs="宋体"/>
          <w:color w:val="FF0000"/>
          <w:sz w:val="18"/>
          <w:szCs w:val="18"/>
        </w:rPr>
        <w:t> 供应商有下列情形之一的，属于隐瞒真实情况，提供虚假资料，按照采购条例第五十七条的有关规定处理：（一）通过转让或者租借等方式从其他单位获取资格或者资质证书投标的；（二）由其他单位或者其他单位负责人在投标供应商编制的投标文件上加盖印章或者签字的；（三）项目负责人或者主要技术人员不是本单位人员的；（四）投标保证金不是从投标供应商基本账户转出的；（五）其他隐瞒真实情况、提供虚假资料的行为。</w:t>
      </w:r>
    </w:p>
    <w:p w14:paraId="1774C979">
      <w:pPr>
        <w:keepLines/>
        <w:spacing w:line="300" w:lineRule="exact"/>
        <w:ind w:firstLine="360" w:firstLineChars="200"/>
        <w:rPr>
          <w:rFonts w:ascii="宋体" w:hAnsi="宋体" w:cs="宋体"/>
          <w:color w:val="FF0000"/>
          <w:sz w:val="18"/>
          <w:szCs w:val="18"/>
        </w:rPr>
      </w:pPr>
      <w:r>
        <w:rPr>
          <w:rFonts w:hint="eastAsia" w:ascii="宋体" w:hAnsi="宋体" w:cs="宋体"/>
          <w:color w:val="FF0000"/>
          <w:sz w:val="18"/>
          <w:szCs w:val="18"/>
        </w:rPr>
        <w:t>投标供应商不能提供项目负责人或者主要技术人员的劳动合同、社会保险等劳动关系证明材料的，视为存在前款第（三）项规定的情形。</w:t>
      </w:r>
    </w:p>
    <w:p w14:paraId="7661EF2F">
      <w:pPr>
        <w:autoSpaceDE w:val="0"/>
        <w:autoSpaceDN w:val="0"/>
        <w:adjustRightInd w:val="0"/>
        <w:spacing w:line="300" w:lineRule="exact"/>
        <w:jc w:val="center"/>
        <w:rPr>
          <w:rFonts w:ascii="宋体" w:hAnsi="宋体" w:cs="宋体"/>
          <w:b/>
          <w:color w:val="FF0000"/>
          <w:sz w:val="18"/>
          <w:szCs w:val="18"/>
        </w:rPr>
      </w:pPr>
      <w:r>
        <w:rPr>
          <w:rFonts w:hint="eastAsia" w:ascii="宋体" w:hAnsi="宋体" w:cs="宋体"/>
          <w:b/>
          <w:color w:val="FF0000"/>
          <w:sz w:val="18"/>
          <w:szCs w:val="18"/>
        </w:rPr>
        <w:t xml:space="preserve">《中华人民共和国政府采购法实施条例》 </w:t>
      </w:r>
    </w:p>
    <w:p w14:paraId="2621E22D">
      <w:pPr>
        <w:spacing w:line="300" w:lineRule="exact"/>
        <w:ind w:firstLine="360" w:firstLineChars="200"/>
        <w:rPr>
          <w:rFonts w:ascii="宋体" w:hAnsi="宋体" w:cs="宋体"/>
          <w:color w:val="FF0000"/>
          <w:sz w:val="18"/>
          <w:szCs w:val="18"/>
        </w:rPr>
      </w:pPr>
      <w:r>
        <w:rPr>
          <w:rFonts w:hint="eastAsia" w:ascii="宋体" w:hAnsi="宋体" w:cs="宋体"/>
          <w:b/>
          <w:bCs/>
          <w:color w:val="FF0000"/>
          <w:sz w:val="18"/>
          <w:szCs w:val="18"/>
        </w:rPr>
        <w:t>第十八条</w:t>
      </w:r>
      <w:r>
        <w:rPr>
          <w:rFonts w:hint="eastAsia" w:ascii="宋体" w:hAnsi="宋体" w:cs="宋体"/>
          <w:color w:val="FF0000"/>
          <w:sz w:val="18"/>
          <w:szCs w:val="18"/>
        </w:rPr>
        <w:t xml:space="preserve"> 单位负责人为同一人或者存在直接控股、管理关系的不同供应商，不得参加同一合同项下的政府采购活动。除单一来源采购项目外，为采购项目提供整体设计、规范编制或者项目管理、监 理、检测等服务的供应商，不得再参加该采购项目的其他采购活动。</w:t>
      </w:r>
    </w:p>
    <w:p w14:paraId="7CEE94D0">
      <w:pPr>
        <w:autoSpaceDE w:val="0"/>
        <w:autoSpaceDN w:val="0"/>
        <w:adjustRightInd w:val="0"/>
        <w:spacing w:line="300" w:lineRule="exact"/>
        <w:jc w:val="center"/>
        <w:rPr>
          <w:rFonts w:ascii="宋体" w:hAnsi="宋体" w:cs="宋体"/>
          <w:b/>
          <w:color w:val="FF0000"/>
          <w:sz w:val="18"/>
          <w:szCs w:val="18"/>
        </w:rPr>
      </w:pPr>
      <w:r>
        <w:rPr>
          <w:rFonts w:hint="eastAsia" w:ascii="宋体" w:hAnsi="宋体" w:cs="宋体"/>
          <w:b/>
          <w:color w:val="FF0000"/>
          <w:sz w:val="18"/>
          <w:szCs w:val="18"/>
        </w:rPr>
        <w:t>《深圳市财政局关于采购文件增加风险告知有关事项的通知》</w:t>
      </w:r>
    </w:p>
    <w:p w14:paraId="67CFDFCE">
      <w:pPr>
        <w:spacing w:line="300" w:lineRule="exact"/>
        <w:ind w:firstLine="360" w:firstLineChars="200"/>
        <w:rPr>
          <w:rFonts w:ascii="宋体" w:hAnsi="宋体" w:cs="宋体"/>
          <w:b/>
          <w:bCs/>
          <w:color w:val="FF0000"/>
          <w:sz w:val="18"/>
          <w:szCs w:val="18"/>
        </w:rPr>
      </w:pPr>
      <w:r>
        <w:rPr>
          <w:rFonts w:hint="eastAsia" w:ascii="宋体" w:hAnsi="宋体" w:cs="宋体"/>
          <w:color w:val="FF0000"/>
          <w:sz w:val="18"/>
          <w:szCs w:val="18"/>
        </w:rPr>
        <w:t>各投标供应商应按要求提交《政府采购违法行为风险知悉确认书》（详见“第一册 专用条款—第四章 投标文件格式、附件—第二部分：投标文件附件（信息不公开部分）—</w:t>
      </w:r>
      <w:r>
        <w:rPr>
          <w:rFonts w:hint="eastAsia" w:ascii="宋体" w:hAnsi="宋体" w:eastAsia="宋体" w:cs="宋体"/>
          <w:color w:val="FF0000"/>
          <w:sz w:val="18"/>
          <w:szCs w:val="18"/>
        </w:rPr>
        <w:t>三、</w:t>
      </w:r>
      <w:r>
        <w:rPr>
          <w:rFonts w:hint="eastAsia" w:ascii="宋体" w:hAnsi="宋体" w:cs="宋体"/>
          <w:color w:val="FF0000"/>
          <w:sz w:val="18"/>
          <w:szCs w:val="18"/>
        </w:rPr>
        <w:t>政府采购违法行为风险知悉确认书）。该文件由负责人或投标授权代表签字并加盖单位公章后，与投标文件一并提交。</w:t>
      </w:r>
    </w:p>
    <w:p w14:paraId="2CC9BF93">
      <w:pPr>
        <w:spacing w:line="300" w:lineRule="exact"/>
        <w:jc w:val="center"/>
        <w:rPr>
          <w:rFonts w:ascii="宋体" w:hAnsi="宋体" w:cs="宋体"/>
          <w:color w:val="FF0000"/>
          <w:sz w:val="18"/>
          <w:szCs w:val="18"/>
        </w:rPr>
      </w:pPr>
      <w:r>
        <w:rPr>
          <w:rFonts w:hint="eastAsia" w:ascii="宋体" w:hAnsi="宋体" w:cs="宋体"/>
          <w:b/>
          <w:bCs/>
          <w:color w:val="FF0000"/>
          <w:sz w:val="18"/>
          <w:szCs w:val="18"/>
        </w:rPr>
        <w:t>《特别提醒》</w:t>
      </w:r>
    </w:p>
    <w:p w14:paraId="52C726CB">
      <w:pPr>
        <w:spacing w:line="300" w:lineRule="exact"/>
        <w:ind w:firstLine="360" w:firstLineChars="200"/>
        <w:rPr>
          <w:rFonts w:ascii="宋体" w:hAnsi="宋体" w:cs="宋体"/>
          <w:color w:val="FF0000"/>
          <w:sz w:val="18"/>
          <w:szCs w:val="18"/>
        </w:rPr>
      </w:pPr>
      <w:r>
        <w:rPr>
          <w:rFonts w:hint="eastAsia" w:ascii="宋体" w:hAnsi="宋体" w:cs="宋体"/>
          <w:color w:val="FF0000"/>
          <w:sz w:val="18"/>
          <w:szCs w:val="18"/>
        </w:rPr>
        <w:t xml:space="preserve">（一）供应商在使用深圳政府采购智慧平台的投标文件制作工具创建投标文件时，该工具将自动在投标文件中记录文件创建标识码，同时提取投标文件制作电脑的网卡 MAC 地址、硬盘序列号、CPU 序列号、主板序列号和工具标识号，经加密生成文件制作机器码并在投标文件中记录。文件制作机器码一致表明不同供应商使用了同一设备编制投标文件，文件创建标识码一致表明不同供应商的投标文件为同一份文件，IP 地址一致表明上传投标文件时使用了相同的网络。 </w:t>
      </w:r>
    </w:p>
    <w:p w14:paraId="3D282305">
      <w:pPr>
        <w:spacing w:line="300" w:lineRule="exact"/>
        <w:ind w:firstLine="360" w:firstLineChars="200"/>
        <w:rPr>
          <w:rFonts w:ascii="宋体" w:hAnsi="宋体" w:cs="宋体"/>
          <w:color w:val="FF0000"/>
          <w:sz w:val="18"/>
          <w:szCs w:val="18"/>
        </w:rPr>
      </w:pPr>
      <w:r>
        <w:rPr>
          <w:rFonts w:hint="eastAsia" w:ascii="宋体" w:hAnsi="宋体" w:cs="宋体"/>
          <w:color w:val="FF0000"/>
          <w:sz w:val="18"/>
          <w:szCs w:val="18"/>
        </w:rPr>
        <w:t>（二）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w:t>
      </w:r>
    </w:p>
    <w:p w14:paraId="47D45886">
      <w:pPr>
        <w:spacing w:line="300" w:lineRule="exact"/>
        <w:ind w:firstLine="360" w:firstLineChars="200"/>
        <w:rPr>
          <w:rFonts w:ascii="宋体" w:hAnsi="宋体" w:cs="宋体"/>
          <w:color w:val="FF0000"/>
          <w:sz w:val="18"/>
          <w:szCs w:val="18"/>
        </w:rPr>
      </w:pPr>
      <w:r>
        <w:rPr>
          <w:rFonts w:hint="eastAsia" w:ascii="宋体" w:hAnsi="宋体" w:cs="宋体"/>
          <w:color w:val="FF0000"/>
          <w:sz w:val="18"/>
          <w:szCs w:val="18"/>
        </w:rPr>
        <w:t>（三）不同投标供应商使用同一网络或同一设备编制、提交投标文件，将可能涉嫌投标违法行为而被立案调查。为避免出现不同供应商投标文件的文件制作机器码、文件创建标识码、IP 地址一致的异常情况，建议并请各供应商编制、上传投标文件时不要使用公共电脑设备或公共网络，妥善保管和使用电子秘钥，依法依规参与政府采购活动。</w:t>
      </w:r>
    </w:p>
    <w:p w14:paraId="3854E120">
      <w:pPr>
        <w:rPr>
          <w:rFonts w:ascii="宋体" w:hAnsi="宋体" w:eastAsia="宋体" w:cs="宋体"/>
          <w:b/>
          <w:bCs/>
          <w:sz w:val="44"/>
        </w:rPr>
      </w:pPr>
      <w:r>
        <w:rPr>
          <w:rFonts w:hint="eastAsia" w:ascii="宋体" w:hAnsi="宋体" w:eastAsia="宋体" w:cs="宋体"/>
          <w:b/>
          <w:bCs/>
          <w:sz w:val="44"/>
        </w:rPr>
        <w:br w:type="page"/>
      </w:r>
    </w:p>
    <w:p w14:paraId="2B4D574D">
      <w:pPr>
        <w:pStyle w:val="2"/>
        <w:keepNext/>
        <w:keepLines/>
        <w:widowControl w:val="0"/>
        <w:spacing w:before="0" w:after="240" w:afterLines="100" w:line="240" w:lineRule="auto"/>
        <w:rPr>
          <w:sz w:val="44"/>
        </w:rPr>
      </w:pPr>
      <w:r>
        <w:rPr>
          <w:rFonts w:hint="eastAsia" w:ascii="宋体" w:hAnsi="宋体" w:eastAsia="宋体" w:cs="宋体"/>
          <w:b/>
          <w:bCs/>
          <w:sz w:val="44"/>
        </w:rPr>
        <w:t>关键信息</w:t>
      </w:r>
    </w:p>
    <w:tbl>
      <w:tblPr>
        <w:tblStyle w:val="28"/>
        <w:tblW w:w="0" w:type="auto"/>
        <w:jc w:val="center"/>
        <w:tblCellSpacing w:w="0" w:type="dxa"/>
        <w:tblLayout w:type="fixed"/>
        <w:tblCellMar>
          <w:top w:w="45" w:type="dxa"/>
          <w:left w:w="45" w:type="dxa"/>
          <w:bottom w:w="45" w:type="dxa"/>
          <w:right w:w="45" w:type="dxa"/>
        </w:tblCellMar>
      </w:tblPr>
      <w:tblGrid>
        <w:gridCol w:w="2721"/>
        <w:gridCol w:w="5216"/>
      </w:tblGrid>
      <w:tr w14:paraId="744771B6">
        <w:tblPrEx>
          <w:tblCellMar>
            <w:top w:w="45" w:type="dxa"/>
            <w:left w:w="45" w:type="dxa"/>
            <w:bottom w:w="45" w:type="dxa"/>
            <w:right w:w="45" w:type="dxa"/>
          </w:tblCellMar>
        </w:tblPrEx>
        <w:trPr>
          <w:trHeight w:val="738" w:hRule="atLeast"/>
          <w:tblCellSpacing w:w="0" w:type="dxa"/>
          <w:jc w:val="center"/>
        </w:trPr>
        <w:tc>
          <w:tcPr>
            <w:tcW w:w="2721" w:type="dxa"/>
            <w:vAlign w:val="center"/>
          </w:tcPr>
          <w:p w14:paraId="511AF42C">
            <w:pPr>
              <w:jc w:val="right"/>
              <w:rPr>
                <w:sz w:val="30"/>
                <w:szCs w:val="30"/>
              </w:rPr>
            </w:pPr>
            <w:r>
              <w:rPr>
                <w:rFonts w:ascii="宋体" w:hAnsi="宋体" w:cs="宋体"/>
                <w:sz w:val="30"/>
                <w:szCs w:val="30"/>
              </w:rPr>
              <w:t>项目编号：</w:t>
            </w:r>
          </w:p>
        </w:tc>
        <w:tc>
          <w:tcPr>
            <w:tcW w:w="5216" w:type="dxa"/>
            <w:vAlign w:val="center"/>
          </w:tcPr>
          <w:p w14:paraId="1216159A">
            <w:pPr>
              <w:rPr>
                <w:rFonts w:hint="eastAsia" w:eastAsia="宋体"/>
                <w:sz w:val="30"/>
                <w:szCs w:val="30"/>
                <w:lang w:eastAsia="zh-CN"/>
              </w:rPr>
            </w:pPr>
            <w:r>
              <w:rPr>
                <w:rFonts w:hint="eastAsia" w:eastAsia="宋体"/>
                <w:sz w:val="30"/>
                <w:szCs w:val="30"/>
                <w:lang w:eastAsia="zh-CN"/>
              </w:rPr>
              <w:t>SZDL2026001799</w:t>
            </w:r>
          </w:p>
        </w:tc>
      </w:tr>
      <w:tr w14:paraId="1F273EAC">
        <w:tblPrEx>
          <w:tblCellMar>
            <w:top w:w="45" w:type="dxa"/>
            <w:left w:w="45" w:type="dxa"/>
            <w:bottom w:w="45" w:type="dxa"/>
            <w:right w:w="45" w:type="dxa"/>
          </w:tblCellMar>
        </w:tblPrEx>
        <w:trPr>
          <w:trHeight w:val="738" w:hRule="atLeast"/>
          <w:tblCellSpacing w:w="0" w:type="dxa"/>
          <w:jc w:val="center"/>
        </w:trPr>
        <w:tc>
          <w:tcPr>
            <w:tcW w:w="2721" w:type="dxa"/>
            <w:vAlign w:val="center"/>
          </w:tcPr>
          <w:p w14:paraId="73E238DE">
            <w:pPr>
              <w:jc w:val="right"/>
              <w:rPr>
                <w:sz w:val="30"/>
                <w:szCs w:val="30"/>
              </w:rPr>
            </w:pPr>
            <w:r>
              <w:rPr>
                <w:rFonts w:ascii="宋体" w:hAnsi="宋体" w:cs="宋体"/>
                <w:sz w:val="30"/>
                <w:szCs w:val="30"/>
              </w:rPr>
              <w:t>项目名称：</w:t>
            </w:r>
          </w:p>
        </w:tc>
        <w:tc>
          <w:tcPr>
            <w:tcW w:w="5216" w:type="dxa"/>
            <w:vAlign w:val="center"/>
          </w:tcPr>
          <w:p w14:paraId="48AC9043">
            <w:pPr>
              <w:rPr>
                <w:rFonts w:hint="eastAsia" w:eastAsia="宋体"/>
                <w:sz w:val="30"/>
                <w:szCs w:val="30"/>
                <w:lang w:eastAsia="zh-CN"/>
              </w:rPr>
            </w:pPr>
            <w:r>
              <w:rPr>
                <w:rFonts w:hint="eastAsia" w:eastAsia="宋体"/>
                <w:sz w:val="30"/>
                <w:szCs w:val="30"/>
                <w:lang w:eastAsia="zh-CN"/>
              </w:rPr>
              <w:t>低温质子辐照终端</w:t>
            </w:r>
          </w:p>
        </w:tc>
      </w:tr>
      <w:tr w14:paraId="0A5B0CE4">
        <w:tblPrEx>
          <w:tblCellMar>
            <w:top w:w="45" w:type="dxa"/>
            <w:left w:w="45" w:type="dxa"/>
            <w:bottom w:w="45" w:type="dxa"/>
            <w:right w:w="45" w:type="dxa"/>
          </w:tblCellMar>
        </w:tblPrEx>
        <w:trPr>
          <w:trHeight w:val="738" w:hRule="atLeast"/>
          <w:tblCellSpacing w:w="0" w:type="dxa"/>
          <w:jc w:val="center"/>
        </w:trPr>
        <w:tc>
          <w:tcPr>
            <w:tcW w:w="2721" w:type="dxa"/>
            <w:vAlign w:val="center"/>
          </w:tcPr>
          <w:p w14:paraId="3F9C0847">
            <w:pPr>
              <w:jc w:val="right"/>
              <w:rPr>
                <w:sz w:val="30"/>
                <w:szCs w:val="30"/>
              </w:rPr>
            </w:pPr>
            <w:r>
              <w:rPr>
                <w:rFonts w:ascii="宋体" w:hAnsi="宋体" w:cs="宋体"/>
                <w:sz w:val="30"/>
                <w:szCs w:val="30"/>
              </w:rPr>
              <w:t>包 号：</w:t>
            </w:r>
          </w:p>
        </w:tc>
        <w:tc>
          <w:tcPr>
            <w:tcW w:w="5216" w:type="dxa"/>
            <w:vAlign w:val="center"/>
          </w:tcPr>
          <w:p w14:paraId="5FF663AF">
            <w:pPr>
              <w:rPr>
                <w:sz w:val="30"/>
                <w:szCs w:val="30"/>
              </w:rPr>
            </w:pPr>
            <w:r>
              <w:rPr>
                <w:rFonts w:ascii="宋体" w:hAnsi="宋体" w:cs="宋体"/>
                <w:sz w:val="30"/>
                <w:szCs w:val="30"/>
              </w:rPr>
              <w:t>A</w:t>
            </w:r>
          </w:p>
        </w:tc>
      </w:tr>
      <w:tr w14:paraId="244B965D">
        <w:tblPrEx>
          <w:tblCellMar>
            <w:top w:w="45" w:type="dxa"/>
            <w:left w:w="45" w:type="dxa"/>
            <w:bottom w:w="45" w:type="dxa"/>
            <w:right w:w="45" w:type="dxa"/>
          </w:tblCellMar>
        </w:tblPrEx>
        <w:trPr>
          <w:trHeight w:val="738" w:hRule="atLeast"/>
          <w:tblCellSpacing w:w="0" w:type="dxa"/>
          <w:jc w:val="center"/>
        </w:trPr>
        <w:tc>
          <w:tcPr>
            <w:tcW w:w="2721" w:type="dxa"/>
            <w:vAlign w:val="center"/>
          </w:tcPr>
          <w:p w14:paraId="620A31E9">
            <w:pPr>
              <w:jc w:val="right"/>
              <w:rPr>
                <w:sz w:val="30"/>
                <w:szCs w:val="30"/>
              </w:rPr>
            </w:pPr>
            <w:r>
              <w:rPr>
                <w:rFonts w:ascii="宋体" w:hAnsi="宋体" w:cs="宋体"/>
                <w:sz w:val="30"/>
                <w:szCs w:val="30"/>
              </w:rPr>
              <w:t>项目类型：</w:t>
            </w:r>
          </w:p>
        </w:tc>
        <w:tc>
          <w:tcPr>
            <w:tcW w:w="5216" w:type="dxa"/>
            <w:vAlign w:val="center"/>
          </w:tcPr>
          <w:p w14:paraId="3C29A27E">
            <w:pPr>
              <w:rPr>
                <w:sz w:val="30"/>
                <w:szCs w:val="30"/>
              </w:rPr>
            </w:pPr>
            <w:r>
              <w:rPr>
                <w:rFonts w:hint="eastAsia" w:ascii="宋体" w:hAnsi="宋体" w:eastAsia="宋体" w:cs="宋体"/>
                <w:sz w:val="30"/>
                <w:szCs w:val="30"/>
              </w:rPr>
              <w:t>货物</w:t>
            </w:r>
            <w:r>
              <w:rPr>
                <w:rFonts w:ascii="宋体" w:hAnsi="宋体" w:cs="宋体"/>
                <w:sz w:val="30"/>
                <w:szCs w:val="30"/>
              </w:rPr>
              <w:t>类</w:t>
            </w:r>
          </w:p>
        </w:tc>
      </w:tr>
      <w:tr w14:paraId="65EBF1B2">
        <w:tblPrEx>
          <w:tblCellMar>
            <w:top w:w="45" w:type="dxa"/>
            <w:left w:w="45" w:type="dxa"/>
            <w:bottom w:w="45" w:type="dxa"/>
            <w:right w:w="45" w:type="dxa"/>
          </w:tblCellMar>
        </w:tblPrEx>
        <w:trPr>
          <w:trHeight w:val="738" w:hRule="atLeast"/>
          <w:tblCellSpacing w:w="0" w:type="dxa"/>
          <w:jc w:val="center"/>
        </w:trPr>
        <w:tc>
          <w:tcPr>
            <w:tcW w:w="2721" w:type="dxa"/>
            <w:vAlign w:val="center"/>
          </w:tcPr>
          <w:p w14:paraId="02D4386B">
            <w:pPr>
              <w:jc w:val="right"/>
              <w:rPr>
                <w:sz w:val="30"/>
                <w:szCs w:val="30"/>
              </w:rPr>
            </w:pPr>
            <w:r>
              <w:rPr>
                <w:rFonts w:ascii="宋体" w:hAnsi="宋体" w:cs="宋体"/>
                <w:sz w:val="30"/>
                <w:szCs w:val="30"/>
              </w:rPr>
              <w:t>采购方式：</w:t>
            </w:r>
          </w:p>
        </w:tc>
        <w:tc>
          <w:tcPr>
            <w:tcW w:w="5216" w:type="dxa"/>
            <w:vAlign w:val="center"/>
          </w:tcPr>
          <w:p w14:paraId="2285110D">
            <w:pPr>
              <w:rPr>
                <w:sz w:val="30"/>
                <w:szCs w:val="30"/>
              </w:rPr>
            </w:pPr>
            <w:r>
              <w:rPr>
                <w:rFonts w:ascii="宋体" w:hAnsi="宋体" w:cs="宋体"/>
                <w:sz w:val="30"/>
                <w:szCs w:val="30"/>
              </w:rPr>
              <w:t>公开招标</w:t>
            </w:r>
          </w:p>
        </w:tc>
      </w:tr>
      <w:tr w14:paraId="0495B28F">
        <w:tblPrEx>
          <w:tblCellMar>
            <w:top w:w="45" w:type="dxa"/>
            <w:left w:w="45" w:type="dxa"/>
            <w:bottom w:w="45" w:type="dxa"/>
            <w:right w:w="45" w:type="dxa"/>
          </w:tblCellMar>
        </w:tblPrEx>
        <w:trPr>
          <w:trHeight w:val="738" w:hRule="atLeast"/>
          <w:tblCellSpacing w:w="0" w:type="dxa"/>
          <w:jc w:val="center"/>
        </w:trPr>
        <w:tc>
          <w:tcPr>
            <w:tcW w:w="2721" w:type="dxa"/>
            <w:vAlign w:val="center"/>
          </w:tcPr>
          <w:p w14:paraId="27A41F91">
            <w:pPr>
              <w:jc w:val="right"/>
              <w:rPr>
                <w:sz w:val="30"/>
                <w:szCs w:val="30"/>
              </w:rPr>
            </w:pPr>
            <w:r>
              <w:rPr>
                <w:rFonts w:ascii="宋体" w:hAnsi="宋体" w:cs="宋体"/>
                <w:sz w:val="30"/>
                <w:szCs w:val="30"/>
              </w:rPr>
              <w:t>货币类型：</w:t>
            </w:r>
          </w:p>
        </w:tc>
        <w:tc>
          <w:tcPr>
            <w:tcW w:w="5216" w:type="dxa"/>
            <w:vAlign w:val="center"/>
          </w:tcPr>
          <w:p w14:paraId="5E5BD8B6">
            <w:pPr>
              <w:rPr>
                <w:sz w:val="30"/>
                <w:szCs w:val="30"/>
              </w:rPr>
            </w:pPr>
            <w:r>
              <w:rPr>
                <w:rFonts w:ascii="宋体" w:hAnsi="宋体" w:cs="宋体"/>
                <w:sz w:val="30"/>
                <w:szCs w:val="30"/>
              </w:rPr>
              <w:t>人民币</w:t>
            </w:r>
          </w:p>
        </w:tc>
      </w:tr>
      <w:tr w14:paraId="1992D35F">
        <w:tblPrEx>
          <w:tblCellMar>
            <w:top w:w="45" w:type="dxa"/>
            <w:left w:w="45" w:type="dxa"/>
            <w:bottom w:w="45" w:type="dxa"/>
            <w:right w:w="45" w:type="dxa"/>
          </w:tblCellMar>
        </w:tblPrEx>
        <w:trPr>
          <w:trHeight w:val="738" w:hRule="atLeast"/>
          <w:tblCellSpacing w:w="0" w:type="dxa"/>
          <w:jc w:val="center"/>
        </w:trPr>
        <w:tc>
          <w:tcPr>
            <w:tcW w:w="2721" w:type="dxa"/>
            <w:vAlign w:val="center"/>
          </w:tcPr>
          <w:p w14:paraId="7DEFD5C3">
            <w:pPr>
              <w:jc w:val="right"/>
              <w:rPr>
                <w:sz w:val="30"/>
                <w:szCs w:val="30"/>
              </w:rPr>
            </w:pPr>
            <w:r>
              <w:rPr>
                <w:rFonts w:ascii="宋体" w:hAnsi="宋体" w:cs="宋体"/>
                <w:sz w:val="30"/>
                <w:szCs w:val="30"/>
              </w:rPr>
              <w:t>评标方法：</w:t>
            </w:r>
          </w:p>
        </w:tc>
        <w:tc>
          <w:tcPr>
            <w:tcW w:w="5216" w:type="dxa"/>
            <w:vAlign w:val="center"/>
          </w:tcPr>
          <w:p w14:paraId="74E8946B">
            <w:pPr>
              <w:rPr>
                <w:sz w:val="30"/>
                <w:szCs w:val="30"/>
              </w:rPr>
            </w:pPr>
            <w:r>
              <w:rPr>
                <w:rFonts w:ascii="宋体" w:hAnsi="宋体" w:cs="宋体"/>
                <w:sz w:val="30"/>
                <w:szCs w:val="30"/>
              </w:rPr>
              <w:t>综合评分法</w:t>
            </w:r>
          </w:p>
        </w:tc>
      </w:tr>
    </w:tbl>
    <w:p w14:paraId="30C398C9">
      <w:pPr>
        <w:rPr>
          <w:sz w:val="32"/>
        </w:rPr>
      </w:pPr>
    </w:p>
    <w:p w14:paraId="5AC9367A">
      <w:pPr>
        <w:pStyle w:val="2"/>
        <w:keepNext/>
        <w:keepLines/>
        <w:widowControl w:val="0"/>
        <w:spacing w:before="0" w:after="240" w:afterLines="100" w:line="240" w:lineRule="auto"/>
        <w:rPr>
          <w:b/>
          <w:bCs/>
          <w:color w:val="000000"/>
          <w:sz w:val="44"/>
        </w:rPr>
      </w:pPr>
      <w:r>
        <w:rPr>
          <w:b/>
          <w:bCs/>
          <w:color w:val="000000"/>
          <w:sz w:val="44"/>
        </w:rPr>
        <w:t>资格性审查表</w:t>
      </w:r>
    </w:p>
    <w:tbl>
      <w:tblPr>
        <w:tblStyle w:val="28"/>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20" w:type="dxa"/>
          <w:left w:w="108" w:type="dxa"/>
          <w:bottom w:w="20" w:type="dxa"/>
          <w:right w:w="108" w:type="dxa"/>
        </w:tblCellMar>
      </w:tblPr>
      <w:tblGrid>
        <w:gridCol w:w="767"/>
        <w:gridCol w:w="7737"/>
      </w:tblGrid>
      <w:tr w14:paraId="56F68F1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67" w:type="dxa"/>
            <w:shd w:val="clear" w:color="auto" w:fill="E6EFFA"/>
            <w:vAlign w:val="center"/>
          </w:tcPr>
          <w:p w14:paraId="743BCFE4">
            <w:pPr>
              <w:jc w:val="center"/>
              <w:rPr>
                <w:rFonts w:ascii="宋体" w:hAnsi="宋体" w:cs="宋体"/>
                <w:b/>
                <w:bCs/>
                <w:color w:val="000000"/>
                <w:sz w:val="21"/>
                <w:szCs w:val="21"/>
              </w:rPr>
            </w:pPr>
            <w:r>
              <w:rPr>
                <w:rFonts w:hint="eastAsia" w:ascii="宋体" w:hAnsi="宋体" w:cs="宋体"/>
                <w:b/>
                <w:bCs/>
                <w:color w:val="000000"/>
                <w:sz w:val="21"/>
                <w:szCs w:val="21"/>
              </w:rPr>
              <w:t>序号</w:t>
            </w:r>
          </w:p>
        </w:tc>
        <w:tc>
          <w:tcPr>
            <w:tcW w:w="7737" w:type="dxa"/>
            <w:shd w:val="clear" w:color="auto" w:fill="E6EFFA"/>
            <w:vAlign w:val="center"/>
          </w:tcPr>
          <w:p w14:paraId="35A35B69">
            <w:pPr>
              <w:jc w:val="center"/>
              <w:rPr>
                <w:rFonts w:ascii="宋体" w:hAnsi="宋体" w:cs="宋体"/>
                <w:b/>
                <w:bCs/>
                <w:color w:val="000000"/>
                <w:sz w:val="21"/>
                <w:szCs w:val="21"/>
              </w:rPr>
            </w:pPr>
            <w:r>
              <w:rPr>
                <w:rFonts w:hint="eastAsia" w:ascii="宋体" w:hAnsi="宋体" w:cs="宋体"/>
                <w:b/>
                <w:bCs/>
                <w:color w:val="000000"/>
                <w:sz w:val="21"/>
                <w:szCs w:val="21"/>
              </w:rPr>
              <w:t>内容</w:t>
            </w:r>
          </w:p>
        </w:tc>
      </w:tr>
      <w:tr w14:paraId="428BD95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67" w:type="dxa"/>
            <w:vAlign w:val="center"/>
          </w:tcPr>
          <w:p w14:paraId="4BDCCEFB">
            <w:pPr>
              <w:jc w:val="center"/>
              <w:rPr>
                <w:rFonts w:ascii="宋体" w:hAnsi="宋体" w:cs="宋体"/>
                <w:color w:val="000000"/>
                <w:sz w:val="21"/>
                <w:szCs w:val="21"/>
              </w:rPr>
            </w:pPr>
            <w:r>
              <w:rPr>
                <w:rFonts w:hint="eastAsia" w:ascii="宋体" w:hAnsi="宋体" w:cs="宋体"/>
                <w:color w:val="000000"/>
                <w:sz w:val="21"/>
                <w:szCs w:val="21"/>
              </w:rPr>
              <w:t>1</w:t>
            </w:r>
          </w:p>
        </w:tc>
        <w:tc>
          <w:tcPr>
            <w:tcW w:w="7737" w:type="dxa"/>
          </w:tcPr>
          <w:p w14:paraId="70FD5AA8">
            <w:pPr>
              <w:rPr>
                <w:rFonts w:ascii="宋体" w:hAnsi="宋体" w:cs="宋体"/>
                <w:color w:val="000000"/>
                <w:sz w:val="21"/>
                <w:szCs w:val="21"/>
              </w:rPr>
            </w:pPr>
            <w:r>
              <w:rPr>
                <w:rFonts w:hint="eastAsia" w:ascii="宋体" w:hAnsi="宋体" w:eastAsia="宋体" w:cs="宋体"/>
                <w:color w:val="000000"/>
                <w:sz w:val="21"/>
                <w:szCs w:val="21"/>
              </w:rPr>
              <w:t>投</w:t>
            </w:r>
            <w:r>
              <w:rPr>
                <w:color w:val="000000"/>
                <w:sz w:val="21"/>
                <w:szCs w:val="21"/>
              </w:rPr>
              <w:t>标人不具备招标文件所列的资格要求，或未提交相应的资格证明资料（详见招标公告投标人资格要求</w:t>
            </w:r>
            <w:r>
              <w:rPr>
                <w:rFonts w:hint="eastAsia"/>
                <w:color w:val="000000"/>
                <w:sz w:val="21"/>
                <w:szCs w:val="21"/>
              </w:rPr>
              <w:t>，即申请人的资格要求</w:t>
            </w:r>
            <w:r>
              <w:rPr>
                <w:color w:val="000000"/>
                <w:sz w:val="21"/>
                <w:szCs w:val="21"/>
              </w:rPr>
              <w:t>）</w:t>
            </w:r>
            <w:r>
              <w:rPr>
                <w:rFonts w:hint="eastAsia"/>
                <w:color w:val="000000"/>
                <w:sz w:val="21"/>
                <w:szCs w:val="21"/>
              </w:rPr>
              <w:t>。</w:t>
            </w:r>
          </w:p>
        </w:tc>
      </w:tr>
    </w:tbl>
    <w:p w14:paraId="0A1CBCB0">
      <w:pPr>
        <w:pStyle w:val="2"/>
        <w:keepNext/>
        <w:keepLines/>
        <w:widowControl w:val="0"/>
        <w:spacing w:before="0" w:after="240" w:afterLines="100" w:line="240" w:lineRule="auto"/>
        <w:rPr>
          <w:rFonts w:ascii="宋体" w:hAnsi="宋体" w:eastAsia="宋体" w:cs="宋体"/>
          <w:b/>
          <w:bCs/>
          <w:color w:val="000000"/>
          <w:sz w:val="44"/>
        </w:rPr>
      </w:pPr>
      <w:r>
        <w:rPr>
          <w:rFonts w:hint="eastAsia" w:ascii="宋体" w:hAnsi="宋体" w:eastAsia="宋体" w:cs="宋体"/>
          <w:b/>
          <w:bCs/>
          <w:color w:val="000000"/>
          <w:sz w:val="44"/>
        </w:rPr>
        <w:t>符合性审查表</w:t>
      </w:r>
    </w:p>
    <w:tbl>
      <w:tblPr>
        <w:tblStyle w:val="28"/>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20" w:type="dxa"/>
          <w:left w:w="108" w:type="dxa"/>
          <w:bottom w:w="20" w:type="dxa"/>
          <w:right w:w="108" w:type="dxa"/>
        </w:tblCellMar>
      </w:tblPr>
      <w:tblGrid>
        <w:gridCol w:w="756"/>
        <w:gridCol w:w="7748"/>
      </w:tblGrid>
      <w:tr w14:paraId="55343C8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shd w:val="clear" w:color="auto" w:fill="E6EFFA"/>
            <w:vAlign w:val="center"/>
          </w:tcPr>
          <w:p w14:paraId="0B7F71A0">
            <w:pPr>
              <w:jc w:val="center"/>
              <w:rPr>
                <w:rFonts w:ascii="宋体" w:hAnsi="宋体" w:cs="宋体"/>
                <w:b/>
                <w:bCs/>
                <w:color w:val="000000"/>
                <w:sz w:val="21"/>
                <w:szCs w:val="21"/>
              </w:rPr>
            </w:pPr>
            <w:r>
              <w:rPr>
                <w:rFonts w:hint="eastAsia" w:ascii="宋体" w:hAnsi="宋体" w:cs="宋体"/>
                <w:b/>
                <w:bCs/>
                <w:color w:val="000000"/>
                <w:sz w:val="21"/>
                <w:szCs w:val="21"/>
              </w:rPr>
              <w:t>序号</w:t>
            </w:r>
          </w:p>
        </w:tc>
        <w:tc>
          <w:tcPr>
            <w:tcW w:w="7748" w:type="dxa"/>
            <w:shd w:val="clear" w:color="auto" w:fill="E6EFFA"/>
            <w:vAlign w:val="center"/>
          </w:tcPr>
          <w:p w14:paraId="3336B7C1">
            <w:pPr>
              <w:jc w:val="center"/>
              <w:rPr>
                <w:rFonts w:ascii="宋体" w:hAnsi="宋体" w:cs="宋体"/>
                <w:b/>
                <w:bCs/>
                <w:color w:val="000000"/>
                <w:sz w:val="21"/>
                <w:szCs w:val="21"/>
              </w:rPr>
            </w:pPr>
            <w:r>
              <w:rPr>
                <w:rFonts w:hint="eastAsia" w:ascii="宋体" w:hAnsi="宋体" w:cs="宋体"/>
                <w:b/>
                <w:bCs/>
                <w:color w:val="000000"/>
                <w:sz w:val="21"/>
                <w:szCs w:val="21"/>
              </w:rPr>
              <w:t>内容</w:t>
            </w:r>
          </w:p>
        </w:tc>
      </w:tr>
      <w:tr w14:paraId="0976A46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500309F1">
            <w:pPr>
              <w:jc w:val="center"/>
              <w:rPr>
                <w:rFonts w:ascii="宋体" w:hAnsi="宋体" w:cs="宋体"/>
                <w:color w:val="000000"/>
                <w:sz w:val="21"/>
                <w:szCs w:val="21"/>
              </w:rPr>
            </w:pPr>
            <w:r>
              <w:rPr>
                <w:rFonts w:hint="eastAsia" w:ascii="宋体" w:hAnsi="宋体" w:cs="宋体"/>
                <w:color w:val="000000"/>
                <w:sz w:val="21"/>
                <w:szCs w:val="21"/>
              </w:rPr>
              <w:t>1</w:t>
            </w:r>
          </w:p>
        </w:tc>
        <w:tc>
          <w:tcPr>
            <w:tcW w:w="7748" w:type="dxa"/>
            <w:vAlign w:val="center"/>
          </w:tcPr>
          <w:p w14:paraId="1FA148E8">
            <w:pPr>
              <w:jc w:val="both"/>
              <w:rPr>
                <w:rFonts w:ascii="宋体" w:hAnsi="宋体" w:cs="宋体"/>
                <w:color w:val="000000"/>
                <w:sz w:val="21"/>
                <w:szCs w:val="21"/>
              </w:rPr>
            </w:pPr>
            <w:r>
              <w:rPr>
                <w:rFonts w:hint="eastAsia" w:ascii="宋体" w:hAnsi="宋体" w:cs="宋体"/>
                <w:color w:val="000000"/>
                <w:sz w:val="21"/>
                <w:szCs w:val="21"/>
              </w:rPr>
              <w:t>不得将一个包或一个标段的内容拆开投标；</w:t>
            </w:r>
          </w:p>
        </w:tc>
      </w:tr>
      <w:tr w14:paraId="43AF56F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278DDF22">
            <w:pPr>
              <w:jc w:val="center"/>
              <w:rPr>
                <w:rFonts w:ascii="宋体" w:hAnsi="宋体" w:eastAsia="宋体" w:cs="宋体"/>
                <w:color w:val="000000"/>
                <w:kern w:val="2"/>
                <w:sz w:val="21"/>
                <w:szCs w:val="21"/>
              </w:rPr>
            </w:pPr>
            <w:r>
              <w:rPr>
                <w:rFonts w:hint="eastAsia" w:ascii="宋体" w:hAnsi="宋体" w:cs="宋体"/>
                <w:color w:val="000000"/>
                <w:sz w:val="21"/>
                <w:szCs w:val="21"/>
              </w:rPr>
              <w:t>2</w:t>
            </w:r>
          </w:p>
        </w:tc>
        <w:tc>
          <w:tcPr>
            <w:tcW w:w="7748" w:type="dxa"/>
            <w:vAlign w:val="center"/>
          </w:tcPr>
          <w:p w14:paraId="08B5DB6B">
            <w:pPr>
              <w:jc w:val="both"/>
              <w:rPr>
                <w:rFonts w:ascii="宋体" w:hAnsi="宋体" w:cs="宋体"/>
                <w:color w:val="000000"/>
                <w:sz w:val="21"/>
                <w:szCs w:val="21"/>
              </w:rPr>
            </w:pPr>
            <w:r>
              <w:rPr>
                <w:rFonts w:hint="eastAsia" w:ascii="宋体" w:hAnsi="宋体" w:cs="宋体"/>
                <w:color w:val="000000"/>
                <w:sz w:val="21"/>
                <w:szCs w:val="21"/>
              </w:rPr>
              <w:t>未按招标文件要求提供招标代理服务费承诺书的；</w:t>
            </w:r>
          </w:p>
        </w:tc>
      </w:tr>
      <w:tr w14:paraId="6106CBC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38A7F2F6">
            <w:pPr>
              <w:jc w:val="center"/>
              <w:rPr>
                <w:rFonts w:ascii="宋体" w:hAnsi="宋体" w:eastAsia="宋体" w:cs="宋体"/>
                <w:color w:val="000000"/>
                <w:kern w:val="2"/>
                <w:sz w:val="21"/>
                <w:szCs w:val="21"/>
              </w:rPr>
            </w:pPr>
            <w:r>
              <w:rPr>
                <w:rFonts w:hint="eastAsia" w:ascii="宋体" w:hAnsi="宋体" w:cs="宋体"/>
                <w:color w:val="000000"/>
                <w:sz w:val="21"/>
                <w:szCs w:val="21"/>
              </w:rPr>
              <w:t>3</w:t>
            </w:r>
          </w:p>
        </w:tc>
        <w:tc>
          <w:tcPr>
            <w:tcW w:w="7748" w:type="dxa"/>
            <w:vAlign w:val="center"/>
          </w:tcPr>
          <w:p w14:paraId="1E2087CF">
            <w:pPr>
              <w:jc w:val="both"/>
              <w:rPr>
                <w:rFonts w:ascii="宋体" w:hAnsi="宋体" w:cs="宋体"/>
                <w:color w:val="000000"/>
                <w:sz w:val="21"/>
                <w:szCs w:val="21"/>
              </w:rPr>
            </w:pPr>
            <w:r>
              <w:rPr>
                <w:rFonts w:hint="eastAsia" w:ascii="宋体" w:hAnsi="宋体" w:cs="宋体"/>
                <w:color w:val="000000"/>
                <w:sz w:val="21"/>
                <w:szCs w:val="21"/>
              </w:rPr>
              <w:t>对同一项目投标时，不得提供两套以上的投标方案（招标文件另有规定的除外）；</w:t>
            </w:r>
          </w:p>
        </w:tc>
      </w:tr>
      <w:tr w14:paraId="4BF70BE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5CC4078D">
            <w:pPr>
              <w:jc w:val="center"/>
              <w:rPr>
                <w:rFonts w:ascii="宋体" w:hAnsi="宋体" w:eastAsia="宋体" w:cs="宋体"/>
                <w:color w:val="000000"/>
                <w:kern w:val="2"/>
                <w:sz w:val="21"/>
                <w:szCs w:val="21"/>
              </w:rPr>
            </w:pPr>
            <w:r>
              <w:rPr>
                <w:rFonts w:hint="eastAsia" w:ascii="宋体" w:hAnsi="宋体" w:cs="宋体"/>
                <w:color w:val="000000"/>
                <w:sz w:val="21"/>
                <w:szCs w:val="21"/>
              </w:rPr>
              <w:t>4</w:t>
            </w:r>
          </w:p>
        </w:tc>
        <w:tc>
          <w:tcPr>
            <w:tcW w:w="7748" w:type="dxa"/>
            <w:vAlign w:val="center"/>
          </w:tcPr>
          <w:p w14:paraId="676294E5">
            <w:pPr>
              <w:jc w:val="both"/>
              <w:rPr>
                <w:rFonts w:ascii="宋体" w:hAnsi="宋体" w:eastAsia="宋体" w:cs="宋体"/>
                <w:color w:val="000000"/>
                <w:sz w:val="21"/>
                <w:szCs w:val="21"/>
              </w:rPr>
            </w:pPr>
            <w:r>
              <w:rPr>
                <w:rFonts w:hint="eastAsia" w:ascii="宋体" w:hAnsi="宋体" w:cs="宋体"/>
                <w:color w:val="000000"/>
                <w:sz w:val="21"/>
                <w:szCs w:val="21"/>
              </w:rPr>
              <w:t>分项报价或投标总价高于预算金额（或最高投标限价）的；</w:t>
            </w:r>
            <w:r>
              <w:rPr>
                <w:rFonts w:hint="eastAsia" w:ascii="宋体" w:hAnsi="宋体" w:eastAsia="宋体" w:cs="宋体"/>
                <w:color w:val="000000"/>
                <w:sz w:val="21"/>
                <w:szCs w:val="21"/>
              </w:rPr>
              <w:t>未按招标文件要求进行报价的；</w:t>
            </w:r>
          </w:p>
        </w:tc>
      </w:tr>
      <w:tr w14:paraId="161AC4D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5F8F85C9">
            <w:pPr>
              <w:jc w:val="center"/>
              <w:rPr>
                <w:rFonts w:ascii="宋体" w:hAnsi="宋体" w:eastAsia="宋体" w:cs="宋体"/>
                <w:color w:val="000000"/>
                <w:kern w:val="2"/>
                <w:sz w:val="21"/>
                <w:szCs w:val="21"/>
              </w:rPr>
            </w:pPr>
            <w:r>
              <w:rPr>
                <w:rFonts w:hint="eastAsia" w:ascii="宋体" w:hAnsi="宋体" w:cs="宋体"/>
                <w:color w:val="000000"/>
                <w:sz w:val="21"/>
                <w:szCs w:val="21"/>
              </w:rPr>
              <w:t>5</w:t>
            </w:r>
          </w:p>
        </w:tc>
        <w:tc>
          <w:tcPr>
            <w:tcW w:w="7748" w:type="dxa"/>
            <w:vAlign w:val="center"/>
          </w:tcPr>
          <w:p w14:paraId="200C6210">
            <w:pPr>
              <w:jc w:val="both"/>
              <w:rPr>
                <w:rFonts w:ascii="宋体" w:hAnsi="宋体" w:cs="宋体"/>
                <w:color w:val="000000"/>
                <w:sz w:val="21"/>
                <w:szCs w:val="21"/>
              </w:rPr>
            </w:pPr>
            <w:r>
              <w:rPr>
                <w:rFonts w:hint="eastAsia" w:ascii="宋体" w:hAnsi="宋体" w:cs="宋体"/>
                <w:color w:val="000000"/>
                <w:sz w:val="21"/>
                <w:szCs w:val="21"/>
              </w:rPr>
              <w:t>评标委员会认为投标人的报价明显低于其他通过符合性审查投标人的报价，有可能影响产品质量或者不能诚信履约的，应当要求其在评标现场合理的时间内提供书面说明，必要时提交相关证明材料；在此情况下，投标人仍不能证明其报价合理性的。（评审委员会成员对投标人提供的说明材料判断不一致的，按照“少数服从多数”的原则确定评审委员会的意见）；</w:t>
            </w:r>
          </w:p>
        </w:tc>
      </w:tr>
      <w:tr w14:paraId="6283DB7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1BFD914C">
            <w:pPr>
              <w:jc w:val="center"/>
              <w:rPr>
                <w:rFonts w:ascii="宋体" w:hAnsi="宋体" w:eastAsia="宋体" w:cs="宋体"/>
                <w:color w:val="000000"/>
                <w:kern w:val="2"/>
                <w:sz w:val="21"/>
                <w:szCs w:val="21"/>
              </w:rPr>
            </w:pPr>
            <w:r>
              <w:rPr>
                <w:rFonts w:hint="eastAsia" w:ascii="宋体" w:hAnsi="宋体" w:cs="宋体"/>
                <w:color w:val="000000"/>
                <w:sz w:val="21"/>
                <w:szCs w:val="21"/>
              </w:rPr>
              <w:t>6</w:t>
            </w:r>
          </w:p>
        </w:tc>
        <w:tc>
          <w:tcPr>
            <w:tcW w:w="7748" w:type="dxa"/>
            <w:vAlign w:val="center"/>
          </w:tcPr>
          <w:p w14:paraId="69BBBE63">
            <w:pPr>
              <w:jc w:val="both"/>
              <w:rPr>
                <w:rFonts w:ascii="宋体" w:hAnsi="宋体" w:cs="宋体"/>
                <w:color w:val="000000"/>
                <w:sz w:val="21"/>
                <w:szCs w:val="21"/>
              </w:rPr>
            </w:pPr>
            <w:r>
              <w:rPr>
                <w:rFonts w:hint="eastAsia" w:ascii="宋体" w:hAnsi="宋体" w:cs="宋体"/>
                <w:color w:val="000000"/>
                <w:sz w:val="21"/>
                <w:szCs w:val="21"/>
              </w:rPr>
              <w:t>同一项目出现两个及以上报价，且按规定无法确定哪个是有效报价；</w:t>
            </w:r>
          </w:p>
        </w:tc>
      </w:tr>
      <w:tr w14:paraId="24844E9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77885074">
            <w:pPr>
              <w:jc w:val="center"/>
              <w:rPr>
                <w:rFonts w:ascii="宋体" w:hAnsi="宋体" w:eastAsia="宋体" w:cs="宋体"/>
                <w:color w:val="000000"/>
                <w:kern w:val="2"/>
                <w:sz w:val="21"/>
                <w:szCs w:val="21"/>
              </w:rPr>
            </w:pPr>
            <w:r>
              <w:rPr>
                <w:rFonts w:hint="eastAsia" w:ascii="宋体" w:hAnsi="宋体" w:cs="宋体"/>
                <w:color w:val="000000"/>
                <w:sz w:val="21"/>
                <w:szCs w:val="21"/>
              </w:rPr>
              <w:t>7</w:t>
            </w:r>
          </w:p>
        </w:tc>
        <w:tc>
          <w:tcPr>
            <w:tcW w:w="7748" w:type="dxa"/>
            <w:vAlign w:val="center"/>
          </w:tcPr>
          <w:p w14:paraId="4383709F">
            <w:pPr>
              <w:jc w:val="both"/>
              <w:rPr>
                <w:rFonts w:ascii="宋体" w:hAnsi="宋体" w:cs="宋体"/>
                <w:color w:val="000000"/>
                <w:sz w:val="21"/>
                <w:szCs w:val="21"/>
              </w:rPr>
            </w:pPr>
            <w:r>
              <w:rPr>
                <w:rFonts w:hint="eastAsia" w:ascii="宋体" w:hAnsi="宋体" w:cs="宋体"/>
                <w:color w:val="000000"/>
                <w:sz w:val="21"/>
                <w:szCs w:val="21"/>
              </w:rPr>
              <w:t>未按要求提供《</w:t>
            </w:r>
            <w:r>
              <w:rPr>
                <w:rFonts w:hint="eastAsia" w:ascii="宋体" w:hAnsi="宋体" w:eastAsia="宋体" w:cs="宋体"/>
                <w:color w:val="000000"/>
                <w:sz w:val="21"/>
                <w:szCs w:val="21"/>
              </w:rPr>
              <w:t>技术要求</w:t>
            </w:r>
            <w:r>
              <w:rPr>
                <w:rFonts w:hint="eastAsia" w:ascii="宋体" w:hAnsi="宋体" w:cs="宋体"/>
                <w:color w:val="000000"/>
                <w:sz w:val="21"/>
                <w:szCs w:val="21"/>
              </w:rPr>
              <w:t>偏离表》</w:t>
            </w:r>
            <w:r>
              <w:rPr>
                <w:rFonts w:hint="eastAsia" w:ascii="宋体" w:hAnsi="宋体" w:eastAsia="宋体" w:cs="宋体"/>
                <w:color w:val="000000"/>
                <w:sz w:val="21"/>
                <w:szCs w:val="21"/>
              </w:rPr>
              <w:t>或《商务要求偏离表》</w:t>
            </w:r>
            <w:r>
              <w:rPr>
                <w:rFonts w:hint="eastAsia" w:ascii="宋体" w:hAnsi="宋体" w:cs="宋体"/>
                <w:color w:val="000000"/>
                <w:sz w:val="21"/>
                <w:szCs w:val="21"/>
              </w:rPr>
              <w:t>；</w:t>
            </w:r>
          </w:p>
        </w:tc>
      </w:tr>
      <w:tr w14:paraId="4032B70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02C8C87D">
            <w:pPr>
              <w:jc w:val="center"/>
              <w:rPr>
                <w:rFonts w:ascii="宋体" w:hAnsi="宋体" w:eastAsia="宋体" w:cs="宋体"/>
                <w:color w:val="000000"/>
                <w:kern w:val="2"/>
                <w:sz w:val="21"/>
                <w:szCs w:val="21"/>
              </w:rPr>
            </w:pPr>
            <w:r>
              <w:rPr>
                <w:rFonts w:hint="eastAsia" w:ascii="宋体" w:hAnsi="宋体" w:cs="宋体"/>
                <w:color w:val="000000"/>
                <w:sz w:val="21"/>
                <w:szCs w:val="21"/>
              </w:rPr>
              <w:t>8</w:t>
            </w:r>
          </w:p>
        </w:tc>
        <w:tc>
          <w:tcPr>
            <w:tcW w:w="7748" w:type="dxa"/>
            <w:vAlign w:val="center"/>
          </w:tcPr>
          <w:p w14:paraId="6BC002A7">
            <w:pPr>
              <w:jc w:val="both"/>
              <w:rPr>
                <w:rFonts w:ascii="宋体" w:hAnsi="宋体" w:cs="宋体"/>
                <w:color w:val="000000"/>
                <w:sz w:val="21"/>
                <w:szCs w:val="21"/>
              </w:rPr>
            </w:pPr>
            <w:r>
              <w:rPr>
                <w:rFonts w:hint="eastAsia" w:ascii="宋体" w:hAnsi="宋体" w:cs="宋体"/>
                <w:color w:val="000000"/>
                <w:sz w:val="21"/>
                <w:szCs w:val="21"/>
              </w:rPr>
              <w:t>所投货物、工程、服务在商务、技术等方面没有实质性满足招标文件要求的（</w:t>
            </w:r>
            <w:r>
              <w:rPr>
                <w:rFonts w:hint="eastAsia"/>
                <w:color w:val="000000"/>
                <w:sz w:val="21"/>
                <w:szCs w:val="21"/>
              </w:rPr>
              <w:t>是否实质性满足招标文件要求，由评审委员会根据实质性条款响应情况作出评判</w:t>
            </w:r>
            <w:r>
              <w:rPr>
                <w:rFonts w:hint="eastAsia" w:ascii="宋体" w:hAnsi="宋体" w:cs="宋体"/>
                <w:color w:val="000000"/>
                <w:sz w:val="21"/>
                <w:szCs w:val="21"/>
              </w:rPr>
              <w:t>）；</w:t>
            </w:r>
          </w:p>
        </w:tc>
      </w:tr>
      <w:tr w14:paraId="265093D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74A584B3">
            <w:pPr>
              <w:jc w:val="center"/>
              <w:rPr>
                <w:rFonts w:ascii="宋体" w:hAnsi="宋体" w:eastAsia="宋体" w:cs="宋体"/>
                <w:color w:val="000000"/>
                <w:kern w:val="2"/>
                <w:sz w:val="21"/>
                <w:szCs w:val="21"/>
              </w:rPr>
            </w:pPr>
            <w:r>
              <w:rPr>
                <w:rFonts w:hint="eastAsia" w:ascii="宋体" w:hAnsi="宋体" w:cs="宋体"/>
                <w:color w:val="000000"/>
                <w:sz w:val="21"/>
                <w:szCs w:val="21"/>
              </w:rPr>
              <w:t>9</w:t>
            </w:r>
          </w:p>
        </w:tc>
        <w:tc>
          <w:tcPr>
            <w:tcW w:w="7748" w:type="dxa"/>
            <w:vAlign w:val="center"/>
          </w:tcPr>
          <w:p w14:paraId="0CE0C775">
            <w:pPr>
              <w:jc w:val="both"/>
              <w:rPr>
                <w:rFonts w:ascii="宋体" w:hAnsi="宋体" w:cs="宋体"/>
                <w:color w:val="000000"/>
                <w:sz w:val="21"/>
                <w:szCs w:val="21"/>
              </w:rPr>
            </w:pPr>
            <w:r>
              <w:rPr>
                <w:rFonts w:hint="eastAsia" w:ascii="宋体" w:hAnsi="宋体" w:cs="宋体"/>
                <w:color w:val="000000"/>
                <w:sz w:val="21"/>
                <w:szCs w:val="21"/>
              </w:rPr>
              <w:t>未按招标文件所提供的样式填写《投标函》；未按招标文件所提供的《政府采购投标及履约承诺函》进行承诺</w:t>
            </w:r>
            <w:r>
              <w:rPr>
                <w:rFonts w:hint="eastAsia"/>
                <w:color w:val="000000"/>
                <w:sz w:val="21"/>
                <w:szCs w:val="21"/>
              </w:rPr>
              <w:t>或不符合承诺的</w:t>
            </w:r>
            <w:r>
              <w:rPr>
                <w:rFonts w:hint="eastAsia" w:ascii="宋体" w:hAnsi="宋体" w:cs="宋体"/>
                <w:color w:val="000000"/>
                <w:sz w:val="21"/>
                <w:szCs w:val="21"/>
              </w:rPr>
              <w:t>；未按招标文件对投标文件组成的要求提供投标文件的（投标文件组成不完整）；</w:t>
            </w:r>
          </w:p>
        </w:tc>
      </w:tr>
      <w:tr w14:paraId="3B5AD97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7C45869C">
            <w:pPr>
              <w:jc w:val="center"/>
              <w:rPr>
                <w:rFonts w:ascii="宋体" w:hAnsi="宋体" w:eastAsia="宋体" w:cs="宋体"/>
                <w:color w:val="000000"/>
                <w:kern w:val="2"/>
                <w:sz w:val="21"/>
                <w:szCs w:val="21"/>
              </w:rPr>
            </w:pPr>
            <w:r>
              <w:rPr>
                <w:rFonts w:hint="eastAsia" w:ascii="宋体" w:hAnsi="宋体" w:cs="宋体"/>
                <w:sz w:val="21"/>
                <w:szCs w:val="21"/>
              </w:rPr>
              <w:t>10</w:t>
            </w:r>
          </w:p>
        </w:tc>
        <w:tc>
          <w:tcPr>
            <w:tcW w:w="7748" w:type="dxa"/>
            <w:vAlign w:val="center"/>
          </w:tcPr>
          <w:p w14:paraId="1249FC25">
            <w:pPr>
              <w:jc w:val="both"/>
              <w:rPr>
                <w:rFonts w:ascii="宋体" w:hAnsi="宋体" w:cs="宋体"/>
                <w:color w:val="000000"/>
                <w:sz w:val="21"/>
                <w:szCs w:val="21"/>
              </w:rPr>
            </w:pPr>
            <w:r>
              <w:rPr>
                <w:rFonts w:hint="eastAsia" w:ascii="宋体" w:hAnsi="宋体" w:cs="宋体"/>
                <w:color w:val="000000"/>
                <w:sz w:val="21"/>
                <w:szCs w:val="21"/>
              </w:rPr>
              <w:t>所投产品</w:t>
            </w:r>
            <w:r>
              <w:rPr>
                <w:rFonts w:hint="eastAsia" w:ascii="宋体" w:hAnsi="宋体" w:eastAsia="宋体" w:cs="宋体"/>
                <w:color w:val="000000"/>
                <w:sz w:val="21"/>
                <w:szCs w:val="21"/>
              </w:rPr>
              <w:t>/</w:t>
            </w:r>
            <w:r>
              <w:rPr>
                <w:rFonts w:hint="eastAsia" w:ascii="宋体" w:hAnsi="宋体" w:cs="宋体"/>
                <w:color w:val="000000"/>
                <w:sz w:val="21"/>
                <w:szCs w:val="21"/>
              </w:rPr>
              <w:t>货物清单</w:t>
            </w:r>
            <w:r>
              <w:rPr>
                <w:rFonts w:hint="eastAsia" w:ascii="宋体" w:hAnsi="宋体" w:eastAsia="宋体" w:cs="宋体"/>
                <w:color w:val="000000"/>
                <w:sz w:val="21"/>
                <w:szCs w:val="21"/>
              </w:rPr>
              <w:t>/</w:t>
            </w:r>
            <w:r>
              <w:rPr>
                <w:rFonts w:hint="eastAsia" w:ascii="宋体" w:hAnsi="宋体" w:cs="宋体"/>
                <w:color w:val="000000"/>
                <w:sz w:val="21"/>
                <w:szCs w:val="21"/>
              </w:rPr>
              <w:t>投标报价有缺漏项或对招标文件规定的项目需求内容或者需求数量进行修改，评审委员会判定投标响应不满足采购需求；</w:t>
            </w:r>
          </w:p>
        </w:tc>
      </w:tr>
      <w:tr w14:paraId="3100918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275511F5">
            <w:pPr>
              <w:jc w:val="center"/>
              <w:rPr>
                <w:rFonts w:ascii="宋体" w:hAnsi="宋体" w:eastAsia="宋体" w:cs="宋体"/>
                <w:color w:val="000000"/>
                <w:kern w:val="2"/>
                <w:sz w:val="21"/>
                <w:szCs w:val="21"/>
              </w:rPr>
            </w:pPr>
            <w:r>
              <w:rPr>
                <w:rFonts w:hint="eastAsia" w:ascii="宋体" w:hAnsi="宋体" w:cs="宋体"/>
                <w:color w:val="000000"/>
                <w:sz w:val="21"/>
                <w:szCs w:val="21"/>
              </w:rPr>
              <w:t>11</w:t>
            </w:r>
          </w:p>
        </w:tc>
        <w:tc>
          <w:tcPr>
            <w:tcW w:w="7748" w:type="dxa"/>
            <w:vAlign w:val="center"/>
          </w:tcPr>
          <w:p w14:paraId="059E9D2E">
            <w:pPr>
              <w:jc w:val="both"/>
              <w:rPr>
                <w:rFonts w:ascii="宋体" w:hAnsi="宋体" w:cs="宋体"/>
                <w:color w:val="000000"/>
                <w:sz w:val="21"/>
                <w:szCs w:val="21"/>
              </w:rPr>
            </w:pPr>
            <w:r>
              <w:rPr>
                <w:rFonts w:hint="eastAsia" w:ascii="宋体" w:hAnsi="宋体" w:cs="宋体"/>
                <w:color w:val="000000"/>
                <w:sz w:val="21"/>
                <w:szCs w:val="21"/>
              </w:rPr>
              <w:t>投标文件存在列放位置错误，导致属于信息公开情形的没有被公开；</w:t>
            </w:r>
          </w:p>
        </w:tc>
      </w:tr>
      <w:tr w14:paraId="3260672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7DDBBB23">
            <w:pPr>
              <w:jc w:val="center"/>
              <w:rPr>
                <w:rFonts w:ascii="宋体" w:hAnsi="宋体" w:eastAsia="宋体" w:cs="宋体"/>
                <w:color w:val="000000"/>
                <w:kern w:val="2"/>
                <w:sz w:val="21"/>
                <w:szCs w:val="21"/>
              </w:rPr>
            </w:pPr>
            <w:r>
              <w:rPr>
                <w:rFonts w:hint="eastAsia" w:ascii="宋体" w:hAnsi="宋体" w:cs="宋体"/>
                <w:color w:val="000000"/>
                <w:sz w:val="21"/>
                <w:szCs w:val="21"/>
              </w:rPr>
              <w:t>12</w:t>
            </w:r>
          </w:p>
        </w:tc>
        <w:tc>
          <w:tcPr>
            <w:tcW w:w="7748" w:type="dxa"/>
            <w:vAlign w:val="center"/>
          </w:tcPr>
          <w:p w14:paraId="71A71869">
            <w:pPr>
              <w:jc w:val="both"/>
              <w:rPr>
                <w:rFonts w:ascii="宋体" w:hAnsi="宋体" w:cs="宋体"/>
                <w:color w:val="000000"/>
                <w:sz w:val="21"/>
                <w:szCs w:val="21"/>
              </w:rPr>
            </w:pPr>
            <w:r>
              <w:rPr>
                <w:rFonts w:hint="eastAsia" w:ascii="宋体" w:hAnsi="宋体" w:cs="宋体"/>
                <w:color w:val="000000"/>
                <w:sz w:val="21"/>
                <w:szCs w:val="21"/>
              </w:rPr>
              <w:t>投标文件电子文档不得带病毒；</w:t>
            </w:r>
          </w:p>
        </w:tc>
      </w:tr>
      <w:tr w14:paraId="681F4F8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376262D7">
            <w:pPr>
              <w:jc w:val="center"/>
              <w:rPr>
                <w:rFonts w:ascii="宋体" w:hAnsi="宋体" w:eastAsia="宋体" w:cs="宋体"/>
                <w:color w:val="000000"/>
                <w:kern w:val="2"/>
                <w:sz w:val="21"/>
                <w:szCs w:val="21"/>
              </w:rPr>
            </w:pPr>
            <w:r>
              <w:rPr>
                <w:rFonts w:hint="eastAsia" w:ascii="宋体" w:hAnsi="宋体" w:cs="宋体"/>
                <w:color w:val="000000"/>
                <w:sz w:val="21"/>
                <w:szCs w:val="21"/>
              </w:rPr>
              <w:t>13</w:t>
            </w:r>
          </w:p>
        </w:tc>
        <w:tc>
          <w:tcPr>
            <w:tcW w:w="7748" w:type="dxa"/>
            <w:vAlign w:val="center"/>
          </w:tcPr>
          <w:p w14:paraId="5476AEDE">
            <w:pPr>
              <w:jc w:val="both"/>
              <w:rPr>
                <w:rFonts w:ascii="宋体" w:hAnsi="宋体" w:cs="宋体"/>
                <w:color w:val="000000"/>
                <w:sz w:val="21"/>
                <w:szCs w:val="21"/>
              </w:rPr>
            </w:pPr>
            <w:r>
              <w:rPr>
                <w:rFonts w:hint="eastAsia" w:ascii="宋体" w:hAnsi="宋体" w:cs="宋体"/>
                <w:color w:val="000000"/>
                <w:sz w:val="21"/>
                <w:szCs w:val="21"/>
              </w:rPr>
              <w:t>投标文件用不属于本公司的电子密钥进行加密的；</w:t>
            </w:r>
          </w:p>
        </w:tc>
      </w:tr>
      <w:tr w14:paraId="7E25DCA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143B599F">
            <w:pPr>
              <w:jc w:val="center"/>
              <w:rPr>
                <w:rFonts w:ascii="宋体" w:hAnsi="宋体" w:eastAsia="宋体" w:cs="宋体"/>
                <w:color w:val="000000"/>
                <w:sz w:val="21"/>
                <w:szCs w:val="21"/>
              </w:rPr>
            </w:pPr>
            <w:r>
              <w:rPr>
                <w:rFonts w:hint="eastAsia" w:ascii="宋体" w:hAnsi="宋体" w:cs="宋体"/>
                <w:color w:val="000000"/>
                <w:sz w:val="21"/>
                <w:szCs w:val="21"/>
              </w:rPr>
              <w:t>14</w:t>
            </w:r>
          </w:p>
        </w:tc>
        <w:tc>
          <w:tcPr>
            <w:tcW w:w="7748" w:type="dxa"/>
            <w:vAlign w:val="center"/>
          </w:tcPr>
          <w:p w14:paraId="43E9DF3C">
            <w:pPr>
              <w:jc w:val="both"/>
              <w:rPr>
                <w:rFonts w:ascii="宋体" w:hAnsi="宋体" w:cs="宋体"/>
                <w:color w:val="000000"/>
                <w:sz w:val="21"/>
                <w:szCs w:val="21"/>
              </w:rPr>
            </w:pPr>
            <w:r>
              <w:rPr>
                <w:rFonts w:hint="eastAsia" w:ascii="宋体" w:hAnsi="宋体" w:cs="宋体"/>
                <w:color w:val="000000"/>
                <w:sz w:val="21"/>
                <w:szCs w:val="21"/>
              </w:rPr>
              <w:t>误选了非本项目的最新加密规则文件，导致投标文件不能在开标时解密；</w:t>
            </w:r>
          </w:p>
        </w:tc>
      </w:tr>
      <w:tr w14:paraId="11222E2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0D8F0D66">
            <w:pPr>
              <w:jc w:val="center"/>
              <w:rPr>
                <w:rFonts w:ascii="宋体" w:hAnsi="宋体" w:eastAsia="宋体" w:cs="宋体"/>
                <w:color w:val="000000"/>
                <w:sz w:val="21"/>
                <w:szCs w:val="21"/>
              </w:rPr>
            </w:pPr>
            <w:r>
              <w:rPr>
                <w:rFonts w:hint="eastAsia" w:ascii="宋体" w:hAnsi="宋体" w:cs="宋体"/>
                <w:color w:val="000000"/>
                <w:sz w:val="21"/>
                <w:szCs w:val="21"/>
              </w:rPr>
              <w:t>15</w:t>
            </w:r>
          </w:p>
        </w:tc>
        <w:tc>
          <w:tcPr>
            <w:tcW w:w="7748" w:type="dxa"/>
            <w:vAlign w:val="center"/>
          </w:tcPr>
          <w:p w14:paraId="4401B8FA">
            <w:pPr>
              <w:jc w:val="both"/>
              <w:rPr>
                <w:rFonts w:ascii="宋体" w:hAnsi="宋体" w:eastAsia="宋体" w:cs="宋体"/>
                <w:color w:val="000000"/>
                <w:sz w:val="21"/>
                <w:szCs w:val="21"/>
              </w:rPr>
            </w:pPr>
            <w:r>
              <w:rPr>
                <w:rFonts w:hint="eastAsia" w:ascii="宋体" w:hAnsi="宋体" w:cs="宋体"/>
                <w:color w:val="000000"/>
                <w:sz w:val="21"/>
                <w:szCs w:val="21"/>
              </w:rPr>
              <w:t>法律、法规、规章、规范性文件规定的其他情形；</w:t>
            </w:r>
          </w:p>
        </w:tc>
      </w:tr>
      <w:tr w14:paraId="1942052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675083A0">
            <w:pPr>
              <w:jc w:val="center"/>
              <w:rPr>
                <w:rFonts w:ascii="宋体" w:hAnsi="宋体" w:eastAsia="宋体" w:cs="宋体"/>
                <w:color w:val="000000"/>
                <w:sz w:val="21"/>
                <w:szCs w:val="21"/>
              </w:rPr>
            </w:pPr>
            <w:r>
              <w:rPr>
                <w:rFonts w:hint="eastAsia" w:ascii="宋体" w:hAnsi="宋体" w:cs="宋体"/>
                <w:color w:val="000000"/>
                <w:sz w:val="21"/>
                <w:szCs w:val="21"/>
              </w:rPr>
              <w:t>16</w:t>
            </w:r>
          </w:p>
        </w:tc>
        <w:tc>
          <w:tcPr>
            <w:tcW w:w="7748" w:type="dxa"/>
            <w:vAlign w:val="center"/>
          </w:tcPr>
          <w:p w14:paraId="16D67096">
            <w:pPr>
              <w:jc w:val="both"/>
              <w:rPr>
                <w:rFonts w:ascii="宋体" w:hAnsi="宋体" w:cs="宋体"/>
                <w:color w:val="000000"/>
                <w:sz w:val="21"/>
                <w:szCs w:val="21"/>
              </w:rPr>
            </w:pPr>
            <w:r>
              <w:rPr>
                <w:rFonts w:hint="eastAsia" w:ascii="宋体" w:hAnsi="宋体" w:cs="宋体"/>
                <w:color w:val="000000"/>
                <w:sz w:val="21"/>
                <w:szCs w:val="21"/>
              </w:rPr>
              <w:t xml:space="preserve">出现以下情形之一的供应商作投标无效处理，并依法上报监管机关。 </w:t>
            </w:r>
          </w:p>
          <w:p w14:paraId="3BA9EDB4">
            <w:pPr>
              <w:jc w:val="both"/>
              <w:rPr>
                <w:rFonts w:ascii="宋体" w:hAnsi="宋体" w:cs="宋体"/>
                <w:color w:val="000000"/>
                <w:sz w:val="21"/>
                <w:szCs w:val="21"/>
              </w:rPr>
            </w:pPr>
            <w:r>
              <w:rPr>
                <w:rFonts w:hint="eastAsia" w:ascii="宋体" w:hAnsi="宋体" w:cs="宋体"/>
                <w:color w:val="000000"/>
                <w:sz w:val="21"/>
                <w:szCs w:val="21"/>
              </w:rPr>
              <w:t xml:space="preserve">（1）不同投标供应商投标文件“文件制作机器码”和“IP 地址”一致的； </w:t>
            </w:r>
          </w:p>
          <w:p w14:paraId="0110E99C">
            <w:pPr>
              <w:jc w:val="both"/>
              <w:rPr>
                <w:rFonts w:ascii="宋体" w:hAnsi="宋体" w:cs="宋体"/>
                <w:color w:val="000000"/>
                <w:sz w:val="21"/>
                <w:szCs w:val="21"/>
              </w:rPr>
            </w:pPr>
            <w:r>
              <w:rPr>
                <w:rFonts w:hint="eastAsia" w:ascii="宋体" w:hAnsi="宋体" w:cs="宋体"/>
                <w:color w:val="000000"/>
                <w:sz w:val="21"/>
                <w:szCs w:val="21"/>
              </w:rPr>
              <w:t xml:space="preserve">（2）不同投标供应商投标文件“文件创建标识码”和“IP 地址”一致的； </w:t>
            </w:r>
          </w:p>
          <w:p w14:paraId="00DEC9A3">
            <w:pPr>
              <w:jc w:val="both"/>
              <w:rPr>
                <w:rFonts w:ascii="宋体" w:hAnsi="宋体" w:cs="宋体"/>
                <w:color w:val="000000"/>
                <w:sz w:val="21"/>
                <w:szCs w:val="21"/>
              </w:rPr>
            </w:pPr>
            <w:r>
              <w:rPr>
                <w:rFonts w:hint="eastAsia" w:ascii="宋体" w:hAnsi="宋体" w:cs="宋体"/>
                <w:color w:val="000000"/>
                <w:sz w:val="21"/>
                <w:szCs w:val="21"/>
              </w:rPr>
              <w:t xml:space="preserve">（3）不同投标供应商投标文件“文件制作机器码”一致的； </w:t>
            </w:r>
          </w:p>
          <w:p w14:paraId="7DEA1C06">
            <w:pPr>
              <w:jc w:val="both"/>
              <w:rPr>
                <w:rFonts w:ascii="宋体" w:hAnsi="宋体" w:cs="宋体"/>
                <w:color w:val="000000"/>
                <w:sz w:val="21"/>
                <w:szCs w:val="21"/>
              </w:rPr>
            </w:pPr>
            <w:r>
              <w:rPr>
                <w:rFonts w:hint="eastAsia" w:ascii="宋体" w:hAnsi="宋体" w:cs="宋体"/>
                <w:color w:val="000000"/>
                <w:sz w:val="21"/>
                <w:szCs w:val="21"/>
              </w:rPr>
              <w:t>（4）不同投标供应商投标文件“文件创建标识码”一致的。</w:t>
            </w:r>
          </w:p>
        </w:tc>
      </w:tr>
    </w:tbl>
    <w:p w14:paraId="14CC9B23">
      <w:pPr>
        <w:pStyle w:val="21"/>
        <w:rPr>
          <w:color w:val="000000"/>
          <w:sz w:val="21"/>
          <w:szCs w:val="21"/>
        </w:rPr>
      </w:pPr>
      <w:r>
        <w:rPr>
          <w:rFonts w:hint="eastAsia" w:ascii="宋体" w:hAnsi="宋体" w:eastAsia="宋体" w:cs="宋体"/>
          <w:color w:val="000000"/>
          <w:sz w:val="21"/>
          <w:szCs w:val="21"/>
        </w:rPr>
        <w:t>注</w:t>
      </w:r>
      <w:r>
        <w:rPr>
          <w:rFonts w:hint="eastAsia"/>
          <w:color w:val="000000"/>
          <w:sz w:val="21"/>
          <w:szCs w:val="21"/>
        </w:rPr>
        <w:t>：存在以上情形之一的，视为</w:t>
      </w:r>
      <w:r>
        <w:rPr>
          <w:color w:val="000000"/>
          <w:sz w:val="21"/>
          <w:szCs w:val="21"/>
        </w:rPr>
        <w:t>《资格性审查表》和《符合性审查表》初审不通过，按投标无效处理。</w:t>
      </w:r>
    </w:p>
    <w:p w14:paraId="08684BC2">
      <w:pPr>
        <w:rPr>
          <w:sz w:val="32"/>
          <w:szCs w:val="36"/>
        </w:rPr>
      </w:pPr>
      <w:r>
        <w:rPr>
          <w:sz w:val="32"/>
          <w:szCs w:val="36"/>
        </w:rPr>
        <w:br w:type="page"/>
      </w:r>
    </w:p>
    <w:tbl>
      <w:tblPr>
        <w:tblStyle w:val="28"/>
        <w:tblW w:w="8504"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Layout w:type="fixed"/>
        <w:tblCellMar>
          <w:top w:w="20" w:type="dxa"/>
          <w:left w:w="108" w:type="dxa"/>
          <w:bottom w:w="20" w:type="dxa"/>
          <w:right w:w="108" w:type="dxa"/>
        </w:tblCellMar>
      </w:tblPr>
      <w:tblGrid>
        <w:gridCol w:w="8504"/>
      </w:tblGrid>
      <w:tr w14:paraId="7334825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20" w:type="dxa"/>
            <w:left w:w="108" w:type="dxa"/>
            <w:bottom w:w="20" w:type="dxa"/>
            <w:right w:w="108" w:type="dxa"/>
          </w:tblCellMar>
        </w:tblPrEx>
        <w:trPr>
          <w:trHeight w:val="551" w:hRule="atLeast"/>
          <w:jc w:val="center"/>
        </w:trPr>
        <w:tc>
          <w:tcPr>
            <w:tcW w:w="9340" w:type="dxa"/>
            <w:shd w:val="clear" w:color="auto" w:fill="FFFFFF"/>
            <w:noWrap w:val="0"/>
            <w:vAlign w:val="center"/>
          </w:tcPr>
          <w:p w14:paraId="7CFFD0DF">
            <w:pPr>
              <w:jc w:val="center"/>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关于启动异常低价投标（响应）审查程序的规定</w:t>
            </w:r>
          </w:p>
        </w:tc>
      </w:tr>
      <w:tr w14:paraId="2BD6E16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20" w:type="dxa"/>
            <w:left w:w="108" w:type="dxa"/>
            <w:bottom w:w="20" w:type="dxa"/>
            <w:right w:w="108" w:type="dxa"/>
          </w:tblCellMar>
        </w:tblPrEx>
        <w:trPr>
          <w:trHeight w:val="551" w:hRule="atLeast"/>
          <w:jc w:val="center"/>
        </w:trPr>
        <w:tc>
          <w:tcPr>
            <w:tcW w:w="9340" w:type="dxa"/>
            <w:shd w:val="clear" w:color="auto" w:fill="FFFFFF"/>
            <w:noWrap w:val="0"/>
            <w:vAlign w:val="center"/>
          </w:tcPr>
          <w:p w14:paraId="691670AE">
            <w:pPr>
              <w:pStyle w:val="7"/>
              <w:rPr>
                <w:rFonts w:hint="eastAsia" w:ascii="黑体" w:hAnsi="黑体" w:eastAsia="黑体" w:cs="黑体"/>
                <w:color w:val="000000"/>
                <w:sz w:val="28"/>
                <w:szCs w:val="28"/>
                <w:highlight w:val="none"/>
              </w:rPr>
            </w:pPr>
          </w:p>
        </w:tc>
      </w:tr>
      <w:tr w14:paraId="4F270CD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20" w:type="dxa"/>
            <w:left w:w="108" w:type="dxa"/>
            <w:bottom w:w="20" w:type="dxa"/>
            <w:right w:w="108" w:type="dxa"/>
          </w:tblCellMar>
        </w:tblPrEx>
        <w:trPr>
          <w:trHeight w:val="8232" w:hRule="atLeast"/>
          <w:jc w:val="center"/>
        </w:trPr>
        <w:tc>
          <w:tcPr>
            <w:tcW w:w="9340" w:type="dxa"/>
            <w:shd w:val="clear" w:color="auto" w:fill="FFFFFF"/>
            <w:noWrap w:val="0"/>
            <w:vAlign w:val="center"/>
          </w:tcPr>
          <w:p w14:paraId="46666504">
            <w:pPr>
              <w:widowControl/>
              <w:rPr>
                <w:rFonts w:hint="eastAsia" w:ascii="宋体" w:hAnsi="宋体" w:cs="宋体"/>
                <w:color w:val="000000"/>
                <w:szCs w:val="21"/>
                <w:highlight w:val="none"/>
              </w:rPr>
            </w:pPr>
            <w:r>
              <w:rPr>
                <w:rFonts w:hint="eastAsia" w:ascii="宋体" w:hAnsi="宋体" w:cs="宋体"/>
                <w:color w:val="000000"/>
                <w:szCs w:val="21"/>
                <w:highlight w:val="none"/>
              </w:rPr>
              <w:t>根据《关于推动解决政府采购异常低价问题的通知》 （财库〔2026〕2号）要求，结合本项目实际情况，本项目</w:t>
            </w:r>
            <w:r>
              <w:rPr>
                <w:rFonts w:hint="eastAsia" w:ascii="宋体" w:hAnsi="宋体" w:cs="宋体"/>
                <w:color w:val="000000"/>
                <w:kern w:val="0"/>
                <w:szCs w:val="21"/>
                <w:highlight w:val="none"/>
              </w:rPr>
              <w:t>评审中出现下列</w:t>
            </w:r>
            <w:r>
              <w:rPr>
                <w:rFonts w:hint="eastAsia" w:ascii="宋体" w:hAnsi="宋体" w:cs="宋体"/>
                <w:color w:val="000000"/>
                <w:kern w:val="0"/>
                <w:szCs w:val="21"/>
                <w:highlight w:val="none"/>
                <w:lang w:val="en-US" w:eastAsia="zh-CN"/>
              </w:rPr>
              <w:t>异常低价</w:t>
            </w:r>
            <w:r>
              <w:rPr>
                <w:rFonts w:hint="eastAsia" w:ascii="宋体" w:hAnsi="宋体" w:cs="宋体"/>
                <w:color w:val="000000"/>
                <w:kern w:val="0"/>
                <w:szCs w:val="21"/>
                <w:highlight w:val="none"/>
              </w:rPr>
              <w:t>情形之一的，评审委员会应当启动异常低价投标（响应）审查程序：</w:t>
            </w:r>
          </w:p>
          <w:p w14:paraId="06D3DFC1">
            <w:pPr>
              <w:widowControl/>
              <w:rPr>
                <w:rFonts w:hint="eastAsia" w:ascii="宋体" w:hAnsi="宋体" w:cs="宋体"/>
                <w:color w:val="000000"/>
                <w:kern w:val="0"/>
                <w:szCs w:val="21"/>
                <w:highlight w:val="none"/>
              </w:rPr>
            </w:pPr>
            <w:r>
              <w:rPr>
                <w:rFonts w:hint="eastAsia" w:ascii="宋体" w:hAnsi="宋体" w:cs="宋体"/>
                <w:b/>
                <w:bCs/>
                <w:color w:val="000000"/>
                <w:kern w:val="0"/>
                <w:szCs w:val="21"/>
                <w:highlight w:val="none"/>
              </w:rPr>
              <w:t>1.异常低价情形：</w:t>
            </w:r>
          </w:p>
          <w:p w14:paraId="7A32E508">
            <w:pPr>
              <w:widowControl/>
              <w:rPr>
                <w:rFonts w:hint="eastAsia" w:ascii="宋体" w:hAnsi="宋体" w:cs="宋体"/>
                <w:color w:val="000000"/>
                <w:szCs w:val="21"/>
                <w:highlight w:val="none"/>
              </w:rPr>
            </w:pPr>
            <w:r>
              <w:rPr>
                <w:rFonts w:hint="eastAsia" w:ascii="宋体" w:hAnsi="宋体" w:cs="宋体"/>
                <w:color w:val="000000"/>
                <w:kern w:val="0"/>
                <w:szCs w:val="21"/>
                <w:highlight w:val="none"/>
              </w:rPr>
              <w:t>（1）投标（响应）报价低于全部通过符合性审查供应商投标（响应）报价平均值</w:t>
            </w:r>
            <w:r>
              <w:rPr>
                <w:rFonts w:hint="eastAsia" w:ascii="宋体" w:hAnsi="宋体" w:cs="宋体"/>
                <w:szCs w:val="21"/>
                <w:highlight w:val="none"/>
                <w:u w:val="single"/>
              </w:rPr>
              <w:t xml:space="preserve"> </w:t>
            </w:r>
            <w:r>
              <w:rPr>
                <w:rFonts w:hint="eastAsia" w:ascii="宋体" w:hAnsi="宋体" w:eastAsia="宋体" w:cs="宋体"/>
                <w:szCs w:val="21"/>
                <w:highlight w:val="none"/>
                <w:u w:val="single"/>
                <w:lang w:val="en-US" w:eastAsia="zh-CN"/>
              </w:rPr>
              <w:t>65</w:t>
            </w:r>
            <w:r>
              <w:rPr>
                <w:rFonts w:hint="eastAsia" w:ascii="宋体" w:hAnsi="宋体" w:cs="宋体"/>
                <w:szCs w:val="21"/>
                <w:highlight w:val="none"/>
                <w:u w:val="single"/>
              </w:rPr>
              <w:t xml:space="preserve"> %</w:t>
            </w:r>
            <w:r>
              <w:rPr>
                <w:rFonts w:hint="eastAsia" w:ascii="宋体" w:hAnsi="宋体" w:cs="宋体"/>
                <w:highlight w:val="none"/>
              </w:rPr>
              <w:t>（由采购人在50%-65%之间选择）</w:t>
            </w:r>
            <w:r>
              <w:rPr>
                <w:rFonts w:hint="eastAsia" w:ascii="宋体" w:hAnsi="宋体" w:cs="宋体"/>
                <w:color w:val="000000"/>
                <w:kern w:val="0"/>
                <w:szCs w:val="21"/>
                <w:highlight w:val="none"/>
              </w:rPr>
              <w:t>的，即投标（响应）报价&lt;全部通过符合性审查供应商投标（响应）报价平均值×</w:t>
            </w:r>
            <w:r>
              <w:rPr>
                <w:rFonts w:hint="eastAsia" w:ascii="宋体" w:hAnsi="宋体" w:cs="宋体"/>
                <w:szCs w:val="21"/>
                <w:highlight w:val="none"/>
                <w:u w:val="single"/>
              </w:rPr>
              <w:t xml:space="preserve"> </w:t>
            </w:r>
            <w:r>
              <w:rPr>
                <w:rFonts w:hint="eastAsia" w:ascii="宋体" w:hAnsi="宋体" w:eastAsia="宋体" w:cs="宋体"/>
                <w:szCs w:val="21"/>
                <w:highlight w:val="none"/>
                <w:u w:val="single"/>
                <w:lang w:val="en-US" w:eastAsia="zh-CN"/>
              </w:rPr>
              <w:t>65</w:t>
            </w:r>
            <w:r>
              <w:rPr>
                <w:rFonts w:hint="eastAsia" w:ascii="宋体" w:hAnsi="宋体" w:cs="宋体"/>
                <w:szCs w:val="21"/>
                <w:highlight w:val="none"/>
                <w:u w:val="single"/>
              </w:rPr>
              <w:t xml:space="preserve"> %</w:t>
            </w:r>
            <w:r>
              <w:rPr>
                <w:rFonts w:hint="eastAsia" w:ascii="宋体" w:hAnsi="宋体" w:cs="宋体"/>
                <w:highlight w:val="none"/>
              </w:rPr>
              <w:t>（由采购人在50%-65%之间选择）</w:t>
            </w:r>
            <w:r>
              <w:rPr>
                <w:rFonts w:hint="eastAsia" w:ascii="宋体" w:hAnsi="宋体" w:cs="宋体"/>
                <w:color w:val="000000"/>
                <w:kern w:val="0"/>
                <w:szCs w:val="21"/>
                <w:highlight w:val="none"/>
              </w:rPr>
              <w:t>的；</w:t>
            </w:r>
          </w:p>
          <w:p w14:paraId="4B9AC1F2">
            <w:pPr>
              <w:widowControl/>
              <w:rPr>
                <w:rFonts w:hint="eastAsia" w:ascii="宋体" w:hAnsi="宋体" w:cs="宋体"/>
                <w:color w:val="000000"/>
                <w:szCs w:val="21"/>
                <w:highlight w:val="none"/>
              </w:rPr>
            </w:pPr>
            <w:r>
              <w:rPr>
                <w:rFonts w:hint="eastAsia" w:ascii="宋体" w:hAnsi="宋体" w:cs="宋体"/>
                <w:color w:val="000000"/>
                <w:kern w:val="0"/>
                <w:szCs w:val="21"/>
                <w:highlight w:val="none"/>
              </w:rPr>
              <w:t>（2）投标（响应）报价低于通过符合性审查的</w:t>
            </w:r>
            <w:r>
              <w:rPr>
                <w:rFonts w:hint="eastAsia" w:ascii="宋体" w:hAnsi="宋体" w:cs="宋体"/>
                <w:b/>
                <w:bCs/>
                <w:color w:val="000000"/>
                <w:kern w:val="0"/>
                <w:szCs w:val="21"/>
                <w:highlight w:val="none"/>
              </w:rPr>
              <w:t>次低报价供应商</w:t>
            </w:r>
            <w:r>
              <w:rPr>
                <w:rFonts w:hint="eastAsia" w:ascii="宋体" w:hAnsi="宋体" w:cs="宋体"/>
                <w:color w:val="000000"/>
                <w:kern w:val="0"/>
                <w:szCs w:val="21"/>
                <w:highlight w:val="none"/>
              </w:rPr>
              <w:t>投标（响应）报价</w:t>
            </w:r>
            <w:r>
              <w:rPr>
                <w:rFonts w:hint="eastAsia" w:ascii="宋体" w:hAnsi="宋体" w:cs="宋体"/>
                <w:szCs w:val="21"/>
                <w:highlight w:val="none"/>
                <w:u w:val="single"/>
              </w:rPr>
              <w:t xml:space="preserve"> </w:t>
            </w:r>
            <w:r>
              <w:rPr>
                <w:rFonts w:hint="eastAsia" w:ascii="宋体" w:hAnsi="宋体" w:eastAsia="宋体" w:cs="宋体"/>
                <w:szCs w:val="21"/>
                <w:highlight w:val="none"/>
                <w:u w:val="single"/>
                <w:lang w:val="en-US" w:eastAsia="zh-CN"/>
              </w:rPr>
              <w:t>65</w:t>
            </w:r>
            <w:r>
              <w:rPr>
                <w:rFonts w:hint="eastAsia" w:ascii="宋体" w:hAnsi="宋体" w:cs="宋体"/>
                <w:szCs w:val="21"/>
                <w:highlight w:val="none"/>
                <w:u w:val="single"/>
              </w:rPr>
              <w:t xml:space="preserve"> %</w:t>
            </w:r>
            <w:r>
              <w:rPr>
                <w:rFonts w:hint="eastAsia" w:ascii="宋体" w:hAnsi="宋体" w:cs="宋体"/>
                <w:highlight w:val="none"/>
              </w:rPr>
              <w:t>（由采购人在50%-65%之间选择）</w:t>
            </w:r>
            <w:r>
              <w:rPr>
                <w:rFonts w:hint="eastAsia" w:ascii="宋体" w:hAnsi="宋体" w:cs="宋体"/>
                <w:color w:val="000000"/>
                <w:kern w:val="0"/>
                <w:szCs w:val="21"/>
                <w:highlight w:val="none"/>
              </w:rPr>
              <w:t>的的，即投标（响应）报价&lt;通过符合性审查的</w:t>
            </w:r>
            <w:r>
              <w:rPr>
                <w:rFonts w:hint="eastAsia" w:ascii="宋体" w:hAnsi="宋体" w:cs="宋体"/>
                <w:b/>
                <w:bCs/>
                <w:color w:val="000000"/>
                <w:kern w:val="0"/>
                <w:szCs w:val="21"/>
                <w:highlight w:val="none"/>
              </w:rPr>
              <w:t>次低报价供应商</w:t>
            </w:r>
            <w:r>
              <w:rPr>
                <w:rFonts w:hint="eastAsia" w:ascii="宋体" w:hAnsi="宋体" w:cs="宋体"/>
                <w:color w:val="000000"/>
                <w:kern w:val="0"/>
                <w:szCs w:val="21"/>
                <w:highlight w:val="none"/>
              </w:rPr>
              <w:t>投标（响应）报价×</w:t>
            </w:r>
            <w:r>
              <w:rPr>
                <w:rFonts w:hint="eastAsia" w:ascii="宋体" w:hAnsi="宋体" w:cs="宋体"/>
                <w:szCs w:val="21"/>
                <w:highlight w:val="none"/>
                <w:u w:val="single"/>
              </w:rPr>
              <w:t xml:space="preserve"> </w:t>
            </w:r>
            <w:r>
              <w:rPr>
                <w:rFonts w:hint="eastAsia" w:ascii="宋体" w:hAnsi="宋体" w:eastAsia="宋体" w:cs="宋体"/>
                <w:szCs w:val="21"/>
                <w:highlight w:val="none"/>
                <w:u w:val="single"/>
                <w:lang w:val="en-US" w:eastAsia="zh-CN"/>
              </w:rPr>
              <w:t>65</w:t>
            </w:r>
            <w:r>
              <w:rPr>
                <w:rFonts w:hint="eastAsia" w:ascii="宋体" w:hAnsi="宋体" w:cs="宋体"/>
                <w:szCs w:val="21"/>
                <w:highlight w:val="none"/>
                <w:u w:val="single"/>
              </w:rPr>
              <w:t xml:space="preserve"> %</w:t>
            </w:r>
            <w:r>
              <w:rPr>
                <w:rFonts w:hint="eastAsia" w:ascii="宋体" w:hAnsi="宋体" w:cs="宋体"/>
                <w:highlight w:val="none"/>
              </w:rPr>
              <w:t>（由采购人在50%-65%之间选择）</w:t>
            </w:r>
            <w:r>
              <w:rPr>
                <w:rFonts w:hint="eastAsia" w:ascii="宋体" w:hAnsi="宋体" w:cs="宋体"/>
                <w:color w:val="000000"/>
                <w:kern w:val="0"/>
                <w:szCs w:val="21"/>
                <w:highlight w:val="none"/>
              </w:rPr>
              <w:t>的；</w:t>
            </w:r>
          </w:p>
          <w:p w14:paraId="274894A1">
            <w:pPr>
              <w:widowControl/>
              <w:rPr>
                <w:rFonts w:hint="eastAsia" w:ascii="宋体" w:hAnsi="宋体" w:cs="宋体"/>
                <w:color w:val="000000"/>
                <w:szCs w:val="21"/>
                <w:highlight w:val="none"/>
              </w:rPr>
            </w:pPr>
            <w:r>
              <w:rPr>
                <w:rFonts w:hint="eastAsia" w:ascii="宋体" w:hAnsi="宋体" w:cs="宋体"/>
                <w:color w:val="000000"/>
                <w:kern w:val="0"/>
                <w:szCs w:val="21"/>
                <w:highlight w:val="none"/>
              </w:rPr>
              <w:t>（3）投标（响应）报价低于采购项目最高限价</w:t>
            </w:r>
            <w:r>
              <w:rPr>
                <w:rFonts w:hint="eastAsia" w:ascii="宋体" w:hAnsi="宋体" w:cs="宋体"/>
                <w:szCs w:val="21"/>
                <w:highlight w:val="none"/>
                <w:u w:val="single"/>
              </w:rPr>
              <w:t xml:space="preserve"> </w:t>
            </w:r>
            <w:r>
              <w:rPr>
                <w:rFonts w:hint="eastAsia" w:ascii="宋体" w:hAnsi="宋体" w:eastAsia="宋体" w:cs="宋体"/>
                <w:szCs w:val="21"/>
                <w:highlight w:val="none"/>
                <w:u w:val="single"/>
                <w:lang w:val="en-US" w:eastAsia="zh-CN"/>
              </w:rPr>
              <w:t>65</w:t>
            </w:r>
            <w:r>
              <w:rPr>
                <w:rFonts w:hint="eastAsia" w:ascii="宋体" w:hAnsi="宋体" w:cs="宋体"/>
                <w:szCs w:val="21"/>
                <w:highlight w:val="none"/>
                <w:u w:val="single"/>
              </w:rPr>
              <w:t xml:space="preserve"> %</w:t>
            </w:r>
            <w:r>
              <w:rPr>
                <w:rFonts w:hint="eastAsia" w:ascii="宋体" w:hAnsi="宋体" w:cs="宋体"/>
                <w:color w:val="000000"/>
                <w:kern w:val="0"/>
                <w:szCs w:val="21"/>
                <w:highlight w:val="none"/>
              </w:rPr>
              <w:t>（由采购人在45%-65%之间选择）的，即投标（响应）报价&lt;采购项目最高限价×</w:t>
            </w:r>
            <w:r>
              <w:rPr>
                <w:rFonts w:hint="eastAsia" w:ascii="宋体" w:hAnsi="宋体" w:cs="宋体"/>
                <w:szCs w:val="21"/>
                <w:highlight w:val="none"/>
                <w:u w:val="single"/>
              </w:rPr>
              <w:t xml:space="preserve"> </w:t>
            </w:r>
            <w:r>
              <w:rPr>
                <w:rFonts w:hint="eastAsia" w:ascii="宋体" w:hAnsi="宋体" w:eastAsia="宋体" w:cs="宋体"/>
                <w:szCs w:val="21"/>
                <w:highlight w:val="none"/>
                <w:u w:val="single"/>
                <w:lang w:val="en-US" w:eastAsia="zh-CN"/>
              </w:rPr>
              <w:t>65</w:t>
            </w:r>
            <w:r>
              <w:rPr>
                <w:rFonts w:hint="eastAsia" w:ascii="宋体" w:hAnsi="宋体" w:cs="宋体"/>
                <w:szCs w:val="21"/>
                <w:highlight w:val="none"/>
                <w:u w:val="single"/>
              </w:rPr>
              <w:t xml:space="preserve"> %</w:t>
            </w:r>
            <w:r>
              <w:rPr>
                <w:rFonts w:hint="eastAsia" w:ascii="宋体" w:hAnsi="宋体" w:cs="宋体"/>
                <w:color w:val="000000"/>
                <w:kern w:val="0"/>
                <w:szCs w:val="21"/>
                <w:highlight w:val="none"/>
              </w:rPr>
              <w:t>（由采购人在45%-65%之间选择）；</w:t>
            </w:r>
          </w:p>
          <w:p w14:paraId="245B4A5F">
            <w:pPr>
              <w:widowControl/>
              <w:rPr>
                <w:rFonts w:hint="eastAsia" w:ascii="宋体" w:hAnsi="宋体" w:cs="宋体"/>
                <w:color w:val="000000"/>
                <w:szCs w:val="21"/>
                <w:highlight w:val="none"/>
              </w:rPr>
            </w:pPr>
            <w:r>
              <w:rPr>
                <w:rFonts w:hint="eastAsia" w:ascii="宋体" w:hAnsi="宋体" w:cs="宋体"/>
                <w:color w:val="000000"/>
                <w:kern w:val="0"/>
                <w:szCs w:val="21"/>
                <w:highlight w:val="none"/>
              </w:rPr>
              <w:t>（4）评审委员会基于专业判断，认为供应商报价过低，有可能影响产品质量或者不能诚信履约的其他情形。</w:t>
            </w:r>
          </w:p>
          <w:p w14:paraId="5C88A7E6">
            <w:pPr>
              <w:widowControl/>
              <w:rPr>
                <w:rFonts w:hint="eastAsia" w:ascii="宋体" w:hAnsi="宋体" w:cs="宋体"/>
                <w:b/>
                <w:bCs/>
                <w:color w:val="FF0000"/>
                <w:szCs w:val="21"/>
                <w:highlight w:val="none"/>
              </w:rPr>
            </w:pPr>
            <w:r>
              <w:rPr>
                <w:rFonts w:hint="eastAsia" w:ascii="宋体" w:hAnsi="宋体" w:cs="宋体"/>
                <w:b/>
                <w:bCs/>
                <w:color w:val="FF0000"/>
                <w:kern w:val="0"/>
                <w:szCs w:val="21"/>
                <w:highlight w:val="none"/>
              </w:rPr>
              <w:t>注：相关法律法规对供应商报价有规定的，从其规定。</w:t>
            </w:r>
          </w:p>
          <w:p w14:paraId="5376F8C9">
            <w:pPr>
              <w:widowControl/>
              <w:numPr>
                <w:ilvl w:val="0"/>
                <w:numId w:val="0"/>
              </w:numPr>
              <w:rPr>
                <w:rFonts w:hint="eastAsia" w:ascii="宋体" w:hAnsi="宋体" w:cs="宋体"/>
                <w:color w:val="000000"/>
                <w:szCs w:val="21"/>
                <w:highlight w:val="none"/>
              </w:rPr>
            </w:pPr>
            <w:r>
              <w:rPr>
                <w:rFonts w:hint="eastAsia" w:ascii="宋体" w:hAnsi="宋体" w:eastAsia="Times New Roman" w:cs="宋体"/>
                <w:color w:val="000000"/>
                <w:sz w:val="24"/>
                <w:szCs w:val="21"/>
                <w:lang w:val="en-US" w:eastAsia="zh-CN" w:bidi="ar-SA"/>
              </w:rPr>
              <w:t>2.</w:t>
            </w:r>
            <w:r>
              <w:rPr>
                <w:rFonts w:hint="eastAsia" w:ascii="宋体" w:hAnsi="宋体" w:cs="宋体"/>
                <w:color w:val="000000"/>
                <w:kern w:val="0"/>
                <w:szCs w:val="21"/>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书面说明及必要的证明材料的时间为</w:t>
            </w:r>
            <w:r>
              <w:rPr>
                <w:rFonts w:hint="eastAsia" w:ascii="宋体" w:hAnsi="宋体" w:cs="宋体"/>
                <w:color w:val="FF0000"/>
                <w:kern w:val="0"/>
                <w:szCs w:val="21"/>
                <w:highlight w:val="none"/>
                <w:u w:val="single"/>
              </w:rPr>
              <w:t xml:space="preserve">30  </w:t>
            </w:r>
            <w:r>
              <w:rPr>
                <w:rFonts w:hint="eastAsia" w:ascii="宋体" w:hAnsi="宋体" w:cs="宋体"/>
                <w:color w:val="000000"/>
                <w:kern w:val="0"/>
                <w:szCs w:val="21"/>
                <w:highlight w:val="none"/>
              </w:rPr>
              <w:t>分钟（采购人可以根据实际修改此处时间（时间≧30分钟））。其中，属于第（3）项情形，供应商已随投标（响应）文件一并提交相关书面说明及必要的证明材料的，在评审现场可不再重复提交。</w:t>
            </w:r>
          </w:p>
          <w:p w14:paraId="5DFC035B">
            <w:pPr>
              <w:widowControl/>
              <w:rPr>
                <w:rFonts w:hint="eastAsia" w:ascii="宋体" w:hAnsi="宋体" w:cs="宋体"/>
                <w:color w:val="000000"/>
                <w:szCs w:val="21"/>
                <w:highlight w:val="none"/>
              </w:rPr>
            </w:pPr>
            <w:r>
              <w:rPr>
                <w:rFonts w:hint="eastAsia" w:ascii="宋体" w:hAnsi="宋体" w:cs="宋体"/>
                <w:color w:val="000000"/>
                <w:kern w:val="0"/>
                <w:szCs w:val="21"/>
                <w:highlight w:val="none"/>
              </w:rPr>
              <w:t>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w:t>
            </w:r>
            <w:r>
              <w:rPr>
                <w:rFonts w:hint="eastAsia" w:ascii="宋体" w:hAnsi="宋体" w:cs="宋体"/>
                <w:b/>
                <w:bCs/>
                <w:color w:val="FF0000"/>
                <w:kern w:val="0"/>
                <w:szCs w:val="21"/>
                <w:highlight w:val="none"/>
              </w:rPr>
              <w:t>应当将其作为无效投标（响应）处理。</w:t>
            </w:r>
          </w:p>
          <w:p w14:paraId="083E2FC6">
            <w:pPr>
              <w:widowControl/>
              <w:rPr>
                <w:rFonts w:hint="eastAsia" w:ascii="宋体" w:hAnsi="宋体" w:cs="宋体"/>
                <w:color w:val="000000"/>
                <w:szCs w:val="21"/>
                <w:highlight w:val="none"/>
              </w:rPr>
            </w:pPr>
            <w:r>
              <w:rPr>
                <w:rFonts w:hint="eastAsia" w:ascii="宋体" w:hAnsi="宋体" w:cs="宋体"/>
                <w:b/>
                <w:bCs/>
                <w:color w:val="FF0000"/>
                <w:kern w:val="0"/>
                <w:szCs w:val="21"/>
                <w:highlight w:val="none"/>
              </w:rPr>
              <w:t>4.异常低价投标（响应）审查的启动原因、审查意见和审查结果将在评审报告中记录，并随供应商提供的相关书面说明及证明材料，以及评审委员会有关互联网浏览、查询历史一并归档。</w:t>
            </w:r>
          </w:p>
        </w:tc>
      </w:tr>
    </w:tbl>
    <w:p w14:paraId="242F143D">
      <w:pPr>
        <w:pStyle w:val="2"/>
        <w:keepNext/>
        <w:keepLines/>
        <w:widowControl w:val="0"/>
        <w:spacing w:before="0" w:after="240" w:afterLines="100" w:line="240" w:lineRule="auto"/>
        <w:rPr>
          <w:rFonts w:ascii="宋体" w:hAnsi="宋体" w:eastAsia="宋体" w:cs="宋体"/>
          <w:b/>
          <w:bCs/>
          <w:sz w:val="44"/>
        </w:rPr>
      </w:pPr>
      <w:r>
        <w:rPr>
          <w:rFonts w:hint="eastAsia" w:ascii="宋体" w:hAnsi="宋体" w:eastAsia="宋体" w:cs="宋体"/>
          <w:b/>
          <w:bCs/>
          <w:sz w:val="44"/>
        </w:rPr>
        <w:br w:type="page"/>
      </w:r>
      <w:r>
        <w:rPr>
          <w:rFonts w:hint="eastAsia" w:ascii="宋体" w:hAnsi="宋体" w:eastAsia="宋体" w:cs="宋体"/>
          <w:b/>
          <w:bCs/>
          <w:sz w:val="44"/>
        </w:rPr>
        <w:t>评标信息</w:t>
      </w:r>
    </w:p>
    <w:tbl>
      <w:tblPr>
        <w:tblStyle w:val="28"/>
        <w:tblW w:w="0" w:type="auto"/>
        <w:jc w:val="center"/>
        <w:tblCellSpacing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45" w:type="dxa"/>
          <w:left w:w="45" w:type="dxa"/>
          <w:bottom w:w="45" w:type="dxa"/>
          <w:right w:w="45" w:type="dxa"/>
        </w:tblCellMar>
      </w:tblPr>
      <w:tblGrid>
        <w:gridCol w:w="8504"/>
      </w:tblGrid>
      <w:tr w14:paraId="4B8FF6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45" w:type="dxa"/>
            <w:left w:w="45" w:type="dxa"/>
            <w:bottom w:w="45" w:type="dxa"/>
            <w:right w:w="45" w:type="dxa"/>
          </w:tblCellMar>
        </w:tblPrEx>
        <w:trPr>
          <w:tblCellSpacing w:w="0" w:type="dxa"/>
          <w:jc w:val="center"/>
        </w:trPr>
        <w:tc>
          <w:tcPr>
            <w:tcW w:w="8504" w:type="dxa"/>
            <w:vAlign w:val="center"/>
          </w:tcPr>
          <w:p w14:paraId="3D283BEE">
            <w:pPr>
              <w:rPr>
                <w:rFonts w:ascii="宋体" w:hAnsi="宋体" w:eastAsia="宋体" w:cs="宋体"/>
                <w:b/>
                <w:bCs/>
                <w:sz w:val="21"/>
                <w:szCs w:val="21"/>
              </w:rPr>
            </w:pPr>
            <w:r>
              <w:rPr>
                <w:rFonts w:hint="eastAsia" w:ascii="宋体" w:hAnsi="宋体" w:eastAsia="宋体" w:cs="宋体"/>
                <w:b/>
                <w:bCs/>
                <w:sz w:val="21"/>
                <w:szCs w:val="21"/>
              </w:rPr>
              <w:t>评标方法：综合评分法</w:t>
            </w:r>
          </w:p>
        </w:tc>
      </w:tr>
      <w:tr w14:paraId="6FEE43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45" w:type="dxa"/>
            <w:left w:w="45" w:type="dxa"/>
            <w:bottom w:w="45" w:type="dxa"/>
            <w:right w:w="45" w:type="dxa"/>
          </w:tblCellMar>
        </w:tblPrEx>
        <w:trPr>
          <w:tblCellSpacing w:w="0" w:type="dxa"/>
          <w:jc w:val="center"/>
        </w:trPr>
        <w:tc>
          <w:tcPr>
            <w:tcW w:w="8504" w:type="dxa"/>
            <w:vAlign w:val="center"/>
          </w:tcPr>
          <w:p w14:paraId="6CE2DDBA">
            <w:pPr>
              <w:widowControl w:val="0"/>
              <w:ind w:firstLine="420" w:firstLineChars="200"/>
              <w:jc w:val="both"/>
              <w:rPr>
                <w:rFonts w:ascii="宋体" w:hAnsi="宋体" w:eastAsia="宋体" w:cs="宋体"/>
                <w:kern w:val="2"/>
                <w:sz w:val="21"/>
                <w:szCs w:val="21"/>
              </w:rPr>
            </w:pPr>
            <w:r>
              <w:rPr>
                <w:rFonts w:hint="eastAsia" w:ascii="宋体" w:hAnsi="宋体" w:eastAsia="宋体" w:cs="宋体"/>
                <w:kern w:val="2"/>
                <w:sz w:val="21"/>
                <w:szCs w:val="21"/>
              </w:rPr>
              <w:t xml:space="preserve">综合评分法。在最大限度地满足招标文件实质性要求的前提下，按照招标文件中规定的各项因素进行综合评审，评标总得分排名前列的投标人，作为推荐的候选中标供应商。 </w:t>
            </w:r>
          </w:p>
          <w:p w14:paraId="5661252D">
            <w:pPr>
              <w:widowControl w:val="0"/>
              <w:ind w:firstLine="422" w:firstLineChars="200"/>
              <w:jc w:val="both"/>
              <w:rPr>
                <w:rFonts w:ascii="宋体" w:hAnsi="宋体" w:eastAsia="宋体" w:cs="宋体"/>
                <w:b/>
                <w:bCs/>
                <w:kern w:val="2"/>
                <w:sz w:val="21"/>
                <w:szCs w:val="21"/>
              </w:rPr>
            </w:pPr>
            <w:r>
              <w:rPr>
                <w:rFonts w:hint="eastAsia" w:ascii="宋体" w:hAnsi="宋体" w:eastAsia="宋体" w:cs="宋体"/>
                <w:b/>
                <w:bCs/>
                <w:kern w:val="2"/>
                <w:sz w:val="21"/>
                <w:szCs w:val="21"/>
              </w:rPr>
              <w:t>价格分计算方法：</w:t>
            </w:r>
          </w:p>
          <w:p w14:paraId="67DC0BE2">
            <w:pPr>
              <w:widowControl w:val="0"/>
              <w:ind w:firstLine="420" w:firstLineChars="200"/>
              <w:jc w:val="both"/>
              <w:rPr>
                <w:rFonts w:ascii="宋体" w:hAnsi="宋体" w:eastAsia="宋体" w:cs="宋体"/>
                <w:kern w:val="2"/>
                <w:sz w:val="21"/>
                <w:szCs w:val="21"/>
              </w:rPr>
            </w:pPr>
            <w:r>
              <w:rPr>
                <w:rFonts w:hint="eastAsia" w:ascii="宋体" w:hAnsi="宋体" w:eastAsia="宋体" w:cs="宋体"/>
                <w:kern w:val="2"/>
                <w:sz w:val="21"/>
                <w:szCs w:val="21"/>
              </w:rPr>
              <w:t xml:space="preserve">采用低价优先法计算，即满足招标文件要求且投标价格最低的投标报价为评标基准价，其价格分为满分。其他投标人的价格分统一按照下列公式计算： </w:t>
            </w:r>
          </w:p>
          <w:p w14:paraId="7FC0C373">
            <w:pPr>
              <w:widowControl w:val="0"/>
              <w:ind w:firstLine="420" w:firstLineChars="200"/>
              <w:jc w:val="both"/>
              <w:rPr>
                <w:rFonts w:ascii="宋体" w:hAnsi="宋体" w:eastAsia="宋体" w:cs="宋体"/>
                <w:kern w:val="2"/>
                <w:sz w:val="21"/>
                <w:szCs w:val="21"/>
              </w:rPr>
            </w:pPr>
            <w:r>
              <w:rPr>
                <w:rFonts w:hint="eastAsia" w:ascii="宋体" w:hAnsi="宋体" w:eastAsia="宋体" w:cs="宋体"/>
                <w:kern w:val="2"/>
                <w:sz w:val="21"/>
                <w:szCs w:val="21"/>
              </w:rPr>
              <w:t xml:space="preserve">投标报价得分=(评标基准价／投标报价)×100 </w:t>
            </w:r>
          </w:p>
          <w:p w14:paraId="211717A1">
            <w:pPr>
              <w:widowControl w:val="0"/>
              <w:ind w:firstLine="420" w:firstLineChars="200"/>
              <w:jc w:val="both"/>
              <w:rPr>
                <w:rFonts w:ascii="宋体" w:hAnsi="宋体" w:eastAsia="宋体" w:cs="宋体"/>
                <w:kern w:val="2"/>
                <w:sz w:val="21"/>
                <w:szCs w:val="21"/>
              </w:rPr>
            </w:pPr>
            <w:r>
              <w:rPr>
                <w:rFonts w:hint="eastAsia" w:ascii="宋体" w:hAnsi="宋体" w:eastAsia="宋体" w:cs="宋体"/>
                <w:kern w:val="2"/>
                <w:sz w:val="21"/>
                <w:szCs w:val="21"/>
              </w:rPr>
              <w:t xml:space="preserve">评标总得分＝F1×A1＋F2×A2＋……＋Fn×An </w:t>
            </w:r>
          </w:p>
          <w:p w14:paraId="0DF230EA">
            <w:pPr>
              <w:widowControl w:val="0"/>
              <w:ind w:firstLine="420" w:firstLineChars="200"/>
              <w:jc w:val="both"/>
              <w:rPr>
                <w:rFonts w:ascii="宋体" w:hAnsi="宋体" w:eastAsia="宋体" w:cs="宋体"/>
                <w:kern w:val="2"/>
                <w:sz w:val="21"/>
                <w:szCs w:val="21"/>
              </w:rPr>
            </w:pPr>
            <w:r>
              <w:rPr>
                <w:rFonts w:hint="eastAsia" w:ascii="宋体" w:hAnsi="宋体" w:eastAsia="宋体" w:cs="宋体"/>
                <w:kern w:val="2"/>
                <w:sz w:val="21"/>
                <w:szCs w:val="21"/>
              </w:rPr>
              <w:t xml:space="preserve">F1、F2……Fn分别为各项评审因素的得分； </w:t>
            </w:r>
          </w:p>
          <w:p w14:paraId="1F4B480B">
            <w:pPr>
              <w:widowControl w:val="0"/>
              <w:ind w:firstLine="420" w:firstLineChars="200"/>
              <w:jc w:val="both"/>
              <w:rPr>
                <w:rFonts w:ascii="宋体" w:hAnsi="宋体" w:eastAsia="宋体" w:cs="宋体"/>
                <w:kern w:val="2"/>
                <w:sz w:val="21"/>
                <w:szCs w:val="21"/>
              </w:rPr>
            </w:pPr>
            <w:r>
              <w:rPr>
                <w:rFonts w:hint="eastAsia" w:ascii="宋体" w:hAnsi="宋体" w:eastAsia="宋体" w:cs="宋体"/>
                <w:kern w:val="2"/>
                <w:sz w:val="21"/>
                <w:szCs w:val="21"/>
              </w:rPr>
              <w:t xml:space="preserve">A1、A2、……An 分别为各项评审因素所占的权重(A1＋A2＋……＋An＝1)。 </w:t>
            </w:r>
          </w:p>
          <w:p w14:paraId="261788F7">
            <w:pPr>
              <w:pStyle w:val="23"/>
              <w:ind w:left="420"/>
              <w:rPr>
                <w:rFonts w:ascii="宋体" w:hAnsi="宋体" w:eastAsia="宋体" w:cs="宋体"/>
                <w:sz w:val="21"/>
                <w:szCs w:val="21"/>
              </w:rPr>
            </w:pPr>
            <w:r>
              <w:rPr>
                <w:rFonts w:hint="eastAsia" w:ascii="宋体" w:hAnsi="宋体" w:eastAsia="宋体" w:cs="宋体"/>
                <w:kern w:val="2"/>
                <w:sz w:val="21"/>
                <w:szCs w:val="21"/>
              </w:rPr>
              <w:t>评标过程中，不得去掉报价中的最高报价和最低报价。</w:t>
            </w:r>
          </w:p>
        </w:tc>
      </w:tr>
      <w:tr w14:paraId="771BAE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45" w:type="dxa"/>
            <w:left w:w="45" w:type="dxa"/>
            <w:bottom w:w="45" w:type="dxa"/>
            <w:right w:w="45" w:type="dxa"/>
          </w:tblCellMar>
        </w:tblPrEx>
        <w:trPr>
          <w:tblCellSpacing w:w="0" w:type="dxa"/>
          <w:jc w:val="center"/>
        </w:trPr>
        <w:tc>
          <w:tcPr>
            <w:tcW w:w="8504" w:type="dxa"/>
            <w:vAlign w:val="center"/>
          </w:tcPr>
          <w:p w14:paraId="22A7E6F2">
            <w:pPr>
              <w:widowControl w:val="0"/>
              <w:spacing w:line="264" w:lineRule="auto"/>
              <w:ind w:firstLine="480" w:firstLineChars="200"/>
              <w:rPr>
                <w:rFonts w:ascii="宋体" w:hAnsi="宋体" w:eastAsia="宋体" w:cs="宋体"/>
                <w:b/>
                <w:bCs/>
                <w:color w:val="FF0000"/>
                <w:sz w:val="21"/>
                <w:szCs w:val="21"/>
              </w:rPr>
            </w:pPr>
            <w:r>
              <w:rPr>
                <w:rFonts w:hint="eastAsia" w:ascii="宋体" w:hAnsi="宋体" w:cs="宋体"/>
              </w:rPr>
              <w:t>☑</w:t>
            </w:r>
            <w:r>
              <w:rPr>
                <w:rFonts w:hint="eastAsia" w:ascii="宋体" w:hAnsi="宋体" w:eastAsia="宋体" w:cs="宋体"/>
                <w:b/>
                <w:bCs/>
                <w:color w:val="FF0000"/>
                <w:sz w:val="21"/>
                <w:szCs w:val="21"/>
              </w:rPr>
              <w:t>非专门面向中小企业采购项目</w:t>
            </w:r>
          </w:p>
          <w:p w14:paraId="1E539F51">
            <w:pPr>
              <w:ind w:firstLine="420" w:firstLineChars="200"/>
              <w:rPr>
                <w:rFonts w:ascii="宋体" w:hAnsi="宋体" w:eastAsia="宋体" w:cs="宋体"/>
                <w:sz w:val="21"/>
                <w:szCs w:val="21"/>
              </w:rPr>
            </w:pPr>
            <w:r>
              <w:rPr>
                <w:rFonts w:hint="eastAsia" w:ascii="宋体" w:hAnsi="宋体" w:eastAsia="宋体" w:cs="宋体"/>
                <w:sz w:val="21"/>
                <w:szCs w:val="21"/>
              </w:rPr>
              <w:t>（1）投标人提供的标的（货物）</w:t>
            </w:r>
            <w:r>
              <w:rPr>
                <w:rFonts w:hint="eastAsia" w:ascii="宋体" w:hAnsi="宋体" w:eastAsia="宋体" w:cs="宋体"/>
                <w:b/>
                <w:sz w:val="21"/>
                <w:szCs w:val="21"/>
              </w:rPr>
              <w:t>全部</w:t>
            </w:r>
            <w:r>
              <w:rPr>
                <w:rFonts w:hint="eastAsia" w:ascii="宋体" w:hAnsi="宋体" w:eastAsia="宋体" w:cs="宋体"/>
                <w:sz w:val="21"/>
                <w:szCs w:val="21"/>
              </w:rPr>
              <w:t>均由优惠主体制造，则对其投标总价给予</w:t>
            </w:r>
            <w:r>
              <w:rPr>
                <w:rFonts w:hint="eastAsia" w:ascii="宋体" w:hAnsi="宋体" w:eastAsia="宋体" w:cs="宋体"/>
                <w:sz w:val="21"/>
                <w:szCs w:val="21"/>
                <w:u w:val="single"/>
              </w:rPr>
              <w:t xml:space="preserve"> 10%</w:t>
            </w:r>
            <w:r>
              <w:rPr>
                <w:rFonts w:hint="eastAsia" w:ascii="宋体" w:hAnsi="宋体" w:eastAsia="宋体" w:cs="宋体"/>
                <w:sz w:val="21"/>
                <w:szCs w:val="21"/>
              </w:rPr>
              <w:t>的扣除，用扣除后的价格参与评审。满足多项优惠政策的企业，不同时享受多项价格扣除政策。</w:t>
            </w:r>
          </w:p>
          <w:p w14:paraId="0913B242">
            <w:pPr>
              <w:ind w:firstLine="420" w:firstLineChars="200"/>
              <w:rPr>
                <w:rFonts w:ascii="宋体" w:hAnsi="宋体" w:eastAsia="宋体" w:cs="宋体"/>
                <w:sz w:val="21"/>
                <w:szCs w:val="21"/>
              </w:rPr>
            </w:pPr>
            <w:r>
              <w:rPr>
                <w:rFonts w:hint="eastAsia" w:ascii="宋体" w:hAnsi="宋体" w:eastAsia="宋体" w:cs="宋体"/>
                <w:sz w:val="21"/>
                <w:szCs w:val="21"/>
              </w:rPr>
              <w:t>备注：（a）优惠主体包括小型企业、微型企业、监狱企业、残疾人福利性单位；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b)优惠主体制造是指提供的货物由中小企业制造，即货物由中小企业生产且使用该中小企业商号或者注册商标；</w:t>
            </w:r>
          </w:p>
          <w:p w14:paraId="53AA3A8F">
            <w:pPr>
              <w:ind w:firstLine="422" w:firstLineChars="200"/>
              <w:rPr>
                <w:rFonts w:ascii="宋体" w:hAnsi="宋体" w:eastAsia="宋体" w:cs="宋体"/>
                <w:sz w:val="21"/>
                <w:szCs w:val="21"/>
              </w:rPr>
            </w:pPr>
            <w:r>
              <w:rPr>
                <w:rFonts w:hint="eastAsia" w:ascii="宋体" w:hAnsi="宋体" w:eastAsia="宋体" w:cs="宋体"/>
                <w:b/>
                <w:bCs/>
                <w:color w:val="FF0000"/>
                <w:sz w:val="21"/>
                <w:szCs w:val="21"/>
              </w:rPr>
              <w:t>（2）本项目采购标的（货物）对应的中小企业划分标准所属行业为</w:t>
            </w:r>
            <w:r>
              <w:rPr>
                <w:rFonts w:hint="eastAsia" w:ascii="宋体" w:hAnsi="宋体" w:eastAsia="宋体" w:cs="宋体"/>
                <w:b/>
                <w:bCs/>
                <w:color w:val="FF0000"/>
                <w:sz w:val="21"/>
                <w:szCs w:val="21"/>
                <w:u w:val="single"/>
              </w:rPr>
              <w:t xml:space="preserve"> 工业 </w:t>
            </w:r>
            <w:r>
              <w:rPr>
                <w:rFonts w:hint="eastAsia" w:ascii="宋体" w:hAnsi="宋体" w:eastAsia="宋体" w:cs="宋体"/>
                <w:b/>
                <w:bCs/>
                <w:color w:val="FF0000"/>
                <w:sz w:val="21"/>
                <w:szCs w:val="21"/>
              </w:rPr>
              <w:t>，</w:t>
            </w:r>
            <w:r>
              <w:rPr>
                <w:rFonts w:hint="eastAsia" w:ascii="宋体" w:hAnsi="宋体" w:eastAsia="宋体" w:cs="宋体"/>
                <w:sz w:val="21"/>
                <w:szCs w:val="21"/>
              </w:rPr>
              <w:t>根据《工业和信息化部、国家统计局、国家发展和改革委员会、财政部关于印发中小企业划型标准规定的通知》（工信部联企业〔2011〕300 号）。</w:t>
            </w:r>
          </w:p>
          <w:p w14:paraId="44955CB6">
            <w:pPr>
              <w:ind w:firstLine="420" w:firstLineChars="200"/>
              <w:rPr>
                <w:rFonts w:ascii="宋体" w:hAnsi="宋体" w:eastAsia="宋体" w:cs="宋体"/>
                <w:sz w:val="21"/>
                <w:szCs w:val="21"/>
              </w:rPr>
            </w:pPr>
            <w:r>
              <w:rPr>
                <w:rFonts w:hint="eastAsia" w:ascii="宋体" w:hAnsi="宋体" w:eastAsia="宋体" w:cs="宋体"/>
                <w:sz w:val="21"/>
                <w:szCs w:val="21"/>
              </w:rPr>
              <w:t>（3）联合体投标且联合协议中明确约定优惠主体的协议合同金额占到联合体协议总金额30%以上的，价格扣除比例为</w:t>
            </w:r>
            <w:r>
              <w:rPr>
                <w:rFonts w:hint="eastAsia" w:ascii="宋体" w:hAnsi="宋体" w:eastAsia="宋体" w:cs="宋体"/>
                <w:sz w:val="21"/>
                <w:szCs w:val="21"/>
                <w:u w:val="single"/>
              </w:rPr>
              <w:t xml:space="preserve"> </w:t>
            </w:r>
            <w:r>
              <w:rPr>
                <w:rFonts w:hint="eastAsia" w:ascii="宋体" w:hAnsi="宋体" w:eastAsia="宋体" w:cs="宋体"/>
                <w:b/>
                <w:bCs/>
                <w:sz w:val="21"/>
                <w:szCs w:val="21"/>
                <w:u w:val="single"/>
              </w:rPr>
              <w:t xml:space="preserve">4% </w:t>
            </w:r>
            <w:r>
              <w:rPr>
                <w:rFonts w:hint="eastAsia" w:ascii="宋体" w:hAnsi="宋体" w:eastAsia="宋体" w:cs="宋体"/>
                <w:sz w:val="21"/>
                <w:szCs w:val="21"/>
              </w:rPr>
              <w:t>。联合体各方均为优惠主体的，对其所投产品的价格给予10%的扣除（不接受联合体投标的项目，本条不适用）。</w:t>
            </w:r>
          </w:p>
          <w:p w14:paraId="31128703">
            <w:pPr>
              <w:ind w:firstLine="420" w:firstLineChars="200"/>
              <w:rPr>
                <w:rFonts w:ascii="宋体" w:hAnsi="宋体" w:eastAsia="宋体" w:cs="宋体"/>
                <w:sz w:val="21"/>
                <w:szCs w:val="21"/>
              </w:rPr>
            </w:pPr>
            <w:r>
              <w:rPr>
                <w:rFonts w:hint="eastAsia" w:ascii="宋体" w:hAnsi="宋体" w:eastAsia="宋体" w:cs="宋体"/>
                <w:sz w:val="21"/>
                <w:szCs w:val="21"/>
              </w:rPr>
              <w:t>（4）小型企业、微型企业、残疾人福利性单位作为优惠主体的认定资料为《中小企业声明函》、《残疾人福利性单位声明函》；监狱企业作为优惠主体的认定资料为省级以上监狱管理局、戒毒管理局出具的监狱企业证明文件。声明函样式见本招标文件第一册专用条款第四章“投标文件组成要求及格式”中“三、投标人情况及资格证明文件”章节提供的格式）。</w:t>
            </w:r>
          </w:p>
          <w:p w14:paraId="2ED25036">
            <w:pPr>
              <w:widowControl w:val="0"/>
              <w:spacing w:line="264" w:lineRule="auto"/>
              <w:ind w:firstLine="420" w:firstLineChars="200"/>
              <w:rPr>
                <w:rFonts w:ascii="宋体" w:hAnsi="宋体" w:eastAsia="宋体" w:cs="宋体"/>
                <w:sz w:val="21"/>
                <w:szCs w:val="21"/>
              </w:rPr>
            </w:pPr>
            <w:r>
              <w:rPr>
                <w:rFonts w:hint="eastAsia" w:ascii="宋体" w:hAnsi="宋体" w:eastAsia="宋体" w:cs="宋体"/>
                <w:sz w:val="21"/>
                <w:szCs w:val="21"/>
              </w:rPr>
              <w:t>（5）享受价格扣除获得政府采购合同的，小微企业不得将合同分包给大中型企业。</w:t>
            </w:r>
          </w:p>
          <w:p w14:paraId="555C0474">
            <w:pPr>
              <w:widowControl w:val="0"/>
              <w:spacing w:line="264" w:lineRule="auto"/>
              <w:ind w:firstLine="422" w:firstLineChars="200"/>
              <w:rPr>
                <w:rFonts w:ascii="宋体" w:hAnsi="宋体" w:eastAsia="宋体" w:cs="宋体"/>
                <w:b/>
                <w:bCs/>
                <w:sz w:val="21"/>
                <w:szCs w:val="21"/>
              </w:rPr>
            </w:pPr>
            <w:r>
              <w:rPr>
                <w:rFonts w:hint="eastAsia" w:ascii="宋体" w:hAnsi="宋体" w:eastAsia="宋体" w:cs="宋体"/>
                <w:b/>
                <w:bCs/>
                <w:sz w:val="21"/>
                <w:szCs w:val="21"/>
              </w:rPr>
              <w:t xml:space="preserve"> </w:t>
            </w:r>
            <w:r>
              <w:rPr>
                <w:rFonts w:hint="eastAsia" w:ascii="宋体" w:hAnsi="宋体" w:eastAsia="宋体" w:cs="宋体"/>
              </w:rPr>
              <w:t>□</w:t>
            </w:r>
            <w:r>
              <w:rPr>
                <w:rFonts w:hint="eastAsia" w:ascii="宋体" w:hAnsi="宋体" w:eastAsia="宋体" w:cs="宋体"/>
                <w:b/>
                <w:bCs/>
                <w:sz w:val="21"/>
                <w:szCs w:val="21"/>
              </w:rPr>
              <w:t>专门面向中小企业采购项目或预留份额专门面向中小企业采购项目</w:t>
            </w:r>
          </w:p>
          <w:p w14:paraId="4623B201">
            <w:pPr>
              <w:widowControl w:val="0"/>
              <w:spacing w:line="264" w:lineRule="auto"/>
              <w:ind w:firstLine="420" w:firstLineChars="200"/>
              <w:rPr>
                <w:rFonts w:ascii="宋体" w:hAnsi="宋体" w:eastAsia="宋体" w:cs="宋体"/>
                <w:sz w:val="21"/>
                <w:szCs w:val="21"/>
              </w:rPr>
            </w:pPr>
            <w:r>
              <w:rPr>
                <w:rFonts w:hint="eastAsia" w:ascii="宋体" w:hAnsi="宋体" w:eastAsia="宋体" w:cs="宋体"/>
                <w:sz w:val="21"/>
                <w:szCs w:val="21"/>
              </w:rPr>
              <w:t>（1）本项目为专门面向中小企业或预留份额专门面向中小企业采购的项目，不再执行价格评审优惠的扶持政策，小微企业不得将合同分包给大中型企业，中型企业不得将合同分包给大型企业。投标人提供</w:t>
            </w:r>
            <w:r>
              <w:rPr>
                <w:rFonts w:hint="eastAsia" w:ascii="宋体" w:hAnsi="宋体" w:eastAsia="宋体" w:cs="宋体"/>
                <w:b/>
                <w:bCs/>
                <w:sz w:val="21"/>
                <w:szCs w:val="21"/>
              </w:rPr>
              <w:t>标的（货物）</w:t>
            </w:r>
            <w:r>
              <w:rPr>
                <w:rFonts w:hint="eastAsia" w:ascii="宋体" w:hAnsi="宋体" w:eastAsia="宋体" w:cs="宋体"/>
                <w:sz w:val="21"/>
                <w:szCs w:val="21"/>
              </w:rPr>
              <w:t>均应由符合“第一章 招标公告-三、申请人的资格-3.落实政府采购政策需满足的资格要求”所规定的企业类型的企业</w:t>
            </w:r>
            <w:r>
              <w:rPr>
                <w:rFonts w:hint="eastAsia" w:ascii="宋体" w:hAnsi="宋体" w:eastAsia="宋体" w:cs="宋体"/>
                <w:b/>
                <w:bCs/>
                <w:sz w:val="21"/>
                <w:szCs w:val="21"/>
              </w:rPr>
              <w:t>制造</w:t>
            </w:r>
            <w:r>
              <w:rPr>
                <w:rFonts w:hint="eastAsia" w:ascii="宋体" w:hAnsi="宋体" w:eastAsia="宋体" w:cs="宋体"/>
                <w:sz w:val="21"/>
                <w:szCs w:val="21"/>
              </w:rPr>
              <w:t>。</w:t>
            </w:r>
          </w:p>
          <w:p w14:paraId="62709E5D">
            <w:pPr>
              <w:widowControl w:val="0"/>
              <w:spacing w:line="264" w:lineRule="auto"/>
              <w:ind w:firstLine="420" w:firstLineChars="200"/>
              <w:rPr>
                <w:rFonts w:ascii="宋体" w:hAnsi="宋体" w:eastAsia="宋体" w:cs="宋体"/>
                <w:sz w:val="21"/>
                <w:szCs w:val="21"/>
              </w:rPr>
            </w:pPr>
            <w:r>
              <w:rPr>
                <w:rFonts w:hint="eastAsia" w:ascii="宋体" w:hAnsi="宋体" w:eastAsia="宋体" w:cs="宋体"/>
                <w:sz w:val="21"/>
                <w:szCs w:val="21"/>
              </w:rPr>
              <w:t>备注：（a）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b)中小企业制造是指货物由中小企业生产且使用该中小企业商号或者注册商标；投标人提供的货物既有中小企业制造货物，又有非中小企业制造货物的，作无效投标处理。</w:t>
            </w:r>
          </w:p>
          <w:p w14:paraId="15783300">
            <w:pPr>
              <w:widowControl w:val="0"/>
              <w:spacing w:line="264" w:lineRule="auto"/>
              <w:ind w:firstLine="422" w:firstLineChars="200"/>
              <w:rPr>
                <w:rFonts w:ascii="宋体" w:hAnsi="宋体" w:eastAsia="宋体" w:cs="宋体"/>
                <w:color w:val="FF0000"/>
                <w:sz w:val="21"/>
                <w:szCs w:val="21"/>
              </w:rPr>
            </w:pPr>
            <w:r>
              <w:rPr>
                <w:rFonts w:hint="eastAsia" w:ascii="宋体" w:hAnsi="宋体" w:eastAsia="宋体" w:cs="宋体"/>
                <w:b/>
                <w:bCs/>
                <w:sz w:val="21"/>
                <w:szCs w:val="21"/>
              </w:rPr>
              <w:t>（2）本项目采购标的（货物）对应的中小企业划分标准所属行业为</w:t>
            </w:r>
            <w:r>
              <w:rPr>
                <w:rFonts w:hint="eastAsia" w:ascii="宋体" w:hAnsi="宋体" w:eastAsia="宋体" w:cs="宋体"/>
                <w:b/>
                <w:bCs/>
                <w:sz w:val="21"/>
                <w:szCs w:val="21"/>
                <w:u w:val="single"/>
              </w:rPr>
              <w:t xml:space="preserve">     </w:t>
            </w:r>
            <w:r>
              <w:rPr>
                <w:rFonts w:hint="eastAsia" w:ascii="宋体" w:hAnsi="宋体" w:eastAsia="宋体" w:cs="宋体"/>
                <w:b/>
                <w:bCs/>
                <w:sz w:val="21"/>
                <w:szCs w:val="21"/>
              </w:rPr>
              <w:t>。</w:t>
            </w:r>
            <w:r>
              <w:rPr>
                <w:rFonts w:hint="eastAsia" w:ascii="宋体" w:hAnsi="宋体" w:eastAsia="宋体" w:cs="宋体"/>
                <w:sz w:val="21"/>
                <w:szCs w:val="21"/>
              </w:rPr>
              <w:t>投标人须根据《工业和信息化部、国家统计局、国家发展和改革委员会、财政部关于印发中小企业划型标准规定的通知》（工信部联企业〔2011〕300 号），提供符合招标文件“申请人的资格要求”的认定资料，未按要求提供的作投标无效处理。</w:t>
            </w:r>
          </w:p>
          <w:p w14:paraId="282BCF91">
            <w:pPr>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3）中型企业、小型企业、微型企业、残疾人福利性单位的认定资料为《中小企业声明函》、《残疾人福利性单位声明函》；监狱企业的认定资料为省级以上监狱管理局、戒毒管理局出具的监狱企业证明文件。声明函样式见本招标文件“第一册 专用条款—第四章 投标文件格式、附件—第一部分：投标文件正文（信息公开部分）—三、投标人情况及资格证明文件”章节提供的格式）。</w:t>
            </w:r>
          </w:p>
          <w:p w14:paraId="5FAA5900">
            <w:pPr>
              <w:ind w:firstLine="422" w:firstLineChars="200"/>
              <w:rPr>
                <w:rFonts w:hint="eastAsia" w:ascii="宋体" w:hAnsi="宋体" w:eastAsia="宋体" w:cs="宋体"/>
                <w:b/>
                <w:bCs/>
                <w:sz w:val="21"/>
                <w:szCs w:val="21"/>
                <w:highlight w:val="none"/>
              </w:rPr>
            </w:pPr>
            <w:r>
              <w:rPr>
                <w:rFonts w:hint="eastAsia" w:ascii="宋体" w:hAnsi="宋体" w:eastAsia="宋体" w:cs="宋体"/>
                <w:b/>
                <w:bCs/>
                <w:color w:val="FF0000"/>
                <w:sz w:val="21"/>
                <w:szCs w:val="21"/>
                <w:highlight w:val="none"/>
              </w:rPr>
              <w:t>1.关于享受对本国产品的政府采购支持政策的主体、价格扣除比例等事项的说明。</w:t>
            </w:r>
          </w:p>
          <w:p w14:paraId="1C1617AF">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（1）适用主体：国有企业、民营企业、外资企业等各类经营主体平等享受对本国产品的政府采购支持政策。</w:t>
            </w:r>
          </w:p>
          <w:p w14:paraId="139F5DAC">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58A122C">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（3）价格扣除：政府采购活动中既有本国产品又有非本国产品参与竞争的，依法对本国产品给予价格评审优惠，</w:t>
            </w:r>
            <w:r>
              <w:rPr>
                <w:rFonts w:hint="eastAsia" w:ascii="宋体" w:hAnsi="宋体" w:eastAsia="宋体" w:cs="宋体"/>
                <w:b/>
                <w:bCs/>
                <w:color w:val="FF0000"/>
                <w:sz w:val="21"/>
                <w:szCs w:val="21"/>
                <w:highlight w:val="none"/>
              </w:rPr>
              <w:t>对本国产品的报价给予20%的价格扣除</w:t>
            </w:r>
            <w:r>
              <w:rPr>
                <w:rFonts w:hint="eastAsia" w:ascii="宋体" w:hAnsi="宋体" w:eastAsia="宋体" w:cs="宋体"/>
                <w:color w:val="000000"/>
                <w:sz w:val="21"/>
                <w:szCs w:val="21"/>
                <w:highlight w:val="none"/>
              </w:rPr>
              <w:t>，</w:t>
            </w:r>
            <w:r>
              <w:rPr>
                <w:rFonts w:hint="eastAsia" w:ascii="宋体" w:hAnsi="宋体" w:eastAsia="宋体" w:cs="宋体"/>
                <w:sz w:val="21"/>
                <w:szCs w:val="21"/>
                <w:highlight w:val="none"/>
              </w:rPr>
              <w:t>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w:t>
            </w:r>
            <w:r>
              <w:rPr>
                <w:rFonts w:hint="eastAsia" w:ascii="宋体" w:hAnsi="宋体" w:eastAsia="宋体" w:cs="宋体"/>
                <w:b/>
                <w:bCs/>
                <w:color w:val="FF0000"/>
                <w:sz w:val="21"/>
                <w:szCs w:val="21"/>
                <w:highlight w:val="none"/>
              </w:rPr>
              <w:t>总报价给予20%的价格扣除</w:t>
            </w:r>
            <w:r>
              <w:rPr>
                <w:rFonts w:hint="eastAsia" w:ascii="宋体" w:hAnsi="宋体" w:eastAsia="宋体" w:cs="宋体"/>
                <w:sz w:val="21"/>
                <w:szCs w:val="21"/>
                <w:highlight w:val="none"/>
              </w:rPr>
              <w:t>，用扣除后的价格参与评审。</w:t>
            </w:r>
          </w:p>
          <w:p w14:paraId="0D748480">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（4）供应商出具符合要求的《关于符合本国产品标准的声明函》或财政部会同有关部门规定的有关证明文件，该产品视为本国产品。声明函样式见招标文件“第一册 专用条款—第四章 投标文件组成要求及格式—第一部分：投标文件正文（信息公开部分）—三、投标人情况及资格证明文件”章节提供的格式。</w:t>
            </w:r>
          </w:p>
          <w:p w14:paraId="24B79A79">
            <w:pPr>
              <w:ind w:firstLine="422" w:firstLineChars="200"/>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2.关于同时满足中小企业扶持政策和对本国产品的支持政策的事项说明。</w:t>
            </w:r>
          </w:p>
          <w:p w14:paraId="012C430C">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本国产品政策实施后，政府采购活动中既有本国产品又有非本国产品参与竞争的，依法对本国产品给予价格评审优惠，</w:t>
            </w:r>
            <w:r>
              <w:rPr>
                <w:rFonts w:hint="eastAsia" w:ascii="宋体" w:hAnsi="宋体" w:eastAsia="宋体" w:cs="宋体"/>
                <w:b/>
                <w:bCs/>
                <w:color w:val="FF0000"/>
                <w:sz w:val="21"/>
                <w:szCs w:val="21"/>
                <w:highlight w:val="none"/>
              </w:rPr>
              <w:t>对本国产品的报价给予20%的价格扣除，用扣除后的价格参与评审。同时，若提供本国产品的供应商也符合政府采购支持中小企业政策，也按规定给与价格评审优惠。需要说明的是，相关价格评审扣除优惠，都应该在供应商报价基础上计算。</w:t>
            </w:r>
            <w:r>
              <w:rPr>
                <w:rFonts w:hint="eastAsia" w:ascii="宋体" w:hAnsi="宋体" w:eastAsia="宋体" w:cs="宋体"/>
                <w:sz w:val="21"/>
                <w:szCs w:val="21"/>
                <w:highlight w:val="none"/>
              </w:rPr>
              <w:t>例如：某一供应商的产品报价100元，其提供的产品符合本国产品标准，同时按照采购文件规定也享受对小微企业的10%的价格扣除优惠。则对其报价按规定进行两次扣除，用扣除后的价格参与评审。其参与评审的价格为100-100×20%-100×10%=70元。具体情形如下：</w:t>
            </w:r>
          </w:p>
          <w:p w14:paraId="7E976940">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（1）预留份额专门面向中小企业采购的项目，不再享受小微企业价格扣除优惠。若供应商所投货物同时满足对本国产品的支持政策的规定，享受该政策20%价格扣除优惠；</w:t>
            </w:r>
          </w:p>
          <w:p w14:paraId="2331BE49">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（2）未预留份额专门面向中小企业采购的项目，供应商同时满足小微企业和所投产品符合本国产品支持政策规定的，同时对该供应商投标总报价给予多项价格扣除优惠，用扣除后的价格参与评审。</w:t>
            </w:r>
          </w:p>
          <w:p w14:paraId="4BF55DF3">
            <w:pPr>
              <w:widowControl w:val="0"/>
              <w:spacing w:line="264" w:lineRule="auto"/>
              <w:ind w:firstLine="422" w:firstLineChars="200"/>
              <w:rPr>
                <w:rFonts w:ascii="宋体" w:hAnsi="宋体" w:eastAsia="宋体" w:cs="宋体"/>
                <w:b/>
                <w:bCs/>
                <w:color w:val="FF0000"/>
                <w:sz w:val="21"/>
                <w:szCs w:val="21"/>
              </w:rPr>
            </w:pPr>
            <w:r>
              <w:rPr>
                <w:rFonts w:hint="eastAsia" w:ascii="宋体" w:hAnsi="宋体" w:eastAsia="宋体" w:cs="宋体"/>
                <w:b/>
                <w:bCs/>
                <w:color w:val="FF0000"/>
                <w:sz w:val="21"/>
                <w:szCs w:val="21"/>
                <w:highlight w:val="none"/>
              </w:rPr>
              <w:t>3.上述支持政策不改变最终中标（成交）价格，政府采购合同仍按照中标（成交）供应商的报价签订。</w:t>
            </w:r>
          </w:p>
        </w:tc>
      </w:tr>
    </w:tbl>
    <w:p w14:paraId="7C0542D9">
      <w:pPr>
        <w:wordWrap w:val="0"/>
        <w:jc w:val="center"/>
        <w:rPr>
          <w:b/>
          <w:bCs/>
        </w:rPr>
      </w:pPr>
    </w:p>
    <w:tbl>
      <w:tblPr>
        <w:tblStyle w:val="28"/>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0" w:type="dxa"/>
          <w:left w:w="108" w:type="dxa"/>
          <w:bottom w:w="20" w:type="dxa"/>
          <w:right w:w="108" w:type="dxa"/>
        </w:tblCellMar>
      </w:tblPr>
      <w:tblGrid>
        <w:gridCol w:w="645"/>
        <w:gridCol w:w="570"/>
        <w:gridCol w:w="2267"/>
        <w:gridCol w:w="771"/>
        <w:gridCol w:w="4251"/>
      </w:tblGrid>
      <w:tr w14:paraId="46D57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shd w:val="clear" w:color="auto" w:fill="E6EFFA"/>
            <w:vAlign w:val="center"/>
          </w:tcPr>
          <w:p w14:paraId="70E26C00">
            <w:pPr>
              <w:wordWrap w:val="0"/>
              <w:jc w:val="center"/>
              <w:rPr>
                <w:rFonts w:ascii="宋体" w:hAnsi="宋体" w:eastAsia="宋体" w:cs="宋体"/>
                <w:b/>
                <w:bCs/>
                <w:sz w:val="21"/>
                <w:szCs w:val="21"/>
              </w:rPr>
            </w:pPr>
            <w:r>
              <w:rPr>
                <w:rFonts w:hint="eastAsia" w:ascii="宋体" w:hAnsi="宋体" w:eastAsia="宋体" w:cs="宋体"/>
                <w:b/>
                <w:bCs/>
                <w:sz w:val="21"/>
                <w:szCs w:val="21"/>
              </w:rPr>
              <w:t>序号</w:t>
            </w:r>
          </w:p>
        </w:tc>
        <w:tc>
          <w:tcPr>
            <w:tcW w:w="3608" w:type="dxa"/>
            <w:gridSpan w:val="3"/>
            <w:shd w:val="clear" w:color="auto" w:fill="E6EFFA"/>
            <w:vAlign w:val="center"/>
          </w:tcPr>
          <w:p w14:paraId="39562EDE">
            <w:pPr>
              <w:wordWrap w:val="0"/>
              <w:jc w:val="center"/>
              <w:rPr>
                <w:rFonts w:ascii="宋体" w:hAnsi="宋体" w:eastAsia="宋体" w:cs="宋体"/>
                <w:b/>
                <w:bCs/>
                <w:sz w:val="21"/>
                <w:szCs w:val="21"/>
              </w:rPr>
            </w:pPr>
            <w:r>
              <w:rPr>
                <w:rFonts w:hint="eastAsia" w:ascii="宋体" w:hAnsi="宋体" w:eastAsia="宋体" w:cs="宋体"/>
                <w:b/>
                <w:bCs/>
                <w:sz w:val="21"/>
                <w:szCs w:val="21"/>
              </w:rPr>
              <w:t>评分项</w:t>
            </w:r>
          </w:p>
        </w:tc>
        <w:tc>
          <w:tcPr>
            <w:tcW w:w="4251" w:type="dxa"/>
            <w:shd w:val="clear" w:color="auto" w:fill="E6EFFA"/>
            <w:vAlign w:val="center"/>
          </w:tcPr>
          <w:p w14:paraId="3A50BFA8">
            <w:pPr>
              <w:wordWrap w:val="0"/>
              <w:jc w:val="center"/>
              <w:rPr>
                <w:rFonts w:ascii="宋体" w:hAnsi="宋体" w:eastAsia="宋体" w:cs="宋体"/>
                <w:b/>
                <w:bCs/>
                <w:sz w:val="21"/>
                <w:szCs w:val="21"/>
              </w:rPr>
            </w:pPr>
            <w:r>
              <w:rPr>
                <w:rFonts w:hint="eastAsia" w:ascii="宋体" w:hAnsi="宋体" w:eastAsia="宋体" w:cs="宋体"/>
                <w:b/>
                <w:bCs/>
                <w:sz w:val="21"/>
                <w:szCs w:val="21"/>
              </w:rPr>
              <w:t>权重(%)</w:t>
            </w:r>
          </w:p>
        </w:tc>
      </w:tr>
      <w:tr w14:paraId="4125D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vMerge w:val="restart"/>
          </w:tcPr>
          <w:p w14:paraId="05F7AE6B">
            <w:pPr>
              <w:wordWrap w:val="0"/>
              <w:jc w:val="center"/>
              <w:rPr>
                <w:rFonts w:ascii="宋体" w:hAnsi="宋体" w:eastAsia="宋体" w:cs="宋体"/>
                <w:b/>
                <w:bCs/>
                <w:color w:val="0000FF"/>
                <w:sz w:val="21"/>
                <w:szCs w:val="21"/>
              </w:rPr>
            </w:pPr>
            <w:r>
              <w:rPr>
                <w:rFonts w:hint="eastAsia" w:ascii="宋体" w:hAnsi="宋体" w:eastAsia="宋体" w:cs="宋体"/>
                <w:b/>
                <w:bCs/>
                <w:color w:val="0000FF"/>
                <w:sz w:val="21"/>
                <w:szCs w:val="21"/>
              </w:rPr>
              <w:t>1</w:t>
            </w:r>
          </w:p>
        </w:tc>
        <w:tc>
          <w:tcPr>
            <w:tcW w:w="3608" w:type="dxa"/>
            <w:gridSpan w:val="3"/>
          </w:tcPr>
          <w:p w14:paraId="09EAF1AD">
            <w:pPr>
              <w:wordWrap w:val="0"/>
              <w:jc w:val="center"/>
              <w:rPr>
                <w:rFonts w:ascii="宋体" w:hAnsi="宋体" w:eastAsia="宋体" w:cs="宋体"/>
                <w:b/>
                <w:bCs/>
                <w:color w:val="0000FF"/>
                <w:sz w:val="21"/>
                <w:szCs w:val="21"/>
              </w:rPr>
            </w:pPr>
            <w:r>
              <w:rPr>
                <w:rFonts w:hint="eastAsia" w:ascii="宋体" w:hAnsi="宋体" w:eastAsia="宋体" w:cs="宋体"/>
                <w:b/>
                <w:bCs/>
                <w:color w:val="0000FF"/>
                <w:sz w:val="21"/>
                <w:szCs w:val="21"/>
              </w:rPr>
              <w:t>价格</w:t>
            </w:r>
          </w:p>
        </w:tc>
        <w:tc>
          <w:tcPr>
            <w:tcW w:w="4251" w:type="dxa"/>
          </w:tcPr>
          <w:p w14:paraId="1546332C">
            <w:pPr>
              <w:wordWrap w:val="0"/>
              <w:jc w:val="center"/>
              <w:rPr>
                <w:rFonts w:hint="default" w:ascii="宋体" w:hAnsi="宋体" w:eastAsia="宋体" w:cs="宋体"/>
                <w:b/>
                <w:bCs/>
                <w:color w:val="0000FF"/>
                <w:sz w:val="21"/>
                <w:szCs w:val="21"/>
                <w:lang w:val="en-US" w:eastAsia="zh-CN"/>
              </w:rPr>
            </w:pPr>
            <w:r>
              <w:rPr>
                <w:rFonts w:hint="eastAsia" w:ascii="宋体" w:hAnsi="宋体" w:eastAsia="宋体" w:cs="宋体"/>
                <w:b/>
                <w:bCs/>
                <w:color w:val="0000FF"/>
                <w:sz w:val="21"/>
                <w:szCs w:val="21"/>
                <w:lang w:val="en-US" w:eastAsia="zh-CN"/>
              </w:rPr>
              <w:t>30</w:t>
            </w:r>
          </w:p>
        </w:tc>
      </w:tr>
      <w:tr w14:paraId="5BBD5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vMerge w:val="continue"/>
            <w:vAlign w:val="center"/>
          </w:tcPr>
          <w:p w14:paraId="62C5AD83">
            <w:pPr>
              <w:rPr>
                <w:rFonts w:ascii="宋体" w:hAnsi="宋体" w:eastAsia="宋体" w:cs="宋体"/>
                <w:b/>
                <w:bCs/>
                <w:color w:val="0000FF"/>
                <w:sz w:val="21"/>
                <w:szCs w:val="21"/>
              </w:rPr>
            </w:pPr>
          </w:p>
        </w:tc>
        <w:tc>
          <w:tcPr>
            <w:tcW w:w="7859" w:type="dxa"/>
            <w:gridSpan w:val="4"/>
          </w:tcPr>
          <w:p w14:paraId="549E6609">
            <w:pPr>
              <w:wordWrap w:val="0"/>
              <w:rPr>
                <w:rFonts w:ascii="宋体" w:hAnsi="宋体" w:eastAsia="宋体" w:cs="宋体"/>
                <w:sz w:val="21"/>
                <w:szCs w:val="21"/>
              </w:rPr>
            </w:pPr>
          </w:p>
        </w:tc>
      </w:tr>
      <w:tr w14:paraId="40945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vMerge w:val="restart"/>
          </w:tcPr>
          <w:p w14:paraId="092F418D">
            <w:pPr>
              <w:wordWrap w:val="0"/>
              <w:jc w:val="center"/>
              <w:rPr>
                <w:rFonts w:ascii="宋体" w:hAnsi="宋体" w:eastAsia="宋体" w:cs="宋体"/>
                <w:b/>
                <w:bCs/>
                <w:color w:val="0000FF"/>
                <w:sz w:val="21"/>
                <w:szCs w:val="21"/>
              </w:rPr>
            </w:pPr>
            <w:r>
              <w:rPr>
                <w:rFonts w:hint="eastAsia" w:ascii="宋体" w:hAnsi="宋体" w:eastAsia="宋体" w:cs="宋体"/>
                <w:b/>
                <w:bCs/>
                <w:color w:val="0000FF"/>
                <w:sz w:val="21"/>
                <w:szCs w:val="21"/>
              </w:rPr>
              <w:t>2</w:t>
            </w:r>
          </w:p>
        </w:tc>
        <w:tc>
          <w:tcPr>
            <w:tcW w:w="3608" w:type="dxa"/>
            <w:gridSpan w:val="3"/>
          </w:tcPr>
          <w:p w14:paraId="74F27165">
            <w:pPr>
              <w:wordWrap w:val="0"/>
              <w:jc w:val="center"/>
              <w:rPr>
                <w:rFonts w:ascii="宋体" w:hAnsi="宋体" w:eastAsia="宋体" w:cs="宋体"/>
                <w:b/>
                <w:bCs/>
                <w:color w:val="0000FF"/>
                <w:sz w:val="21"/>
                <w:szCs w:val="21"/>
              </w:rPr>
            </w:pPr>
            <w:r>
              <w:rPr>
                <w:rFonts w:hint="eastAsia" w:ascii="宋体" w:hAnsi="宋体" w:eastAsia="宋体" w:cs="宋体"/>
                <w:b/>
                <w:bCs/>
                <w:color w:val="0000FF"/>
                <w:sz w:val="21"/>
                <w:szCs w:val="21"/>
              </w:rPr>
              <w:t>技术部分</w:t>
            </w:r>
          </w:p>
        </w:tc>
        <w:tc>
          <w:tcPr>
            <w:tcW w:w="4251" w:type="dxa"/>
          </w:tcPr>
          <w:p w14:paraId="13F53238">
            <w:pPr>
              <w:wordWrap w:val="0"/>
              <w:jc w:val="center"/>
              <w:rPr>
                <w:rFonts w:hint="default" w:ascii="宋体" w:hAnsi="宋体" w:eastAsia="宋体" w:cs="宋体"/>
                <w:b/>
                <w:bCs/>
                <w:color w:val="0000FF"/>
                <w:sz w:val="21"/>
                <w:szCs w:val="21"/>
                <w:lang w:val="en-US" w:eastAsia="zh-CN"/>
              </w:rPr>
            </w:pPr>
            <w:r>
              <w:rPr>
                <w:rFonts w:hint="eastAsia" w:ascii="宋体" w:hAnsi="宋体" w:eastAsia="宋体" w:cs="宋体"/>
                <w:b/>
                <w:bCs/>
                <w:color w:val="0000FF"/>
                <w:sz w:val="21"/>
                <w:szCs w:val="21"/>
                <w:lang w:val="en-US" w:eastAsia="zh-CN"/>
              </w:rPr>
              <w:t>54</w:t>
            </w:r>
          </w:p>
        </w:tc>
      </w:tr>
      <w:tr w14:paraId="4CF84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vMerge w:val="continue"/>
            <w:vAlign w:val="center"/>
          </w:tcPr>
          <w:p w14:paraId="151ACB08">
            <w:pPr>
              <w:rPr>
                <w:rFonts w:ascii="宋体" w:hAnsi="宋体" w:eastAsia="宋体" w:cs="宋体"/>
                <w:b/>
                <w:bCs/>
                <w:color w:val="0000FF"/>
                <w:sz w:val="21"/>
                <w:szCs w:val="21"/>
              </w:rPr>
            </w:pPr>
          </w:p>
        </w:tc>
        <w:tc>
          <w:tcPr>
            <w:tcW w:w="7859" w:type="dxa"/>
            <w:gridSpan w:val="4"/>
          </w:tcPr>
          <w:p w14:paraId="3FEB9D24">
            <w:pPr>
              <w:wordWrap w:val="0"/>
              <w:rPr>
                <w:rFonts w:ascii="宋体" w:hAnsi="宋体" w:eastAsia="宋体" w:cs="宋体"/>
                <w:sz w:val="21"/>
                <w:szCs w:val="21"/>
              </w:rPr>
            </w:pPr>
          </w:p>
        </w:tc>
      </w:tr>
      <w:tr w14:paraId="792A4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vMerge w:val="continue"/>
            <w:shd w:val="clear" w:color="auto" w:fill="E6EFFA"/>
            <w:vAlign w:val="center"/>
          </w:tcPr>
          <w:p w14:paraId="6ACF40D8">
            <w:pPr>
              <w:rPr>
                <w:rFonts w:ascii="宋体" w:hAnsi="宋体" w:eastAsia="宋体" w:cs="宋体"/>
                <w:b/>
                <w:bCs/>
                <w:color w:val="0000FF"/>
                <w:sz w:val="21"/>
                <w:szCs w:val="21"/>
              </w:rPr>
            </w:pPr>
          </w:p>
        </w:tc>
        <w:tc>
          <w:tcPr>
            <w:tcW w:w="570" w:type="dxa"/>
            <w:shd w:val="clear" w:color="auto" w:fill="E6EFFA"/>
            <w:vAlign w:val="center"/>
          </w:tcPr>
          <w:p w14:paraId="2BF79036">
            <w:pPr>
              <w:wordWrap w:val="0"/>
              <w:jc w:val="center"/>
              <w:rPr>
                <w:rFonts w:ascii="宋体" w:hAnsi="宋体" w:eastAsia="宋体" w:cs="宋体"/>
                <w:b/>
                <w:bCs/>
                <w:sz w:val="21"/>
                <w:szCs w:val="21"/>
              </w:rPr>
            </w:pPr>
            <w:r>
              <w:rPr>
                <w:rFonts w:hint="eastAsia" w:ascii="宋体" w:hAnsi="宋体" w:eastAsia="宋体" w:cs="宋体"/>
                <w:b/>
                <w:bCs/>
                <w:sz w:val="21"/>
                <w:szCs w:val="21"/>
              </w:rPr>
              <w:t>序号</w:t>
            </w:r>
          </w:p>
        </w:tc>
        <w:tc>
          <w:tcPr>
            <w:tcW w:w="2267" w:type="dxa"/>
            <w:shd w:val="clear" w:color="auto" w:fill="E6EFFA"/>
            <w:vAlign w:val="center"/>
          </w:tcPr>
          <w:p w14:paraId="53643744">
            <w:pPr>
              <w:wordWrap w:val="0"/>
              <w:jc w:val="center"/>
              <w:rPr>
                <w:rFonts w:ascii="宋体" w:hAnsi="宋体" w:eastAsia="宋体" w:cs="宋体"/>
                <w:b/>
                <w:bCs/>
                <w:sz w:val="21"/>
                <w:szCs w:val="21"/>
              </w:rPr>
            </w:pPr>
            <w:r>
              <w:rPr>
                <w:rFonts w:hint="eastAsia" w:ascii="宋体" w:hAnsi="宋体" w:eastAsia="宋体" w:cs="宋体"/>
                <w:b/>
                <w:bCs/>
                <w:sz w:val="21"/>
                <w:szCs w:val="21"/>
              </w:rPr>
              <w:t>评审因素</w:t>
            </w:r>
          </w:p>
        </w:tc>
        <w:tc>
          <w:tcPr>
            <w:tcW w:w="771" w:type="dxa"/>
            <w:shd w:val="clear" w:color="auto" w:fill="E6EFFA"/>
            <w:vAlign w:val="center"/>
          </w:tcPr>
          <w:p w14:paraId="46A908C4">
            <w:pPr>
              <w:wordWrap w:val="0"/>
              <w:jc w:val="center"/>
              <w:rPr>
                <w:rFonts w:ascii="宋体" w:hAnsi="宋体" w:eastAsia="宋体" w:cs="宋体"/>
                <w:b/>
                <w:bCs/>
                <w:sz w:val="21"/>
                <w:szCs w:val="21"/>
              </w:rPr>
            </w:pPr>
            <w:r>
              <w:rPr>
                <w:rFonts w:hint="eastAsia" w:ascii="宋体" w:hAnsi="宋体" w:eastAsia="宋体" w:cs="宋体"/>
                <w:b/>
                <w:bCs/>
                <w:sz w:val="21"/>
                <w:szCs w:val="21"/>
              </w:rPr>
              <w:t>权重(%)</w:t>
            </w:r>
          </w:p>
        </w:tc>
        <w:tc>
          <w:tcPr>
            <w:tcW w:w="4251" w:type="dxa"/>
            <w:shd w:val="clear" w:color="auto" w:fill="E6EFFA"/>
            <w:vAlign w:val="center"/>
          </w:tcPr>
          <w:p w14:paraId="5DC2119B">
            <w:pPr>
              <w:wordWrap w:val="0"/>
              <w:jc w:val="center"/>
              <w:rPr>
                <w:rFonts w:ascii="宋体" w:hAnsi="宋体" w:eastAsia="宋体" w:cs="宋体"/>
                <w:b/>
                <w:bCs/>
                <w:sz w:val="21"/>
                <w:szCs w:val="21"/>
              </w:rPr>
            </w:pPr>
            <w:r>
              <w:rPr>
                <w:rFonts w:hint="eastAsia" w:ascii="宋体" w:hAnsi="宋体" w:eastAsia="宋体" w:cs="宋体"/>
                <w:b/>
                <w:bCs/>
                <w:sz w:val="21"/>
                <w:szCs w:val="21"/>
              </w:rPr>
              <w:t>评分准则</w:t>
            </w:r>
          </w:p>
        </w:tc>
      </w:tr>
      <w:tr w14:paraId="51185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vMerge w:val="continue"/>
            <w:vAlign w:val="center"/>
          </w:tcPr>
          <w:p w14:paraId="67316808">
            <w:pPr>
              <w:rPr>
                <w:rFonts w:ascii="宋体" w:hAnsi="宋体" w:eastAsia="宋体" w:cs="宋体"/>
                <w:b/>
                <w:bCs/>
                <w:color w:val="0000FF"/>
                <w:sz w:val="21"/>
                <w:szCs w:val="21"/>
              </w:rPr>
            </w:pPr>
          </w:p>
        </w:tc>
        <w:tc>
          <w:tcPr>
            <w:tcW w:w="570" w:type="dxa"/>
            <w:vAlign w:val="center"/>
          </w:tcPr>
          <w:p w14:paraId="6D70EF1E">
            <w:pPr>
              <w:jc w:val="center"/>
              <w:rPr>
                <w:rFonts w:ascii="宋体" w:hAnsi="宋体" w:eastAsia="宋体" w:cs="宋体"/>
                <w:sz w:val="21"/>
                <w:szCs w:val="21"/>
              </w:rPr>
            </w:pPr>
            <w:r>
              <w:rPr>
                <w:rFonts w:hint="eastAsia" w:ascii="宋体" w:hAnsi="宋体" w:eastAsia="宋体" w:cs="宋体"/>
                <w:sz w:val="21"/>
                <w:szCs w:val="21"/>
              </w:rPr>
              <w:t>1</w:t>
            </w:r>
          </w:p>
        </w:tc>
        <w:tc>
          <w:tcPr>
            <w:tcW w:w="2267" w:type="dxa"/>
            <w:vAlign w:val="center"/>
          </w:tcPr>
          <w:p w14:paraId="2092478A">
            <w:pPr>
              <w:jc w:val="center"/>
              <w:rPr>
                <w:rFonts w:hint="eastAsia" w:ascii="宋体" w:hAnsi="宋体" w:eastAsia="宋体" w:cs="宋体"/>
                <w:sz w:val="21"/>
                <w:szCs w:val="21"/>
              </w:rPr>
            </w:pPr>
            <w:r>
              <w:rPr>
                <w:rFonts w:hint="eastAsia" w:ascii="宋体" w:hAnsi="宋体" w:eastAsia="宋体" w:cs="宋体"/>
                <w:sz w:val="21"/>
                <w:szCs w:val="21"/>
              </w:rPr>
              <w:t>技术保障措施</w:t>
            </w:r>
          </w:p>
        </w:tc>
        <w:tc>
          <w:tcPr>
            <w:tcW w:w="771" w:type="dxa"/>
            <w:vAlign w:val="center"/>
          </w:tcPr>
          <w:p w14:paraId="26CF3381">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3</w:t>
            </w:r>
          </w:p>
        </w:tc>
        <w:tc>
          <w:tcPr>
            <w:tcW w:w="4251" w:type="dxa"/>
            <w:vAlign w:val="center"/>
          </w:tcPr>
          <w:p w14:paraId="37B2AAB8">
            <w:pP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评分内容：</w:t>
            </w:r>
          </w:p>
          <w:p w14:paraId="5A5CAE27">
            <w:pPr>
              <w:rPr>
                <w:rFonts w:ascii="宋体" w:hAnsi="宋体" w:eastAsia="宋体" w:cs="宋体"/>
                <w:sz w:val="21"/>
                <w:szCs w:val="21"/>
                <w:lang w:val="zh-CN"/>
              </w:rPr>
            </w:pPr>
            <w:r>
              <w:rPr>
                <w:rFonts w:hint="eastAsia" w:ascii="宋体" w:hAnsi="宋体" w:eastAsia="宋体" w:cs="宋体"/>
                <w:sz w:val="21"/>
                <w:szCs w:val="21"/>
                <w:lang w:val="zh-CN"/>
              </w:rPr>
              <w:t>投标人在投标文件中根据技术需求提供详细的技术保障措施，包括：</w:t>
            </w:r>
          </w:p>
          <w:p w14:paraId="102A1E44">
            <w:pPr>
              <w:rPr>
                <w:rFonts w:hint="eastAsia" w:ascii="宋体" w:hAnsi="宋体" w:eastAsia="宋体" w:cs="宋体"/>
                <w:sz w:val="21"/>
                <w:szCs w:val="21"/>
                <w:lang w:val="zh-CN" w:eastAsia="zh-CN"/>
              </w:rPr>
            </w:pPr>
            <w:r>
              <w:rPr>
                <w:rFonts w:hint="eastAsia" w:ascii="宋体" w:hAnsi="宋体" w:eastAsia="宋体" w:cs="宋体"/>
                <w:sz w:val="21"/>
                <w:szCs w:val="21"/>
                <w:lang w:val="zh-CN"/>
              </w:rPr>
              <w:t>1.产品技术方案（含进度保障措施、质量保障措施、安装调试方案）</w:t>
            </w:r>
            <w:r>
              <w:rPr>
                <w:rFonts w:hint="eastAsia" w:ascii="宋体" w:hAnsi="宋体" w:eastAsia="宋体" w:cs="宋体"/>
                <w:sz w:val="21"/>
                <w:szCs w:val="21"/>
                <w:lang w:val="zh-CN" w:eastAsia="zh-CN"/>
              </w:rPr>
              <w:t>。</w:t>
            </w:r>
          </w:p>
          <w:p w14:paraId="64E365C1">
            <w:pPr>
              <w:rPr>
                <w:rFonts w:hint="eastAsia" w:ascii="宋体" w:hAnsi="宋体" w:eastAsia="宋体" w:cs="宋体"/>
                <w:sz w:val="21"/>
                <w:szCs w:val="21"/>
                <w:lang w:val="zh-CN" w:eastAsia="zh-CN"/>
              </w:rPr>
            </w:pPr>
            <w:r>
              <w:rPr>
                <w:rFonts w:hint="eastAsia" w:ascii="宋体" w:hAnsi="宋体" w:eastAsia="宋体" w:cs="宋体"/>
                <w:sz w:val="21"/>
                <w:szCs w:val="21"/>
                <w:lang w:val="zh-CN"/>
              </w:rPr>
              <w:t>2.售后支持技术人员、技术研发团队、实施进度及培训计划</w:t>
            </w:r>
            <w:r>
              <w:rPr>
                <w:rFonts w:hint="eastAsia" w:ascii="宋体" w:hAnsi="宋体" w:eastAsia="宋体" w:cs="宋体"/>
                <w:sz w:val="21"/>
                <w:szCs w:val="21"/>
                <w:lang w:val="zh-CN" w:eastAsia="zh-CN"/>
              </w:rPr>
              <w:t>。</w:t>
            </w:r>
          </w:p>
          <w:p w14:paraId="3A0BFA1F">
            <w:pPr>
              <w:rPr>
                <w:rFonts w:ascii="宋体" w:hAnsi="宋体" w:eastAsia="宋体" w:cs="宋体"/>
                <w:sz w:val="21"/>
                <w:szCs w:val="21"/>
                <w:lang w:val="zh-CN"/>
              </w:rPr>
            </w:pPr>
            <w:r>
              <w:rPr>
                <w:rFonts w:hint="eastAsia" w:ascii="宋体" w:hAnsi="宋体" w:eastAsia="宋体" w:cs="宋体"/>
                <w:sz w:val="21"/>
                <w:szCs w:val="21"/>
                <w:lang w:val="zh-CN"/>
              </w:rPr>
              <w:t>3.相关配套措施、场地等。</w:t>
            </w:r>
          </w:p>
          <w:p w14:paraId="44F06A07">
            <w:pPr>
              <w:rPr>
                <w:rFonts w:ascii="宋体" w:hAnsi="宋体" w:eastAsia="宋体" w:cs="宋体"/>
                <w:sz w:val="21"/>
                <w:szCs w:val="21"/>
                <w:lang w:val="zh-CN"/>
              </w:rPr>
            </w:pPr>
            <w:r>
              <w:rPr>
                <w:rFonts w:hint="eastAsia" w:ascii="宋体" w:hAnsi="宋体" w:eastAsia="宋体" w:cs="宋体"/>
                <w:sz w:val="21"/>
                <w:szCs w:val="21"/>
                <w:lang w:val="zh-CN"/>
              </w:rPr>
              <w:t>满足以上三项要求得</w:t>
            </w:r>
            <w:r>
              <w:rPr>
                <w:rFonts w:hint="eastAsia" w:ascii="宋体" w:hAnsi="宋体" w:eastAsia="宋体" w:cs="宋体"/>
                <w:sz w:val="21"/>
                <w:szCs w:val="21"/>
                <w:lang w:val="zh-CN" w:eastAsia="zh-CN"/>
              </w:rPr>
              <w:t>7</w:t>
            </w:r>
            <w:r>
              <w:rPr>
                <w:rFonts w:ascii="宋体" w:hAnsi="宋体" w:eastAsia="宋体" w:cs="宋体"/>
                <w:sz w:val="21"/>
                <w:szCs w:val="21"/>
                <w:lang w:val="zh-CN"/>
              </w:rPr>
              <w:t>0</w:t>
            </w:r>
            <w:r>
              <w:rPr>
                <w:rFonts w:hint="eastAsia" w:ascii="宋体" w:hAnsi="宋体" w:eastAsia="宋体" w:cs="宋体"/>
                <w:sz w:val="21"/>
                <w:szCs w:val="21"/>
                <w:lang w:val="zh-CN"/>
              </w:rPr>
              <w:t>分，满足以上两项要求得</w:t>
            </w:r>
            <w:r>
              <w:rPr>
                <w:rFonts w:hint="eastAsia" w:ascii="宋体" w:hAnsi="宋体" w:eastAsia="宋体" w:cs="宋体"/>
                <w:sz w:val="21"/>
                <w:szCs w:val="21"/>
                <w:lang w:val="zh-CN" w:eastAsia="zh-CN"/>
              </w:rPr>
              <w:t>5</w:t>
            </w:r>
            <w:r>
              <w:rPr>
                <w:rFonts w:ascii="宋体" w:hAnsi="宋体" w:eastAsia="宋体" w:cs="宋体"/>
                <w:sz w:val="21"/>
                <w:szCs w:val="21"/>
                <w:lang w:val="zh-CN"/>
              </w:rPr>
              <w:t>0</w:t>
            </w:r>
            <w:r>
              <w:rPr>
                <w:rFonts w:hint="eastAsia" w:ascii="宋体" w:hAnsi="宋体" w:eastAsia="宋体" w:cs="宋体"/>
                <w:sz w:val="21"/>
                <w:szCs w:val="21"/>
                <w:lang w:val="zh-CN"/>
              </w:rPr>
              <w:t>分，满足以上一项要求得</w:t>
            </w:r>
            <w:r>
              <w:rPr>
                <w:rFonts w:hint="eastAsia" w:ascii="宋体" w:hAnsi="宋体" w:eastAsia="宋体" w:cs="宋体"/>
                <w:sz w:val="21"/>
                <w:szCs w:val="21"/>
                <w:lang w:val="zh-CN" w:eastAsia="zh-CN"/>
              </w:rPr>
              <w:t>3</w:t>
            </w:r>
            <w:r>
              <w:rPr>
                <w:rFonts w:ascii="宋体" w:hAnsi="宋体" w:eastAsia="宋体" w:cs="宋体"/>
                <w:sz w:val="21"/>
                <w:szCs w:val="21"/>
                <w:lang w:val="zh-CN"/>
              </w:rPr>
              <w:t>0</w:t>
            </w:r>
            <w:r>
              <w:rPr>
                <w:rFonts w:hint="eastAsia" w:ascii="宋体" w:hAnsi="宋体" w:eastAsia="宋体" w:cs="宋体"/>
                <w:sz w:val="21"/>
                <w:szCs w:val="21"/>
                <w:lang w:val="zh-CN"/>
              </w:rPr>
              <w:t>分，其他情况不得分。</w:t>
            </w:r>
          </w:p>
          <w:p w14:paraId="1F2A5ED5">
            <w:pPr>
              <w:rPr>
                <w:rFonts w:ascii="宋体" w:hAnsi="宋体" w:eastAsia="宋体" w:cs="宋体"/>
                <w:sz w:val="21"/>
                <w:szCs w:val="21"/>
                <w:lang w:val="zh-CN"/>
              </w:rPr>
            </w:pPr>
            <w:r>
              <w:rPr>
                <w:rFonts w:hint="eastAsia" w:ascii="宋体" w:hAnsi="宋体" w:eastAsia="宋体" w:cs="宋体"/>
                <w:b/>
                <w:bCs/>
                <w:sz w:val="21"/>
                <w:szCs w:val="21"/>
                <w:lang w:val="zh-CN"/>
              </w:rPr>
              <w:t>在此基础上，专家根据各供应商的具体响应内容按照量化的评审因素指标进一步评审：</w:t>
            </w:r>
          </w:p>
          <w:p w14:paraId="7210D7B7">
            <w:pPr>
              <w:rPr>
                <w:rFonts w:hint="eastAsia" w:ascii="宋体" w:hAnsi="宋体" w:eastAsia="宋体" w:cs="宋体"/>
                <w:sz w:val="21"/>
                <w:szCs w:val="21"/>
                <w:lang w:val="zh-CN"/>
              </w:rPr>
            </w:pPr>
            <w:r>
              <w:rPr>
                <w:rFonts w:hint="eastAsia" w:ascii="宋体" w:hAnsi="宋体" w:eastAsia="宋体" w:cs="宋体"/>
                <w:sz w:val="21"/>
                <w:szCs w:val="21"/>
                <w:lang w:val="zh-CN" w:eastAsia="zh-CN"/>
              </w:rPr>
              <w:t>1、技术方案包括进度保障措施、质量保障措施、安装调试方案；应按照采购人要求进行工程进度汇报，形成存档材料。</w:t>
            </w:r>
          </w:p>
          <w:p w14:paraId="574AC49B">
            <w:pPr>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2</w:t>
            </w:r>
            <w:r>
              <w:rPr>
                <w:rFonts w:hint="eastAsia" w:ascii="宋体" w:hAnsi="宋体" w:eastAsia="宋体" w:cs="宋体"/>
                <w:sz w:val="21"/>
                <w:szCs w:val="21"/>
                <w:lang w:val="zh-CN"/>
              </w:rPr>
              <w:t>、售后保障措施合理，对突发情况有具体的应对方案</w:t>
            </w:r>
            <w:r>
              <w:rPr>
                <w:rFonts w:hint="eastAsia" w:ascii="宋体" w:hAnsi="宋体" w:eastAsia="宋体" w:cs="宋体"/>
                <w:sz w:val="21"/>
                <w:szCs w:val="21"/>
                <w:lang w:val="zh-CN" w:eastAsia="zh-CN"/>
              </w:rPr>
              <w:t>。</w:t>
            </w:r>
          </w:p>
          <w:p w14:paraId="60D9CFAC">
            <w:pPr>
              <w:rPr>
                <w:rFonts w:ascii="宋体" w:hAnsi="宋体" w:eastAsia="宋体" w:cs="宋体"/>
                <w:sz w:val="21"/>
                <w:szCs w:val="21"/>
                <w:lang w:val="zh-CN"/>
              </w:rPr>
            </w:pPr>
            <w:r>
              <w:rPr>
                <w:rFonts w:hint="eastAsia" w:ascii="宋体" w:hAnsi="宋体" w:eastAsia="宋体" w:cs="宋体"/>
                <w:sz w:val="21"/>
                <w:szCs w:val="21"/>
                <w:lang w:val="zh-CN" w:eastAsia="zh-CN"/>
              </w:rPr>
              <w:t>3</w:t>
            </w:r>
            <w:r>
              <w:rPr>
                <w:rFonts w:hint="eastAsia" w:ascii="宋体" w:hAnsi="宋体" w:eastAsia="宋体" w:cs="宋体"/>
                <w:sz w:val="21"/>
                <w:szCs w:val="21"/>
                <w:lang w:val="zh-CN"/>
              </w:rPr>
              <w:t>、投标人对拟投产品的零配件有明确说明，承诺终身提供技术支持（含软件免费升级）。</w:t>
            </w:r>
          </w:p>
          <w:p w14:paraId="39054142">
            <w:pPr>
              <w:rPr>
                <w:rFonts w:ascii="宋体" w:hAnsi="宋体" w:eastAsia="宋体" w:cs="宋体"/>
                <w:sz w:val="21"/>
                <w:szCs w:val="21"/>
                <w:lang w:val="zh-CN"/>
              </w:rPr>
            </w:pPr>
            <w:r>
              <w:rPr>
                <w:rFonts w:hint="eastAsia" w:ascii="宋体" w:hAnsi="宋体" w:eastAsia="宋体" w:cs="宋体"/>
                <w:sz w:val="21"/>
                <w:szCs w:val="21"/>
                <w:lang w:val="zh-CN"/>
              </w:rPr>
              <w:t>每满足以上一项的加10分，本项累计最高的</w:t>
            </w:r>
            <w:r>
              <w:rPr>
                <w:rFonts w:hint="eastAsia" w:ascii="宋体" w:hAnsi="宋体" w:eastAsia="宋体" w:cs="宋体"/>
                <w:sz w:val="21"/>
                <w:szCs w:val="21"/>
                <w:lang w:val="zh-CN" w:eastAsia="zh-CN"/>
              </w:rPr>
              <w:t>30</w:t>
            </w:r>
            <w:r>
              <w:rPr>
                <w:rFonts w:hint="eastAsia" w:ascii="宋体" w:hAnsi="宋体" w:eastAsia="宋体" w:cs="宋体"/>
                <w:sz w:val="21"/>
                <w:szCs w:val="21"/>
                <w:lang w:val="zh-CN"/>
              </w:rPr>
              <w:t>分</w:t>
            </w:r>
            <w:r>
              <w:rPr>
                <w:rFonts w:hint="eastAsia" w:ascii="宋体" w:hAnsi="宋体" w:eastAsia="宋体" w:cs="宋体"/>
                <w:sz w:val="21"/>
                <w:szCs w:val="21"/>
                <w:lang w:val="zh-CN" w:eastAsia="zh-CN"/>
              </w:rPr>
              <w:t>。</w:t>
            </w:r>
          </w:p>
        </w:tc>
      </w:tr>
      <w:tr w14:paraId="092A4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vMerge w:val="continue"/>
            <w:vAlign w:val="center"/>
          </w:tcPr>
          <w:p w14:paraId="717155B0">
            <w:pPr>
              <w:rPr>
                <w:rFonts w:ascii="宋体" w:hAnsi="宋体" w:eastAsia="宋体" w:cs="宋体"/>
                <w:b/>
                <w:bCs/>
                <w:color w:val="0000FF"/>
                <w:sz w:val="21"/>
                <w:szCs w:val="21"/>
              </w:rPr>
            </w:pPr>
          </w:p>
        </w:tc>
        <w:tc>
          <w:tcPr>
            <w:tcW w:w="570" w:type="dxa"/>
            <w:vAlign w:val="center"/>
          </w:tcPr>
          <w:p w14:paraId="3CFFE7F4">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2267" w:type="dxa"/>
            <w:vAlign w:val="center"/>
          </w:tcPr>
          <w:p w14:paraId="1974355C">
            <w:pPr>
              <w:jc w:val="center"/>
              <w:rPr>
                <w:rFonts w:hint="eastAsia" w:ascii="宋体" w:hAnsi="宋体" w:eastAsia="宋体" w:cs="宋体"/>
                <w:sz w:val="21"/>
                <w:szCs w:val="21"/>
              </w:rPr>
            </w:pPr>
            <w:r>
              <w:rPr>
                <w:rFonts w:hint="eastAsia" w:ascii="宋体" w:hAnsi="宋体" w:eastAsia="宋体" w:cs="宋体"/>
                <w:sz w:val="21"/>
                <w:szCs w:val="21"/>
              </w:rPr>
              <w:t>技术规格偏离情况</w:t>
            </w:r>
          </w:p>
        </w:tc>
        <w:tc>
          <w:tcPr>
            <w:tcW w:w="771" w:type="dxa"/>
            <w:vAlign w:val="center"/>
          </w:tcPr>
          <w:p w14:paraId="2C1B760C">
            <w:pPr>
              <w:jc w:val="center"/>
              <w:rPr>
                <w:rFonts w:hint="eastAsia" w:ascii="宋体" w:hAnsi="宋体" w:eastAsia="宋体" w:cs="宋体"/>
                <w:sz w:val="21"/>
                <w:szCs w:val="21"/>
                <w:lang w:val="en-US" w:eastAsia="zh-CN"/>
              </w:rPr>
            </w:pPr>
            <w:r>
              <w:rPr>
                <w:rFonts w:hint="eastAsia" w:ascii="宋体" w:hAnsi="宋体" w:eastAsia="宋体" w:cs="宋体"/>
                <w:sz w:val="21"/>
                <w:szCs w:val="21"/>
              </w:rPr>
              <w:t>3</w:t>
            </w:r>
            <w:r>
              <w:rPr>
                <w:rFonts w:hint="eastAsia" w:ascii="宋体" w:hAnsi="宋体" w:eastAsia="宋体" w:cs="宋体"/>
                <w:sz w:val="21"/>
                <w:szCs w:val="21"/>
                <w:lang w:val="en-US" w:eastAsia="zh-CN"/>
              </w:rPr>
              <w:t>6</w:t>
            </w:r>
          </w:p>
        </w:tc>
        <w:tc>
          <w:tcPr>
            <w:tcW w:w="4251" w:type="dxa"/>
            <w:vAlign w:val="center"/>
          </w:tcPr>
          <w:p w14:paraId="0875B674">
            <w:pPr>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投标人应如实填写《技术要求偏离表》（以下简称“偏离表”），评审委员会根据偏离表中招标技术要求，对各</w:t>
            </w:r>
            <w:r>
              <w:rPr>
                <w:rFonts w:hint="eastAsia" w:ascii="宋体" w:hAnsi="宋体" w:eastAsia="宋体" w:cs="宋体"/>
                <w:sz w:val="21"/>
                <w:szCs w:val="21"/>
                <w:lang w:val="en-US" w:eastAsia="zh-CN"/>
              </w:rPr>
              <w:t>投</w:t>
            </w:r>
            <w:r>
              <w:rPr>
                <w:rFonts w:hint="eastAsia" w:ascii="宋体" w:hAnsi="宋体" w:eastAsia="宋体" w:cs="宋体"/>
                <w:sz w:val="21"/>
                <w:szCs w:val="21"/>
                <w:lang w:val="zh-CN" w:eastAsia="zh-CN"/>
              </w:rPr>
              <w:t>标人响应情况进行打分。各项技术参数指标及要求全部满足或优于的得100分。标注“★”的内容为实质性条款，有一项不符合的，作</w:t>
            </w:r>
            <w:r>
              <w:rPr>
                <w:rFonts w:hint="eastAsia" w:ascii="宋体" w:hAnsi="宋体" w:eastAsia="宋体" w:cs="宋体"/>
                <w:sz w:val="21"/>
                <w:szCs w:val="21"/>
                <w:lang w:val="en-US" w:eastAsia="zh-CN"/>
              </w:rPr>
              <w:t>投标</w:t>
            </w:r>
            <w:r>
              <w:rPr>
                <w:rFonts w:hint="eastAsia" w:ascii="宋体" w:hAnsi="宋体" w:eastAsia="宋体" w:cs="宋体"/>
                <w:sz w:val="21"/>
                <w:szCs w:val="21"/>
                <w:lang w:val="zh-CN" w:eastAsia="zh-CN"/>
              </w:rPr>
              <w:t>无效处理；标注“▲”的为重要参数（</w:t>
            </w:r>
            <w:r>
              <w:rPr>
                <w:rFonts w:hint="eastAsia" w:ascii="宋体" w:hAnsi="宋体" w:eastAsia="宋体" w:cs="宋体"/>
                <w:sz w:val="21"/>
                <w:szCs w:val="21"/>
                <w:lang w:val="en-US" w:eastAsia="zh-CN"/>
              </w:rPr>
              <w:t>总分80分</w:t>
            </w:r>
            <w:r>
              <w:rPr>
                <w:rFonts w:hint="eastAsia" w:ascii="宋体" w:hAnsi="宋体" w:eastAsia="宋体" w:cs="宋体"/>
                <w:sz w:val="21"/>
                <w:szCs w:val="21"/>
                <w:lang w:val="zh-CN" w:eastAsia="zh-CN"/>
              </w:rPr>
              <w:t>），每负偏离一项扣</w:t>
            </w:r>
            <w:r>
              <w:rPr>
                <w:rFonts w:hint="eastAsia" w:ascii="宋体" w:hAnsi="宋体" w:eastAsia="宋体" w:cs="宋体"/>
                <w:sz w:val="21"/>
                <w:szCs w:val="21"/>
                <w:lang w:val="en-US" w:eastAsia="zh-CN"/>
              </w:rPr>
              <w:t>9</w:t>
            </w:r>
            <w:r>
              <w:rPr>
                <w:rFonts w:hint="eastAsia" w:ascii="宋体" w:hAnsi="宋体" w:eastAsia="宋体" w:cs="宋体"/>
                <w:sz w:val="21"/>
                <w:szCs w:val="21"/>
                <w:lang w:val="zh-CN" w:eastAsia="zh-CN"/>
              </w:rPr>
              <w:t>分，</w:t>
            </w:r>
            <w:r>
              <w:rPr>
                <w:rFonts w:hint="eastAsia" w:ascii="宋体" w:hAnsi="宋体" w:eastAsia="宋体" w:cs="宋体"/>
                <w:sz w:val="21"/>
                <w:szCs w:val="21"/>
                <w:lang w:val="en-US" w:eastAsia="zh-CN"/>
              </w:rPr>
              <w:t>扣完为止</w:t>
            </w:r>
            <w:r>
              <w:rPr>
                <w:rFonts w:hint="eastAsia" w:ascii="宋体" w:hAnsi="宋体" w:eastAsia="宋体" w:cs="宋体"/>
                <w:sz w:val="21"/>
                <w:szCs w:val="21"/>
                <w:lang w:val="zh-CN" w:eastAsia="zh-CN"/>
              </w:rPr>
              <w:t>。除“★”核心技术参数</w:t>
            </w:r>
            <w:r>
              <w:rPr>
                <w:rFonts w:hint="eastAsia" w:ascii="宋体" w:hAnsi="宋体" w:eastAsia="宋体" w:cs="宋体"/>
                <w:sz w:val="21"/>
                <w:szCs w:val="21"/>
                <w:lang w:val="en-US" w:eastAsia="zh-CN"/>
              </w:rPr>
              <w:t>和</w:t>
            </w:r>
            <w:r>
              <w:rPr>
                <w:rFonts w:hint="eastAsia" w:ascii="宋体" w:hAnsi="宋体" w:eastAsia="宋体" w:cs="宋体"/>
                <w:sz w:val="21"/>
                <w:szCs w:val="21"/>
                <w:lang w:val="zh-CN" w:eastAsia="zh-CN"/>
              </w:rPr>
              <w:t>“▲”</w:t>
            </w:r>
            <w:r>
              <w:rPr>
                <w:rFonts w:hint="eastAsia" w:ascii="宋体" w:hAnsi="宋体" w:eastAsia="宋体" w:cs="宋体"/>
                <w:sz w:val="21"/>
                <w:szCs w:val="21"/>
                <w:lang w:val="en-US" w:eastAsia="zh-CN"/>
              </w:rPr>
              <w:t>重要技术参数</w:t>
            </w:r>
            <w:r>
              <w:rPr>
                <w:rFonts w:hint="eastAsia" w:ascii="宋体" w:hAnsi="宋体" w:eastAsia="宋体" w:cs="宋体"/>
                <w:sz w:val="21"/>
                <w:szCs w:val="21"/>
                <w:lang w:val="zh-CN" w:eastAsia="zh-CN"/>
              </w:rPr>
              <w:t>外，一般技术参数（总分</w:t>
            </w:r>
            <w:r>
              <w:rPr>
                <w:rFonts w:hint="eastAsia" w:ascii="宋体" w:hAnsi="宋体" w:eastAsia="宋体" w:cs="宋体"/>
                <w:sz w:val="21"/>
                <w:szCs w:val="21"/>
                <w:lang w:val="en-US" w:eastAsia="zh-CN"/>
              </w:rPr>
              <w:t>20</w:t>
            </w:r>
            <w:r>
              <w:rPr>
                <w:rFonts w:hint="eastAsia" w:ascii="宋体" w:hAnsi="宋体" w:eastAsia="宋体" w:cs="宋体"/>
                <w:sz w:val="21"/>
                <w:szCs w:val="21"/>
                <w:lang w:val="zh-CN" w:eastAsia="zh-CN"/>
              </w:rPr>
              <w:t>分），每负偏离一项扣</w:t>
            </w:r>
            <w:r>
              <w:rPr>
                <w:rFonts w:hint="eastAsia" w:ascii="宋体" w:hAnsi="宋体" w:eastAsia="宋体" w:cs="宋体"/>
                <w:sz w:val="21"/>
                <w:szCs w:val="21"/>
                <w:lang w:val="en-US" w:eastAsia="zh-CN"/>
              </w:rPr>
              <w:t>1.1</w:t>
            </w:r>
            <w:r>
              <w:rPr>
                <w:rFonts w:hint="eastAsia" w:ascii="宋体" w:hAnsi="宋体" w:eastAsia="宋体" w:cs="宋体"/>
                <w:sz w:val="21"/>
                <w:szCs w:val="21"/>
                <w:lang w:val="zh-CN" w:eastAsia="zh-CN"/>
              </w:rPr>
              <w:t>分，</w:t>
            </w:r>
            <w:r>
              <w:rPr>
                <w:rFonts w:hint="eastAsia" w:ascii="宋体" w:hAnsi="宋体" w:eastAsia="宋体" w:cs="宋体"/>
                <w:sz w:val="21"/>
                <w:szCs w:val="21"/>
                <w:lang w:val="en-US" w:eastAsia="zh-CN"/>
              </w:rPr>
              <w:t>扣完为止</w:t>
            </w:r>
            <w:r>
              <w:rPr>
                <w:rFonts w:hint="eastAsia" w:ascii="宋体" w:hAnsi="宋体" w:eastAsia="宋体" w:cs="宋体"/>
                <w:sz w:val="21"/>
                <w:szCs w:val="21"/>
                <w:lang w:val="zh-CN" w:eastAsia="zh-CN"/>
              </w:rPr>
              <w:t>。正偏离不加分。</w:t>
            </w:r>
          </w:p>
        </w:tc>
      </w:tr>
      <w:tr w14:paraId="618F3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vMerge w:val="continue"/>
            <w:vAlign w:val="center"/>
          </w:tcPr>
          <w:p w14:paraId="7047928C">
            <w:pPr>
              <w:rPr>
                <w:rFonts w:ascii="宋体" w:hAnsi="宋体" w:eastAsia="宋体" w:cs="宋体"/>
                <w:b/>
                <w:bCs/>
                <w:color w:val="0000FF"/>
                <w:sz w:val="21"/>
                <w:szCs w:val="21"/>
              </w:rPr>
            </w:pPr>
          </w:p>
        </w:tc>
        <w:tc>
          <w:tcPr>
            <w:tcW w:w="570" w:type="dxa"/>
            <w:vAlign w:val="center"/>
          </w:tcPr>
          <w:p w14:paraId="5ABC7805">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p>
        </w:tc>
        <w:tc>
          <w:tcPr>
            <w:tcW w:w="2267" w:type="dxa"/>
            <w:vAlign w:val="center"/>
          </w:tcPr>
          <w:p w14:paraId="505678FC">
            <w:pPr>
              <w:jc w:val="center"/>
              <w:rPr>
                <w:rFonts w:hint="eastAsia" w:ascii="宋体" w:hAnsi="宋体" w:eastAsia="宋体" w:cs="宋体"/>
                <w:sz w:val="21"/>
                <w:szCs w:val="21"/>
              </w:rPr>
            </w:pPr>
            <w:r>
              <w:rPr>
                <w:rFonts w:hint="eastAsia" w:ascii="宋体" w:hAnsi="宋体" w:eastAsia="宋体" w:cs="宋体"/>
                <w:sz w:val="21"/>
                <w:szCs w:val="21"/>
              </w:rPr>
              <w:t>对关键重要技术或部件的评价</w:t>
            </w:r>
          </w:p>
        </w:tc>
        <w:tc>
          <w:tcPr>
            <w:tcW w:w="771" w:type="dxa"/>
            <w:vAlign w:val="center"/>
          </w:tcPr>
          <w:p w14:paraId="6A419DAC">
            <w:pPr>
              <w:jc w:val="center"/>
              <w:rPr>
                <w:rFonts w:hint="eastAsia" w:ascii="宋体" w:hAnsi="宋体" w:eastAsia="宋体" w:cs="宋体"/>
                <w:sz w:val="21"/>
                <w:szCs w:val="21"/>
                <w:lang w:val="en-US"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5</w:t>
            </w:r>
          </w:p>
        </w:tc>
        <w:tc>
          <w:tcPr>
            <w:tcW w:w="4251" w:type="dxa"/>
            <w:vAlign w:val="center"/>
          </w:tcPr>
          <w:p w14:paraId="301C9267">
            <w:pP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评分内容：</w:t>
            </w:r>
          </w:p>
          <w:p w14:paraId="6CC4015E">
            <w:pPr>
              <w:rPr>
                <w:rFonts w:hint="eastAsia" w:ascii="宋体" w:hAnsi="宋体" w:eastAsia="宋体" w:cs="宋体"/>
                <w:sz w:val="21"/>
                <w:szCs w:val="21"/>
                <w:lang w:val="zh-CN"/>
              </w:rPr>
            </w:pPr>
            <w:r>
              <w:rPr>
                <w:rFonts w:hint="eastAsia" w:ascii="宋体" w:hAnsi="宋体" w:eastAsia="宋体" w:cs="宋体"/>
                <w:sz w:val="21"/>
                <w:szCs w:val="21"/>
                <w:lang w:val="zh-CN"/>
              </w:rPr>
              <w:t>关键技术路线合理，具有成熟产品或研制经验，每满足一条得</w:t>
            </w:r>
            <w:r>
              <w:rPr>
                <w:rFonts w:hint="eastAsia" w:ascii="宋体" w:hAnsi="宋体" w:eastAsia="宋体" w:cs="宋体"/>
                <w:sz w:val="21"/>
                <w:szCs w:val="21"/>
                <w:lang w:val="zh-CN" w:eastAsia="zh-CN"/>
              </w:rPr>
              <w:t>2</w:t>
            </w:r>
            <w:r>
              <w:rPr>
                <w:rFonts w:hint="eastAsia" w:ascii="宋体" w:hAnsi="宋体" w:eastAsia="宋体" w:cs="宋体"/>
                <w:sz w:val="21"/>
                <w:szCs w:val="21"/>
                <w:lang w:val="zh-CN"/>
              </w:rPr>
              <w:t>0分，最高</w:t>
            </w:r>
            <w:r>
              <w:rPr>
                <w:rFonts w:hint="eastAsia" w:ascii="宋体" w:hAnsi="宋体" w:eastAsia="宋体" w:cs="宋体"/>
                <w:sz w:val="21"/>
                <w:szCs w:val="21"/>
                <w:lang w:val="zh-CN" w:eastAsia="zh-CN"/>
              </w:rPr>
              <w:t>得</w:t>
            </w:r>
            <w:r>
              <w:rPr>
                <w:rFonts w:hint="eastAsia" w:ascii="宋体" w:hAnsi="宋体" w:eastAsia="宋体" w:cs="宋体"/>
                <w:sz w:val="21"/>
                <w:szCs w:val="21"/>
                <w:lang w:val="zh-CN"/>
              </w:rPr>
              <w:t>100分。</w:t>
            </w:r>
          </w:p>
          <w:p w14:paraId="051C253E">
            <w:pPr>
              <w:rPr>
                <w:rFonts w:hint="eastAsia" w:ascii="宋体" w:hAnsi="宋体" w:eastAsia="宋体" w:cs="宋体"/>
                <w:sz w:val="21"/>
                <w:szCs w:val="21"/>
                <w:lang w:val="zh-CN" w:eastAsia="zh-CN"/>
              </w:rPr>
            </w:pPr>
            <w:r>
              <w:rPr>
                <w:rFonts w:hint="eastAsia" w:ascii="宋体" w:hAnsi="宋体" w:eastAsia="宋体" w:cs="宋体"/>
                <w:sz w:val="21"/>
                <w:szCs w:val="21"/>
                <w:lang w:val="zh-CN"/>
              </w:rPr>
              <w:t>1</w:t>
            </w:r>
            <w:r>
              <w:rPr>
                <w:rFonts w:hint="eastAsia" w:ascii="宋体" w:hAnsi="宋体" w:eastAsia="宋体" w:cs="宋体"/>
                <w:sz w:val="21"/>
                <w:szCs w:val="21"/>
                <w:lang w:val="zh-CN" w:eastAsia="zh-CN"/>
              </w:rPr>
              <w:t>、主真空舱室多接口耦合结构设计技术；</w:t>
            </w:r>
          </w:p>
          <w:p w14:paraId="37156080">
            <w:pPr>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2、真空获得系统设计技术；</w:t>
            </w:r>
            <w:r>
              <w:rPr>
                <w:rFonts w:hint="eastAsia" w:ascii="宋体" w:hAnsi="宋体" w:eastAsia="宋体" w:cs="宋体"/>
                <w:sz w:val="21"/>
                <w:szCs w:val="21"/>
                <w:lang w:val="zh-CN" w:eastAsia="zh-CN"/>
              </w:rPr>
              <w:br w:type="textWrapping"/>
            </w:r>
            <w:r>
              <w:rPr>
                <w:rFonts w:hint="eastAsia" w:ascii="宋体" w:hAnsi="宋体" w:eastAsia="宋体" w:cs="宋体"/>
                <w:sz w:val="21"/>
                <w:szCs w:val="21"/>
                <w:lang w:val="zh-CN" w:eastAsia="zh-CN"/>
              </w:rPr>
              <w:t>3、高低温系统技术；</w:t>
            </w:r>
            <w:r>
              <w:rPr>
                <w:rFonts w:hint="eastAsia" w:ascii="宋体" w:hAnsi="宋体" w:eastAsia="宋体" w:cs="宋体"/>
                <w:sz w:val="21"/>
                <w:szCs w:val="21"/>
                <w:lang w:val="zh-CN" w:eastAsia="zh-CN"/>
              </w:rPr>
              <w:br w:type="textWrapping"/>
            </w:r>
            <w:r>
              <w:rPr>
                <w:rFonts w:hint="eastAsia" w:ascii="宋体" w:hAnsi="宋体" w:eastAsia="宋体" w:cs="宋体"/>
                <w:sz w:val="21"/>
                <w:szCs w:val="21"/>
                <w:lang w:val="zh-CN" w:eastAsia="zh-CN"/>
              </w:rPr>
              <w:t>4、快速换样技术；</w:t>
            </w:r>
            <w:r>
              <w:rPr>
                <w:rFonts w:hint="eastAsia" w:ascii="宋体" w:hAnsi="宋体" w:eastAsia="宋体" w:cs="宋体"/>
                <w:sz w:val="21"/>
                <w:szCs w:val="21"/>
                <w:lang w:val="zh-CN" w:eastAsia="zh-CN"/>
              </w:rPr>
              <w:br w:type="textWrapping"/>
            </w:r>
            <w:r>
              <w:rPr>
                <w:rFonts w:hint="eastAsia" w:ascii="宋体" w:hAnsi="宋体" w:eastAsia="宋体" w:cs="宋体"/>
                <w:sz w:val="21"/>
                <w:szCs w:val="21"/>
                <w:lang w:val="zh-CN" w:eastAsia="zh-CN"/>
              </w:rPr>
              <w:t>5、多参数束流检测技术；</w:t>
            </w:r>
          </w:p>
          <w:p w14:paraId="1F5303E1">
            <w:pPr>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6、束流屏蔽防护技术。</w:t>
            </w:r>
          </w:p>
          <w:p w14:paraId="6B3A0DFC">
            <w:pPr>
              <w:rPr>
                <w:rFonts w:hint="eastAsia" w:ascii="宋体" w:hAnsi="宋体" w:eastAsia="宋体" w:cs="宋体"/>
                <w:b/>
                <w:bCs/>
                <w:sz w:val="21"/>
                <w:szCs w:val="21"/>
                <w:lang w:val="zh-CN"/>
              </w:rPr>
            </w:pPr>
            <w:r>
              <w:rPr>
                <w:rFonts w:hint="eastAsia" w:ascii="宋体" w:hAnsi="宋体" w:eastAsia="宋体" w:cs="宋体"/>
                <w:b/>
                <w:bCs/>
                <w:sz w:val="21"/>
                <w:szCs w:val="21"/>
                <w:lang w:val="zh-CN"/>
              </w:rPr>
              <w:t>证明文件：</w:t>
            </w:r>
          </w:p>
          <w:p w14:paraId="6427C957">
            <w:pPr>
              <w:rPr>
                <w:rFonts w:hint="eastAsia" w:ascii="宋体" w:hAnsi="宋体" w:eastAsia="宋体" w:cs="宋体"/>
                <w:sz w:val="21"/>
                <w:szCs w:val="21"/>
                <w:lang w:val="zh-CN"/>
              </w:rPr>
            </w:pPr>
            <w:r>
              <w:rPr>
                <w:rFonts w:hint="eastAsia" w:ascii="宋体" w:hAnsi="宋体" w:eastAsia="宋体" w:cs="宋体"/>
                <w:sz w:val="21"/>
                <w:szCs w:val="21"/>
                <w:lang w:val="zh-CN"/>
              </w:rPr>
              <w:t>提供相关设计方案或产品实物照片等佐证材料。</w:t>
            </w:r>
          </w:p>
        </w:tc>
      </w:tr>
      <w:tr w14:paraId="7E198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vMerge w:val="restart"/>
          </w:tcPr>
          <w:p w14:paraId="53CEF781">
            <w:pPr>
              <w:wordWrap w:val="0"/>
              <w:jc w:val="center"/>
              <w:rPr>
                <w:rFonts w:ascii="宋体" w:hAnsi="宋体" w:eastAsia="宋体" w:cs="宋体"/>
                <w:b/>
                <w:bCs/>
                <w:color w:val="0000FF"/>
                <w:sz w:val="21"/>
                <w:szCs w:val="21"/>
              </w:rPr>
            </w:pPr>
            <w:r>
              <w:rPr>
                <w:rFonts w:hint="eastAsia" w:ascii="宋体" w:hAnsi="宋体" w:eastAsia="宋体" w:cs="宋体"/>
                <w:b/>
                <w:bCs/>
                <w:color w:val="0000FF"/>
                <w:sz w:val="21"/>
                <w:szCs w:val="21"/>
              </w:rPr>
              <w:t>3</w:t>
            </w:r>
          </w:p>
        </w:tc>
        <w:tc>
          <w:tcPr>
            <w:tcW w:w="3608" w:type="dxa"/>
            <w:gridSpan w:val="3"/>
          </w:tcPr>
          <w:p w14:paraId="45F9FC49">
            <w:pPr>
              <w:wordWrap w:val="0"/>
              <w:jc w:val="center"/>
              <w:rPr>
                <w:rFonts w:ascii="宋体" w:hAnsi="宋体" w:eastAsia="宋体" w:cs="宋体"/>
                <w:b/>
                <w:bCs/>
                <w:color w:val="0000FF"/>
                <w:sz w:val="21"/>
                <w:szCs w:val="21"/>
              </w:rPr>
            </w:pPr>
            <w:r>
              <w:rPr>
                <w:rFonts w:hint="eastAsia" w:ascii="宋体" w:hAnsi="宋体" w:eastAsia="宋体" w:cs="宋体"/>
                <w:b/>
                <w:bCs/>
                <w:color w:val="0000FF"/>
                <w:sz w:val="21"/>
                <w:szCs w:val="21"/>
              </w:rPr>
              <w:t>商务部分</w:t>
            </w:r>
          </w:p>
        </w:tc>
        <w:tc>
          <w:tcPr>
            <w:tcW w:w="4251" w:type="dxa"/>
          </w:tcPr>
          <w:p w14:paraId="22504FFE">
            <w:pPr>
              <w:wordWrap w:val="0"/>
              <w:jc w:val="center"/>
              <w:rPr>
                <w:rFonts w:hint="default" w:ascii="宋体" w:hAnsi="宋体" w:eastAsia="宋体" w:cs="宋体"/>
                <w:b/>
                <w:bCs/>
                <w:color w:val="0000FF"/>
                <w:sz w:val="21"/>
                <w:szCs w:val="21"/>
                <w:lang w:val="en-US" w:eastAsia="zh-CN"/>
              </w:rPr>
            </w:pPr>
            <w:r>
              <w:rPr>
                <w:rFonts w:hint="eastAsia" w:ascii="宋体" w:hAnsi="宋体" w:eastAsia="宋体" w:cs="宋体"/>
                <w:b/>
                <w:bCs/>
                <w:color w:val="0000FF"/>
                <w:sz w:val="21"/>
                <w:szCs w:val="21"/>
                <w:lang w:val="en-US" w:eastAsia="zh-CN"/>
              </w:rPr>
              <w:t>16</w:t>
            </w:r>
          </w:p>
        </w:tc>
      </w:tr>
      <w:tr w14:paraId="5CC25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vMerge w:val="continue"/>
            <w:vAlign w:val="center"/>
          </w:tcPr>
          <w:p w14:paraId="33ED1E67">
            <w:pPr>
              <w:rPr>
                <w:rFonts w:ascii="宋体" w:hAnsi="宋体" w:eastAsia="宋体" w:cs="宋体"/>
                <w:b/>
                <w:bCs/>
                <w:color w:val="0000FF"/>
                <w:sz w:val="21"/>
                <w:szCs w:val="21"/>
              </w:rPr>
            </w:pPr>
          </w:p>
        </w:tc>
        <w:tc>
          <w:tcPr>
            <w:tcW w:w="7859" w:type="dxa"/>
            <w:gridSpan w:val="4"/>
          </w:tcPr>
          <w:p w14:paraId="2AB42A2A">
            <w:pPr>
              <w:wordWrap w:val="0"/>
              <w:rPr>
                <w:rFonts w:ascii="宋体" w:hAnsi="宋体" w:eastAsia="宋体" w:cs="宋体"/>
                <w:sz w:val="21"/>
                <w:szCs w:val="21"/>
              </w:rPr>
            </w:pPr>
          </w:p>
        </w:tc>
      </w:tr>
      <w:tr w14:paraId="38293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vMerge w:val="continue"/>
            <w:shd w:val="clear" w:color="auto" w:fill="E6EFFA"/>
            <w:vAlign w:val="center"/>
          </w:tcPr>
          <w:p w14:paraId="25BB4122">
            <w:pPr>
              <w:rPr>
                <w:rFonts w:ascii="宋体" w:hAnsi="宋体" w:eastAsia="宋体" w:cs="宋体"/>
                <w:b/>
                <w:bCs/>
                <w:color w:val="0000FF"/>
                <w:sz w:val="21"/>
                <w:szCs w:val="21"/>
              </w:rPr>
            </w:pPr>
          </w:p>
        </w:tc>
        <w:tc>
          <w:tcPr>
            <w:tcW w:w="570" w:type="dxa"/>
            <w:shd w:val="clear" w:color="auto" w:fill="E6EFFA"/>
            <w:vAlign w:val="center"/>
          </w:tcPr>
          <w:p w14:paraId="1BBE6A1B">
            <w:pPr>
              <w:wordWrap w:val="0"/>
              <w:jc w:val="center"/>
              <w:rPr>
                <w:rFonts w:ascii="宋体" w:hAnsi="宋体" w:eastAsia="宋体" w:cs="宋体"/>
                <w:b/>
                <w:bCs/>
                <w:sz w:val="21"/>
                <w:szCs w:val="21"/>
              </w:rPr>
            </w:pPr>
            <w:r>
              <w:rPr>
                <w:rFonts w:hint="eastAsia" w:ascii="宋体" w:hAnsi="宋体" w:eastAsia="宋体" w:cs="宋体"/>
                <w:b/>
                <w:bCs/>
                <w:sz w:val="21"/>
                <w:szCs w:val="21"/>
              </w:rPr>
              <w:t>序号</w:t>
            </w:r>
          </w:p>
        </w:tc>
        <w:tc>
          <w:tcPr>
            <w:tcW w:w="2267" w:type="dxa"/>
            <w:shd w:val="clear" w:color="auto" w:fill="E6EFFA"/>
            <w:vAlign w:val="center"/>
          </w:tcPr>
          <w:p w14:paraId="72F93C7C">
            <w:pPr>
              <w:wordWrap w:val="0"/>
              <w:jc w:val="center"/>
              <w:rPr>
                <w:rFonts w:ascii="宋体" w:hAnsi="宋体" w:eastAsia="宋体" w:cs="宋体"/>
                <w:b/>
                <w:bCs/>
                <w:sz w:val="21"/>
                <w:szCs w:val="21"/>
              </w:rPr>
            </w:pPr>
            <w:r>
              <w:rPr>
                <w:rFonts w:hint="eastAsia" w:ascii="宋体" w:hAnsi="宋体" w:eastAsia="宋体" w:cs="宋体"/>
                <w:b/>
                <w:bCs/>
                <w:sz w:val="21"/>
                <w:szCs w:val="21"/>
              </w:rPr>
              <w:t>评审因素</w:t>
            </w:r>
          </w:p>
        </w:tc>
        <w:tc>
          <w:tcPr>
            <w:tcW w:w="771" w:type="dxa"/>
            <w:shd w:val="clear" w:color="auto" w:fill="E6EFFA"/>
            <w:vAlign w:val="center"/>
          </w:tcPr>
          <w:p w14:paraId="5E926777">
            <w:pPr>
              <w:wordWrap w:val="0"/>
              <w:jc w:val="center"/>
              <w:rPr>
                <w:rFonts w:ascii="宋体" w:hAnsi="宋体" w:eastAsia="宋体" w:cs="宋体"/>
                <w:b/>
                <w:bCs/>
                <w:sz w:val="21"/>
                <w:szCs w:val="21"/>
              </w:rPr>
            </w:pPr>
            <w:r>
              <w:rPr>
                <w:rFonts w:hint="eastAsia" w:ascii="宋体" w:hAnsi="宋体" w:eastAsia="宋体" w:cs="宋体"/>
                <w:b/>
                <w:bCs/>
                <w:sz w:val="21"/>
                <w:szCs w:val="21"/>
              </w:rPr>
              <w:t>权重(%)</w:t>
            </w:r>
          </w:p>
        </w:tc>
        <w:tc>
          <w:tcPr>
            <w:tcW w:w="4251" w:type="dxa"/>
            <w:shd w:val="clear" w:color="auto" w:fill="E6EFFA"/>
            <w:vAlign w:val="center"/>
          </w:tcPr>
          <w:p w14:paraId="31983B57">
            <w:pPr>
              <w:wordWrap w:val="0"/>
              <w:jc w:val="center"/>
              <w:rPr>
                <w:rFonts w:ascii="宋体" w:hAnsi="宋体" w:eastAsia="宋体" w:cs="宋体"/>
                <w:b/>
                <w:bCs/>
                <w:sz w:val="21"/>
                <w:szCs w:val="21"/>
              </w:rPr>
            </w:pPr>
            <w:r>
              <w:rPr>
                <w:rFonts w:hint="eastAsia" w:ascii="宋体" w:hAnsi="宋体" w:eastAsia="宋体" w:cs="宋体"/>
                <w:b/>
                <w:bCs/>
                <w:sz w:val="21"/>
                <w:szCs w:val="21"/>
              </w:rPr>
              <w:t>评分准则</w:t>
            </w:r>
          </w:p>
        </w:tc>
      </w:tr>
      <w:tr w14:paraId="75A5C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1099" w:hRule="atLeast"/>
          <w:tblCellSpacing w:w="0" w:type="dxa"/>
          <w:jc w:val="center"/>
        </w:trPr>
        <w:tc>
          <w:tcPr>
            <w:tcW w:w="645" w:type="dxa"/>
            <w:vMerge w:val="continue"/>
            <w:vAlign w:val="center"/>
          </w:tcPr>
          <w:p w14:paraId="210DF677">
            <w:pPr>
              <w:rPr>
                <w:rFonts w:ascii="宋体" w:hAnsi="宋体" w:eastAsia="宋体" w:cs="宋体"/>
                <w:b/>
                <w:bCs/>
                <w:color w:val="0000FF"/>
                <w:sz w:val="21"/>
                <w:szCs w:val="21"/>
              </w:rPr>
            </w:pPr>
          </w:p>
        </w:tc>
        <w:tc>
          <w:tcPr>
            <w:tcW w:w="570" w:type="dxa"/>
            <w:vAlign w:val="center"/>
          </w:tcPr>
          <w:p w14:paraId="2FB4E7FB">
            <w:pPr>
              <w:wordWrap w:val="0"/>
              <w:jc w:val="center"/>
              <w:rPr>
                <w:rFonts w:ascii="宋体" w:hAnsi="宋体" w:eastAsia="宋体" w:cs="宋体"/>
                <w:sz w:val="21"/>
                <w:szCs w:val="21"/>
              </w:rPr>
            </w:pPr>
            <w:r>
              <w:rPr>
                <w:rFonts w:hint="eastAsia" w:ascii="宋体" w:hAnsi="宋体" w:eastAsia="宋体" w:cs="宋体"/>
                <w:sz w:val="21"/>
                <w:szCs w:val="21"/>
              </w:rPr>
              <w:t>1</w:t>
            </w:r>
          </w:p>
        </w:tc>
        <w:tc>
          <w:tcPr>
            <w:tcW w:w="2267" w:type="dxa"/>
            <w:vAlign w:val="center"/>
          </w:tcPr>
          <w:p w14:paraId="4A345D3A">
            <w:pPr>
              <w:jc w:val="center"/>
              <w:rPr>
                <w:rFonts w:hint="eastAsia" w:ascii="宋体" w:hAnsi="宋体" w:eastAsia="宋体" w:cs="宋体"/>
                <w:sz w:val="21"/>
                <w:szCs w:val="21"/>
              </w:rPr>
            </w:pPr>
            <w:r>
              <w:rPr>
                <w:rFonts w:hint="eastAsia" w:ascii="宋体" w:hAnsi="宋体" w:eastAsia="宋体" w:cs="宋体"/>
                <w:sz w:val="21"/>
                <w:szCs w:val="21"/>
              </w:rPr>
              <w:t>免费保修期内售后服务条款偏离情况</w:t>
            </w:r>
          </w:p>
        </w:tc>
        <w:tc>
          <w:tcPr>
            <w:tcW w:w="771" w:type="dxa"/>
            <w:vAlign w:val="center"/>
          </w:tcPr>
          <w:p w14:paraId="55E95A21">
            <w:pPr>
              <w:jc w:val="center"/>
              <w:rPr>
                <w:rFonts w:hint="eastAsia" w:ascii="宋体" w:hAnsi="宋体" w:eastAsia="宋体" w:cs="宋体"/>
                <w:sz w:val="21"/>
                <w:szCs w:val="21"/>
              </w:rPr>
            </w:pPr>
            <w:r>
              <w:rPr>
                <w:rFonts w:hint="eastAsia" w:ascii="宋体" w:hAnsi="宋体" w:eastAsia="宋体" w:cs="宋体"/>
                <w:sz w:val="21"/>
                <w:szCs w:val="21"/>
                <w:lang w:val="en-US" w:eastAsia="zh-CN"/>
              </w:rPr>
              <w:t>5</w:t>
            </w:r>
          </w:p>
        </w:tc>
        <w:tc>
          <w:tcPr>
            <w:tcW w:w="4251" w:type="dxa"/>
            <w:vAlign w:val="center"/>
          </w:tcPr>
          <w:p w14:paraId="74337894">
            <w:pPr>
              <w:wordWrap w:val="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投标人应如实填写《免费保修期内售后服务条款偏离表》，评审委员会根据响应情况进行打分，全部满足或优于要求的得100分。除“★”参数外，每负偏离一项扣15分，扣完为止。</w:t>
            </w:r>
          </w:p>
        </w:tc>
      </w:tr>
      <w:tr w14:paraId="27A1C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vMerge w:val="continue"/>
            <w:vAlign w:val="center"/>
          </w:tcPr>
          <w:p w14:paraId="7412E7FA">
            <w:pPr>
              <w:rPr>
                <w:rFonts w:ascii="宋体" w:hAnsi="宋体" w:eastAsia="宋体" w:cs="宋体"/>
                <w:b/>
                <w:bCs/>
                <w:color w:val="0000FF"/>
                <w:sz w:val="21"/>
                <w:szCs w:val="21"/>
              </w:rPr>
            </w:pPr>
          </w:p>
        </w:tc>
        <w:tc>
          <w:tcPr>
            <w:tcW w:w="570" w:type="dxa"/>
            <w:vAlign w:val="center"/>
          </w:tcPr>
          <w:p w14:paraId="145A62A0">
            <w:pPr>
              <w:wordWrap w:val="0"/>
              <w:jc w:val="center"/>
              <w:rPr>
                <w:rFonts w:ascii="宋体" w:hAnsi="宋体" w:eastAsia="宋体" w:cs="宋体"/>
                <w:sz w:val="21"/>
                <w:szCs w:val="21"/>
              </w:rPr>
            </w:pPr>
            <w:r>
              <w:rPr>
                <w:rFonts w:hint="eastAsia" w:ascii="宋体" w:hAnsi="宋体" w:eastAsia="宋体" w:cs="宋体"/>
                <w:sz w:val="21"/>
                <w:szCs w:val="21"/>
              </w:rPr>
              <w:t>2</w:t>
            </w:r>
          </w:p>
        </w:tc>
        <w:tc>
          <w:tcPr>
            <w:tcW w:w="2267" w:type="dxa"/>
            <w:vAlign w:val="center"/>
          </w:tcPr>
          <w:p w14:paraId="6F2E9178">
            <w:pPr>
              <w:jc w:val="center"/>
              <w:rPr>
                <w:rFonts w:hint="eastAsia" w:ascii="宋体" w:hAnsi="宋体" w:eastAsia="宋体" w:cs="宋体"/>
                <w:sz w:val="21"/>
                <w:szCs w:val="21"/>
              </w:rPr>
            </w:pPr>
            <w:r>
              <w:rPr>
                <w:rFonts w:hint="eastAsia" w:ascii="宋体" w:hAnsi="宋体" w:eastAsia="宋体" w:cs="宋体"/>
                <w:sz w:val="21"/>
                <w:szCs w:val="21"/>
              </w:rPr>
              <w:t>免费保修期外售后服务条款偏离情况</w:t>
            </w:r>
          </w:p>
        </w:tc>
        <w:tc>
          <w:tcPr>
            <w:tcW w:w="771" w:type="dxa"/>
            <w:vAlign w:val="center"/>
          </w:tcPr>
          <w:p w14:paraId="3DDA2095">
            <w:pPr>
              <w:jc w:val="center"/>
              <w:rPr>
                <w:rFonts w:hint="eastAsia" w:ascii="宋体" w:hAnsi="宋体" w:eastAsia="宋体" w:cs="宋体"/>
                <w:sz w:val="21"/>
                <w:szCs w:val="21"/>
              </w:rPr>
            </w:pPr>
            <w:r>
              <w:rPr>
                <w:rFonts w:hint="eastAsia" w:ascii="宋体" w:hAnsi="宋体" w:eastAsia="宋体" w:cs="宋体"/>
                <w:sz w:val="21"/>
                <w:szCs w:val="21"/>
                <w:lang w:val="en-US" w:eastAsia="zh-CN"/>
              </w:rPr>
              <w:t>3</w:t>
            </w:r>
          </w:p>
        </w:tc>
        <w:tc>
          <w:tcPr>
            <w:tcW w:w="4251" w:type="dxa"/>
            <w:vAlign w:val="center"/>
          </w:tcPr>
          <w:p w14:paraId="7420C13A">
            <w:pPr>
              <w:wordWrap w:val="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投标人应如实填写《免费保修期外售后服务条款偏离表》，评审委员会根据响应情况进行打分，全部满足或优于要求的得100分。除“★</w:t>
            </w:r>
            <w:r>
              <w:rPr>
                <w:rFonts w:hint="eastAsia" w:ascii="宋体" w:hAnsi="宋体" w:eastAsia="宋体" w:cs="宋体"/>
                <w:sz w:val="21"/>
                <w:szCs w:val="21"/>
                <w:highlight w:val="none"/>
                <w:lang w:val="en-US" w:eastAsia="zh-CN"/>
              </w:rPr>
              <w:t>”参数外，每负偏离一项扣25分，扣完为止。</w:t>
            </w:r>
          </w:p>
        </w:tc>
      </w:tr>
      <w:tr w14:paraId="75275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vMerge w:val="continue"/>
            <w:vAlign w:val="center"/>
          </w:tcPr>
          <w:p w14:paraId="04EC0B2F">
            <w:pPr>
              <w:rPr>
                <w:rFonts w:ascii="宋体" w:hAnsi="宋体" w:eastAsia="宋体" w:cs="宋体"/>
                <w:b/>
                <w:bCs/>
                <w:color w:val="0000FF"/>
                <w:sz w:val="21"/>
                <w:szCs w:val="21"/>
              </w:rPr>
            </w:pPr>
          </w:p>
        </w:tc>
        <w:tc>
          <w:tcPr>
            <w:tcW w:w="570" w:type="dxa"/>
            <w:vAlign w:val="center"/>
          </w:tcPr>
          <w:p w14:paraId="6E75BEF9">
            <w:pPr>
              <w:wordWrap w:val="0"/>
              <w:jc w:val="center"/>
              <w:rPr>
                <w:rFonts w:ascii="宋体" w:hAnsi="宋体" w:eastAsia="宋体" w:cs="宋体"/>
                <w:sz w:val="21"/>
                <w:szCs w:val="21"/>
              </w:rPr>
            </w:pPr>
            <w:r>
              <w:rPr>
                <w:rFonts w:hint="eastAsia" w:ascii="宋体" w:hAnsi="宋体" w:eastAsia="宋体" w:cs="宋体"/>
                <w:sz w:val="21"/>
                <w:szCs w:val="21"/>
              </w:rPr>
              <w:t>3</w:t>
            </w:r>
          </w:p>
        </w:tc>
        <w:tc>
          <w:tcPr>
            <w:tcW w:w="2267" w:type="dxa"/>
            <w:vAlign w:val="center"/>
          </w:tcPr>
          <w:p w14:paraId="362C3970">
            <w:pPr>
              <w:jc w:val="center"/>
              <w:rPr>
                <w:rFonts w:hint="eastAsia" w:ascii="宋体" w:hAnsi="宋体" w:eastAsia="宋体" w:cs="宋体"/>
                <w:sz w:val="21"/>
                <w:szCs w:val="21"/>
              </w:rPr>
            </w:pPr>
            <w:r>
              <w:rPr>
                <w:rFonts w:hint="eastAsia" w:ascii="宋体" w:hAnsi="宋体" w:eastAsia="宋体" w:cs="宋体"/>
                <w:sz w:val="21"/>
                <w:szCs w:val="21"/>
                <w:lang w:val="en-US" w:eastAsia="zh-CN"/>
              </w:rPr>
              <w:t>奖项</w:t>
            </w:r>
          </w:p>
        </w:tc>
        <w:tc>
          <w:tcPr>
            <w:tcW w:w="771" w:type="dxa"/>
            <w:vAlign w:val="center"/>
          </w:tcPr>
          <w:p w14:paraId="59A45594">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3</w:t>
            </w:r>
          </w:p>
        </w:tc>
        <w:tc>
          <w:tcPr>
            <w:tcW w:w="4251" w:type="dxa"/>
            <w:vAlign w:val="center"/>
          </w:tcPr>
          <w:p w14:paraId="50B2D16F">
            <w:pP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评分内容：</w:t>
            </w:r>
          </w:p>
          <w:p w14:paraId="633D8618">
            <w:pPr>
              <w:wordWrap w:val="0"/>
              <w:rPr>
                <w:rFonts w:hint="eastAsia" w:ascii="宋体" w:hAnsi="宋体" w:eastAsia="宋体" w:cs="宋体"/>
                <w:sz w:val="21"/>
                <w:szCs w:val="21"/>
              </w:rPr>
            </w:pPr>
            <w:r>
              <w:rPr>
                <w:rFonts w:hint="eastAsia" w:ascii="宋体" w:hAnsi="宋体" w:eastAsia="宋体" w:cs="宋体"/>
                <w:sz w:val="21"/>
                <w:szCs w:val="21"/>
              </w:rPr>
              <w:t>投标人获得</w:t>
            </w:r>
            <w:r>
              <w:rPr>
                <w:rFonts w:hint="eastAsia" w:ascii="宋体" w:hAnsi="宋体" w:eastAsia="宋体" w:cs="宋体"/>
                <w:sz w:val="21"/>
                <w:szCs w:val="21"/>
                <w:lang w:val="en-US" w:eastAsia="zh-CN"/>
              </w:rPr>
              <w:t>与本项目</w:t>
            </w:r>
            <w:r>
              <w:rPr>
                <w:rFonts w:hint="eastAsia" w:ascii="宋体" w:hAnsi="宋体" w:eastAsia="宋体" w:cs="宋体"/>
                <w:sz w:val="21"/>
                <w:szCs w:val="21"/>
              </w:rPr>
              <w:t>真空系统</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束流检测装置、高低温系统</w:t>
            </w:r>
            <w:r>
              <w:rPr>
                <w:rFonts w:hint="eastAsia" w:ascii="宋体" w:hAnsi="宋体" w:eastAsia="宋体" w:cs="宋体"/>
                <w:sz w:val="21"/>
                <w:szCs w:val="21"/>
              </w:rPr>
              <w:t>研制相关</w:t>
            </w:r>
            <w:r>
              <w:rPr>
                <w:rFonts w:hint="eastAsia" w:ascii="宋体" w:hAnsi="宋体" w:eastAsia="宋体" w:cs="宋体"/>
                <w:sz w:val="21"/>
                <w:szCs w:val="21"/>
                <w:lang w:val="en-US" w:eastAsia="zh-CN"/>
              </w:rPr>
              <w:t>的科技类奖励，且奖励由省级或以上政府部门或学会、协会颁发的，每</w:t>
            </w:r>
            <w:r>
              <w:rPr>
                <w:rFonts w:hint="eastAsia" w:ascii="宋体" w:hAnsi="宋体" w:eastAsia="宋体" w:cs="宋体"/>
                <w:sz w:val="21"/>
                <w:szCs w:val="21"/>
              </w:rPr>
              <w:t>提供一项得</w:t>
            </w:r>
            <w:r>
              <w:rPr>
                <w:rFonts w:hint="eastAsia" w:ascii="宋体" w:hAnsi="宋体" w:eastAsia="宋体" w:cs="宋体"/>
                <w:sz w:val="21"/>
                <w:szCs w:val="21"/>
                <w:lang w:val="en-US" w:eastAsia="zh-CN"/>
              </w:rPr>
              <w:t>5</w:t>
            </w:r>
            <w:r>
              <w:rPr>
                <w:rFonts w:hint="eastAsia" w:ascii="宋体" w:hAnsi="宋体" w:eastAsia="宋体" w:cs="宋体"/>
                <w:sz w:val="21"/>
                <w:szCs w:val="21"/>
              </w:rPr>
              <w:t>0分</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最高得100分</w:t>
            </w:r>
            <w:r>
              <w:rPr>
                <w:rFonts w:hint="eastAsia" w:ascii="宋体" w:hAnsi="宋体" w:eastAsia="宋体" w:cs="宋体"/>
                <w:sz w:val="21"/>
                <w:szCs w:val="21"/>
              </w:rPr>
              <w:t>。</w:t>
            </w:r>
          </w:p>
          <w:p w14:paraId="3390C4AA">
            <w:pPr>
              <w:rPr>
                <w:rFonts w:hint="eastAsia" w:ascii="宋体" w:hAnsi="宋体" w:eastAsia="宋体" w:cs="宋体"/>
                <w:b/>
                <w:bCs/>
                <w:sz w:val="21"/>
                <w:szCs w:val="21"/>
                <w:lang w:val="zh-CN"/>
              </w:rPr>
            </w:pPr>
            <w:r>
              <w:rPr>
                <w:rFonts w:hint="eastAsia" w:ascii="宋体" w:hAnsi="宋体" w:eastAsia="宋体" w:cs="宋体"/>
                <w:b/>
                <w:bCs/>
                <w:sz w:val="21"/>
                <w:szCs w:val="21"/>
                <w:lang w:val="zh-CN"/>
              </w:rPr>
              <w:t>证明文件：</w:t>
            </w:r>
          </w:p>
          <w:p w14:paraId="5E1BA8EB">
            <w:pPr>
              <w:wordWrap w:val="0"/>
              <w:rPr>
                <w:rFonts w:hint="eastAsia" w:ascii="宋体" w:hAnsi="宋体" w:eastAsia="宋体" w:cs="宋体"/>
                <w:sz w:val="21"/>
                <w:szCs w:val="21"/>
              </w:rPr>
            </w:pPr>
            <w:r>
              <w:rPr>
                <w:rFonts w:hint="eastAsia" w:ascii="宋体" w:hAnsi="宋体" w:eastAsia="宋体" w:cs="宋体"/>
                <w:sz w:val="21"/>
                <w:szCs w:val="21"/>
              </w:rPr>
              <w:t>1.要求提供奖项照片或获奖（荣誉）证书证明材料作为得分依据。如奖励奖项证明由协会或学会颁发的，其协会或学会必须在国家、省或市级民政部门登记备案，投标人在投标文件中需另外提供协会、学会社会团体法人登记证书或在“全国社会组织信用信息公示平台 (https://chinanpo.mca.gov.cn/)”备案登记）的登记备案信息查询截图，未提供的不得分。</w:t>
            </w:r>
          </w:p>
          <w:p w14:paraId="75C6D262">
            <w:pPr>
              <w:wordWrap w:val="0"/>
              <w:rPr>
                <w:rFonts w:hint="eastAsia" w:ascii="宋体" w:hAnsi="宋体" w:eastAsia="宋体" w:cs="宋体"/>
                <w:sz w:val="21"/>
                <w:szCs w:val="21"/>
              </w:rPr>
            </w:pPr>
            <w:r>
              <w:rPr>
                <w:rFonts w:hint="eastAsia" w:ascii="宋体" w:hAnsi="宋体" w:eastAsia="宋体" w:cs="宋体"/>
                <w:sz w:val="21"/>
                <w:szCs w:val="21"/>
              </w:rPr>
              <w:t>2.以上资料均要求提供扫描件。评分中出现无证明资料或专家无法凭所提供资料判断是否得分的情况，一律作不得分处理。</w:t>
            </w:r>
          </w:p>
        </w:tc>
      </w:tr>
      <w:tr w14:paraId="3E7A1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vMerge w:val="continue"/>
            <w:vAlign w:val="center"/>
          </w:tcPr>
          <w:p w14:paraId="54C92E99">
            <w:pPr>
              <w:rPr>
                <w:rFonts w:ascii="宋体" w:hAnsi="宋体" w:eastAsia="宋体" w:cs="宋体"/>
                <w:b/>
                <w:bCs/>
                <w:color w:val="0000FF"/>
                <w:sz w:val="21"/>
                <w:szCs w:val="21"/>
              </w:rPr>
            </w:pPr>
          </w:p>
        </w:tc>
        <w:tc>
          <w:tcPr>
            <w:tcW w:w="570" w:type="dxa"/>
            <w:vAlign w:val="center"/>
          </w:tcPr>
          <w:p w14:paraId="2E56748E">
            <w:pPr>
              <w:wordWrap w:val="0"/>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4</w:t>
            </w:r>
          </w:p>
        </w:tc>
        <w:tc>
          <w:tcPr>
            <w:tcW w:w="2267" w:type="dxa"/>
            <w:vAlign w:val="center"/>
          </w:tcPr>
          <w:p w14:paraId="45C24174">
            <w:pPr>
              <w:jc w:val="center"/>
              <w:rPr>
                <w:rFonts w:ascii="宋体" w:hAnsi="宋体" w:eastAsia="宋体" w:cs="宋体"/>
                <w:sz w:val="21"/>
                <w:szCs w:val="21"/>
              </w:rPr>
            </w:pPr>
            <w:r>
              <w:rPr>
                <w:rFonts w:hint="eastAsia" w:ascii="宋体" w:hAnsi="宋体" w:eastAsia="宋体" w:cs="宋体"/>
                <w:sz w:val="21"/>
                <w:szCs w:val="21"/>
              </w:rPr>
              <w:t>诚信</w:t>
            </w:r>
          </w:p>
        </w:tc>
        <w:tc>
          <w:tcPr>
            <w:tcW w:w="771" w:type="dxa"/>
            <w:vAlign w:val="center"/>
          </w:tcPr>
          <w:p w14:paraId="4855EAA0">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5</w:t>
            </w:r>
          </w:p>
        </w:tc>
        <w:tc>
          <w:tcPr>
            <w:tcW w:w="4251" w:type="dxa"/>
          </w:tcPr>
          <w:p w14:paraId="2316D870">
            <w:pPr>
              <w:wordWrap w:val="0"/>
              <w:rPr>
                <w:rFonts w:ascii="宋体" w:hAnsi="宋体" w:eastAsia="宋体" w:cs="宋体"/>
                <w:sz w:val="21"/>
                <w:szCs w:val="21"/>
              </w:rPr>
            </w:pPr>
            <w:r>
              <w:rPr>
                <w:rFonts w:hint="eastAsia" w:ascii="宋体" w:hAnsi="宋体" w:eastAsia="宋体" w:cs="宋体"/>
                <w:sz w:val="21"/>
                <w:szCs w:val="21"/>
              </w:rPr>
              <w:t>根据《深圳市财政局关于印发&lt;深圳市财政局政府采购供应商信用信息管理办法&gt;的通知》（深财规〔2023〕3号）相关规定，如供应商在全国范围内存在因政府采购违法、违规行为受到财政部门罚款等一般行政处罚信息，或者存在该办法第十一条所称在本市集中采购活动中的一般违法失信行为记录信息，且在公示期内的，本项不得分，否则得满分。</w:t>
            </w:r>
            <w:r>
              <w:rPr>
                <w:rFonts w:hint="eastAsia" w:ascii="宋体" w:hAnsi="宋体" w:eastAsia="宋体" w:cs="宋体"/>
                <w:b/>
                <w:bCs/>
                <w:sz w:val="21"/>
                <w:szCs w:val="21"/>
              </w:rPr>
              <w:t>（采购代理机构通过“信用中国”、“中国政府采购网”、“深圳市政府采购监管网”等渠道查询供应商信用信息，投标人无需提供证明材料。）</w:t>
            </w:r>
          </w:p>
        </w:tc>
      </w:tr>
    </w:tbl>
    <w:p w14:paraId="6C168D32">
      <w:pPr>
        <w:pStyle w:val="23"/>
        <w:spacing w:before="280"/>
        <w:jc w:val="center"/>
        <w:outlineLvl w:val="0"/>
        <w:rPr>
          <w:b/>
          <w:bCs/>
          <w:color w:val="000000"/>
          <w:sz w:val="44"/>
          <w:szCs w:val="44"/>
        </w:rPr>
      </w:pPr>
      <w:r>
        <w:rPr>
          <w:b/>
          <w:bCs/>
          <w:sz w:val="40"/>
          <w:szCs w:val="40"/>
        </w:rPr>
        <w:br w:type="page"/>
      </w:r>
      <w:r>
        <w:rPr>
          <w:b/>
          <w:bCs/>
          <w:color w:val="000000"/>
          <w:sz w:val="44"/>
          <w:szCs w:val="44"/>
        </w:rPr>
        <w:t>目  录</w:t>
      </w:r>
    </w:p>
    <w:p w14:paraId="3833B81E">
      <w:pPr>
        <w:widowControl w:val="0"/>
        <w:ind w:firstLine="422" w:firstLineChars="200"/>
        <w:rPr>
          <w:rFonts w:ascii="宋体" w:hAnsi="宋体" w:eastAsia="宋体" w:cs="宋体"/>
          <w:b/>
          <w:color w:val="000000"/>
          <w:sz w:val="21"/>
          <w:szCs w:val="21"/>
        </w:rPr>
      </w:pPr>
      <w:r>
        <w:rPr>
          <w:rFonts w:hint="eastAsia" w:ascii="宋体" w:hAnsi="宋体" w:eastAsia="宋体" w:cs="宋体"/>
          <w:b/>
          <w:color w:val="000000"/>
          <w:sz w:val="21"/>
          <w:szCs w:val="21"/>
        </w:rPr>
        <w:t>第一册  专用条款</w:t>
      </w:r>
    </w:p>
    <w:p w14:paraId="332B219A">
      <w:pPr>
        <w:ind w:left="720" w:leftChars="300" w:firstLine="632" w:firstLineChars="300"/>
        <w:rPr>
          <w:rFonts w:ascii="宋体" w:hAnsi="宋体" w:eastAsia="宋体" w:cs="宋体"/>
          <w:b/>
          <w:bCs/>
          <w:color w:val="000000"/>
          <w:sz w:val="21"/>
          <w:szCs w:val="21"/>
        </w:rPr>
      </w:pPr>
      <w:r>
        <w:rPr>
          <w:rFonts w:hint="eastAsia" w:ascii="宋体" w:hAnsi="宋体" w:eastAsia="宋体" w:cs="宋体"/>
          <w:b/>
          <w:bCs/>
          <w:color w:val="000000"/>
          <w:sz w:val="21"/>
          <w:szCs w:val="21"/>
        </w:rPr>
        <w:t>关键信息</w:t>
      </w:r>
    </w:p>
    <w:p w14:paraId="18B4EE75">
      <w:pPr>
        <w:ind w:left="720" w:leftChars="300" w:firstLine="630" w:firstLineChars="300"/>
        <w:rPr>
          <w:rFonts w:ascii="宋体" w:hAnsi="宋体" w:eastAsia="宋体" w:cs="宋体"/>
          <w:color w:val="000000"/>
          <w:sz w:val="21"/>
          <w:szCs w:val="21"/>
        </w:rPr>
      </w:pPr>
      <w:r>
        <w:rPr>
          <w:rFonts w:hint="eastAsia" w:ascii="宋体" w:hAnsi="宋体" w:eastAsia="宋体" w:cs="宋体"/>
          <w:color w:val="000000"/>
          <w:sz w:val="21"/>
          <w:szCs w:val="21"/>
        </w:rPr>
        <w:t>第一章  招标公告</w:t>
      </w:r>
    </w:p>
    <w:p w14:paraId="702CCC5A">
      <w:pPr>
        <w:ind w:left="720" w:leftChars="300" w:firstLine="630" w:firstLineChars="300"/>
        <w:rPr>
          <w:rFonts w:ascii="宋体" w:hAnsi="宋体" w:eastAsia="宋体" w:cs="宋体"/>
          <w:color w:val="000000"/>
          <w:sz w:val="21"/>
          <w:szCs w:val="21"/>
        </w:rPr>
      </w:pPr>
      <w:r>
        <w:rPr>
          <w:rFonts w:hint="eastAsia" w:ascii="宋体" w:hAnsi="宋体" w:eastAsia="宋体" w:cs="宋体"/>
          <w:color w:val="000000"/>
          <w:sz w:val="21"/>
          <w:szCs w:val="21"/>
        </w:rPr>
        <w:t>第二章  对通用条款的补充内容及其他关键信息</w:t>
      </w:r>
    </w:p>
    <w:p w14:paraId="01A88E56">
      <w:pPr>
        <w:ind w:left="720" w:leftChars="300" w:firstLine="630" w:firstLineChars="300"/>
        <w:rPr>
          <w:rFonts w:ascii="宋体" w:hAnsi="宋体" w:eastAsia="宋体" w:cs="宋体"/>
          <w:color w:val="000000"/>
          <w:sz w:val="21"/>
          <w:szCs w:val="21"/>
        </w:rPr>
      </w:pPr>
      <w:r>
        <w:rPr>
          <w:rFonts w:hint="eastAsia" w:ascii="宋体" w:hAnsi="宋体" w:eastAsia="宋体" w:cs="宋体"/>
          <w:color w:val="000000"/>
          <w:sz w:val="21"/>
          <w:szCs w:val="21"/>
        </w:rPr>
        <w:t>第三章  用户需求书</w:t>
      </w:r>
    </w:p>
    <w:p w14:paraId="3A69339D">
      <w:pPr>
        <w:ind w:left="720" w:leftChars="300" w:firstLine="630" w:firstLineChars="300"/>
        <w:rPr>
          <w:rFonts w:ascii="宋体" w:hAnsi="宋体" w:eastAsia="宋体" w:cs="宋体"/>
          <w:color w:val="000000"/>
          <w:sz w:val="21"/>
          <w:szCs w:val="21"/>
        </w:rPr>
      </w:pPr>
      <w:r>
        <w:rPr>
          <w:rFonts w:hint="eastAsia" w:ascii="宋体" w:hAnsi="宋体" w:eastAsia="宋体" w:cs="宋体"/>
          <w:color w:val="000000"/>
          <w:sz w:val="21"/>
          <w:szCs w:val="21"/>
        </w:rPr>
        <w:t>第四章  投标文件组成要求及格式</w:t>
      </w:r>
    </w:p>
    <w:p w14:paraId="70EDD49E">
      <w:pPr>
        <w:ind w:left="720" w:leftChars="300" w:firstLine="630" w:firstLineChars="300"/>
        <w:rPr>
          <w:rFonts w:ascii="宋体" w:hAnsi="宋体" w:eastAsia="宋体" w:cs="宋体"/>
          <w:color w:val="000000"/>
          <w:sz w:val="21"/>
          <w:szCs w:val="21"/>
        </w:rPr>
      </w:pPr>
      <w:r>
        <w:rPr>
          <w:rFonts w:hint="eastAsia" w:ascii="宋体" w:hAnsi="宋体" w:eastAsia="宋体" w:cs="宋体"/>
          <w:color w:val="000000"/>
          <w:sz w:val="21"/>
          <w:szCs w:val="21"/>
        </w:rPr>
        <w:t>第五章  合同条款及参考格式</w:t>
      </w:r>
    </w:p>
    <w:p w14:paraId="6F029ABF">
      <w:pPr>
        <w:ind w:left="720" w:leftChars="300" w:firstLine="630" w:firstLineChars="300"/>
        <w:rPr>
          <w:rFonts w:ascii="宋体" w:hAnsi="宋体" w:eastAsia="宋体" w:cs="宋体"/>
          <w:color w:val="000000"/>
          <w:sz w:val="21"/>
          <w:szCs w:val="21"/>
        </w:rPr>
      </w:pPr>
    </w:p>
    <w:p w14:paraId="51F77A36">
      <w:pPr>
        <w:rPr>
          <w:rFonts w:ascii="宋体" w:hAnsi="宋体" w:eastAsia="宋体" w:cs="宋体"/>
          <w:b/>
          <w:color w:val="000000"/>
          <w:sz w:val="21"/>
          <w:szCs w:val="21"/>
        </w:rPr>
      </w:pPr>
    </w:p>
    <w:p w14:paraId="1E1847F4">
      <w:pPr>
        <w:widowControl w:val="0"/>
        <w:ind w:firstLine="422" w:firstLineChars="200"/>
        <w:rPr>
          <w:rFonts w:ascii="宋体" w:hAnsi="宋体" w:eastAsia="宋体" w:cs="宋体"/>
          <w:b/>
          <w:color w:val="000000"/>
          <w:sz w:val="21"/>
          <w:szCs w:val="21"/>
        </w:rPr>
      </w:pPr>
      <w:r>
        <w:rPr>
          <w:rFonts w:hint="eastAsia" w:ascii="宋体" w:hAnsi="宋体" w:eastAsia="宋体" w:cs="宋体"/>
          <w:b/>
          <w:color w:val="000000"/>
          <w:sz w:val="21"/>
          <w:szCs w:val="21"/>
        </w:rPr>
        <w:t>第二册  通用条款</w:t>
      </w:r>
    </w:p>
    <w:p w14:paraId="248D296B">
      <w:pPr>
        <w:ind w:left="720" w:leftChars="300" w:firstLine="630" w:firstLineChars="300"/>
        <w:rPr>
          <w:rFonts w:ascii="宋体" w:hAnsi="宋体" w:eastAsia="宋体" w:cs="宋体"/>
          <w:color w:val="000000"/>
          <w:sz w:val="21"/>
          <w:szCs w:val="21"/>
        </w:rPr>
      </w:pPr>
      <w:r>
        <w:rPr>
          <w:rFonts w:hint="eastAsia" w:ascii="宋体" w:hAnsi="宋体" w:eastAsia="宋体" w:cs="宋体"/>
          <w:color w:val="000000"/>
          <w:sz w:val="21"/>
          <w:szCs w:val="21"/>
        </w:rPr>
        <w:t>第一章  总则</w:t>
      </w:r>
    </w:p>
    <w:p w14:paraId="567AB62D">
      <w:pPr>
        <w:ind w:left="720" w:leftChars="300" w:firstLine="630" w:firstLineChars="300"/>
        <w:rPr>
          <w:rFonts w:ascii="宋体" w:hAnsi="宋体" w:eastAsia="宋体" w:cs="宋体"/>
          <w:color w:val="000000"/>
          <w:sz w:val="21"/>
          <w:szCs w:val="21"/>
        </w:rPr>
      </w:pPr>
      <w:r>
        <w:rPr>
          <w:rFonts w:hint="eastAsia" w:ascii="宋体" w:hAnsi="宋体" w:eastAsia="宋体" w:cs="宋体"/>
          <w:color w:val="000000"/>
          <w:sz w:val="21"/>
          <w:szCs w:val="21"/>
        </w:rPr>
        <w:t>第二章  招标文件</w:t>
      </w:r>
    </w:p>
    <w:p w14:paraId="3CABC10D">
      <w:pPr>
        <w:ind w:left="720" w:leftChars="300" w:firstLine="630" w:firstLineChars="300"/>
        <w:rPr>
          <w:rFonts w:ascii="宋体" w:hAnsi="宋体" w:eastAsia="宋体" w:cs="宋体"/>
          <w:color w:val="000000"/>
          <w:sz w:val="21"/>
          <w:szCs w:val="21"/>
        </w:rPr>
      </w:pPr>
      <w:r>
        <w:rPr>
          <w:rFonts w:hint="eastAsia" w:ascii="宋体" w:hAnsi="宋体" w:eastAsia="宋体" w:cs="宋体"/>
          <w:color w:val="000000"/>
          <w:sz w:val="21"/>
          <w:szCs w:val="21"/>
        </w:rPr>
        <w:t>第三章  投标文件的编制</w:t>
      </w:r>
    </w:p>
    <w:p w14:paraId="2419EE5C">
      <w:pPr>
        <w:ind w:left="720" w:leftChars="300" w:firstLine="630" w:firstLineChars="300"/>
        <w:rPr>
          <w:rFonts w:ascii="宋体" w:hAnsi="宋体" w:eastAsia="宋体" w:cs="宋体"/>
          <w:color w:val="000000"/>
          <w:sz w:val="21"/>
          <w:szCs w:val="21"/>
        </w:rPr>
      </w:pPr>
      <w:r>
        <w:rPr>
          <w:rFonts w:hint="eastAsia" w:ascii="宋体" w:hAnsi="宋体" w:eastAsia="宋体" w:cs="宋体"/>
          <w:color w:val="000000"/>
          <w:sz w:val="21"/>
          <w:szCs w:val="21"/>
        </w:rPr>
        <w:t>第四章  投标文件的递交</w:t>
      </w:r>
    </w:p>
    <w:p w14:paraId="11DA02B6">
      <w:pPr>
        <w:ind w:left="720" w:leftChars="300" w:firstLine="630" w:firstLineChars="300"/>
        <w:rPr>
          <w:rFonts w:ascii="宋体" w:hAnsi="宋体" w:eastAsia="宋体" w:cs="宋体"/>
          <w:color w:val="000000"/>
          <w:sz w:val="21"/>
          <w:szCs w:val="21"/>
        </w:rPr>
      </w:pPr>
      <w:r>
        <w:rPr>
          <w:rFonts w:hint="eastAsia" w:ascii="宋体" w:hAnsi="宋体" w:eastAsia="宋体" w:cs="宋体"/>
          <w:color w:val="000000"/>
          <w:sz w:val="21"/>
          <w:szCs w:val="21"/>
        </w:rPr>
        <w:t>第五章  开标</w:t>
      </w:r>
    </w:p>
    <w:p w14:paraId="73A6B7F0">
      <w:pPr>
        <w:ind w:left="720" w:leftChars="300" w:firstLine="630" w:firstLineChars="300"/>
        <w:rPr>
          <w:rFonts w:ascii="宋体" w:hAnsi="宋体" w:eastAsia="宋体" w:cs="宋体"/>
          <w:color w:val="000000"/>
          <w:sz w:val="21"/>
          <w:szCs w:val="21"/>
        </w:rPr>
      </w:pPr>
      <w:r>
        <w:rPr>
          <w:rFonts w:hint="eastAsia" w:ascii="宋体" w:hAnsi="宋体" w:eastAsia="宋体" w:cs="宋体"/>
          <w:color w:val="000000"/>
          <w:sz w:val="21"/>
          <w:szCs w:val="21"/>
        </w:rPr>
        <w:t>第六章  评标要求</w:t>
      </w:r>
    </w:p>
    <w:p w14:paraId="5DEB5863">
      <w:pPr>
        <w:ind w:left="720" w:leftChars="300" w:firstLine="630" w:firstLineChars="300"/>
        <w:rPr>
          <w:rFonts w:ascii="宋体" w:hAnsi="宋体" w:eastAsia="宋体" w:cs="宋体"/>
          <w:color w:val="000000"/>
          <w:sz w:val="21"/>
          <w:szCs w:val="21"/>
        </w:rPr>
      </w:pPr>
      <w:r>
        <w:rPr>
          <w:rFonts w:hint="eastAsia" w:ascii="宋体" w:hAnsi="宋体" w:eastAsia="宋体" w:cs="宋体"/>
          <w:color w:val="000000"/>
          <w:sz w:val="21"/>
          <w:szCs w:val="21"/>
        </w:rPr>
        <w:t>第七章  评标程序及评标方法</w:t>
      </w:r>
    </w:p>
    <w:p w14:paraId="28AAC4E1">
      <w:pPr>
        <w:ind w:left="720" w:leftChars="300" w:firstLine="630" w:firstLineChars="300"/>
        <w:rPr>
          <w:rFonts w:ascii="宋体" w:hAnsi="宋体" w:eastAsia="宋体" w:cs="宋体"/>
          <w:color w:val="000000"/>
          <w:sz w:val="21"/>
          <w:szCs w:val="21"/>
        </w:rPr>
      </w:pPr>
      <w:r>
        <w:rPr>
          <w:rFonts w:hint="eastAsia" w:ascii="宋体" w:hAnsi="宋体" w:eastAsia="宋体" w:cs="宋体"/>
          <w:color w:val="000000"/>
          <w:sz w:val="21"/>
          <w:szCs w:val="21"/>
        </w:rPr>
        <w:t>第八章  定标及公示</w:t>
      </w:r>
    </w:p>
    <w:p w14:paraId="3A4FA954">
      <w:pPr>
        <w:ind w:left="720" w:leftChars="300" w:firstLine="630" w:firstLineChars="300"/>
        <w:rPr>
          <w:rFonts w:ascii="宋体" w:hAnsi="宋体" w:eastAsia="宋体" w:cs="宋体"/>
          <w:color w:val="000000"/>
          <w:sz w:val="21"/>
          <w:szCs w:val="21"/>
        </w:rPr>
      </w:pPr>
      <w:r>
        <w:rPr>
          <w:rFonts w:hint="eastAsia" w:ascii="宋体" w:hAnsi="宋体" w:eastAsia="宋体" w:cs="宋体"/>
          <w:color w:val="000000"/>
          <w:sz w:val="21"/>
          <w:szCs w:val="21"/>
        </w:rPr>
        <w:t>第九章  公开招标失败的后续处理</w:t>
      </w:r>
    </w:p>
    <w:p w14:paraId="1D1FE132">
      <w:pPr>
        <w:ind w:left="720" w:leftChars="300" w:firstLine="630" w:firstLineChars="300"/>
        <w:rPr>
          <w:rFonts w:ascii="宋体" w:hAnsi="宋体" w:eastAsia="宋体" w:cs="宋体"/>
          <w:color w:val="000000"/>
          <w:sz w:val="21"/>
          <w:szCs w:val="21"/>
        </w:rPr>
      </w:pPr>
      <w:r>
        <w:rPr>
          <w:rFonts w:hint="eastAsia" w:ascii="宋体" w:hAnsi="宋体" w:eastAsia="宋体" w:cs="宋体"/>
          <w:color w:val="000000"/>
          <w:sz w:val="21"/>
          <w:szCs w:val="21"/>
        </w:rPr>
        <w:t>第十章  合同的授予与备案</w:t>
      </w:r>
    </w:p>
    <w:p w14:paraId="6B0F014B">
      <w:pPr>
        <w:ind w:left="720" w:leftChars="300" w:firstLine="630" w:firstLineChars="300"/>
        <w:rPr>
          <w:rFonts w:ascii="宋体" w:hAnsi="宋体" w:eastAsia="宋体" w:cs="宋体"/>
          <w:color w:val="000000"/>
          <w:sz w:val="21"/>
          <w:szCs w:val="21"/>
        </w:rPr>
      </w:pPr>
      <w:r>
        <w:rPr>
          <w:rFonts w:hint="eastAsia" w:ascii="宋体" w:hAnsi="宋体" w:eastAsia="宋体" w:cs="宋体"/>
          <w:color w:val="000000"/>
          <w:sz w:val="21"/>
          <w:szCs w:val="21"/>
        </w:rPr>
        <w:t>第十一章  质疑处理</w:t>
      </w:r>
    </w:p>
    <w:p w14:paraId="39B19B0C">
      <w:pPr>
        <w:ind w:left="720" w:leftChars="300" w:firstLine="621" w:firstLineChars="296"/>
        <w:rPr>
          <w:rFonts w:ascii="宋体" w:hAnsi="宋体" w:eastAsia="宋体" w:cs="宋体"/>
          <w:color w:val="000000"/>
          <w:sz w:val="21"/>
          <w:szCs w:val="21"/>
        </w:rPr>
      </w:pPr>
      <w:r>
        <w:rPr>
          <w:rFonts w:hint="eastAsia" w:ascii="宋体" w:hAnsi="宋体" w:eastAsia="宋体" w:cs="宋体"/>
          <w:color w:val="000000"/>
          <w:sz w:val="21"/>
          <w:szCs w:val="21"/>
        </w:rPr>
        <w:t>第十二章  附录（相关政策）</w:t>
      </w:r>
    </w:p>
    <w:p w14:paraId="6D95FE7D">
      <w:pPr>
        <w:rPr>
          <w:rFonts w:ascii="宋体" w:hAnsi="宋体" w:eastAsia="宋体" w:cs="宋体"/>
          <w:b/>
          <w:color w:val="000000"/>
          <w:sz w:val="21"/>
          <w:szCs w:val="21"/>
        </w:rPr>
      </w:pPr>
      <w:r>
        <w:rPr>
          <w:rFonts w:hint="eastAsia" w:ascii="宋体" w:hAnsi="宋体" w:eastAsia="宋体" w:cs="宋体"/>
          <w:b/>
          <w:color w:val="000000"/>
          <w:sz w:val="21"/>
          <w:szCs w:val="21"/>
        </w:rPr>
        <w:t>备注：</w:t>
      </w:r>
    </w:p>
    <w:p w14:paraId="2E50E72A">
      <w:pPr>
        <w:widowControl w:val="0"/>
        <w:ind w:firstLine="420" w:firstLineChars="200"/>
        <w:rPr>
          <w:rFonts w:ascii="宋体" w:hAnsi="宋体" w:eastAsia="宋体" w:cs="宋体"/>
          <w:b/>
          <w:color w:val="000000"/>
          <w:sz w:val="21"/>
          <w:szCs w:val="21"/>
        </w:rPr>
      </w:pPr>
      <w:r>
        <w:rPr>
          <w:rFonts w:hint="eastAsia" w:ascii="宋体" w:hAnsi="宋体" w:eastAsia="宋体" w:cs="宋体"/>
          <w:color w:val="000000"/>
          <w:sz w:val="21"/>
          <w:szCs w:val="21"/>
        </w:rPr>
        <w:t>1.本招标文件分为第一册“专用条款”和第二册“通用条款”。</w:t>
      </w:r>
    </w:p>
    <w:p w14:paraId="70C10382">
      <w:pPr>
        <w:widowControl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2.“专用条款”是对本次采购项目的具体要求，包含招标公告、对通用条款的补充内容及其他关键信息、用户需求书、投标文件组成要求及格式、合同条款及参考格式等内容。</w:t>
      </w:r>
    </w:p>
    <w:p w14:paraId="37B0767B">
      <w:pPr>
        <w:widowControl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3.“通用条款”是通用于政府采购项目的基础性条款，具有普遍性和通用性。</w:t>
      </w:r>
    </w:p>
    <w:p w14:paraId="07BE2806">
      <w:pPr>
        <w:pStyle w:val="21"/>
        <w:widowControl w:val="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4.当出现“专用条款”和“通用条款”表述不一致或有冲突时，以“专用条款”为准。</w:t>
      </w:r>
    </w:p>
    <w:p w14:paraId="251231C4">
      <w:pPr>
        <w:pStyle w:val="21"/>
        <w:widowControl w:val="0"/>
        <w:ind w:firstLine="420" w:firstLineChars="200"/>
        <w:rPr>
          <w:rFonts w:ascii="宋体" w:hAnsi="宋体" w:eastAsia="宋体" w:cs="宋体"/>
          <w:color w:val="000000"/>
          <w:sz w:val="21"/>
          <w:szCs w:val="21"/>
        </w:rPr>
      </w:pPr>
      <w:r>
        <w:rPr>
          <w:rFonts w:hint="eastAsia" w:ascii="宋体" w:hAnsi="宋体" w:cs="宋体"/>
          <w:color w:val="000000"/>
          <w:sz w:val="21"/>
          <w:szCs w:val="21"/>
        </w:rPr>
        <w:t>5.带有“</w:t>
      </w:r>
      <w:r>
        <w:rPr>
          <w:color w:val="000000"/>
        </w:rPr>
        <w:drawing>
          <wp:inline distT="0" distB="0" distL="114300" distR="114300">
            <wp:extent cx="165735" cy="144145"/>
            <wp:effectExtent l="0" t="0" r="1905"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165735" cy="144145"/>
                    </a:xfrm>
                    <a:prstGeom prst="rect">
                      <a:avLst/>
                    </a:prstGeom>
                    <a:noFill/>
                    <a:ln>
                      <a:noFill/>
                    </a:ln>
                  </pic:spPr>
                </pic:pic>
              </a:graphicData>
            </a:graphic>
          </wp:inline>
        </w:drawing>
      </w:r>
      <w:r>
        <w:rPr>
          <w:rFonts w:hint="eastAsia" w:ascii="宋体" w:hAnsi="宋体" w:cs="宋体"/>
          <w:color w:val="000000"/>
          <w:sz w:val="21"/>
          <w:szCs w:val="21"/>
        </w:rPr>
        <w:t>”标识的要求代表适用于本项目；带有“</w:t>
      </w:r>
      <w:r>
        <w:rPr>
          <w:color w:val="000000"/>
        </w:rPr>
        <w:drawing>
          <wp:inline distT="0" distB="0" distL="114300" distR="114300">
            <wp:extent cx="144145" cy="144145"/>
            <wp:effectExtent l="0" t="0" r="8255" b="825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8"/>
                    <a:stretch>
                      <a:fillRect/>
                    </a:stretch>
                  </pic:blipFill>
                  <pic:spPr>
                    <a:xfrm>
                      <a:off x="0" y="0"/>
                      <a:ext cx="144145" cy="144145"/>
                    </a:xfrm>
                    <a:prstGeom prst="rect">
                      <a:avLst/>
                    </a:prstGeom>
                    <a:noFill/>
                    <a:ln>
                      <a:noFill/>
                    </a:ln>
                  </pic:spPr>
                </pic:pic>
              </a:graphicData>
            </a:graphic>
          </wp:inline>
        </w:drawing>
      </w:r>
      <w:r>
        <w:rPr>
          <w:rFonts w:hint="eastAsia" w:ascii="宋体" w:hAnsi="宋体" w:cs="宋体"/>
          <w:color w:val="000000"/>
          <w:sz w:val="21"/>
          <w:szCs w:val="21"/>
        </w:rPr>
        <w:t>”标识的要求代表不适用于本项目。</w:t>
      </w:r>
    </w:p>
    <w:p w14:paraId="460BFFE6">
      <w:pPr>
        <w:spacing w:line="360" w:lineRule="auto"/>
        <w:ind w:firstLine="480" w:firstLineChars="200"/>
        <w:rPr>
          <w:color w:val="000000"/>
          <w:szCs w:val="21"/>
        </w:rPr>
      </w:pPr>
    </w:p>
    <w:p w14:paraId="5564F046">
      <w:pPr>
        <w:pStyle w:val="3"/>
        <w:rPr>
          <w:rFonts w:hint="eastAsia" w:ascii="Times New Roman" w:hAnsi="Times New Roman" w:eastAsia="Times New Roman" w:cs="Times New Roman"/>
          <w:b/>
          <w:bCs/>
          <w:sz w:val="36"/>
          <w:szCs w:val="36"/>
        </w:rPr>
      </w:pPr>
      <w:r>
        <w:rPr>
          <w:rFonts w:eastAsia="宋体"/>
        </w:rPr>
        <w:br w:type="page"/>
      </w:r>
      <w:bookmarkStart w:id="0" w:name="bt投标人情况介绍"/>
      <w:bookmarkEnd w:id="0"/>
      <w:bookmarkStart w:id="1" w:name="bt合同条款及格式"/>
      <w:bookmarkEnd w:id="1"/>
      <w:bookmarkStart w:id="2" w:name="bt商务标投标文件格式"/>
      <w:bookmarkEnd w:id="2"/>
      <w:bookmarkStart w:id="3" w:name="bt投标报价汇总表"/>
      <w:bookmarkEnd w:id="3"/>
      <w:bookmarkStart w:id="4" w:name="bt投标文件签署授权委托书"/>
      <w:bookmarkEnd w:id="4"/>
      <w:bookmarkStart w:id="5" w:name="bt开标一览表"/>
      <w:bookmarkEnd w:id="5"/>
      <w:bookmarkStart w:id="6" w:name="bt合同条款"/>
      <w:bookmarkEnd w:id="6"/>
      <w:bookmarkStart w:id="7" w:name="bt其他资料由投标人自定"/>
      <w:bookmarkEnd w:id="7"/>
      <w:bookmarkStart w:id="8" w:name="bt投标函"/>
      <w:bookmarkEnd w:id="8"/>
      <w:bookmarkStart w:id="9" w:name="bt其他资料2"/>
      <w:bookmarkEnd w:id="9"/>
      <w:bookmarkStart w:id="10" w:name="合同格式"/>
      <w:bookmarkEnd w:id="10"/>
      <w:bookmarkStart w:id="11" w:name="bt合同格式"/>
      <w:bookmarkEnd w:id="11"/>
      <w:bookmarkStart w:id="12" w:name="bt投标人须知"/>
      <w:bookmarkEnd w:id="12"/>
      <w:bookmarkStart w:id="13" w:name="bt本工程承诺书"/>
      <w:bookmarkEnd w:id="13"/>
      <w:bookmarkStart w:id="14" w:name="bt说明"/>
      <w:bookmarkEnd w:id="14"/>
      <w:bookmarkStart w:id="15" w:name="bt技术标投标文件格式"/>
      <w:bookmarkEnd w:id="15"/>
      <w:bookmarkStart w:id="16" w:name="bt项目管理班子配备情况"/>
      <w:bookmarkEnd w:id="16"/>
      <w:r>
        <w:rPr>
          <w:rFonts w:hint="eastAsia" w:ascii="Times New Roman" w:hAnsi="Times New Roman" w:eastAsia="Times New Roman" w:cs="Times New Roman"/>
          <w:b/>
          <w:bCs/>
          <w:sz w:val="36"/>
          <w:szCs w:val="36"/>
        </w:rPr>
        <w:t>第一册  专用条款</w:t>
      </w:r>
    </w:p>
    <w:p w14:paraId="1C627F7B">
      <w:pPr>
        <w:pStyle w:val="3"/>
        <w:rPr>
          <w:b/>
          <w:bCs/>
          <w:sz w:val="28"/>
          <w:szCs w:val="28"/>
        </w:rPr>
      </w:pPr>
      <w:r>
        <w:rPr>
          <w:rFonts w:hint="eastAsia" w:ascii="宋体" w:hAnsi="宋体" w:eastAsia="宋体" w:cs="宋体"/>
          <w:b/>
          <w:bCs/>
          <w:sz w:val="28"/>
          <w:szCs w:val="28"/>
        </w:rPr>
        <w:t>第</w:t>
      </w:r>
      <w:r>
        <w:rPr>
          <w:rFonts w:hint="eastAsia"/>
          <w:b/>
          <w:bCs/>
          <w:sz w:val="28"/>
          <w:szCs w:val="28"/>
        </w:rPr>
        <w:t xml:space="preserve">一章  </w:t>
      </w:r>
      <w:r>
        <w:rPr>
          <w:b/>
          <w:bCs/>
          <w:sz w:val="28"/>
          <w:szCs w:val="28"/>
        </w:rPr>
        <w:t>招标公告</w:t>
      </w:r>
    </w:p>
    <w:p w14:paraId="09C14131"/>
    <w:p w14:paraId="55EEAE6B">
      <w:pPr>
        <w:ind w:firstLine="480" w:firstLineChars="200"/>
        <w:jc w:val="right"/>
        <w:rPr>
          <w:rFonts w:ascii="宋体" w:hAnsi="宋体" w:eastAsia="宋体" w:cs="宋体"/>
          <w:szCs w:val="21"/>
          <w:highlight w:val="green"/>
        </w:rPr>
      </w:pPr>
      <w:r>
        <w:rPr>
          <w:rFonts w:hint="eastAsia" w:ascii="宋体" w:hAnsi="宋体" w:cs="宋体"/>
          <w:szCs w:val="21"/>
        </w:rPr>
        <w:t>文件编码：0722-26FE8265SZF-2</w:t>
      </w:r>
    </w:p>
    <w:p w14:paraId="40A632DC">
      <w:pPr>
        <w:pStyle w:val="4"/>
        <w:spacing w:before="0" w:after="0" w:line="240" w:lineRule="auto"/>
        <w:rPr>
          <w:rFonts w:cs="宋体"/>
          <w:sz w:val="21"/>
          <w:szCs w:val="21"/>
        </w:rPr>
      </w:pPr>
      <w:r>
        <w:rPr>
          <w:rFonts w:hint="eastAsia" w:cs="宋体"/>
          <w:sz w:val="21"/>
          <w:szCs w:val="21"/>
        </w:rPr>
        <w:t xml:space="preserve">一、项目概况： </w:t>
      </w:r>
    </w:p>
    <w:p w14:paraId="42FA02A8">
      <w:pPr>
        <w:ind w:firstLine="420" w:firstLineChars="200"/>
        <w:rPr>
          <w:rFonts w:ascii="宋体" w:eastAsia="宋体" w:cs="宋体"/>
          <w:sz w:val="21"/>
          <w:szCs w:val="21"/>
        </w:rPr>
      </w:pPr>
      <w:r>
        <w:rPr>
          <w:rFonts w:hint="eastAsia" w:ascii="宋体" w:hAnsi="宋体" w:eastAsia="宋体" w:cs="宋体"/>
          <w:sz w:val="21"/>
          <w:szCs w:val="21"/>
          <w:lang w:eastAsia="zh-CN"/>
        </w:rPr>
        <w:t>低温质子辐照终端</w:t>
      </w:r>
      <w:r>
        <w:rPr>
          <w:rFonts w:hint="eastAsia" w:ascii="宋体" w:hAnsi="宋体" w:eastAsia="宋体" w:cs="宋体"/>
          <w:sz w:val="21"/>
          <w:szCs w:val="21"/>
        </w:rPr>
        <w:t>采购项目</w:t>
      </w:r>
      <w:r>
        <w:rPr>
          <w:rFonts w:hint="eastAsia" w:ascii="宋体" w:hAnsi="宋体" w:cs="宋体"/>
          <w:sz w:val="21"/>
          <w:szCs w:val="21"/>
        </w:rPr>
        <w:t>的潜在投标人应在（本项目招标公告附件中）获取本项目的招标文件，并于</w:t>
      </w:r>
      <w:r>
        <w:rPr>
          <w:rFonts w:hint="eastAsia" w:ascii="宋体" w:hAnsi="宋体" w:cs="宋体"/>
          <w:sz w:val="21"/>
          <w:szCs w:val="21"/>
          <w:u w:val="single"/>
        </w:rPr>
        <w:t>202*年*月*日*时*分（具体时间详见“深圳公共资源交易网”招标（采购）公告）前</w:t>
      </w:r>
      <w:r>
        <w:rPr>
          <w:rFonts w:hint="eastAsia" w:ascii="宋体" w:hAnsi="宋体" w:cs="宋体"/>
          <w:sz w:val="21"/>
          <w:szCs w:val="21"/>
        </w:rPr>
        <w:t>递交投标文件。</w:t>
      </w:r>
      <w:r>
        <w:rPr>
          <w:rFonts w:hint="eastAsia" w:ascii="宋体" w:eastAsia="宋体" w:cs="宋体"/>
          <w:sz w:val="21"/>
          <w:szCs w:val="21"/>
        </w:rPr>
        <w:t xml:space="preserve"> </w:t>
      </w:r>
    </w:p>
    <w:p w14:paraId="0C44AD9E">
      <w:pPr>
        <w:pStyle w:val="4"/>
        <w:spacing w:before="0" w:after="0" w:line="240" w:lineRule="auto"/>
        <w:rPr>
          <w:rFonts w:cs="宋体"/>
          <w:sz w:val="21"/>
          <w:szCs w:val="21"/>
        </w:rPr>
      </w:pPr>
      <w:r>
        <w:rPr>
          <w:rFonts w:hint="eastAsia" w:cs="宋体"/>
          <w:sz w:val="21"/>
          <w:szCs w:val="21"/>
        </w:rPr>
        <w:t xml:space="preserve">二、项目基本情况： </w:t>
      </w:r>
    </w:p>
    <w:p w14:paraId="41C53DEC">
      <w:pPr>
        <w:ind w:firstLine="420" w:firstLineChars="200"/>
        <w:rPr>
          <w:rFonts w:ascii="宋体" w:hAnsi="宋体" w:cs="宋体"/>
          <w:sz w:val="21"/>
          <w:szCs w:val="21"/>
        </w:rPr>
      </w:pPr>
      <w:r>
        <w:rPr>
          <w:rFonts w:hint="eastAsia" w:ascii="宋体" w:hAnsi="宋体" w:cs="宋体"/>
          <w:sz w:val="21"/>
          <w:szCs w:val="21"/>
        </w:rPr>
        <w:t>1.项目编号：</w:t>
      </w:r>
      <w:r>
        <w:rPr>
          <w:rFonts w:hint="eastAsia" w:ascii="宋体" w:hAnsi="宋体" w:eastAsia="宋体" w:cs="宋体"/>
          <w:sz w:val="21"/>
          <w:szCs w:val="21"/>
          <w:lang w:eastAsia="zh-CN"/>
        </w:rPr>
        <w:t>SZDL2026001799</w:t>
      </w:r>
      <w:r>
        <w:rPr>
          <w:rFonts w:hint="eastAsia" w:ascii="宋体" w:hAnsi="宋体" w:cs="宋体"/>
          <w:sz w:val="21"/>
          <w:szCs w:val="21"/>
        </w:rPr>
        <w:t xml:space="preserve"> </w:t>
      </w:r>
    </w:p>
    <w:p w14:paraId="46E55110">
      <w:pPr>
        <w:ind w:firstLine="420" w:firstLineChars="200"/>
        <w:rPr>
          <w:rFonts w:ascii="宋体" w:hAnsi="宋体" w:cs="宋体"/>
          <w:sz w:val="21"/>
          <w:szCs w:val="21"/>
        </w:rPr>
      </w:pPr>
      <w:r>
        <w:rPr>
          <w:rFonts w:hint="eastAsia" w:ascii="宋体" w:hAnsi="宋体" w:cs="宋体"/>
          <w:sz w:val="21"/>
          <w:szCs w:val="21"/>
        </w:rPr>
        <w:t>2.项目名称：</w:t>
      </w:r>
      <w:r>
        <w:rPr>
          <w:rFonts w:hint="eastAsia" w:ascii="宋体" w:hAnsi="宋体" w:eastAsia="宋体" w:cs="宋体"/>
          <w:sz w:val="21"/>
          <w:szCs w:val="21"/>
          <w:lang w:eastAsia="zh-CN"/>
        </w:rPr>
        <w:t>低温质子辐照终端</w:t>
      </w:r>
      <w:r>
        <w:rPr>
          <w:rFonts w:hint="eastAsia" w:ascii="宋体" w:hAnsi="宋体" w:cs="宋体"/>
          <w:sz w:val="21"/>
          <w:szCs w:val="21"/>
        </w:rPr>
        <w:t xml:space="preserve"> </w:t>
      </w:r>
    </w:p>
    <w:p w14:paraId="6663B3D8">
      <w:pPr>
        <w:ind w:firstLine="420" w:firstLineChars="200"/>
        <w:rPr>
          <w:rFonts w:ascii="宋体" w:hAnsi="宋体" w:cs="宋体"/>
          <w:sz w:val="21"/>
          <w:szCs w:val="21"/>
        </w:rPr>
      </w:pPr>
      <w:r>
        <w:rPr>
          <w:rFonts w:hint="eastAsia" w:ascii="宋体" w:hAnsi="宋体" w:cs="宋体"/>
          <w:sz w:val="21"/>
          <w:szCs w:val="21"/>
        </w:rPr>
        <w:t>3.预算金额：</w:t>
      </w:r>
      <w:r>
        <w:rPr>
          <w:rFonts w:hint="eastAsia" w:ascii="宋体" w:hAnsi="宋体" w:eastAsia="宋体" w:cs="宋体"/>
          <w:sz w:val="21"/>
          <w:szCs w:val="21"/>
        </w:rPr>
        <w:t>人民币</w:t>
      </w:r>
      <w:r>
        <w:rPr>
          <w:rFonts w:hint="eastAsia" w:ascii="宋体" w:hAnsi="宋体" w:eastAsia="宋体" w:cs="宋体"/>
          <w:sz w:val="21"/>
          <w:szCs w:val="21"/>
          <w:lang w:val="en-US" w:eastAsia="zh-CN"/>
        </w:rPr>
        <w:t>壹仟肆佰万</w:t>
      </w:r>
      <w:r>
        <w:rPr>
          <w:rFonts w:hint="eastAsia" w:ascii="宋体" w:hAnsi="宋体" w:eastAsia="宋体" w:cs="宋体"/>
          <w:sz w:val="21"/>
          <w:szCs w:val="21"/>
        </w:rPr>
        <w:t>元整（¥</w:t>
      </w:r>
      <w:r>
        <w:rPr>
          <w:rFonts w:hint="eastAsia" w:ascii="宋体" w:hAnsi="宋体" w:eastAsia="宋体" w:cs="宋体"/>
          <w:sz w:val="21"/>
          <w:szCs w:val="21"/>
          <w:lang w:val="en-US" w:eastAsia="zh-CN"/>
        </w:rPr>
        <w:t>14</w:t>
      </w:r>
      <w:r>
        <w:rPr>
          <w:rFonts w:hint="eastAsia" w:ascii="宋体" w:hAnsi="宋体" w:eastAsia="宋体" w:cs="宋体"/>
          <w:sz w:val="21"/>
          <w:szCs w:val="21"/>
        </w:rPr>
        <w:t>,</w:t>
      </w:r>
      <w:r>
        <w:rPr>
          <w:rFonts w:hint="eastAsia" w:ascii="宋体" w:hAnsi="宋体" w:eastAsia="宋体" w:cs="宋体"/>
          <w:sz w:val="21"/>
          <w:szCs w:val="21"/>
          <w:lang w:val="en-US" w:eastAsia="zh-CN"/>
        </w:rPr>
        <w:t>000</w:t>
      </w:r>
      <w:r>
        <w:rPr>
          <w:rFonts w:hint="eastAsia" w:ascii="宋体" w:hAnsi="宋体" w:eastAsia="宋体" w:cs="宋体"/>
          <w:sz w:val="21"/>
          <w:szCs w:val="21"/>
        </w:rPr>
        <w:t>,000.00）</w:t>
      </w:r>
    </w:p>
    <w:p w14:paraId="19F747ED">
      <w:pPr>
        <w:ind w:firstLine="420" w:firstLineChars="200"/>
        <w:rPr>
          <w:rFonts w:ascii="宋体" w:hAnsi="宋体" w:cs="宋体"/>
          <w:sz w:val="21"/>
          <w:szCs w:val="21"/>
        </w:rPr>
      </w:pPr>
      <w:r>
        <w:rPr>
          <w:rFonts w:hint="eastAsia" w:ascii="宋体" w:hAnsi="宋体" w:cs="宋体"/>
          <w:sz w:val="21"/>
          <w:szCs w:val="21"/>
        </w:rPr>
        <w:t>4.最高限价：</w:t>
      </w:r>
      <w:r>
        <w:rPr>
          <w:rFonts w:hint="eastAsia" w:ascii="宋体" w:hAnsi="宋体" w:eastAsia="宋体" w:cs="宋体"/>
          <w:sz w:val="21"/>
          <w:szCs w:val="21"/>
        </w:rPr>
        <w:t>人民币</w:t>
      </w:r>
      <w:r>
        <w:rPr>
          <w:rFonts w:hint="eastAsia" w:ascii="宋体" w:hAnsi="宋体" w:eastAsia="宋体" w:cs="宋体"/>
          <w:sz w:val="21"/>
          <w:szCs w:val="21"/>
          <w:lang w:val="en-US" w:eastAsia="zh-CN"/>
        </w:rPr>
        <w:t>壹仟肆佰万</w:t>
      </w:r>
      <w:r>
        <w:rPr>
          <w:rFonts w:hint="eastAsia" w:ascii="宋体" w:hAnsi="宋体" w:eastAsia="宋体" w:cs="宋体"/>
          <w:sz w:val="21"/>
          <w:szCs w:val="21"/>
        </w:rPr>
        <w:t>元整（¥</w:t>
      </w:r>
      <w:r>
        <w:rPr>
          <w:rFonts w:hint="eastAsia" w:ascii="宋体" w:hAnsi="宋体" w:eastAsia="宋体" w:cs="宋体"/>
          <w:sz w:val="21"/>
          <w:szCs w:val="21"/>
          <w:lang w:val="en-US" w:eastAsia="zh-CN"/>
        </w:rPr>
        <w:t>14</w:t>
      </w:r>
      <w:r>
        <w:rPr>
          <w:rFonts w:hint="eastAsia" w:ascii="宋体" w:hAnsi="宋体" w:eastAsia="宋体" w:cs="宋体"/>
          <w:sz w:val="21"/>
          <w:szCs w:val="21"/>
        </w:rPr>
        <w:t>,</w:t>
      </w:r>
      <w:r>
        <w:rPr>
          <w:rFonts w:hint="eastAsia" w:ascii="宋体" w:hAnsi="宋体" w:eastAsia="宋体" w:cs="宋体"/>
          <w:sz w:val="21"/>
          <w:szCs w:val="21"/>
          <w:lang w:val="en-US" w:eastAsia="zh-CN"/>
        </w:rPr>
        <w:t>000</w:t>
      </w:r>
      <w:r>
        <w:rPr>
          <w:rFonts w:hint="eastAsia" w:ascii="宋体" w:hAnsi="宋体" w:eastAsia="宋体" w:cs="宋体"/>
          <w:sz w:val="21"/>
          <w:szCs w:val="21"/>
        </w:rPr>
        <w:t>,000.00）</w:t>
      </w:r>
    </w:p>
    <w:p w14:paraId="3E8F1C80">
      <w:pPr>
        <w:ind w:firstLine="420" w:firstLineChars="200"/>
        <w:rPr>
          <w:sz w:val="21"/>
          <w:szCs w:val="21"/>
        </w:rPr>
      </w:pPr>
      <w:r>
        <w:rPr>
          <w:rFonts w:hint="eastAsia" w:ascii="宋体" w:hAnsi="宋体" w:cs="宋体"/>
          <w:sz w:val="21"/>
          <w:szCs w:val="21"/>
        </w:rPr>
        <w:t>5.采购需求：</w:t>
      </w:r>
    </w:p>
    <w:tbl>
      <w:tblPr>
        <w:tblStyle w:val="28"/>
        <w:tblW w:w="8504" w:type="dxa"/>
        <w:jc w:val="center"/>
        <w:tblBorders>
          <w:top w:val="outset" w:color="AAAAAA" w:sz="6" w:space="0"/>
          <w:left w:val="outset" w:color="AAAAAA" w:sz="6" w:space="0"/>
          <w:bottom w:val="outset" w:color="AAAAAA" w:sz="6" w:space="0"/>
          <w:right w:val="outset" w:color="AAAAAA" w:sz="6" w:space="0"/>
          <w:insideH w:val="outset" w:color="auto" w:sz="6" w:space="0"/>
          <w:insideV w:val="outset" w:color="auto" w:sz="6" w:space="0"/>
        </w:tblBorders>
        <w:tblLayout w:type="fixed"/>
        <w:tblCellMar>
          <w:top w:w="60" w:type="dxa"/>
          <w:left w:w="60" w:type="dxa"/>
          <w:bottom w:w="60" w:type="dxa"/>
          <w:right w:w="60" w:type="dxa"/>
        </w:tblCellMar>
      </w:tblPr>
      <w:tblGrid>
        <w:gridCol w:w="3928"/>
        <w:gridCol w:w="887"/>
        <w:gridCol w:w="874"/>
        <w:gridCol w:w="1370"/>
        <w:gridCol w:w="1445"/>
      </w:tblGrid>
      <w:tr w14:paraId="4E4C6E0B">
        <w:tblPrEx>
          <w:tblBorders>
            <w:top w:val="outset" w:color="AAAAAA" w:sz="6" w:space="0"/>
            <w:left w:val="outset" w:color="AAAAAA" w:sz="6" w:space="0"/>
            <w:bottom w:val="outset" w:color="AAAAAA" w:sz="6" w:space="0"/>
            <w:right w:val="outset" w:color="AAAAAA" w:sz="6" w:space="0"/>
            <w:insideH w:val="outset" w:color="auto" w:sz="6" w:space="0"/>
            <w:insideV w:val="outset" w:color="auto" w:sz="6" w:space="0"/>
          </w:tblBorders>
          <w:tblCellMar>
            <w:top w:w="60" w:type="dxa"/>
            <w:left w:w="60" w:type="dxa"/>
            <w:bottom w:w="60" w:type="dxa"/>
            <w:right w:w="60" w:type="dxa"/>
          </w:tblCellMar>
        </w:tblPrEx>
        <w:trPr>
          <w:jc w:val="center"/>
        </w:trPr>
        <w:tc>
          <w:tcPr>
            <w:tcW w:w="4204" w:type="dxa"/>
            <w:tcBorders>
              <w:top w:val="outset" w:color="AAAAAA" w:sz="6" w:space="0"/>
              <w:left w:val="outset" w:color="AAAAAA" w:sz="6" w:space="0"/>
              <w:bottom w:val="outset" w:color="AAAAAA" w:sz="6" w:space="0"/>
              <w:right w:val="outset" w:color="AAAAAA" w:sz="6" w:space="0"/>
            </w:tcBorders>
            <w:shd w:val="clear" w:color="auto" w:fill="ABCDEF"/>
            <w:noWrap/>
            <w:vAlign w:val="center"/>
          </w:tcPr>
          <w:p w14:paraId="13452655">
            <w:pPr>
              <w:jc w:val="center"/>
              <w:rPr>
                <w:rFonts w:ascii="宋体" w:eastAsia="宋体" w:cs="宋体"/>
                <w:sz w:val="21"/>
                <w:szCs w:val="21"/>
              </w:rPr>
            </w:pPr>
            <w:r>
              <w:rPr>
                <w:rFonts w:hint="eastAsia" w:ascii="宋体" w:eastAsia="宋体" w:cs="宋体"/>
                <w:sz w:val="21"/>
                <w:szCs w:val="21"/>
              </w:rPr>
              <w:t>标的名称</w:t>
            </w:r>
          </w:p>
        </w:tc>
        <w:tc>
          <w:tcPr>
            <w:tcW w:w="941" w:type="dxa"/>
            <w:tcBorders>
              <w:top w:val="outset" w:color="AAAAAA" w:sz="6" w:space="0"/>
              <w:left w:val="single" w:color="auto" w:sz="2" w:space="0"/>
              <w:bottom w:val="outset" w:color="AAAAAA" w:sz="6" w:space="0"/>
              <w:right w:val="outset" w:color="AAAAAA" w:sz="6" w:space="0"/>
            </w:tcBorders>
            <w:shd w:val="clear" w:color="auto" w:fill="ABCDEF"/>
            <w:noWrap/>
            <w:vAlign w:val="center"/>
          </w:tcPr>
          <w:p w14:paraId="5EDC3776">
            <w:pPr>
              <w:jc w:val="center"/>
              <w:rPr>
                <w:rFonts w:ascii="宋体" w:eastAsia="宋体" w:cs="宋体"/>
                <w:sz w:val="21"/>
                <w:szCs w:val="21"/>
              </w:rPr>
            </w:pPr>
            <w:r>
              <w:rPr>
                <w:rFonts w:hint="eastAsia" w:ascii="宋体" w:eastAsia="宋体" w:cs="宋体"/>
                <w:sz w:val="21"/>
                <w:szCs w:val="21"/>
              </w:rPr>
              <w:t>数量</w:t>
            </w:r>
          </w:p>
        </w:tc>
        <w:tc>
          <w:tcPr>
            <w:tcW w:w="927" w:type="dxa"/>
            <w:tcBorders>
              <w:top w:val="outset" w:color="AAAAAA" w:sz="6" w:space="0"/>
              <w:left w:val="single" w:color="auto" w:sz="2" w:space="0"/>
              <w:bottom w:val="outset" w:color="AAAAAA" w:sz="6" w:space="0"/>
              <w:right w:val="outset" w:color="AAAAAA" w:sz="6" w:space="0"/>
            </w:tcBorders>
            <w:shd w:val="clear" w:color="auto" w:fill="ABCDEF"/>
            <w:noWrap/>
            <w:vAlign w:val="center"/>
          </w:tcPr>
          <w:p w14:paraId="414886A1">
            <w:pPr>
              <w:jc w:val="center"/>
              <w:rPr>
                <w:rFonts w:ascii="宋体" w:eastAsia="宋体" w:cs="宋体"/>
                <w:sz w:val="21"/>
                <w:szCs w:val="21"/>
              </w:rPr>
            </w:pPr>
            <w:r>
              <w:rPr>
                <w:rFonts w:hint="eastAsia" w:ascii="宋体" w:eastAsia="宋体" w:cs="宋体"/>
                <w:sz w:val="21"/>
                <w:szCs w:val="21"/>
              </w:rPr>
              <w:t>单位</w:t>
            </w:r>
          </w:p>
        </w:tc>
        <w:tc>
          <w:tcPr>
            <w:tcW w:w="1459" w:type="dxa"/>
            <w:tcBorders>
              <w:top w:val="outset" w:color="AAAAAA" w:sz="6" w:space="0"/>
              <w:left w:val="single" w:color="auto" w:sz="2" w:space="0"/>
              <w:bottom w:val="outset" w:color="AAAAAA" w:sz="6" w:space="0"/>
              <w:right w:val="outset" w:color="AAAAAA" w:sz="6" w:space="0"/>
            </w:tcBorders>
            <w:shd w:val="clear" w:color="auto" w:fill="ABCDEF"/>
            <w:noWrap/>
            <w:vAlign w:val="center"/>
          </w:tcPr>
          <w:p w14:paraId="1661A363">
            <w:pPr>
              <w:jc w:val="center"/>
              <w:rPr>
                <w:rFonts w:ascii="宋体" w:eastAsia="宋体" w:cs="宋体"/>
                <w:sz w:val="21"/>
                <w:szCs w:val="21"/>
              </w:rPr>
            </w:pPr>
            <w:r>
              <w:rPr>
                <w:rFonts w:hint="eastAsia" w:ascii="宋体" w:eastAsia="宋体" w:cs="宋体"/>
                <w:sz w:val="21"/>
                <w:szCs w:val="21"/>
              </w:rPr>
              <w:t>简要技术需求</w:t>
            </w:r>
          </w:p>
        </w:tc>
        <w:tc>
          <w:tcPr>
            <w:tcW w:w="1540" w:type="dxa"/>
            <w:tcBorders>
              <w:top w:val="outset" w:color="AAAAAA" w:sz="6" w:space="0"/>
              <w:left w:val="single" w:color="auto" w:sz="2" w:space="0"/>
              <w:bottom w:val="outset" w:color="AAAAAA" w:sz="6" w:space="0"/>
              <w:right w:val="outset" w:color="AAAAAA" w:sz="6" w:space="0"/>
            </w:tcBorders>
            <w:shd w:val="clear" w:color="auto" w:fill="ABCDEF"/>
            <w:noWrap/>
            <w:vAlign w:val="center"/>
          </w:tcPr>
          <w:p w14:paraId="3AC5B8B9">
            <w:pPr>
              <w:jc w:val="center"/>
              <w:rPr>
                <w:rFonts w:ascii="宋体" w:eastAsia="宋体" w:cs="宋体"/>
                <w:sz w:val="21"/>
                <w:szCs w:val="21"/>
              </w:rPr>
            </w:pPr>
            <w:r>
              <w:rPr>
                <w:rFonts w:hint="eastAsia" w:ascii="宋体" w:eastAsia="宋体" w:cs="宋体"/>
                <w:sz w:val="21"/>
                <w:szCs w:val="21"/>
              </w:rPr>
              <w:t>备注</w:t>
            </w:r>
          </w:p>
        </w:tc>
      </w:tr>
      <w:tr w14:paraId="601D3AF2">
        <w:tblPrEx>
          <w:tblBorders>
            <w:top w:val="outset" w:color="AAAAAA" w:sz="6" w:space="0"/>
            <w:left w:val="outset" w:color="AAAAAA" w:sz="6" w:space="0"/>
            <w:bottom w:val="outset" w:color="AAAAAA" w:sz="6" w:space="0"/>
            <w:right w:val="outset" w:color="AAAAAA" w:sz="6" w:space="0"/>
            <w:insideH w:val="outset" w:color="auto" w:sz="6" w:space="0"/>
            <w:insideV w:val="outset" w:color="auto" w:sz="6" w:space="0"/>
          </w:tblBorders>
          <w:tblCellMar>
            <w:top w:w="60" w:type="dxa"/>
            <w:left w:w="60" w:type="dxa"/>
            <w:bottom w:w="60" w:type="dxa"/>
            <w:right w:w="60" w:type="dxa"/>
          </w:tblCellMar>
        </w:tblPrEx>
        <w:trPr>
          <w:jc w:val="center"/>
        </w:trPr>
        <w:tc>
          <w:tcPr>
            <w:tcW w:w="7531" w:type="dxa"/>
            <w:gridSpan w:val="4"/>
            <w:tcBorders>
              <w:top w:val="outset" w:color="AAAAAA" w:sz="6" w:space="0"/>
              <w:left w:val="outset" w:color="AAAAAA" w:sz="6" w:space="0"/>
              <w:bottom w:val="outset" w:color="AAAAAA" w:sz="6" w:space="0"/>
              <w:right w:val="outset" w:color="AAAAAA" w:sz="6" w:space="0"/>
            </w:tcBorders>
            <w:noWrap/>
          </w:tcPr>
          <w:p w14:paraId="652677DB">
            <w:pPr>
              <w:jc w:val="center"/>
              <w:rPr>
                <w:rFonts w:ascii="宋体" w:eastAsia="宋体" w:cs="宋体"/>
                <w:sz w:val="21"/>
                <w:szCs w:val="21"/>
              </w:rPr>
            </w:pPr>
            <w:r>
              <w:rPr>
                <w:rFonts w:hint="eastAsia" w:ascii="宋体" w:eastAsia="宋体" w:cs="宋体"/>
                <w:sz w:val="21"/>
                <w:szCs w:val="21"/>
              </w:rPr>
              <w:t>详见招标文件“第三章 用户需求书”</w:t>
            </w:r>
          </w:p>
        </w:tc>
        <w:tc>
          <w:tcPr>
            <w:tcW w:w="1540" w:type="dxa"/>
            <w:tcBorders>
              <w:top w:val="outset" w:color="AAAAAA" w:sz="6" w:space="0"/>
              <w:left w:val="single" w:color="auto" w:sz="2" w:space="0"/>
              <w:bottom w:val="outset" w:color="AAAAAA" w:sz="6" w:space="0"/>
              <w:right w:val="outset" w:color="AAAAAA" w:sz="6" w:space="0"/>
            </w:tcBorders>
            <w:noWrap/>
            <w:vAlign w:val="center"/>
          </w:tcPr>
          <w:p w14:paraId="0FD100ED">
            <w:pPr>
              <w:ind w:firstLine="420" w:firstLineChars="200"/>
              <w:jc w:val="center"/>
              <w:rPr>
                <w:rFonts w:ascii="宋体" w:eastAsia="宋体" w:cs="宋体"/>
                <w:sz w:val="21"/>
                <w:szCs w:val="21"/>
              </w:rPr>
            </w:pPr>
          </w:p>
        </w:tc>
      </w:tr>
    </w:tbl>
    <w:p w14:paraId="5C6B2E41">
      <w:pPr>
        <w:ind w:firstLine="420" w:firstLineChars="200"/>
        <w:rPr>
          <w:rFonts w:ascii="宋体" w:hAnsi="宋体" w:eastAsia="宋体" w:cs="宋体"/>
          <w:sz w:val="21"/>
          <w:szCs w:val="21"/>
        </w:rPr>
      </w:pPr>
      <w:r>
        <w:rPr>
          <w:rFonts w:hint="eastAsia" w:ascii="宋体" w:hAnsi="宋体" w:cs="宋体"/>
          <w:sz w:val="21"/>
          <w:szCs w:val="21"/>
        </w:rPr>
        <w:t>6.合同履行期限（交货期）：详见招标文件。</w:t>
      </w:r>
    </w:p>
    <w:p w14:paraId="16DA5360">
      <w:pPr>
        <w:ind w:firstLine="420" w:firstLineChars="200"/>
      </w:pPr>
      <w:r>
        <w:rPr>
          <w:rFonts w:hint="eastAsia" w:ascii="宋体" w:hAnsi="宋体" w:cs="宋体"/>
          <w:sz w:val="21"/>
          <w:szCs w:val="21"/>
        </w:rPr>
        <w:t>7.本项目（是/否）接受联合体投标：详见</w:t>
      </w:r>
      <w:r>
        <w:rPr>
          <w:rFonts w:hint="eastAsia" w:cs="宋体"/>
          <w:sz w:val="21"/>
          <w:szCs w:val="21"/>
        </w:rPr>
        <w:t>申请人的资格要求</w:t>
      </w:r>
      <w:r>
        <w:rPr>
          <w:rFonts w:hint="eastAsia" w:ascii="宋体" w:hAnsi="宋体" w:cs="宋体"/>
          <w:sz w:val="21"/>
          <w:szCs w:val="21"/>
        </w:rPr>
        <w:t>。</w:t>
      </w:r>
    </w:p>
    <w:p w14:paraId="50BD4298">
      <w:pPr>
        <w:pStyle w:val="4"/>
        <w:spacing w:before="0" w:after="0" w:line="240" w:lineRule="auto"/>
        <w:rPr>
          <w:rFonts w:cs="宋体"/>
          <w:sz w:val="21"/>
          <w:szCs w:val="21"/>
        </w:rPr>
      </w:pPr>
      <w:r>
        <w:rPr>
          <w:rFonts w:hint="eastAsia" w:cs="宋体"/>
          <w:sz w:val="21"/>
          <w:szCs w:val="21"/>
        </w:rPr>
        <w:t>三、申请人的资格要求：</w:t>
      </w:r>
    </w:p>
    <w:p w14:paraId="07B0AE51">
      <w:pPr>
        <w:pStyle w:val="23"/>
        <w:spacing w:before="0" w:beforeAutospacing="0" w:after="0" w:afterAutospacing="0"/>
        <w:ind w:firstLine="420" w:firstLineChars="200"/>
        <w:rPr>
          <w:rFonts w:ascii="宋体" w:hAnsi="宋体" w:cs="宋体"/>
          <w:sz w:val="21"/>
          <w:szCs w:val="21"/>
        </w:rPr>
      </w:pPr>
      <w:r>
        <w:rPr>
          <w:rFonts w:hint="eastAsia" w:ascii="宋体" w:hAnsi="宋体" w:cs="宋体"/>
          <w:sz w:val="21"/>
          <w:szCs w:val="21"/>
        </w:rPr>
        <w:t>1.满足《中华人民共和国政府采购法》第二十二条规定（由供应商在《政府采购投标及履约承诺函》中作出声明）。</w:t>
      </w:r>
    </w:p>
    <w:p w14:paraId="201C1EE3">
      <w:pPr>
        <w:pStyle w:val="23"/>
        <w:spacing w:before="0" w:beforeAutospacing="0" w:after="0" w:afterAutospacing="0"/>
        <w:ind w:firstLine="420" w:firstLineChars="200"/>
        <w:rPr>
          <w:rFonts w:ascii="宋体" w:hAnsi="宋体" w:cs="宋体"/>
          <w:sz w:val="21"/>
          <w:szCs w:val="21"/>
        </w:rPr>
      </w:pPr>
      <w:r>
        <w:rPr>
          <w:rFonts w:hint="eastAsia" w:ascii="宋体" w:hAnsi="宋体" w:cs="宋体"/>
          <w:sz w:val="21"/>
          <w:szCs w:val="21"/>
        </w:rPr>
        <w:t>2.在中华人民共和国内注册登记的机构组织，具有独立承担民事责任的能力（提供《营业执照》或机构团体《法人证书》或事务机构《执业许可证》等独立承担民事责任能力的登记证明文件复印件；分支机构投标须提供独立法人单位（如总公司、总校、总院、总所、总会等)出具的愿为其参与本项目投标的行为以及履约等行为承担民事责任的承诺函，且同一家独立法人单位若有两家或两家以上的分支机构，独立法人单位只能授权一家参与投标）。</w:t>
      </w:r>
    </w:p>
    <w:p w14:paraId="71D9AC8D">
      <w:pPr>
        <w:ind w:firstLine="420" w:firstLineChars="200"/>
        <w:rPr>
          <w:rFonts w:ascii="宋体" w:hAnsi="宋体" w:cs="宋体"/>
          <w:sz w:val="21"/>
          <w:szCs w:val="21"/>
        </w:rPr>
      </w:pPr>
      <w:r>
        <w:rPr>
          <w:rFonts w:hint="eastAsia" w:ascii="宋体" w:hAnsi="宋体" w:cs="宋体"/>
          <w:sz w:val="21"/>
          <w:szCs w:val="21"/>
        </w:rPr>
        <w:t>3.落实政府采购政策需满足的资格要求：本项目不属于专门面向特定企业（单位）的采购项目</w:t>
      </w:r>
      <w:r>
        <w:rPr>
          <w:rFonts w:hint="eastAsia" w:ascii="宋体" w:eastAsia="宋体" w:cs="宋体"/>
          <w:sz w:val="21"/>
          <w:szCs w:val="21"/>
        </w:rPr>
        <w:t xml:space="preserve">。 </w:t>
      </w:r>
    </w:p>
    <w:p w14:paraId="46BD7F01">
      <w:pPr>
        <w:pStyle w:val="23"/>
        <w:spacing w:before="0" w:beforeAutospacing="0" w:after="0" w:afterAutospacing="0"/>
        <w:ind w:firstLine="420" w:firstLineChars="200"/>
        <w:rPr>
          <w:rFonts w:ascii="宋体" w:hAnsi="宋体" w:cs="宋体"/>
          <w:sz w:val="21"/>
          <w:szCs w:val="21"/>
        </w:rPr>
      </w:pPr>
      <w:r>
        <w:rPr>
          <w:rFonts w:hint="eastAsia" w:ascii="宋体" w:hAnsi="宋体" w:cs="宋体"/>
          <w:sz w:val="21"/>
          <w:szCs w:val="21"/>
        </w:rPr>
        <w:t xml:space="preserve">4.参与本项目政府采购活动时不存在被有关部门禁止参与政府采购活动且在有效期内的情况（由供应商在《政府采购投标及履约承诺函》中作出声明）。 </w:t>
      </w:r>
    </w:p>
    <w:p w14:paraId="6EBE24D9">
      <w:pPr>
        <w:pStyle w:val="23"/>
        <w:spacing w:before="0" w:beforeAutospacing="0" w:after="0" w:afterAutospacing="0"/>
        <w:ind w:firstLine="420" w:firstLineChars="200"/>
        <w:rPr>
          <w:rFonts w:ascii="宋体" w:hAnsi="宋体" w:cs="宋体"/>
          <w:sz w:val="21"/>
          <w:szCs w:val="21"/>
        </w:rPr>
      </w:pPr>
      <w:r>
        <w:rPr>
          <w:rFonts w:hint="eastAsia" w:ascii="宋体" w:hAnsi="宋体" w:eastAsia="宋体" w:cs="宋体"/>
          <w:sz w:val="21"/>
          <w:szCs w:val="21"/>
        </w:rPr>
        <w:t>5</w:t>
      </w:r>
      <w:r>
        <w:rPr>
          <w:rFonts w:hint="eastAsia" w:ascii="宋体" w:hAnsi="宋体" w:cs="宋体"/>
          <w:sz w:val="21"/>
          <w:szCs w:val="21"/>
        </w:rPr>
        <w:t>.至开标当日，未有在“信用中国、中国政府采购网、深圳信用网、深圳市政府采购监管网”等网站中被列入“失信被执行人、重大税收违法案件当事人名单（重大税收违法失信主体）、政府采购严重违法失信行为记录名单”（由供应商在《政府采购投标及履约承诺函》中作出声明）。</w:t>
      </w:r>
    </w:p>
    <w:p w14:paraId="0F9890B8">
      <w:pPr>
        <w:pStyle w:val="23"/>
        <w:spacing w:before="0" w:beforeAutospacing="0" w:after="0" w:afterAutospacing="0"/>
        <w:ind w:firstLine="420" w:firstLineChars="200"/>
        <w:rPr>
          <w:rFonts w:ascii="宋体" w:hAnsi="宋体" w:cs="宋体"/>
          <w:sz w:val="21"/>
          <w:szCs w:val="21"/>
        </w:rPr>
      </w:pPr>
      <w:r>
        <w:rPr>
          <w:rFonts w:hint="eastAsia" w:ascii="宋体" w:hAnsi="宋体" w:eastAsia="宋体" w:cs="宋体"/>
          <w:sz w:val="21"/>
          <w:szCs w:val="21"/>
        </w:rPr>
        <w:t>6</w:t>
      </w:r>
      <w:r>
        <w:rPr>
          <w:rFonts w:hint="eastAsia" w:ascii="宋体" w:hAnsi="宋体" w:cs="宋体"/>
          <w:sz w:val="21"/>
          <w:szCs w:val="21"/>
        </w:rPr>
        <w:t>.参与政府采购项目投标的供应商近三年内无行贿犯罪记录（由供应商在《政府采购投标及履约承诺函》中作出声明）。</w:t>
      </w:r>
    </w:p>
    <w:p w14:paraId="6AF4AE4B">
      <w:pPr>
        <w:pStyle w:val="23"/>
        <w:spacing w:before="0" w:beforeAutospacing="0" w:after="0" w:afterAutospacing="0"/>
        <w:ind w:firstLine="420" w:firstLineChars="200"/>
        <w:rPr>
          <w:rFonts w:ascii="宋体" w:hAnsi="宋体" w:eastAsia="宋体" w:cs="宋体"/>
          <w:sz w:val="21"/>
          <w:szCs w:val="21"/>
        </w:rPr>
      </w:pPr>
      <w:r>
        <w:rPr>
          <w:rFonts w:hint="eastAsia" w:ascii="宋体" w:hAnsi="宋体" w:eastAsia="宋体" w:cs="宋体"/>
          <w:sz w:val="21"/>
          <w:szCs w:val="21"/>
        </w:rPr>
        <w:t>7</w:t>
      </w:r>
      <w:r>
        <w:rPr>
          <w:rFonts w:hint="eastAsia" w:ascii="宋体" w:hAnsi="宋体" w:cs="宋体"/>
          <w:sz w:val="21"/>
          <w:szCs w:val="21"/>
        </w:rPr>
        <w:t>.为此项目提供整体设计、规范编制或者项目管理、监理、检测等服务的供应商，不得再参加此项目的其他招标采购活动（由供应商在《政府采购投标及履约承诺函》）中作出声明）。</w:t>
      </w:r>
    </w:p>
    <w:p w14:paraId="47CF7014">
      <w:pPr>
        <w:pStyle w:val="23"/>
        <w:spacing w:before="0" w:beforeAutospacing="0" w:after="0" w:afterAutospacing="0"/>
        <w:ind w:firstLine="420" w:firstLineChars="200"/>
        <w:rPr>
          <w:rFonts w:ascii="宋体" w:hAnsi="宋体" w:cs="宋体"/>
          <w:sz w:val="21"/>
          <w:szCs w:val="21"/>
        </w:rPr>
      </w:pPr>
      <w:r>
        <w:rPr>
          <w:rFonts w:hint="eastAsia" w:ascii="宋体" w:hAnsi="宋体" w:eastAsia="宋体" w:cs="宋体"/>
          <w:sz w:val="21"/>
          <w:szCs w:val="21"/>
        </w:rPr>
        <w:t>8</w:t>
      </w:r>
      <w:r>
        <w:rPr>
          <w:rFonts w:hint="eastAsia" w:ascii="宋体" w:hAnsi="宋体" w:cs="宋体"/>
          <w:sz w:val="21"/>
          <w:szCs w:val="21"/>
        </w:rPr>
        <w:t>.不存在《深圳市财政局政府采购供应商信用信息管理办法》(深财规〔2023〕3号）列明的严重违法失信行为（由供应商在《政府采购投标及履约承诺函》）中作出声明）</w:t>
      </w:r>
      <w:r>
        <w:rPr>
          <w:rFonts w:hint="eastAsia" w:ascii="宋体" w:hAnsi="宋体" w:eastAsia="宋体" w:cs="宋体"/>
          <w:sz w:val="21"/>
          <w:szCs w:val="21"/>
        </w:rPr>
        <w:t>。</w:t>
      </w:r>
    </w:p>
    <w:p w14:paraId="7C0B7A6A">
      <w:pPr>
        <w:pStyle w:val="23"/>
        <w:spacing w:before="0" w:beforeAutospacing="0" w:after="0" w:afterAutospacing="0"/>
        <w:ind w:firstLine="478" w:firstLineChars="228"/>
        <w:rPr>
          <w:rFonts w:ascii="宋体" w:hAnsi="宋体" w:cs="宋体"/>
          <w:sz w:val="21"/>
          <w:szCs w:val="21"/>
        </w:rPr>
      </w:pPr>
      <w:r>
        <w:rPr>
          <w:rFonts w:hint="eastAsia" w:ascii="宋体" w:eastAsia="宋体" w:cs="宋体"/>
          <w:sz w:val="21"/>
          <w:szCs w:val="21"/>
        </w:rPr>
        <w:t>9.</w:t>
      </w:r>
      <w:r>
        <w:rPr>
          <w:rFonts w:hint="eastAsia" w:ascii="宋体" w:hAnsi="宋体" w:cs="宋体"/>
          <w:sz w:val="21"/>
          <w:szCs w:val="21"/>
        </w:rPr>
        <w:t>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如发现不同投标供应商的相关信息存在上</w:t>
      </w:r>
      <w:r>
        <w:rPr>
          <w:rFonts w:hint="eastAsia" w:ascii="宋体" w:hAnsi="宋体" w:eastAsia="宋体" w:cs="宋体"/>
          <w:sz w:val="21"/>
          <w:szCs w:val="21"/>
        </w:rPr>
        <w:t>述“不得”</w:t>
      </w:r>
      <w:r>
        <w:rPr>
          <w:rFonts w:hint="eastAsia" w:ascii="宋体" w:hAnsi="宋体" w:cs="宋体"/>
          <w:sz w:val="21"/>
          <w:szCs w:val="21"/>
        </w:rPr>
        <w:t>的情形，作投标无效处理）；</w:t>
      </w:r>
    </w:p>
    <w:p w14:paraId="5F643BD4">
      <w:pPr>
        <w:pStyle w:val="23"/>
        <w:spacing w:before="0" w:beforeAutospacing="0" w:after="0" w:afterAutospacing="0"/>
        <w:ind w:firstLine="478" w:firstLineChars="228"/>
        <w:rPr>
          <w:rFonts w:ascii="宋体" w:eastAsia="宋体" w:cs="宋体"/>
          <w:sz w:val="21"/>
          <w:szCs w:val="21"/>
        </w:rPr>
      </w:pPr>
      <w:r>
        <w:rPr>
          <w:rFonts w:hint="eastAsia" w:ascii="宋体" w:eastAsia="宋体" w:cs="宋体"/>
          <w:sz w:val="21"/>
          <w:szCs w:val="21"/>
        </w:rPr>
        <w:t>10.本项目是否接受投标人选用进口产品参与投标的要求：详见招标文件“货物需求明细表”。</w:t>
      </w:r>
    </w:p>
    <w:p w14:paraId="23580FA8">
      <w:pPr>
        <w:pStyle w:val="23"/>
        <w:spacing w:before="0" w:beforeAutospacing="0" w:after="0" w:afterAutospacing="0"/>
        <w:ind w:firstLine="478" w:firstLineChars="228"/>
        <w:rPr>
          <w:rFonts w:ascii="宋体" w:hAnsi="宋体" w:cs="宋体"/>
          <w:sz w:val="21"/>
          <w:szCs w:val="21"/>
        </w:rPr>
      </w:pPr>
      <w:r>
        <w:rPr>
          <w:rFonts w:hint="eastAsia" w:ascii="宋体" w:hAnsi="宋体" w:eastAsia="宋体" w:cs="宋体"/>
          <w:sz w:val="21"/>
          <w:szCs w:val="21"/>
        </w:rPr>
        <w:t>11</w:t>
      </w:r>
      <w:r>
        <w:rPr>
          <w:rFonts w:hint="eastAsia" w:ascii="宋体" w:hAnsi="宋体" w:cs="宋体"/>
          <w:sz w:val="21"/>
          <w:szCs w:val="21"/>
        </w:rPr>
        <w:t>.本项目不接受联合体投标，不允许转包、分包。</w:t>
      </w:r>
    </w:p>
    <w:p w14:paraId="045D5921">
      <w:pPr>
        <w:pStyle w:val="23"/>
        <w:spacing w:before="0" w:beforeAutospacing="0" w:after="0" w:afterAutospacing="0"/>
        <w:ind w:firstLine="478" w:firstLineChars="228"/>
        <w:rPr>
          <w:rFonts w:ascii="宋体" w:eastAsia="宋体" w:cs="宋体"/>
          <w:sz w:val="21"/>
          <w:szCs w:val="21"/>
        </w:rPr>
      </w:pPr>
      <w:r>
        <w:rPr>
          <w:rFonts w:hint="eastAsia" w:ascii="宋体" w:hAnsi="宋体" w:eastAsia="宋体" w:cs="宋体"/>
          <w:sz w:val="21"/>
          <w:szCs w:val="21"/>
        </w:rPr>
        <w:t>12.</w:t>
      </w:r>
      <w:r>
        <w:rPr>
          <w:rFonts w:hint="eastAsia" w:ascii="宋体" w:hAnsi="宋体" w:cs="宋体"/>
          <w:sz w:val="21"/>
          <w:szCs w:val="21"/>
        </w:rPr>
        <w:t>本项目的特定资格要求（如有）：无。</w:t>
      </w:r>
    </w:p>
    <w:p w14:paraId="0C310A34">
      <w:pPr>
        <w:pStyle w:val="23"/>
        <w:spacing w:before="0" w:beforeAutospacing="0" w:after="0" w:afterAutospacing="0"/>
        <w:ind w:firstLine="422" w:firstLineChars="200"/>
        <w:rPr>
          <w:rFonts w:ascii="宋体" w:hAnsi="宋体" w:eastAsia="宋体" w:cs="宋体"/>
          <w:b/>
          <w:bCs/>
          <w:sz w:val="21"/>
          <w:szCs w:val="21"/>
        </w:rPr>
      </w:pPr>
      <w:r>
        <w:rPr>
          <w:rFonts w:hint="eastAsia" w:ascii="宋体" w:hAnsi="宋体" w:eastAsia="宋体" w:cs="宋体"/>
          <w:b/>
          <w:bCs/>
          <w:sz w:val="21"/>
          <w:szCs w:val="21"/>
        </w:rPr>
        <w:t>注：“信用中国”、“中国政府采购网”、“深圳信用网”以及“深圳市政府采购监管网”为供应商信用信息的查询渠道，相关信息以开标当日的查询信息为准。</w:t>
      </w:r>
    </w:p>
    <w:p w14:paraId="50611DBE">
      <w:pPr>
        <w:pStyle w:val="4"/>
        <w:spacing w:before="0" w:after="0" w:line="240" w:lineRule="auto"/>
        <w:rPr>
          <w:rFonts w:cs="宋体"/>
          <w:sz w:val="21"/>
          <w:szCs w:val="21"/>
        </w:rPr>
      </w:pPr>
      <w:r>
        <w:rPr>
          <w:rFonts w:hint="eastAsia" w:cs="宋体"/>
          <w:sz w:val="21"/>
          <w:szCs w:val="21"/>
        </w:rPr>
        <w:t>四、获取招标文件：</w:t>
      </w:r>
    </w:p>
    <w:p w14:paraId="38BEEC59">
      <w:pPr>
        <w:pStyle w:val="23"/>
        <w:spacing w:before="0" w:beforeAutospacing="0" w:after="0" w:afterAutospacing="0"/>
        <w:ind w:firstLine="420" w:firstLineChars="200"/>
        <w:rPr>
          <w:rFonts w:ascii="宋体" w:hAnsi="宋体" w:eastAsia="宋体" w:cs="宋体"/>
          <w:sz w:val="21"/>
          <w:szCs w:val="21"/>
        </w:rPr>
      </w:pPr>
      <w:r>
        <w:rPr>
          <w:rFonts w:hint="eastAsia" w:ascii="宋体" w:hAnsi="宋体" w:eastAsia="宋体" w:cs="宋体"/>
          <w:sz w:val="21"/>
          <w:szCs w:val="21"/>
        </w:rPr>
        <w:t>时间：</w:t>
      </w:r>
      <w:r>
        <w:rPr>
          <w:rFonts w:hint="eastAsia" w:ascii="宋体" w:hAnsi="宋体" w:eastAsia="宋体" w:cs="宋体"/>
          <w:sz w:val="21"/>
          <w:szCs w:val="21"/>
          <w:u w:val="single"/>
        </w:rPr>
        <w:t>自本公告发布之日起至202*年*月*日*时*分（具体时间详见“深圳公共资源交易网”招标（采购）公告）</w:t>
      </w:r>
      <w:r>
        <w:rPr>
          <w:rFonts w:hint="eastAsia" w:ascii="宋体" w:hAnsi="宋体" w:eastAsia="宋体" w:cs="宋体"/>
          <w:sz w:val="21"/>
          <w:szCs w:val="21"/>
        </w:rPr>
        <w:t xml:space="preserve">。 </w:t>
      </w:r>
    </w:p>
    <w:p w14:paraId="0F7DE282">
      <w:pPr>
        <w:pStyle w:val="23"/>
        <w:spacing w:before="0" w:beforeAutospacing="0" w:after="0" w:afterAutospacing="0"/>
        <w:ind w:firstLine="420" w:firstLineChars="200"/>
        <w:rPr>
          <w:rFonts w:ascii="宋体" w:hAnsi="宋体" w:eastAsia="宋体" w:cs="宋体"/>
          <w:sz w:val="21"/>
          <w:szCs w:val="21"/>
        </w:rPr>
      </w:pPr>
      <w:r>
        <w:rPr>
          <w:rFonts w:hint="eastAsia" w:ascii="宋体" w:hAnsi="宋体" w:eastAsia="宋体" w:cs="宋体"/>
          <w:sz w:val="21"/>
          <w:szCs w:val="21"/>
        </w:rPr>
        <w:t xml:space="preserve">地点：登录深圳政府采购智慧平台（http://zfcg.szggzy.com:8081/）下载本项目招标文件。 </w:t>
      </w:r>
    </w:p>
    <w:p w14:paraId="6B675656">
      <w:pPr>
        <w:pStyle w:val="23"/>
        <w:tabs>
          <w:tab w:val="center" w:pos="4366"/>
        </w:tabs>
        <w:spacing w:before="0" w:beforeAutospacing="0" w:after="0" w:afterAutospacing="0"/>
        <w:ind w:firstLine="420" w:firstLineChars="200"/>
        <w:rPr>
          <w:rFonts w:ascii="宋体" w:hAnsi="宋体" w:eastAsia="宋体" w:cs="宋体"/>
          <w:sz w:val="21"/>
          <w:szCs w:val="21"/>
        </w:rPr>
      </w:pPr>
      <w:r>
        <w:rPr>
          <w:rFonts w:hint="eastAsia" w:ascii="宋体" w:hAnsi="宋体" w:eastAsia="宋体" w:cs="宋体"/>
          <w:sz w:val="21"/>
          <w:szCs w:val="21"/>
        </w:rPr>
        <w:t xml:space="preserve">方式：在线下载。 </w:t>
      </w:r>
      <w:r>
        <w:rPr>
          <w:rFonts w:hint="eastAsia" w:ascii="宋体" w:hAnsi="宋体" w:eastAsia="宋体" w:cs="宋体"/>
          <w:sz w:val="21"/>
          <w:szCs w:val="21"/>
        </w:rPr>
        <w:tab/>
      </w:r>
    </w:p>
    <w:p w14:paraId="76681B86">
      <w:pPr>
        <w:pStyle w:val="23"/>
        <w:spacing w:before="0" w:beforeAutospacing="0" w:after="0" w:afterAutospacing="0"/>
        <w:ind w:firstLine="420" w:firstLineChars="200"/>
        <w:rPr>
          <w:rFonts w:ascii="宋体" w:hAnsi="宋体" w:eastAsia="宋体" w:cs="宋体"/>
          <w:sz w:val="21"/>
          <w:szCs w:val="21"/>
        </w:rPr>
      </w:pPr>
      <w:r>
        <w:rPr>
          <w:rFonts w:hint="eastAsia" w:ascii="宋体" w:hAnsi="宋体" w:eastAsia="宋体" w:cs="宋体"/>
          <w:sz w:val="21"/>
          <w:szCs w:val="21"/>
        </w:rPr>
        <w:t xml:space="preserve">售价：免费。    </w:t>
      </w:r>
    </w:p>
    <w:p w14:paraId="12F4CE4E">
      <w:pPr>
        <w:ind w:firstLine="420" w:firstLineChars="200"/>
        <w:rPr>
          <w:rFonts w:ascii="宋体" w:hAnsi="宋体" w:eastAsia="宋体" w:cs="宋体"/>
          <w:b/>
          <w:bCs/>
          <w:color w:val="000000"/>
          <w:sz w:val="21"/>
          <w:szCs w:val="21"/>
        </w:rPr>
      </w:pPr>
      <w:r>
        <w:rPr>
          <w:rFonts w:hint="eastAsia" w:ascii="宋体" w:hAnsi="宋体" w:eastAsia="宋体" w:cs="宋体"/>
          <w:color w:val="000000"/>
          <w:sz w:val="21"/>
          <w:szCs w:val="21"/>
        </w:rPr>
        <w:t>凡已注册的深圳市网上政府采购供应商，按照授予的操作权限，可于获取招标文件时间内登录深圳政府采购智慧平台（http://zfcg.szggzy.com:8081/）下载本项目的采购-文件。投标人如确定参加投标，首先要在深圳政府采购智慧平台网上办事子系统（http://zfcg.szggzy.com:8081/TPBidder/memberLogin）网上报名投标，方法为在网上办事子系统后点击“【招标公告】→【我要报名】”；如果网上报名后上传了投标文件，又不参加投标，应再到【我的项目】→【项目流程】→【递交投标(应答)文件】功能点中进行“【撤回本次投标】”操作；如果是未注册为深圳政府采购智慧平台（http://zfcg.szggzy.com:8081/）的供应商，请先办理密钥（请点击：http://zfcg.szggzy.com:8081/TPBidder/CAHandle），并前往深圳市南山区沙河西路3185号南山智谷A座（深圳交易集团总部大楼）3楼前台（咨询电话：0755-83948165、0755-83938966、4008301330）绑定深圳政府采购智慧平台用户，再进行投标报名。在网上报名后，点击“【我的项目】→【项目流程】→【采购文件下载】”进行招标文件的下载。</w:t>
      </w:r>
    </w:p>
    <w:p w14:paraId="549B4C18">
      <w:pPr>
        <w:pStyle w:val="4"/>
        <w:spacing w:before="0" w:after="0" w:line="240" w:lineRule="auto"/>
        <w:rPr>
          <w:rFonts w:cs="宋体"/>
          <w:sz w:val="21"/>
          <w:szCs w:val="21"/>
        </w:rPr>
      </w:pPr>
      <w:r>
        <w:rPr>
          <w:rFonts w:hint="eastAsia" w:cs="宋体"/>
          <w:sz w:val="21"/>
          <w:szCs w:val="21"/>
        </w:rPr>
        <w:t>五、提交投标文件截止时间、开标时间和地点：</w:t>
      </w:r>
    </w:p>
    <w:p w14:paraId="64C312AD">
      <w:pPr>
        <w:pStyle w:val="23"/>
        <w:spacing w:before="0" w:beforeAutospacing="0" w:after="0" w:afterAutospacing="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1.投标截止时间：所有投标文件应于</w:t>
      </w:r>
      <w:r>
        <w:rPr>
          <w:rFonts w:hint="eastAsia" w:ascii="宋体" w:hAnsi="宋体" w:eastAsia="宋体" w:cs="宋体"/>
          <w:color w:val="000000"/>
          <w:sz w:val="21"/>
          <w:szCs w:val="21"/>
          <w:u w:val="single"/>
        </w:rPr>
        <w:t>202*年*月*日*时*分（具体时间详见“深圳公共资源交易网”招标（采购）公告）</w:t>
      </w:r>
      <w:r>
        <w:rPr>
          <w:rFonts w:hint="eastAsia" w:ascii="宋体" w:hAnsi="宋体" w:eastAsia="宋体" w:cs="宋体"/>
          <w:color w:val="000000"/>
          <w:sz w:val="21"/>
          <w:szCs w:val="21"/>
        </w:rPr>
        <w:t>（北京时间）之前上传到深圳政府采购智慧平台（http://zfcg.szggzy.com:8081/）。具体操作为登录“深圳政府采购智慧平台用户网上办事子系统（http://zfcg.szggzy.com:8081/TPBidder/memberLogin）”，用“【我的项目】→【项目流程】→【递交投标(应答)文件】”功能点上传投标文件。本项目电子投标文件最大容量为100MB，超过此容量的文件将被拒绝。</w:t>
      </w:r>
    </w:p>
    <w:p w14:paraId="2AB06E82">
      <w:pPr>
        <w:pStyle w:val="23"/>
        <w:spacing w:before="0" w:beforeAutospacing="0" w:after="0" w:afterAutospacing="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2.开标时间和地点：定于</w:t>
      </w:r>
      <w:r>
        <w:rPr>
          <w:rFonts w:hint="eastAsia" w:ascii="宋体" w:hAnsi="宋体" w:eastAsia="宋体" w:cs="宋体"/>
          <w:color w:val="000000"/>
          <w:sz w:val="21"/>
          <w:szCs w:val="21"/>
          <w:u w:val="single"/>
        </w:rPr>
        <w:t>202*年*月*日*时*分（具体时间详见“深圳公共资源交易网”招标（采购）公告）</w:t>
      </w:r>
      <w:r>
        <w:rPr>
          <w:rFonts w:hint="eastAsia" w:ascii="宋体" w:hAnsi="宋体" w:eastAsia="宋体" w:cs="宋体"/>
          <w:color w:val="000000"/>
          <w:sz w:val="21"/>
          <w:szCs w:val="21"/>
        </w:rPr>
        <w:t>，在中国远东国际招标有限公司（</w:t>
      </w:r>
      <w:r>
        <w:rPr>
          <w:rFonts w:hint="eastAsia" w:ascii="宋体" w:hAnsi="宋体" w:eastAsia="宋体" w:cs="宋体"/>
          <w:b/>
          <w:bCs/>
          <w:color w:val="000000"/>
          <w:sz w:val="21"/>
          <w:szCs w:val="21"/>
        </w:rPr>
        <w:t>深圳市福田区上步南路1001号锦峰大厦2</w:t>
      </w:r>
      <w:r>
        <w:rPr>
          <w:rFonts w:hint="eastAsia" w:ascii="宋体" w:hAnsi="宋体" w:eastAsia="宋体" w:cs="宋体"/>
          <w:b/>
          <w:bCs/>
          <w:color w:val="000000"/>
          <w:sz w:val="21"/>
          <w:szCs w:val="21"/>
          <w:lang w:val="en-US" w:eastAsia="zh-CN"/>
        </w:rPr>
        <w:t>4</w:t>
      </w:r>
      <w:r>
        <w:rPr>
          <w:rFonts w:hint="eastAsia" w:ascii="宋体" w:hAnsi="宋体" w:eastAsia="宋体" w:cs="宋体"/>
          <w:b/>
          <w:bCs/>
          <w:color w:val="000000"/>
          <w:sz w:val="21"/>
          <w:szCs w:val="21"/>
        </w:rPr>
        <w:t>楼</w:t>
      </w:r>
      <w:r>
        <w:rPr>
          <w:rFonts w:hint="eastAsia" w:ascii="宋体" w:hAnsi="宋体" w:eastAsia="宋体" w:cs="宋体"/>
          <w:color w:val="000000"/>
          <w:sz w:val="21"/>
          <w:szCs w:val="21"/>
        </w:rPr>
        <w:t>）公开开标。供应商可以登录“深圳政府采购智慧平台用户网上办事子系统（http://zfcg.szggzy.com:8081/TPBidder/memberLogin）”，在“【我的项目】→【项目流程】→【开标及解密】”进行在线解密、查询开标情况。</w:t>
      </w:r>
    </w:p>
    <w:p w14:paraId="4D8C4E23">
      <w:pPr>
        <w:pStyle w:val="23"/>
        <w:spacing w:before="0" w:beforeAutospacing="0" w:after="0" w:afterAutospacing="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3.在线解密：</w:t>
      </w:r>
      <w:r>
        <w:rPr>
          <w:rFonts w:hint="eastAsia" w:ascii="宋体" w:hAnsi="宋体" w:eastAsia="宋体" w:cs="宋体"/>
          <w:b/>
          <w:bCs/>
          <w:color w:val="000000"/>
          <w:sz w:val="21"/>
          <w:szCs w:val="21"/>
        </w:rPr>
        <w:t>投标人须在</w:t>
      </w:r>
      <w:r>
        <w:rPr>
          <w:rFonts w:hint="eastAsia" w:ascii="宋体" w:hAnsi="宋体" w:eastAsia="宋体" w:cs="宋体"/>
          <w:color w:val="000000"/>
          <w:sz w:val="21"/>
          <w:szCs w:val="21"/>
          <w:u w:val="single"/>
        </w:rPr>
        <w:t>202*年*月*日*时*分-*时*分（具体时间详见“深圳公共资源交易网”招标（采购）公告）</w:t>
      </w:r>
      <w:r>
        <w:rPr>
          <w:rFonts w:hint="eastAsia" w:ascii="宋体" w:hAnsi="宋体" w:eastAsia="宋体" w:cs="宋体"/>
          <w:b/>
          <w:bCs/>
          <w:color w:val="000000"/>
          <w:sz w:val="21"/>
          <w:szCs w:val="21"/>
        </w:rPr>
        <w:t>期间进行解密，逾期未解密的作无效处理</w:t>
      </w:r>
      <w:r>
        <w:rPr>
          <w:rFonts w:hint="eastAsia" w:ascii="宋体" w:hAnsi="宋体" w:eastAsia="宋体" w:cs="宋体"/>
          <w:color w:val="000000"/>
          <w:sz w:val="21"/>
          <w:szCs w:val="21"/>
        </w:rPr>
        <w:t xml:space="preserve">。解密方法：登录“深圳政府采购智慧平台用户网上办事子系统（http://zfcg.szggzy.com:8081/TPBidder/memberLogin）”，使用本单位制作电子投标文件同一个电子密钥，在“【我的项目】→【项目流程】→【开标及解密】”进行在线解密、查询开标情况。    </w:t>
      </w:r>
    </w:p>
    <w:p w14:paraId="1A9E778C">
      <w:pPr>
        <w:pStyle w:val="4"/>
        <w:spacing w:before="0" w:after="0" w:line="240" w:lineRule="auto"/>
        <w:rPr>
          <w:rFonts w:cs="宋体"/>
          <w:sz w:val="21"/>
          <w:szCs w:val="21"/>
        </w:rPr>
      </w:pPr>
      <w:r>
        <w:rPr>
          <w:rFonts w:hint="eastAsia" w:cs="宋体"/>
          <w:sz w:val="21"/>
          <w:szCs w:val="21"/>
        </w:rPr>
        <w:t xml:space="preserve">六、公告期限： </w:t>
      </w:r>
    </w:p>
    <w:p w14:paraId="4C5CFFBD">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自本公告发布之日起5个工作日。</w:t>
      </w:r>
    </w:p>
    <w:p w14:paraId="26CBD33F">
      <w:pPr>
        <w:pStyle w:val="4"/>
        <w:spacing w:before="0" w:after="0" w:line="240" w:lineRule="auto"/>
        <w:rPr>
          <w:rFonts w:cs="宋体"/>
          <w:sz w:val="21"/>
          <w:szCs w:val="21"/>
        </w:rPr>
      </w:pPr>
      <w:r>
        <w:rPr>
          <w:rFonts w:hint="eastAsia" w:cs="宋体"/>
          <w:sz w:val="21"/>
          <w:szCs w:val="21"/>
        </w:rPr>
        <w:t>七、其他补充事宜：</w:t>
      </w:r>
    </w:p>
    <w:p w14:paraId="7473ECB4">
      <w:pPr>
        <w:pStyle w:val="23"/>
        <w:spacing w:before="0" w:beforeAutospacing="0" w:after="0" w:afterAutospacing="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 xml:space="preserve">1.本项目实行网上投标，采用电子投标文件。  </w:t>
      </w:r>
    </w:p>
    <w:p w14:paraId="1E4CA6E9">
      <w:pPr>
        <w:pStyle w:val="23"/>
        <w:spacing w:before="0" w:beforeAutospacing="0" w:after="0" w:afterAutospacing="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投标报名操作：投标人如确定参加本项目投标，首先要在深圳公共资源交易中心（深圳政府采购智慧平台）网上报名投标，方法为登录“深圳政府采购智慧平台用户网上办事子系统（http://zfcg.szggzy.com:8081/TPBidder/memberLogin）”→点击【招标公告】→选中要报名的项目→点击“【我要报名（或“待办→邀请提醒”）】”；如果网上报名后上传了投标文件，又不参加投标，应再到【我的项目】→【项目流程】→【递交投标(应答)文件】功能点中进行“【撤回本次投标】”操作；如果是未注册为深圳政府采购的供应商，请访问深圳公共资源交易中心（https://www.szggzy.com/jyfw/list.html?id=jyfwzfcg）,先办理注册手续（注册咨询：0755-83938966，电子密钥办理咨询：0755-83948165），再进行投标报名。在网上报名后，点击“我的项目→项目流程”中进行招标文件的下载。</w:t>
      </w:r>
    </w:p>
    <w:p w14:paraId="7DABF34F">
      <w:pPr>
        <w:pStyle w:val="23"/>
        <w:spacing w:before="0" w:beforeAutospacing="0" w:after="0" w:afterAutospacing="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投标操作：具体操作为登录“深圳政府采购智慧平台用户网上办事子系统（http://zfcg.szggzy.com:8081/TPBidder/memberLogin）”，用“我的项目→项目流程→递交投标(应答)文件→上传投标文件”功能点上传投标文件。本项目电子投标文件最大容量为100MB，超过此容量的文件将被拒绝。</w:t>
      </w:r>
    </w:p>
    <w:p w14:paraId="48A22685">
      <w:pPr>
        <w:pStyle w:val="23"/>
        <w:spacing w:before="0" w:beforeAutospacing="0" w:after="0" w:afterAutospacing="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4.开标操作：投标人可以登录“深圳政府采购智慧平台用户网上办事子系统（http://zfcg.szggzy.com:8081/TPBidder/memberLogin）”，在系统登录首页面即可查看开标情况。</w:t>
      </w:r>
    </w:p>
    <w:p w14:paraId="0FAC89DF">
      <w:pPr>
        <w:pStyle w:val="23"/>
        <w:spacing w:before="0" w:beforeAutospacing="0" w:after="0" w:afterAutospacing="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5.采购文件澄清/修改事项：</w:t>
      </w:r>
      <w:r>
        <w:rPr>
          <w:rFonts w:hint="eastAsia" w:ascii="宋体" w:hAnsi="宋体" w:eastAsia="宋体" w:cs="宋体"/>
          <w:color w:val="000000"/>
          <w:sz w:val="21"/>
          <w:szCs w:val="21"/>
          <w:u w:val="single"/>
        </w:rPr>
        <w:t>202*年*月*日*时*分（具体时间详见“深圳公共资源交易网”招标（采购）公告）</w:t>
      </w:r>
      <w:r>
        <w:rPr>
          <w:rFonts w:hint="eastAsia" w:ascii="宋体" w:hAnsi="宋体" w:eastAsia="宋体" w:cs="宋体"/>
          <w:color w:val="000000"/>
          <w:sz w:val="21"/>
          <w:szCs w:val="21"/>
        </w:rPr>
        <w:t>前，供应商如果认为采购文件存在不明确、不清晰和前后不一致等问题，可登录深圳公共资源交易中心网（http://zfcg.szggzy.com:8081/）→“深圳政府采购智慧平台用户网上办事子系统（http://zfcg.szggzy.com:8081/TPBidder/memberLogin）”，在“【我的项目】→【项目流程】→【提问】”功能点中填写需澄清内容。</w:t>
      </w:r>
      <w:r>
        <w:rPr>
          <w:rFonts w:hint="eastAsia" w:ascii="宋体" w:hAnsi="宋体" w:eastAsia="宋体" w:cs="宋体"/>
          <w:color w:val="000000"/>
          <w:sz w:val="21"/>
          <w:szCs w:val="21"/>
          <w:u w:val="single"/>
        </w:rPr>
        <w:t>202*年*月*日*时*分（具体时间详见“深圳公共资源交易网”招标（采购）公告）</w:t>
      </w:r>
      <w:r>
        <w:rPr>
          <w:rFonts w:hint="eastAsia" w:ascii="宋体" w:hAnsi="宋体" w:eastAsia="宋体" w:cs="宋体"/>
          <w:color w:val="000000"/>
          <w:sz w:val="21"/>
          <w:szCs w:val="21"/>
        </w:rPr>
        <w:t xml:space="preserve">前将采购文件澄清/修改情况在“【我的项目】→【项目流程】→【答疑澄清文件下载】”中公布，望投标人予以关注。 </w:t>
      </w:r>
    </w:p>
    <w:p w14:paraId="6931E369">
      <w:pPr>
        <w:pStyle w:val="23"/>
        <w:spacing w:before="0" w:beforeAutospacing="0" w:after="0" w:afterAutospacing="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重要提示：“提出采购文件澄清要求”不等同于“对采购文件质疑”，供应商提出的澄清要求内容如出现“质疑”字眼，将予以退回。供应商如认为采购文件存在限制性、倾向性、其权益受到损害，应在采购文件公布之日起七个工作日内以书面形式提出质疑。请质疑供应商根据深圳公共资源交易网站（https://www.szggzy.com/globalSearch/details.html?contentId=1211037）所发布的质疑指引、质疑函模板填写质疑函并提交质疑材料。质疑材料可以采用现场或邮寄方式提交，采用邮寄方式提交的，交邮时间应在本公告发布之日起七个工作日内。现场提交、邮寄地址：深圳市福田区上步南路1001号锦峰大厦2</w:t>
      </w: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 xml:space="preserve">楼。根据《深圳经济特区政府采购条例》第四十二条“供应商投诉的事项应当是经过质疑的事项”的规定，未经正式质疑的，将影响供应商行使向财政部门提起投诉的权利。） </w:t>
      </w:r>
    </w:p>
    <w:p w14:paraId="39EE2436">
      <w:pPr>
        <w:pStyle w:val="23"/>
        <w:spacing w:before="0" w:beforeAutospacing="0" w:after="0" w:afterAutospacing="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 xml:space="preserve">6.中国远东国际招标有限公司有权对中标供应商就本项目要求提供的相关证明资料（原件）进行审查。供应商提供虚假资料被查实的，则可能面临被取消本项目中标资格、列入不良行为记录名单和三年内禁止参与深圳市政府采购活动的风险。 </w:t>
      </w:r>
    </w:p>
    <w:p w14:paraId="7FF00920">
      <w:pPr>
        <w:pStyle w:val="23"/>
        <w:spacing w:before="0" w:beforeAutospacing="0" w:after="0" w:afterAutospacing="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 xml:space="preserve">7.本招标公告及本项目招标文件所涉及的时间一律为北京时间。投标人有义务在招标活动期间浏览深圳公共资源交易网站（http://www.szggzy.com），在深圳公共资源交易网站（http://www.szggzy.com）上公布的与本次招标项目有关的信息视为已送达各投标人。 </w:t>
      </w:r>
    </w:p>
    <w:p w14:paraId="369B04D7">
      <w:pPr>
        <w:pStyle w:val="23"/>
        <w:spacing w:before="0" w:beforeAutospacing="0" w:after="0" w:afterAutospacing="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 xml:space="preserve">8.本项目不需要投标保证金。 </w:t>
      </w:r>
    </w:p>
    <w:p w14:paraId="74157B74">
      <w:pPr>
        <w:pStyle w:val="4"/>
        <w:spacing w:before="0" w:after="0" w:line="240" w:lineRule="auto"/>
        <w:rPr>
          <w:rFonts w:cs="宋体"/>
          <w:sz w:val="21"/>
          <w:szCs w:val="21"/>
        </w:rPr>
      </w:pPr>
      <w:r>
        <w:rPr>
          <w:rFonts w:hint="eastAsia" w:cs="宋体"/>
          <w:sz w:val="21"/>
          <w:szCs w:val="21"/>
        </w:rPr>
        <w:t>八、对本次采购提出询问，请按以下方式联系：</w:t>
      </w:r>
    </w:p>
    <w:p w14:paraId="772DF8B0">
      <w:pPr>
        <w:ind w:left="480" w:leftChars="200"/>
        <w:rPr>
          <w:rFonts w:ascii="宋体" w:hAnsi="宋体" w:eastAsia="宋体" w:cs="宋体"/>
          <w:sz w:val="21"/>
          <w:szCs w:val="21"/>
        </w:rPr>
      </w:pPr>
      <w:r>
        <w:rPr>
          <w:rFonts w:hint="eastAsia" w:ascii="宋体" w:hAnsi="宋体" w:eastAsia="宋体" w:cs="宋体"/>
          <w:sz w:val="21"/>
          <w:szCs w:val="21"/>
        </w:rPr>
        <w:t>1.采购人信息</w:t>
      </w:r>
    </w:p>
    <w:p w14:paraId="39AA7957">
      <w:pPr>
        <w:ind w:left="480" w:leftChars="200"/>
        <w:rPr>
          <w:rFonts w:ascii="宋体" w:eastAsia="宋体" w:cs="宋体"/>
          <w:sz w:val="21"/>
          <w:szCs w:val="21"/>
        </w:rPr>
      </w:pPr>
      <w:r>
        <w:rPr>
          <w:rFonts w:hint="eastAsia" w:ascii="宋体" w:eastAsia="宋体" w:cs="宋体"/>
          <w:sz w:val="21"/>
          <w:szCs w:val="21"/>
        </w:rPr>
        <w:t>名称：哈尔滨工业大学（深圳）</w:t>
      </w:r>
    </w:p>
    <w:p w14:paraId="5BFDCCC1">
      <w:pPr>
        <w:ind w:left="480" w:leftChars="200"/>
        <w:rPr>
          <w:rFonts w:ascii="宋体" w:eastAsia="宋体" w:cs="宋体"/>
          <w:sz w:val="21"/>
          <w:szCs w:val="21"/>
        </w:rPr>
      </w:pPr>
      <w:r>
        <w:rPr>
          <w:rFonts w:hint="eastAsia" w:ascii="宋体" w:eastAsia="宋体" w:cs="宋体"/>
          <w:sz w:val="21"/>
          <w:szCs w:val="21"/>
        </w:rPr>
        <w:t>地址：深圳市大学城哈工大校区</w:t>
      </w:r>
    </w:p>
    <w:p w14:paraId="32A4F343">
      <w:pPr>
        <w:ind w:left="480" w:leftChars="200"/>
        <w:rPr>
          <w:rFonts w:hint="default" w:ascii="宋体" w:eastAsia="宋体" w:cs="宋体"/>
          <w:sz w:val="21"/>
          <w:szCs w:val="21"/>
          <w:lang w:val="en-US"/>
        </w:rPr>
      </w:pPr>
      <w:r>
        <w:rPr>
          <w:rFonts w:hint="eastAsia" w:ascii="宋体" w:hAnsi="宋体" w:eastAsia="宋体" w:cs="宋体"/>
          <w:sz w:val="21"/>
          <w:szCs w:val="21"/>
        </w:rPr>
        <w:t>联系人：</w:t>
      </w:r>
      <w:r>
        <w:rPr>
          <w:rFonts w:hint="eastAsia" w:ascii="宋体" w:hAnsi="宋体" w:eastAsia="宋体" w:cs="宋体"/>
          <w:sz w:val="21"/>
          <w:szCs w:val="21"/>
          <w:lang w:val="en-US" w:eastAsia="zh-CN"/>
        </w:rPr>
        <w:t>黄老师</w:t>
      </w:r>
    </w:p>
    <w:p w14:paraId="7D15216F">
      <w:pPr>
        <w:ind w:left="480" w:leftChars="200"/>
        <w:rPr>
          <w:rFonts w:hint="default" w:ascii="宋体" w:eastAsia="宋体" w:cs="宋体"/>
          <w:sz w:val="21"/>
          <w:szCs w:val="21"/>
          <w:lang w:val="en-US"/>
        </w:rPr>
      </w:pPr>
      <w:r>
        <w:rPr>
          <w:rFonts w:hint="eastAsia" w:ascii="宋体" w:eastAsia="宋体" w:cs="宋体"/>
          <w:sz w:val="21"/>
          <w:szCs w:val="21"/>
        </w:rPr>
        <w:t>联系方式：0755-</w:t>
      </w:r>
      <w:r>
        <w:rPr>
          <w:rFonts w:hint="eastAsia" w:ascii="宋体" w:eastAsia="宋体" w:cs="宋体"/>
          <w:sz w:val="21"/>
          <w:szCs w:val="21"/>
          <w:lang w:val="en-US" w:eastAsia="zh-CN"/>
        </w:rPr>
        <w:t>26604684</w:t>
      </w:r>
    </w:p>
    <w:p w14:paraId="2EB0A632">
      <w:pPr>
        <w:ind w:left="480" w:leftChars="200"/>
        <w:rPr>
          <w:rFonts w:ascii="宋体" w:hAnsi="宋体" w:eastAsia="宋体" w:cs="宋体"/>
          <w:sz w:val="21"/>
          <w:szCs w:val="21"/>
        </w:rPr>
      </w:pPr>
      <w:r>
        <w:rPr>
          <w:rFonts w:hint="eastAsia" w:ascii="宋体" w:hAnsi="宋体" w:eastAsia="宋体" w:cs="宋体"/>
          <w:sz w:val="21"/>
          <w:szCs w:val="21"/>
        </w:rPr>
        <w:t>2.采购实施机构信息</w:t>
      </w:r>
    </w:p>
    <w:p w14:paraId="49E4A434">
      <w:pPr>
        <w:ind w:left="480" w:leftChars="200"/>
        <w:rPr>
          <w:rFonts w:ascii="宋体" w:hAnsi="宋体" w:eastAsia="宋体" w:cs="宋体"/>
          <w:sz w:val="21"/>
          <w:szCs w:val="21"/>
        </w:rPr>
      </w:pPr>
      <w:r>
        <w:rPr>
          <w:rFonts w:hint="eastAsia" w:ascii="宋体" w:hAnsi="宋体" w:eastAsia="宋体" w:cs="宋体"/>
          <w:sz w:val="21"/>
          <w:szCs w:val="21"/>
        </w:rPr>
        <w:t>名称：中国远东国际招标有限公司</w:t>
      </w:r>
    </w:p>
    <w:p w14:paraId="637C4923">
      <w:pPr>
        <w:ind w:left="480" w:leftChars="200"/>
        <w:rPr>
          <w:rFonts w:hint="default" w:ascii="宋体" w:hAnsi="宋体" w:eastAsia="宋体" w:cs="宋体"/>
          <w:sz w:val="21"/>
          <w:szCs w:val="21"/>
          <w:lang w:val="en-US" w:eastAsia="zh-CN"/>
        </w:rPr>
      </w:pPr>
      <w:r>
        <w:rPr>
          <w:rFonts w:hint="eastAsia" w:ascii="宋体" w:hAnsi="宋体" w:eastAsia="宋体" w:cs="宋体"/>
          <w:sz w:val="21"/>
          <w:szCs w:val="21"/>
        </w:rPr>
        <w:t>地址：深圳市福田区上步南路锦峰大厦2</w:t>
      </w:r>
      <w:r>
        <w:rPr>
          <w:rFonts w:hint="eastAsia" w:ascii="宋体" w:hAnsi="宋体" w:eastAsia="宋体" w:cs="宋体"/>
          <w:sz w:val="21"/>
          <w:szCs w:val="21"/>
          <w:lang w:val="en-US" w:eastAsia="zh-CN"/>
        </w:rPr>
        <w:t>4楼</w:t>
      </w:r>
    </w:p>
    <w:p w14:paraId="320EB349">
      <w:pPr>
        <w:ind w:left="480" w:leftChars="200"/>
        <w:rPr>
          <w:rFonts w:ascii="宋体" w:hAnsi="宋体" w:eastAsia="宋体" w:cs="宋体"/>
          <w:sz w:val="21"/>
          <w:szCs w:val="21"/>
        </w:rPr>
      </w:pPr>
      <w:r>
        <w:rPr>
          <w:rFonts w:hint="eastAsia" w:ascii="宋体" w:hAnsi="宋体" w:eastAsia="宋体" w:cs="宋体"/>
          <w:sz w:val="21"/>
          <w:szCs w:val="21"/>
        </w:rPr>
        <w:t>联系方式：0755-83004312转103</w:t>
      </w:r>
    </w:p>
    <w:p w14:paraId="7900BCC0">
      <w:pPr>
        <w:ind w:left="480" w:leftChars="200"/>
        <w:rPr>
          <w:rFonts w:ascii="宋体" w:hAnsi="宋体" w:eastAsia="宋体" w:cs="宋体"/>
          <w:sz w:val="21"/>
          <w:szCs w:val="21"/>
        </w:rPr>
      </w:pPr>
      <w:r>
        <w:rPr>
          <w:rFonts w:hint="eastAsia" w:ascii="宋体" w:hAnsi="宋体" w:eastAsia="宋体" w:cs="宋体"/>
          <w:sz w:val="21"/>
          <w:szCs w:val="21"/>
        </w:rPr>
        <w:t>3.项目联系方式</w:t>
      </w:r>
    </w:p>
    <w:p w14:paraId="2C560BA9">
      <w:pPr>
        <w:ind w:left="480" w:leftChars="200"/>
        <w:rPr>
          <w:rFonts w:ascii="宋体" w:hAnsi="宋体" w:eastAsia="宋体" w:cs="宋体"/>
          <w:sz w:val="21"/>
          <w:szCs w:val="21"/>
        </w:rPr>
      </w:pPr>
      <w:r>
        <w:rPr>
          <w:rFonts w:hint="eastAsia" w:ascii="宋体" w:hAnsi="宋体" w:eastAsia="宋体" w:cs="宋体"/>
          <w:sz w:val="21"/>
          <w:szCs w:val="21"/>
        </w:rPr>
        <w:t>项目联系人：王展庭、黄国安</w:t>
      </w:r>
    </w:p>
    <w:p w14:paraId="2FAA3BA2">
      <w:pPr>
        <w:ind w:left="480" w:leftChars="200"/>
        <w:rPr>
          <w:rFonts w:hint="eastAsia" w:ascii="宋体" w:hAnsi="宋体" w:eastAsia="宋体" w:cs="宋体"/>
          <w:sz w:val="21"/>
          <w:szCs w:val="21"/>
        </w:rPr>
      </w:pPr>
      <w:r>
        <w:rPr>
          <w:rFonts w:hint="eastAsia" w:ascii="宋体" w:hAnsi="宋体" w:eastAsia="宋体" w:cs="宋体"/>
          <w:sz w:val="21"/>
          <w:szCs w:val="21"/>
        </w:rPr>
        <w:t>联系方式：0755-83004312转103、107</w:t>
      </w:r>
    </w:p>
    <w:p w14:paraId="2DFA1AC6">
      <w:pPr>
        <w:ind w:left="480" w:leftChars="200"/>
        <w:rPr>
          <w:rFonts w:hint="eastAsia" w:ascii="宋体" w:hAnsi="宋体" w:eastAsia="宋体" w:cs="宋体"/>
          <w:sz w:val="21"/>
          <w:szCs w:val="21"/>
        </w:rPr>
      </w:pPr>
      <w:r>
        <w:rPr>
          <w:rFonts w:hint="eastAsia" w:ascii="宋体" w:hAnsi="宋体" w:eastAsia="宋体" w:cs="宋体"/>
          <w:sz w:val="21"/>
          <w:szCs w:val="21"/>
        </w:rPr>
        <w:t>邮箱：dept2@zgyd11.com</w:t>
      </w:r>
    </w:p>
    <w:p w14:paraId="55F4C2B5">
      <w:pPr>
        <w:ind w:left="480" w:leftChars="200"/>
        <w:rPr>
          <w:rFonts w:hint="eastAsia" w:ascii="宋体" w:hAnsi="宋体" w:eastAsia="宋体" w:cs="宋体"/>
          <w:sz w:val="21"/>
          <w:szCs w:val="21"/>
        </w:rPr>
      </w:pPr>
      <w:r>
        <w:rPr>
          <w:rFonts w:hint="eastAsia" w:ascii="宋体" w:hAnsi="宋体" w:eastAsia="宋体" w:cs="宋体"/>
          <w:sz w:val="21"/>
          <w:szCs w:val="21"/>
        </w:rPr>
        <w:t>系统技术支持:0755-36568999转1转1</w:t>
      </w:r>
    </w:p>
    <w:p w14:paraId="198F2ADD">
      <w:pPr>
        <w:ind w:left="480" w:leftChars="200"/>
        <w:rPr>
          <w:rFonts w:ascii="宋体" w:hAnsi="宋体" w:eastAsia="宋体" w:cs="宋体"/>
          <w:sz w:val="21"/>
          <w:szCs w:val="21"/>
        </w:rPr>
      </w:pPr>
    </w:p>
    <w:p w14:paraId="2A9DEA82">
      <w:pPr>
        <w:jc w:val="right"/>
        <w:rPr>
          <w:rFonts w:ascii="宋体" w:hAnsi="宋体" w:eastAsia="宋体" w:cs="宋体"/>
          <w:sz w:val="21"/>
          <w:szCs w:val="21"/>
        </w:rPr>
      </w:pPr>
    </w:p>
    <w:p w14:paraId="073A4E61">
      <w:pPr>
        <w:pStyle w:val="7"/>
        <w:ind w:firstLine="392" w:firstLineChars="187"/>
        <w:rPr>
          <w:rFonts w:ascii="宋体" w:hAnsi="宋体" w:eastAsia="宋体" w:cs="宋体"/>
          <w:b/>
          <w:bCs/>
          <w:sz w:val="21"/>
          <w:szCs w:val="21"/>
        </w:rPr>
      </w:pPr>
      <w:r>
        <w:rPr>
          <w:rFonts w:hint="eastAsia" w:ascii="宋体" w:hAnsi="宋体" w:eastAsia="宋体" w:cs="宋体"/>
          <w:sz w:val="21"/>
          <w:szCs w:val="21"/>
        </w:rPr>
        <w:t xml:space="preserve">                                                   中国远东国际招标有限公司</w:t>
      </w:r>
    </w:p>
    <w:p w14:paraId="62DD87D9">
      <w:pPr>
        <w:pStyle w:val="7"/>
        <w:spacing w:before="60" w:beforeLines="25" w:after="60" w:afterLines="25"/>
        <w:ind w:firstLine="448" w:firstLineChars="187"/>
      </w:pPr>
    </w:p>
    <w:p w14:paraId="67B17AE7">
      <w:pPr>
        <w:spacing w:line="312" w:lineRule="auto"/>
        <w:jc w:val="center"/>
        <w:rPr>
          <w:color w:val="000000"/>
        </w:rPr>
      </w:pPr>
      <w:r>
        <w:rPr>
          <w:rFonts w:hint="eastAsia" w:ascii="宋体" w:hAnsi="宋体"/>
          <w:b/>
          <w:bCs/>
          <w:color w:val="FF0000"/>
        </w:rPr>
        <w:t>*备注：各项时间节点以“深圳公共资源交易网（https://www.szggzy.com）” 招标（采购）公告的公布信息为准。</w:t>
      </w:r>
    </w:p>
    <w:p w14:paraId="1EC4DF6A">
      <w:pPr>
        <w:pStyle w:val="3"/>
        <w:rPr>
          <w:b/>
          <w:bCs/>
          <w:sz w:val="36"/>
          <w:szCs w:val="36"/>
        </w:rPr>
      </w:pPr>
      <w:r>
        <w:br w:type="page"/>
      </w:r>
      <w:r>
        <w:rPr>
          <w:rFonts w:hint="eastAsia"/>
          <w:b/>
          <w:bCs/>
          <w:sz w:val="36"/>
          <w:szCs w:val="36"/>
        </w:rPr>
        <w:t>第二章 对通用条款的补充内容及其他关键信息</w:t>
      </w:r>
    </w:p>
    <w:p w14:paraId="01BBA3C7">
      <w:pPr>
        <w:pStyle w:val="4"/>
        <w:spacing w:before="0" w:after="48" w:afterLines="20"/>
        <w:jc w:val="center"/>
        <w:rPr>
          <w:szCs w:val="28"/>
        </w:rPr>
      </w:pPr>
      <w:bookmarkStart w:id="17" w:name="_Toc60560625"/>
      <w:bookmarkStart w:id="18" w:name="_Toc73521635"/>
      <w:bookmarkStart w:id="19" w:name="_Toc100052364"/>
      <w:bookmarkStart w:id="20" w:name="_Toc73521547"/>
      <w:bookmarkStart w:id="21" w:name="_Toc60631620"/>
      <w:bookmarkStart w:id="22" w:name="_Toc73518117"/>
      <w:bookmarkStart w:id="23" w:name="_Toc101074876"/>
      <w:bookmarkStart w:id="24" w:name="_Toc73517639"/>
      <w:r>
        <w:rPr>
          <w:szCs w:val="28"/>
        </w:rPr>
        <w:t>一、对通用条款的补充内容</w:t>
      </w:r>
    </w:p>
    <w:bookmarkEnd w:id="17"/>
    <w:bookmarkEnd w:id="18"/>
    <w:bookmarkEnd w:id="19"/>
    <w:bookmarkEnd w:id="20"/>
    <w:bookmarkEnd w:id="21"/>
    <w:bookmarkEnd w:id="22"/>
    <w:bookmarkEnd w:id="23"/>
    <w:bookmarkEnd w:id="24"/>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58"/>
        <w:gridCol w:w="1470"/>
        <w:gridCol w:w="6276"/>
      </w:tblGrid>
      <w:tr w14:paraId="007535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58" w:type="dxa"/>
            <w:vAlign w:val="center"/>
          </w:tcPr>
          <w:p w14:paraId="1686BA99">
            <w:pPr>
              <w:jc w:val="center"/>
              <w:rPr>
                <w:rFonts w:ascii="宋体" w:hAnsi="宋体" w:eastAsia="宋体" w:cs="宋体"/>
                <w:b/>
                <w:bCs/>
                <w:sz w:val="21"/>
                <w:szCs w:val="21"/>
              </w:rPr>
            </w:pPr>
            <w:r>
              <w:rPr>
                <w:rFonts w:hint="eastAsia" w:ascii="宋体" w:hAnsi="宋体" w:eastAsia="宋体" w:cs="宋体"/>
                <w:b/>
                <w:bCs/>
                <w:sz w:val="21"/>
                <w:szCs w:val="21"/>
              </w:rPr>
              <w:t>通用条款序号</w:t>
            </w:r>
          </w:p>
        </w:tc>
        <w:tc>
          <w:tcPr>
            <w:tcW w:w="1470" w:type="dxa"/>
            <w:vAlign w:val="center"/>
          </w:tcPr>
          <w:p w14:paraId="49B146FE">
            <w:pPr>
              <w:jc w:val="center"/>
              <w:rPr>
                <w:rFonts w:ascii="宋体" w:hAnsi="宋体" w:eastAsia="宋体" w:cs="宋体"/>
                <w:b/>
                <w:bCs/>
                <w:sz w:val="21"/>
                <w:szCs w:val="21"/>
              </w:rPr>
            </w:pPr>
            <w:r>
              <w:rPr>
                <w:rFonts w:hint="eastAsia" w:ascii="宋体" w:hAnsi="宋体" w:eastAsia="宋体" w:cs="宋体"/>
                <w:b/>
                <w:bCs/>
                <w:sz w:val="21"/>
                <w:szCs w:val="21"/>
              </w:rPr>
              <w:t>涉及事项</w:t>
            </w:r>
          </w:p>
        </w:tc>
        <w:tc>
          <w:tcPr>
            <w:tcW w:w="6276" w:type="dxa"/>
            <w:vAlign w:val="center"/>
          </w:tcPr>
          <w:p w14:paraId="30FD4CB9">
            <w:pPr>
              <w:jc w:val="center"/>
              <w:rPr>
                <w:rFonts w:ascii="宋体" w:hAnsi="宋体" w:eastAsia="宋体" w:cs="宋体"/>
                <w:b/>
                <w:bCs/>
                <w:sz w:val="21"/>
                <w:szCs w:val="21"/>
              </w:rPr>
            </w:pPr>
            <w:r>
              <w:rPr>
                <w:rFonts w:hint="eastAsia" w:ascii="宋体" w:hAnsi="宋体" w:eastAsia="宋体" w:cs="宋体"/>
                <w:b/>
                <w:bCs/>
                <w:sz w:val="21"/>
                <w:szCs w:val="21"/>
              </w:rPr>
              <w:t>具体补充内容</w:t>
            </w:r>
          </w:p>
        </w:tc>
      </w:tr>
      <w:tr w14:paraId="0A5356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58" w:type="dxa"/>
            <w:vAlign w:val="center"/>
          </w:tcPr>
          <w:p w14:paraId="2BA04544">
            <w:pPr>
              <w:jc w:val="center"/>
              <w:rPr>
                <w:rFonts w:ascii="宋体" w:hAnsi="宋体" w:eastAsia="宋体" w:cs="宋体"/>
                <w:sz w:val="21"/>
                <w:szCs w:val="21"/>
              </w:rPr>
            </w:pPr>
            <w:r>
              <w:rPr>
                <w:rFonts w:hint="eastAsia" w:ascii="宋体" w:hAnsi="宋体" w:eastAsia="宋体" w:cs="宋体"/>
                <w:sz w:val="21"/>
                <w:szCs w:val="21"/>
              </w:rPr>
              <w:t>9</w:t>
            </w:r>
          </w:p>
        </w:tc>
        <w:tc>
          <w:tcPr>
            <w:tcW w:w="1470" w:type="dxa"/>
            <w:vAlign w:val="center"/>
          </w:tcPr>
          <w:p w14:paraId="3E8DFD59">
            <w:pPr>
              <w:jc w:val="center"/>
              <w:rPr>
                <w:rFonts w:ascii="宋体" w:hAnsi="宋体" w:eastAsia="宋体" w:cs="宋体"/>
                <w:sz w:val="21"/>
                <w:szCs w:val="21"/>
              </w:rPr>
            </w:pPr>
            <w:r>
              <w:rPr>
                <w:rFonts w:hint="eastAsia" w:ascii="宋体" w:hAnsi="宋体" w:eastAsia="宋体" w:cs="宋体"/>
                <w:sz w:val="21"/>
                <w:szCs w:val="21"/>
              </w:rPr>
              <w:t>踏勘现场</w:t>
            </w:r>
          </w:p>
        </w:tc>
        <w:tc>
          <w:tcPr>
            <w:tcW w:w="6276" w:type="dxa"/>
            <w:vAlign w:val="center"/>
          </w:tcPr>
          <w:p w14:paraId="683D14C9">
            <w:pPr>
              <w:jc w:val="center"/>
              <w:rPr>
                <w:rFonts w:ascii="宋体" w:hAnsi="宋体" w:eastAsia="宋体" w:cs="宋体"/>
                <w:sz w:val="21"/>
                <w:szCs w:val="21"/>
              </w:rPr>
            </w:pPr>
            <w:r>
              <w:rPr>
                <w:rFonts w:hint="eastAsia" w:ascii="宋体" w:hAnsi="宋体" w:eastAsia="宋体" w:cs="宋体"/>
                <w:sz w:val="21"/>
                <w:szCs w:val="21"/>
              </w:rPr>
              <w:t>不组织</w:t>
            </w:r>
          </w:p>
        </w:tc>
      </w:tr>
      <w:tr w14:paraId="7C42B4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58" w:type="dxa"/>
            <w:vAlign w:val="center"/>
          </w:tcPr>
          <w:p w14:paraId="3A2109C1">
            <w:pPr>
              <w:jc w:val="center"/>
              <w:rPr>
                <w:rFonts w:ascii="宋体" w:hAnsi="宋体" w:eastAsia="宋体" w:cs="宋体"/>
                <w:sz w:val="21"/>
                <w:szCs w:val="21"/>
              </w:rPr>
            </w:pPr>
            <w:r>
              <w:rPr>
                <w:rFonts w:hint="eastAsia" w:ascii="宋体" w:hAnsi="宋体" w:eastAsia="宋体" w:cs="宋体"/>
                <w:sz w:val="21"/>
                <w:szCs w:val="21"/>
              </w:rPr>
              <w:t>12/13</w:t>
            </w:r>
          </w:p>
        </w:tc>
        <w:tc>
          <w:tcPr>
            <w:tcW w:w="1470" w:type="dxa"/>
            <w:vAlign w:val="center"/>
          </w:tcPr>
          <w:p w14:paraId="207FFA8C">
            <w:pPr>
              <w:jc w:val="center"/>
              <w:rPr>
                <w:rFonts w:ascii="宋体" w:hAnsi="宋体" w:eastAsia="宋体" w:cs="宋体"/>
                <w:sz w:val="21"/>
                <w:szCs w:val="21"/>
              </w:rPr>
            </w:pPr>
            <w:r>
              <w:rPr>
                <w:rFonts w:hint="eastAsia" w:ascii="宋体" w:hAnsi="宋体" w:eastAsia="宋体" w:cs="宋体"/>
                <w:sz w:val="21"/>
                <w:szCs w:val="21"/>
              </w:rPr>
              <w:t>招标文件的澄清和修改</w:t>
            </w:r>
          </w:p>
        </w:tc>
        <w:tc>
          <w:tcPr>
            <w:tcW w:w="6276" w:type="dxa"/>
            <w:vAlign w:val="center"/>
          </w:tcPr>
          <w:p w14:paraId="68BB80A2">
            <w:pPr>
              <w:rPr>
                <w:rFonts w:ascii="宋体" w:hAnsi="宋体" w:eastAsia="宋体" w:cs="宋体"/>
                <w:sz w:val="21"/>
                <w:szCs w:val="21"/>
              </w:rPr>
            </w:pPr>
            <w:r>
              <w:rPr>
                <w:rFonts w:hint="eastAsia" w:ascii="宋体" w:hAnsi="宋体" w:eastAsia="宋体" w:cs="宋体"/>
                <w:sz w:val="21"/>
                <w:szCs w:val="21"/>
              </w:rPr>
              <w:t>不晚于投标截止日三日前（详见招标公告），投标人有义务在招标期间在【</w:t>
            </w:r>
            <w:r>
              <w:rPr>
                <w:rFonts w:hint="eastAsia" w:ascii="宋体" w:hAnsi="宋体" w:eastAsia="宋体" w:cs="宋体"/>
                <w:color w:val="FF0000"/>
                <w:sz w:val="21"/>
                <w:szCs w:val="21"/>
              </w:rPr>
              <w:t>深圳公共资源交易网站（https://www.szggzy.com/）</w:t>
            </w:r>
            <w:r>
              <w:rPr>
                <w:rFonts w:hint="eastAsia" w:ascii="宋体" w:hAnsi="宋体" w:eastAsia="宋体" w:cs="宋体"/>
                <w:sz w:val="21"/>
                <w:szCs w:val="21"/>
              </w:rPr>
              <w:t>】浏览与本项目有关的澄清和修改信息。</w:t>
            </w:r>
          </w:p>
        </w:tc>
      </w:tr>
      <w:tr w14:paraId="258462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58" w:type="dxa"/>
            <w:vAlign w:val="center"/>
          </w:tcPr>
          <w:p w14:paraId="260F75F6">
            <w:pPr>
              <w:jc w:val="center"/>
              <w:rPr>
                <w:rFonts w:ascii="宋体" w:hAnsi="宋体" w:eastAsia="宋体" w:cs="宋体"/>
                <w:sz w:val="21"/>
                <w:szCs w:val="21"/>
              </w:rPr>
            </w:pPr>
            <w:r>
              <w:rPr>
                <w:rFonts w:hint="eastAsia" w:ascii="宋体" w:hAnsi="宋体" w:eastAsia="宋体" w:cs="宋体"/>
                <w:sz w:val="21"/>
                <w:szCs w:val="21"/>
              </w:rPr>
              <w:t>20</w:t>
            </w:r>
          </w:p>
        </w:tc>
        <w:tc>
          <w:tcPr>
            <w:tcW w:w="1470" w:type="dxa"/>
            <w:vAlign w:val="center"/>
          </w:tcPr>
          <w:p w14:paraId="3A2D2E2B">
            <w:pPr>
              <w:jc w:val="center"/>
              <w:rPr>
                <w:rFonts w:ascii="宋体" w:hAnsi="宋体" w:eastAsia="宋体" w:cs="宋体"/>
                <w:sz w:val="21"/>
                <w:szCs w:val="21"/>
              </w:rPr>
            </w:pPr>
            <w:r>
              <w:rPr>
                <w:rFonts w:hint="eastAsia" w:ascii="宋体" w:hAnsi="宋体" w:eastAsia="宋体" w:cs="宋体"/>
                <w:sz w:val="21"/>
                <w:szCs w:val="21"/>
              </w:rPr>
              <w:t>投标有效期</w:t>
            </w:r>
          </w:p>
        </w:tc>
        <w:tc>
          <w:tcPr>
            <w:tcW w:w="6276" w:type="dxa"/>
            <w:vAlign w:val="center"/>
          </w:tcPr>
          <w:p w14:paraId="7250EC41">
            <w:pPr>
              <w:jc w:val="center"/>
              <w:rPr>
                <w:rFonts w:ascii="宋体" w:hAnsi="宋体" w:eastAsia="宋体" w:cs="宋体"/>
                <w:sz w:val="21"/>
                <w:szCs w:val="21"/>
              </w:rPr>
            </w:pPr>
            <w:r>
              <w:rPr>
                <w:rFonts w:hint="eastAsia" w:ascii="宋体" w:hAnsi="宋体" w:eastAsia="宋体" w:cs="宋体"/>
                <w:sz w:val="21"/>
                <w:szCs w:val="21"/>
              </w:rPr>
              <w:t>120个日历日</w:t>
            </w:r>
          </w:p>
        </w:tc>
      </w:tr>
      <w:tr w14:paraId="1DE151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58" w:type="dxa"/>
            <w:vAlign w:val="center"/>
          </w:tcPr>
          <w:p w14:paraId="62B5C18A">
            <w:pPr>
              <w:jc w:val="center"/>
              <w:rPr>
                <w:rFonts w:ascii="宋体" w:hAnsi="宋体" w:eastAsia="宋体" w:cs="宋体"/>
                <w:sz w:val="21"/>
                <w:szCs w:val="21"/>
              </w:rPr>
            </w:pPr>
            <w:r>
              <w:rPr>
                <w:rFonts w:hint="eastAsia" w:ascii="宋体" w:hAnsi="宋体" w:eastAsia="宋体" w:cs="宋体"/>
                <w:sz w:val="21"/>
                <w:szCs w:val="21"/>
              </w:rPr>
              <w:t>22</w:t>
            </w:r>
          </w:p>
        </w:tc>
        <w:tc>
          <w:tcPr>
            <w:tcW w:w="1470" w:type="dxa"/>
            <w:vAlign w:val="center"/>
          </w:tcPr>
          <w:p w14:paraId="71CEA964">
            <w:pPr>
              <w:jc w:val="center"/>
              <w:rPr>
                <w:rFonts w:ascii="宋体" w:hAnsi="宋体" w:eastAsia="宋体" w:cs="宋体"/>
                <w:sz w:val="21"/>
                <w:szCs w:val="21"/>
              </w:rPr>
            </w:pPr>
            <w:r>
              <w:rPr>
                <w:rFonts w:hint="eastAsia" w:ascii="宋体" w:hAnsi="宋体" w:eastAsia="宋体" w:cs="宋体"/>
                <w:sz w:val="21"/>
                <w:szCs w:val="21"/>
              </w:rPr>
              <w:t>投标人的替代方案</w:t>
            </w:r>
          </w:p>
        </w:tc>
        <w:tc>
          <w:tcPr>
            <w:tcW w:w="6276" w:type="dxa"/>
            <w:vAlign w:val="center"/>
          </w:tcPr>
          <w:p w14:paraId="20454E80">
            <w:pPr>
              <w:jc w:val="center"/>
              <w:rPr>
                <w:rFonts w:ascii="宋体" w:hAnsi="宋体" w:eastAsia="宋体" w:cs="宋体"/>
                <w:sz w:val="21"/>
                <w:szCs w:val="21"/>
              </w:rPr>
            </w:pPr>
            <w:r>
              <w:rPr>
                <w:rFonts w:hint="eastAsia" w:ascii="宋体" w:hAnsi="宋体" w:eastAsia="宋体" w:cs="宋体"/>
                <w:sz w:val="21"/>
                <w:szCs w:val="21"/>
              </w:rPr>
              <w:t>不接受</w:t>
            </w:r>
          </w:p>
        </w:tc>
      </w:tr>
      <w:tr w14:paraId="34D195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58" w:type="dxa"/>
            <w:vAlign w:val="center"/>
          </w:tcPr>
          <w:p w14:paraId="67ED584C">
            <w:pPr>
              <w:jc w:val="center"/>
              <w:rPr>
                <w:rFonts w:ascii="宋体" w:hAnsi="宋体" w:eastAsia="宋体" w:cs="宋体"/>
                <w:sz w:val="21"/>
                <w:szCs w:val="21"/>
              </w:rPr>
            </w:pPr>
            <w:r>
              <w:rPr>
                <w:rFonts w:hint="eastAsia" w:ascii="宋体" w:hAnsi="宋体" w:eastAsia="宋体" w:cs="宋体"/>
                <w:sz w:val="21"/>
                <w:szCs w:val="21"/>
              </w:rPr>
              <w:t>26</w:t>
            </w:r>
          </w:p>
        </w:tc>
        <w:tc>
          <w:tcPr>
            <w:tcW w:w="1470" w:type="dxa"/>
            <w:vAlign w:val="center"/>
          </w:tcPr>
          <w:p w14:paraId="176139A6">
            <w:pPr>
              <w:jc w:val="center"/>
              <w:rPr>
                <w:rFonts w:ascii="宋体" w:hAnsi="宋体" w:eastAsia="宋体" w:cs="宋体"/>
                <w:sz w:val="21"/>
                <w:szCs w:val="21"/>
              </w:rPr>
            </w:pPr>
            <w:bookmarkStart w:id="25" w:name="_Hlk71664860"/>
            <w:r>
              <w:rPr>
                <w:rFonts w:hint="eastAsia" w:ascii="宋体" w:hAnsi="宋体" w:eastAsia="宋体" w:cs="宋体"/>
                <w:sz w:val="21"/>
                <w:szCs w:val="21"/>
              </w:rPr>
              <w:t>样品、演示、方案讲解</w:t>
            </w:r>
            <w:bookmarkEnd w:id="25"/>
          </w:p>
        </w:tc>
        <w:tc>
          <w:tcPr>
            <w:tcW w:w="6276" w:type="dxa"/>
            <w:vAlign w:val="center"/>
          </w:tcPr>
          <w:p w14:paraId="07ED4736">
            <w:pPr>
              <w:rPr>
                <w:rFonts w:ascii="宋体" w:hAnsi="宋体" w:eastAsia="宋体" w:cs="宋体"/>
                <w:sz w:val="21"/>
                <w:szCs w:val="21"/>
              </w:rPr>
            </w:pPr>
            <w:r>
              <w:rPr>
                <w:rFonts w:hint="eastAsia" w:ascii="宋体" w:hAnsi="宋体" w:eastAsia="宋体" w:cs="宋体"/>
                <w:sz w:val="21"/>
                <w:szCs w:val="21"/>
              </w:rPr>
              <w:t>如有样品、演示、方案讲解，具体安排见</w:t>
            </w:r>
            <w:r>
              <w:rPr>
                <w:rFonts w:hint="eastAsia" w:ascii="宋体" w:hAnsi="宋体" w:eastAsia="宋体" w:cs="宋体"/>
                <w:color w:val="FF0000"/>
                <w:sz w:val="21"/>
                <w:szCs w:val="21"/>
              </w:rPr>
              <w:t>第三章 用户需求书相关要求</w:t>
            </w:r>
          </w:p>
        </w:tc>
      </w:tr>
      <w:tr w14:paraId="545BA0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58" w:type="dxa"/>
            <w:vAlign w:val="center"/>
          </w:tcPr>
          <w:p w14:paraId="674FAA33">
            <w:pPr>
              <w:jc w:val="center"/>
              <w:rPr>
                <w:rFonts w:ascii="宋体" w:hAnsi="宋体" w:eastAsia="宋体" w:cs="宋体"/>
                <w:sz w:val="21"/>
                <w:szCs w:val="21"/>
              </w:rPr>
            </w:pPr>
            <w:r>
              <w:rPr>
                <w:rFonts w:hint="eastAsia" w:ascii="宋体" w:hAnsi="宋体" w:eastAsia="宋体" w:cs="宋体"/>
                <w:sz w:val="21"/>
                <w:szCs w:val="21"/>
              </w:rPr>
              <w:t>37</w:t>
            </w:r>
          </w:p>
        </w:tc>
        <w:tc>
          <w:tcPr>
            <w:tcW w:w="1470" w:type="dxa"/>
            <w:vAlign w:val="center"/>
          </w:tcPr>
          <w:p w14:paraId="7641533F">
            <w:pPr>
              <w:jc w:val="center"/>
              <w:rPr>
                <w:rFonts w:ascii="宋体" w:hAnsi="宋体" w:eastAsia="宋体" w:cs="宋体"/>
                <w:sz w:val="21"/>
                <w:szCs w:val="21"/>
              </w:rPr>
            </w:pPr>
            <w:r>
              <w:rPr>
                <w:rFonts w:hint="eastAsia" w:ascii="宋体" w:hAnsi="宋体" w:eastAsia="宋体" w:cs="宋体"/>
                <w:sz w:val="21"/>
                <w:szCs w:val="21"/>
              </w:rPr>
              <w:t>评审方法</w:t>
            </w:r>
          </w:p>
        </w:tc>
        <w:tc>
          <w:tcPr>
            <w:tcW w:w="6276" w:type="dxa"/>
            <w:vAlign w:val="center"/>
          </w:tcPr>
          <w:p w14:paraId="4323873B">
            <w:pPr>
              <w:rPr>
                <w:rFonts w:ascii="宋体" w:hAnsi="宋体" w:eastAsia="宋体" w:cs="宋体"/>
                <w:sz w:val="21"/>
                <w:szCs w:val="21"/>
              </w:rPr>
            </w:pPr>
            <w:r>
              <w:rPr>
                <w:rFonts w:hint="eastAsia" w:ascii="宋体" w:hAnsi="宋体" w:eastAsia="宋体" w:cs="宋体"/>
                <w:b/>
                <w:sz w:val="21"/>
                <w:szCs w:val="21"/>
              </w:rPr>
              <w:t xml:space="preserve">□ </w:t>
            </w:r>
            <w:r>
              <w:rPr>
                <w:rFonts w:hint="eastAsia" w:ascii="宋体" w:hAnsi="宋体" w:eastAsia="宋体" w:cs="宋体"/>
                <w:sz w:val="21"/>
                <w:szCs w:val="21"/>
              </w:rPr>
              <w:t>最低价法</w:t>
            </w:r>
          </w:p>
          <w:p w14:paraId="4507B947">
            <w:pPr>
              <w:rPr>
                <w:rFonts w:ascii="宋体" w:hAnsi="宋体" w:eastAsia="宋体" w:cs="宋体"/>
                <w:sz w:val="21"/>
                <w:szCs w:val="21"/>
              </w:rPr>
            </w:pPr>
            <w:r>
              <w:rPr>
                <w:rFonts w:hint="eastAsia" w:ascii="宋体" w:hAnsi="宋体" w:cs="宋体"/>
              </w:rPr>
              <w:t>☑</w:t>
            </w:r>
            <w:r>
              <w:rPr>
                <w:rFonts w:hint="eastAsia" w:ascii="宋体" w:hAnsi="宋体" w:eastAsia="宋体" w:cs="宋体"/>
                <w:b/>
                <w:sz w:val="21"/>
                <w:szCs w:val="21"/>
              </w:rPr>
              <w:t xml:space="preserve"> </w:t>
            </w:r>
            <w:r>
              <w:rPr>
                <w:rFonts w:hint="eastAsia" w:ascii="宋体" w:hAnsi="宋体" w:eastAsia="宋体" w:cs="宋体"/>
                <w:sz w:val="21"/>
                <w:szCs w:val="21"/>
              </w:rPr>
              <w:t>综合评分法</w:t>
            </w:r>
          </w:p>
        </w:tc>
      </w:tr>
      <w:tr w14:paraId="4C4E0B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58" w:type="dxa"/>
            <w:vMerge w:val="restart"/>
            <w:vAlign w:val="center"/>
          </w:tcPr>
          <w:p w14:paraId="5A208235">
            <w:pPr>
              <w:jc w:val="center"/>
              <w:rPr>
                <w:rFonts w:ascii="宋体" w:hAnsi="宋体" w:eastAsia="宋体" w:cs="宋体"/>
                <w:sz w:val="21"/>
                <w:szCs w:val="21"/>
              </w:rPr>
            </w:pPr>
            <w:r>
              <w:rPr>
                <w:rFonts w:hint="eastAsia" w:ascii="宋体" w:hAnsi="宋体" w:eastAsia="宋体" w:cs="宋体"/>
                <w:sz w:val="21"/>
                <w:szCs w:val="21"/>
              </w:rPr>
              <w:t>38</w:t>
            </w:r>
          </w:p>
        </w:tc>
        <w:tc>
          <w:tcPr>
            <w:tcW w:w="1470" w:type="dxa"/>
            <w:vMerge w:val="restart"/>
            <w:vAlign w:val="center"/>
          </w:tcPr>
          <w:p w14:paraId="2C3010DC">
            <w:pPr>
              <w:jc w:val="center"/>
              <w:rPr>
                <w:rFonts w:ascii="宋体" w:hAnsi="宋体" w:eastAsia="宋体" w:cs="宋体"/>
                <w:sz w:val="21"/>
                <w:szCs w:val="21"/>
              </w:rPr>
            </w:pPr>
            <w:r>
              <w:rPr>
                <w:rFonts w:hint="eastAsia" w:ascii="宋体" w:hAnsi="宋体" w:eastAsia="宋体" w:cs="宋体"/>
                <w:sz w:val="21"/>
                <w:szCs w:val="21"/>
              </w:rPr>
              <w:t>定标方法</w:t>
            </w:r>
          </w:p>
        </w:tc>
        <w:tc>
          <w:tcPr>
            <w:tcW w:w="6276" w:type="dxa"/>
            <w:vAlign w:val="center"/>
          </w:tcPr>
          <w:p w14:paraId="4B038716">
            <w:pPr>
              <w:rPr>
                <w:rFonts w:ascii="宋体" w:hAnsi="宋体" w:eastAsia="宋体" w:cs="宋体"/>
                <w:sz w:val="21"/>
                <w:szCs w:val="21"/>
              </w:rPr>
            </w:pPr>
            <w:r>
              <w:rPr>
                <w:rFonts w:hint="eastAsia" w:ascii="宋体" w:hAnsi="宋体" w:cs="宋体"/>
              </w:rPr>
              <w:t>☑</w:t>
            </w:r>
            <w:r>
              <w:rPr>
                <w:rFonts w:hint="eastAsia" w:ascii="宋体" w:hAnsi="宋体" w:eastAsia="宋体" w:cs="宋体"/>
                <w:b/>
                <w:sz w:val="21"/>
                <w:szCs w:val="21"/>
              </w:rPr>
              <w:t xml:space="preserve"> </w:t>
            </w:r>
            <w:r>
              <w:rPr>
                <w:rFonts w:hint="eastAsia" w:ascii="宋体" w:hAnsi="宋体" w:eastAsia="宋体" w:cs="宋体"/>
                <w:sz w:val="21"/>
                <w:szCs w:val="21"/>
              </w:rPr>
              <w:t>非评定分离</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1"/>
              <w:gridCol w:w="4371"/>
            </w:tblGrid>
            <w:tr w14:paraId="05393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731" w:type="dxa"/>
                  <w:vAlign w:val="center"/>
                </w:tcPr>
                <w:p w14:paraId="6162358D">
                  <w:pPr>
                    <w:widowControl w:val="0"/>
                    <w:jc w:val="center"/>
                    <w:rPr>
                      <w:rFonts w:ascii="宋体" w:hAnsi="宋体" w:eastAsia="宋体" w:cs="宋体"/>
                      <w:b/>
                      <w:bCs/>
                      <w:sz w:val="21"/>
                      <w:szCs w:val="21"/>
                    </w:rPr>
                  </w:pPr>
                  <w:r>
                    <w:rPr>
                      <w:rFonts w:hint="eastAsia" w:ascii="宋体" w:hAnsi="宋体" w:eastAsia="宋体" w:cs="宋体"/>
                      <w:b/>
                      <w:bCs/>
                      <w:sz w:val="21"/>
                      <w:szCs w:val="21"/>
                    </w:rPr>
                    <w:t>评标方法</w:t>
                  </w:r>
                </w:p>
              </w:tc>
              <w:tc>
                <w:tcPr>
                  <w:tcW w:w="4371" w:type="dxa"/>
                  <w:vAlign w:val="center"/>
                </w:tcPr>
                <w:p w14:paraId="0FAD44E8">
                  <w:pPr>
                    <w:widowControl w:val="0"/>
                    <w:jc w:val="center"/>
                    <w:rPr>
                      <w:rFonts w:ascii="宋体" w:hAnsi="宋体" w:eastAsia="宋体" w:cs="宋体"/>
                      <w:sz w:val="21"/>
                      <w:szCs w:val="21"/>
                    </w:rPr>
                  </w:pPr>
                  <w:r>
                    <w:rPr>
                      <w:rFonts w:hint="eastAsia" w:ascii="宋体" w:hAnsi="宋体" w:eastAsia="宋体" w:cs="宋体"/>
                      <w:sz w:val="21"/>
                      <w:szCs w:val="21"/>
                    </w:rPr>
                    <w:t>综合评分法</w:t>
                  </w:r>
                </w:p>
              </w:tc>
            </w:tr>
            <w:tr w14:paraId="38100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731" w:type="dxa"/>
                  <w:vAlign w:val="center"/>
                </w:tcPr>
                <w:p w14:paraId="7E955488">
                  <w:pPr>
                    <w:widowControl w:val="0"/>
                    <w:jc w:val="center"/>
                    <w:rPr>
                      <w:rFonts w:ascii="宋体" w:hAnsi="宋体" w:eastAsia="宋体" w:cs="宋体"/>
                      <w:b/>
                      <w:bCs/>
                      <w:sz w:val="21"/>
                      <w:szCs w:val="21"/>
                    </w:rPr>
                  </w:pPr>
                  <w:r>
                    <w:rPr>
                      <w:rFonts w:hint="eastAsia" w:ascii="宋体" w:hAnsi="宋体" w:eastAsia="宋体" w:cs="宋体"/>
                      <w:b/>
                      <w:bCs/>
                      <w:sz w:val="21"/>
                      <w:szCs w:val="21"/>
                    </w:rPr>
                    <w:t>定标方法</w:t>
                  </w:r>
                </w:p>
              </w:tc>
              <w:tc>
                <w:tcPr>
                  <w:tcW w:w="4371" w:type="dxa"/>
                  <w:vAlign w:val="center"/>
                </w:tcPr>
                <w:p w14:paraId="41D8DFD7">
                  <w:pPr>
                    <w:widowControl w:val="0"/>
                    <w:jc w:val="center"/>
                    <w:rPr>
                      <w:rFonts w:ascii="宋体" w:hAnsi="宋体" w:eastAsia="宋体" w:cs="宋体"/>
                      <w:sz w:val="21"/>
                      <w:szCs w:val="21"/>
                    </w:rPr>
                  </w:pPr>
                  <w:r>
                    <w:rPr>
                      <w:rFonts w:hint="eastAsia" w:ascii="宋体" w:hAnsi="宋体" w:eastAsia="宋体" w:cs="宋体"/>
                      <w:sz w:val="21"/>
                      <w:szCs w:val="21"/>
                    </w:rPr>
                    <w:t>采购人在评审报告推荐的候选中标供应商（中标人）中按顺序确定中标供应商（中标人）。</w:t>
                  </w:r>
                </w:p>
              </w:tc>
            </w:tr>
            <w:tr w14:paraId="50816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731" w:type="dxa"/>
                  <w:vAlign w:val="center"/>
                </w:tcPr>
                <w:p w14:paraId="5AE0E684">
                  <w:pPr>
                    <w:widowControl w:val="0"/>
                    <w:jc w:val="center"/>
                    <w:rPr>
                      <w:rFonts w:ascii="宋体" w:hAnsi="宋体" w:eastAsia="宋体" w:cs="宋体"/>
                      <w:b/>
                      <w:bCs/>
                      <w:sz w:val="21"/>
                      <w:szCs w:val="21"/>
                    </w:rPr>
                  </w:pPr>
                  <w:r>
                    <w:rPr>
                      <w:rFonts w:hint="eastAsia" w:ascii="宋体" w:hAnsi="宋体" w:eastAsia="宋体" w:cs="宋体"/>
                      <w:b/>
                      <w:bCs/>
                      <w:sz w:val="21"/>
                      <w:szCs w:val="21"/>
                    </w:rPr>
                    <w:t>候选中标供应商（中标人）数量</w:t>
                  </w:r>
                </w:p>
              </w:tc>
              <w:tc>
                <w:tcPr>
                  <w:tcW w:w="4371" w:type="dxa"/>
                  <w:vAlign w:val="center"/>
                </w:tcPr>
                <w:p w14:paraId="00F84BD2">
                  <w:pPr>
                    <w:widowControl w:val="0"/>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2</w:t>
                  </w:r>
                </w:p>
              </w:tc>
            </w:tr>
            <w:tr w14:paraId="5DC07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731" w:type="dxa"/>
                  <w:vAlign w:val="center"/>
                </w:tcPr>
                <w:p w14:paraId="0E4EA560">
                  <w:pPr>
                    <w:widowControl w:val="0"/>
                    <w:jc w:val="center"/>
                    <w:rPr>
                      <w:rFonts w:ascii="宋体" w:hAnsi="宋体" w:eastAsia="宋体" w:cs="宋体"/>
                      <w:b/>
                      <w:bCs/>
                      <w:sz w:val="21"/>
                      <w:szCs w:val="21"/>
                    </w:rPr>
                  </w:pPr>
                  <w:r>
                    <w:rPr>
                      <w:rFonts w:hint="eastAsia" w:ascii="宋体" w:hAnsi="宋体" w:eastAsia="宋体" w:cs="宋体"/>
                      <w:b/>
                      <w:bCs/>
                      <w:sz w:val="21"/>
                      <w:szCs w:val="21"/>
                    </w:rPr>
                    <w:t>中标供应商（中标人）数量</w:t>
                  </w:r>
                </w:p>
              </w:tc>
              <w:tc>
                <w:tcPr>
                  <w:tcW w:w="4371" w:type="dxa"/>
                  <w:vAlign w:val="center"/>
                </w:tcPr>
                <w:p w14:paraId="7A2AF9DC">
                  <w:pPr>
                    <w:widowControl w:val="0"/>
                    <w:jc w:val="center"/>
                    <w:rPr>
                      <w:rFonts w:ascii="宋体" w:hAnsi="宋体" w:eastAsia="宋体" w:cs="宋体"/>
                      <w:sz w:val="21"/>
                      <w:szCs w:val="21"/>
                    </w:rPr>
                  </w:pPr>
                  <w:r>
                    <w:rPr>
                      <w:rFonts w:hint="eastAsia" w:ascii="宋体" w:hAnsi="宋体" w:eastAsia="宋体" w:cs="宋体"/>
                      <w:sz w:val="21"/>
                      <w:szCs w:val="21"/>
                    </w:rPr>
                    <w:t>1</w:t>
                  </w:r>
                </w:p>
              </w:tc>
            </w:tr>
          </w:tbl>
          <w:p w14:paraId="3AAE505E">
            <w:pPr>
              <w:pStyle w:val="8"/>
              <w:rPr>
                <w:rFonts w:ascii="宋体" w:hAnsi="宋体" w:eastAsia="宋体" w:cs="宋体"/>
                <w:sz w:val="21"/>
                <w:szCs w:val="21"/>
              </w:rPr>
            </w:pPr>
          </w:p>
        </w:tc>
      </w:tr>
      <w:tr w14:paraId="5E2E6A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58" w:type="dxa"/>
            <w:vMerge w:val="continue"/>
            <w:vAlign w:val="center"/>
          </w:tcPr>
          <w:p w14:paraId="691FEA89">
            <w:pPr>
              <w:jc w:val="center"/>
              <w:rPr>
                <w:rFonts w:ascii="宋体" w:hAnsi="宋体" w:eastAsia="宋体" w:cs="宋体"/>
                <w:sz w:val="21"/>
                <w:szCs w:val="21"/>
              </w:rPr>
            </w:pPr>
          </w:p>
        </w:tc>
        <w:tc>
          <w:tcPr>
            <w:tcW w:w="1470" w:type="dxa"/>
            <w:vMerge w:val="continue"/>
            <w:vAlign w:val="center"/>
          </w:tcPr>
          <w:p w14:paraId="08757093">
            <w:pPr>
              <w:jc w:val="center"/>
              <w:rPr>
                <w:rFonts w:ascii="宋体" w:hAnsi="宋体" w:eastAsia="宋体" w:cs="宋体"/>
                <w:sz w:val="21"/>
                <w:szCs w:val="21"/>
              </w:rPr>
            </w:pPr>
          </w:p>
        </w:tc>
        <w:tc>
          <w:tcPr>
            <w:tcW w:w="6276" w:type="dxa"/>
            <w:vAlign w:val="center"/>
          </w:tcPr>
          <w:p w14:paraId="1C6C72F9">
            <w:pPr>
              <w:rPr>
                <w:rFonts w:ascii="宋体" w:hAnsi="宋体" w:eastAsia="宋体" w:cs="宋体"/>
                <w:sz w:val="21"/>
                <w:szCs w:val="21"/>
              </w:rPr>
            </w:pPr>
            <w:r>
              <w:rPr>
                <w:rFonts w:hint="eastAsia" w:ascii="宋体" w:hAnsi="宋体" w:eastAsia="宋体" w:cs="宋体"/>
                <w:b/>
                <w:sz w:val="21"/>
                <w:szCs w:val="21"/>
              </w:rPr>
              <w:t xml:space="preserve">□ </w:t>
            </w:r>
            <w:r>
              <w:rPr>
                <w:rFonts w:hint="eastAsia" w:ascii="宋体" w:hAnsi="宋体" w:eastAsia="宋体" w:cs="宋体"/>
                <w:sz w:val="21"/>
                <w:szCs w:val="21"/>
              </w:rPr>
              <w:t>评定分离</w:t>
            </w:r>
          </w:p>
          <w:p w14:paraId="07837D72">
            <w:pPr>
              <w:ind w:firstLine="420" w:firstLineChars="200"/>
              <w:rPr>
                <w:rFonts w:ascii="宋体" w:hAnsi="宋体" w:eastAsia="宋体" w:cs="宋体"/>
                <w:sz w:val="21"/>
                <w:szCs w:val="21"/>
              </w:rPr>
            </w:pPr>
            <w:r>
              <w:rPr>
                <w:rFonts w:hint="eastAsia" w:ascii="宋体" w:hAnsi="宋体" w:eastAsia="宋体" w:cs="宋体"/>
                <w:sz w:val="21"/>
                <w:szCs w:val="21"/>
              </w:rPr>
              <w:t>本项目推荐的候选中标供应商不进行排名，且中标（成交）结果信息公示内容仅公示候选中标供应商名单，不公示得分和排名。</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1"/>
              <w:gridCol w:w="4051"/>
            </w:tblGrid>
            <w:tr w14:paraId="2452F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731" w:type="dxa"/>
                  <w:vAlign w:val="center"/>
                </w:tcPr>
                <w:p w14:paraId="5A7040B9">
                  <w:pPr>
                    <w:widowControl w:val="0"/>
                    <w:jc w:val="center"/>
                    <w:rPr>
                      <w:rFonts w:ascii="宋体" w:hAnsi="宋体" w:eastAsia="宋体" w:cs="宋体"/>
                      <w:b/>
                      <w:bCs/>
                      <w:sz w:val="21"/>
                      <w:szCs w:val="21"/>
                    </w:rPr>
                  </w:pPr>
                  <w:r>
                    <w:rPr>
                      <w:rFonts w:hint="eastAsia" w:ascii="宋体" w:hAnsi="宋体" w:eastAsia="宋体" w:cs="宋体"/>
                      <w:b/>
                      <w:bCs/>
                      <w:sz w:val="21"/>
                      <w:szCs w:val="21"/>
                    </w:rPr>
                    <w:t>评标方法</w:t>
                  </w:r>
                </w:p>
              </w:tc>
              <w:tc>
                <w:tcPr>
                  <w:tcW w:w="4051" w:type="dxa"/>
                  <w:vAlign w:val="center"/>
                </w:tcPr>
                <w:p w14:paraId="1F6FEFE5">
                  <w:pPr>
                    <w:widowControl w:val="0"/>
                    <w:jc w:val="center"/>
                    <w:rPr>
                      <w:rFonts w:ascii="宋体" w:hAnsi="宋体" w:eastAsia="宋体" w:cs="宋体"/>
                      <w:sz w:val="21"/>
                      <w:szCs w:val="21"/>
                    </w:rPr>
                  </w:pPr>
                  <w:r>
                    <w:rPr>
                      <w:rFonts w:hint="eastAsia" w:ascii="宋体" w:hAnsi="宋体" w:eastAsia="宋体" w:cs="宋体"/>
                      <w:sz w:val="21"/>
                      <w:szCs w:val="21"/>
                    </w:rPr>
                    <w:t>综合评分法</w:t>
                  </w:r>
                </w:p>
              </w:tc>
            </w:tr>
            <w:tr w14:paraId="47ED5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731" w:type="dxa"/>
                  <w:vAlign w:val="center"/>
                </w:tcPr>
                <w:p w14:paraId="1D4A5D34">
                  <w:pPr>
                    <w:widowControl w:val="0"/>
                    <w:jc w:val="center"/>
                    <w:rPr>
                      <w:rFonts w:ascii="宋体" w:hAnsi="宋体" w:eastAsia="宋体" w:cs="宋体"/>
                      <w:b/>
                      <w:bCs/>
                      <w:sz w:val="21"/>
                      <w:szCs w:val="21"/>
                    </w:rPr>
                  </w:pPr>
                  <w:r>
                    <w:rPr>
                      <w:rFonts w:hint="eastAsia" w:ascii="宋体" w:hAnsi="宋体" w:eastAsia="宋体" w:cs="宋体"/>
                      <w:b/>
                      <w:bCs/>
                      <w:sz w:val="21"/>
                      <w:szCs w:val="21"/>
                    </w:rPr>
                    <w:t>定标方法</w:t>
                  </w:r>
                </w:p>
              </w:tc>
              <w:tc>
                <w:tcPr>
                  <w:tcW w:w="4051" w:type="dxa"/>
                  <w:vAlign w:val="center"/>
                </w:tcPr>
                <w:p w14:paraId="48E658E6">
                  <w:pPr>
                    <w:widowControl w:val="0"/>
                    <w:jc w:val="center"/>
                    <w:rPr>
                      <w:rFonts w:ascii="宋体" w:hAnsi="宋体" w:eastAsia="宋体" w:cs="宋体"/>
                      <w:sz w:val="21"/>
                      <w:szCs w:val="21"/>
                    </w:rPr>
                  </w:pPr>
                  <w:r>
                    <w:rPr>
                      <w:rFonts w:hint="eastAsia" w:ascii="宋体" w:hAnsi="宋体" w:eastAsia="宋体" w:cs="宋体"/>
                      <w:sz w:val="21"/>
                      <w:szCs w:val="21"/>
                    </w:rPr>
                    <w:t>自定法</w:t>
                  </w:r>
                </w:p>
              </w:tc>
            </w:tr>
            <w:tr w14:paraId="44D04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731" w:type="dxa"/>
                  <w:vAlign w:val="center"/>
                </w:tcPr>
                <w:p w14:paraId="76D1C617">
                  <w:pPr>
                    <w:widowControl w:val="0"/>
                    <w:jc w:val="center"/>
                    <w:rPr>
                      <w:rFonts w:ascii="宋体" w:hAnsi="宋体" w:eastAsia="宋体" w:cs="宋体"/>
                      <w:b/>
                      <w:bCs/>
                      <w:sz w:val="21"/>
                      <w:szCs w:val="21"/>
                    </w:rPr>
                  </w:pPr>
                  <w:r>
                    <w:rPr>
                      <w:rFonts w:hint="eastAsia" w:ascii="宋体" w:hAnsi="宋体" w:eastAsia="宋体" w:cs="宋体"/>
                      <w:b/>
                      <w:bCs/>
                      <w:sz w:val="21"/>
                      <w:szCs w:val="21"/>
                    </w:rPr>
                    <w:t>候选中标供应商（中标人）数量</w:t>
                  </w:r>
                </w:p>
              </w:tc>
              <w:tc>
                <w:tcPr>
                  <w:tcW w:w="4051" w:type="dxa"/>
                  <w:vAlign w:val="center"/>
                </w:tcPr>
                <w:p w14:paraId="68A95FE2">
                  <w:pPr>
                    <w:widowControl w:val="0"/>
                    <w:jc w:val="center"/>
                    <w:rPr>
                      <w:rFonts w:ascii="宋体" w:hAnsi="宋体" w:eastAsia="宋体" w:cs="宋体"/>
                      <w:sz w:val="21"/>
                      <w:szCs w:val="21"/>
                    </w:rPr>
                  </w:pPr>
                  <w:r>
                    <w:rPr>
                      <w:rFonts w:hint="eastAsia" w:ascii="宋体" w:hAnsi="宋体" w:eastAsia="宋体" w:cs="宋体"/>
                      <w:sz w:val="21"/>
                      <w:szCs w:val="21"/>
                    </w:rPr>
                    <w:t>3</w:t>
                  </w:r>
                </w:p>
              </w:tc>
            </w:tr>
            <w:tr w14:paraId="44C6B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731" w:type="dxa"/>
                  <w:vAlign w:val="center"/>
                </w:tcPr>
                <w:p w14:paraId="0457F6E1">
                  <w:pPr>
                    <w:widowControl w:val="0"/>
                    <w:jc w:val="center"/>
                    <w:rPr>
                      <w:rFonts w:ascii="宋体" w:hAnsi="宋体" w:eastAsia="宋体" w:cs="宋体"/>
                      <w:b/>
                      <w:bCs/>
                      <w:sz w:val="21"/>
                      <w:szCs w:val="21"/>
                    </w:rPr>
                  </w:pPr>
                  <w:r>
                    <w:rPr>
                      <w:rFonts w:hint="eastAsia" w:ascii="宋体" w:hAnsi="宋体" w:eastAsia="宋体" w:cs="宋体"/>
                      <w:b/>
                      <w:bCs/>
                      <w:sz w:val="21"/>
                      <w:szCs w:val="21"/>
                    </w:rPr>
                    <w:t>中标供应商（中标人）数量</w:t>
                  </w:r>
                </w:p>
              </w:tc>
              <w:tc>
                <w:tcPr>
                  <w:tcW w:w="4051" w:type="dxa"/>
                  <w:vAlign w:val="center"/>
                </w:tcPr>
                <w:p w14:paraId="3DA6D85A">
                  <w:pPr>
                    <w:widowControl w:val="0"/>
                    <w:jc w:val="center"/>
                    <w:rPr>
                      <w:rFonts w:ascii="宋体" w:hAnsi="宋体" w:eastAsia="宋体" w:cs="宋体"/>
                      <w:sz w:val="21"/>
                      <w:szCs w:val="21"/>
                    </w:rPr>
                  </w:pPr>
                  <w:r>
                    <w:rPr>
                      <w:rFonts w:hint="eastAsia" w:ascii="宋体" w:hAnsi="宋体" w:eastAsia="宋体" w:cs="宋体"/>
                      <w:sz w:val="21"/>
                      <w:szCs w:val="21"/>
                    </w:rPr>
                    <w:t>1</w:t>
                  </w:r>
                </w:p>
              </w:tc>
            </w:tr>
          </w:tbl>
          <w:p w14:paraId="16EEB1F9">
            <w:pPr>
              <w:rPr>
                <w:rFonts w:ascii="宋体" w:hAnsi="宋体" w:eastAsia="宋体" w:cs="宋体"/>
                <w:sz w:val="21"/>
                <w:szCs w:val="21"/>
              </w:rPr>
            </w:pPr>
          </w:p>
        </w:tc>
      </w:tr>
      <w:tr w14:paraId="44220B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58" w:type="dxa"/>
            <w:vAlign w:val="center"/>
          </w:tcPr>
          <w:p w14:paraId="35BDA623">
            <w:pPr>
              <w:jc w:val="center"/>
              <w:rPr>
                <w:rFonts w:ascii="宋体" w:hAnsi="宋体" w:eastAsia="宋体" w:cs="宋体"/>
                <w:sz w:val="21"/>
                <w:szCs w:val="21"/>
              </w:rPr>
            </w:pPr>
            <w:r>
              <w:rPr>
                <w:rFonts w:hint="eastAsia" w:ascii="宋体" w:hAnsi="宋体" w:eastAsia="宋体" w:cs="宋体"/>
                <w:sz w:val="21"/>
                <w:szCs w:val="21"/>
              </w:rPr>
              <w:t>46</w:t>
            </w:r>
          </w:p>
        </w:tc>
        <w:tc>
          <w:tcPr>
            <w:tcW w:w="1470" w:type="dxa"/>
            <w:vAlign w:val="center"/>
          </w:tcPr>
          <w:p w14:paraId="479B6C06">
            <w:pPr>
              <w:jc w:val="center"/>
              <w:rPr>
                <w:rFonts w:ascii="宋体" w:hAnsi="宋体" w:eastAsia="宋体" w:cs="宋体"/>
                <w:sz w:val="21"/>
                <w:szCs w:val="21"/>
              </w:rPr>
            </w:pPr>
            <w:r>
              <w:rPr>
                <w:rFonts w:hint="eastAsia" w:ascii="宋体" w:hAnsi="宋体" w:eastAsia="宋体" w:cs="宋体"/>
                <w:sz w:val="21"/>
                <w:szCs w:val="21"/>
              </w:rPr>
              <w:t>履约担保</w:t>
            </w:r>
          </w:p>
        </w:tc>
        <w:tc>
          <w:tcPr>
            <w:tcW w:w="6276" w:type="dxa"/>
            <w:vAlign w:val="center"/>
          </w:tcPr>
          <w:p w14:paraId="308BFDD1">
            <w:pPr>
              <w:rPr>
                <w:rFonts w:ascii="宋体" w:hAnsi="宋体" w:eastAsia="宋体" w:cs="宋体"/>
                <w:sz w:val="21"/>
                <w:szCs w:val="21"/>
              </w:rPr>
            </w:pPr>
            <w:r>
              <w:rPr>
                <w:rFonts w:hint="eastAsia" w:ascii="宋体" w:hAnsi="宋体" w:cs="宋体"/>
              </w:rPr>
              <w:t>☑</w:t>
            </w:r>
            <w:r>
              <w:rPr>
                <w:rFonts w:hint="eastAsia" w:ascii="宋体" w:hAnsi="宋体" w:eastAsia="宋体" w:cs="宋体"/>
                <w:b/>
                <w:sz w:val="21"/>
                <w:szCs w:val="21"/>
              </w:rPr>
              <w:t xml:space="preserve"> </w:t>
            </w:r>
            <w:r>
              <w:rPr>
                <w:rFonts w:hint="eastAsia" w:ascii="宋体" w:hAnsi="宋体" w:eastAsia="宋体" w:cs="宋体"/>
                <w:sz w:val="21"/>
                <w:szCs w:val="21"/>
              </w:rPr>
              <w:t>不需要</w:t>
            </w:r>
          </w:p>
          <w:p w14:paraId="05951A63">
            <w:pPr>
              <w:rPr>
                <w:rFonts w:ascii="宋体" w:hAnsi="宋体" w:eastAsia="宋体" w:cs="宋体"/>
                <w:sz w:val="21"/>
                <w:szCs w:val="21"/>
              </w:rPr>
            </w:pPr>
            <w:r>
              <w:rPr>
                <w:rFonts w:hint="eastAsia" w:ascii="宋体" w:hAnsi="宋体" w:eastAsia="宋体" w:cs="宋体"/>
                <w:b/>
                <w:sz w:val="21"/>
                <w:szCs w:val="21"/>
              </w:rPr>
              <w:t>□</w:t>
            </w:r>
            <w:r>
              <w:rPr>
                <w:rFonts w:hint="eastAsia" w:ascii="宋体" w:hAnsi="宋体" w:eastAsia="宋体" w:cs="宋体"/>
                <w:sz w:val="21"/>
                <w:szCs w:val="21"/>
              </w:rPr>
              <w:t xml:space="preserve"> 需要，合同金额的</w:t>
            </w:r>
            <w:r>
              <w:rPr>
                <w:rFonts w:hint="eastAsia" w:ascii="宋体" w:hAnsi="宋体" w:eastAsia="宋体" w:cs="宋体"/>
                <w:sz w:val="21"/>
                <w:szCs w:val="21"/>
                <w:u w:val="single"/>
              </w:rPr>
              <w:t xml:space="preserve">    </w:t>
            </w:r>
            <w:r>
              <w:rPr>
                <w:rFonts w:hint="eastAsia" w:ascii="宋体" w:hAnsi="宋体" w:eastAsia="宋体" w:cs="宋体"/>
                <w:sz w:val="21"/>
                <w:szCs w:val="21"/>
              </w:rPr>
              <w:t>%，从验收之日起1年（与项目售后服务期一致）期满后10个工作日内甲方不计利息将履约保证金退回；如有违约或出现应由投标人承担的责任，投标人同意学校可以直接从保证金中扣除，不足部分仍由投标人承担。</w:t>
            </w:r>
          </w:p>
        </w:tc>
      </w:tr>
    </w:tbl>
    <w:p w14:paraId="69139490">
      <w:pPr>
        <w:rPr>
          <w:b/>
          <w:sz w:val="21"/>
          <w:szCs w:val="21"/>
        </w:rPr>
      </w:pPr>
      <w:r>
        <w:rPr>
          <w:rFonts w:hint="eastAsia" w:ascii="宋体" w:hAnsi="宋体" w:eastAsia="宋体" w:cs="宋体"/>
          <w:sz w:val="21"/>
          <w:szCs w:val="21"/>
        </w:rPr>
        <w:t>备</w:t>
      </w:r>
      <w:r>
        <w:rPr>
          <w:rFonts w:hint="eastAsia"/>
          <w:sz w:val="21"/>
          <w:szCs w:val="21"/>
        </w:rPr>
        <w:t>注：本表是通用条款相关条款的补充和明确，如与通用条款内容相冲突的，以本表为准。</w:t>
      </w:r>
    </w:p>
    <w:p w14:paraId="2F3742A3">
      <w:r>
        <w:rPr>
          <w:rFonts w:hint="eastAsia"/>
        </w:rPr>
        <w:br w:type="page"/>
      </w:r>
    </w:p>
    <w:p w14:paraId="76043763">
      <w:pPr>
        <w:pStyle w:val="4"/>
        <w:spacing w:before="120" w:beforeLines="50" w:after="120" w:afterLines="50"/>
        <w:jc w:val="center"/>
        <w:rPr>
          <w:szCs w:val="24"/>
        </w:rPr>
      </w:pPr>
      <w:r>
        <w:rPr>
          <w:rFonts w:hint="eastAsia"/>
          <w:szCs w:val="24"/>
        </w:rPr>
        <w:t>二、其他关键信息</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192"/>
        <w:gridCol w:w="6511"/>
      </w:tblGrid>
      <w:tr w14:paraId="3FF3F0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88" w:hRule="atLeast"/>
          <w:jc w:val="center"/>
        </w:trPr>
        <w:tc>
          <w:tcPr>
            <w:tcW w:w="801" w:type="dxa"/>
            <w:vAlign w:val="center"/>
          </w:tcPr>
          <w:p w14:paraId="1ACDB872">
            <w:pPr>
              <w:spacing w:line="300" w:lineRule="exact"/>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192" w:type="dxa"/>
            <w:vAlign w:val="center"/>
          </w:tcPr>
          <w:p w14:paraId="61299B0B">
            <w:pPr>
              <w:spacing w:line="300" w:lineRule="exact"/>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内   容</w:t>
            </w:r>
          </w:p>
        </w:tc>
        <w:tc>
          <w:tcPr>
            <w:tcW w:w="6511" w:type="dxa"/>
            <w:vAlign w:val="center"/>
          </w:tcPr>
          <w:p w14:paraId="142DE697">
            <w:pPr>
              <w:spacing w:line="300" w:lineRule="exact"/>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规   定</w:t>
            </w:r>
          </w:p>
        </w:tc>
      </w:tr>
      <w:tr w14:paraId="423A0C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801" w:type="dxa"/>
            <w:vAlign w:val="center"/>
          </w:tcPr>
          <w:p w14:paraId="0C5B103E">
            <w:pPr>
              <w:spacing w:line="300" w:lineRule="exact"/>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1</w:t>
            </w:r>
          </w:p>
        </w:tc>
        <w:tc>
          <w:tcPr>
            <w:tcW w:w="1192" w:type="dxa"/>
            <w:vAlign w:val="center"/>
          </w:tcPr>
          <w:p w14:paraId="1C8AC60F">
            <w:pPr>
              <w:spacing w:line="300" w:lineRule="exact"/>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是否长期货物采购项目</w:t>
            </w:r>
          </w:p>
        </w:tc>
        <w:tc>
          <w:tcPr>
            <w:tcW w:w="6511" w:type="dxa"/>
            <w:vAlign w:val="center"/>
          </w:tcPr>
          <w:p w14:paraId="12DCF562">
            <w:pPr>
              <w:rPr>
                <w:rFonts w:ascii="宋体" w:hAnsi="宋体" w:eastAsia="宋体" w:cs="宋体"/>
                <w:bCs/>
                <w:sz w:val="21"/>
                <w:szCs w:val="21"/>
                <w:lang w:val="zh-CN"/>
              </w:rPr>
            </w:pPr>
            <w:r>
              <w:rPr>
                <w:rFonts w:hint="eastAsia" w:ascii="宋体" w:hAnsi="宋体" w:eastAsia="宋体" w:cs="宋体"/>
                <w:bCs/>
                <w:sz w:val="21"/>
                <w:szCs w:val="21"/>
                <w:lang w:val="zh-CN"/>
              </w:rPr>
              <w:t>□ 是。本项目为长期货物项目，合同期满可以续签，但合同履行期限最长不得超过</w:t>
            </w:r>
            <w:r>
              <w:rPr>
                <w:rFonts w:hint="eastAsia" w:ascii="宋体" w:hAnsi="宋体" w:eastAsia="宋体" w:cs="宋体"/>
                <w:bCs/>
                <w:sz w:val="21"/>
                <w:szCs w:val="21"/>
              </w:rPr>
              <w:t>二十四</w:t>
            </w:r>
            <w:r>
              <w:rPr>
                <w:rFonts w:hint="eastAsia" w:ascii="宋体" w:hAnsi="宋体" w:eastAsia="宋体" w:cs="宋体"/>
                <w:bCs/>
                <w:sz w:val="21"/>
                <w:szCs w:val="21"/>
                <w:lang w:val="zh-CN"/>
              </w:rPr>
              <w:t>个月。如甲方对履约情况不满意，甲方不再续约。</w:t>
            </w:r>
          </w:p>
          <w:p w14:paraId="41BE7277">
            <w:pPr>
              <w:rPr>
                <w:rFonts w:ascii="宋体" w:hAnsi="宋体" w:eastAsia="宋体" w:cs="宋体"/>
                <w:sz w:val="21"/>
                <w:szCs w:val="21"/>
              </w:rPr>
            </w:pPr>
            <w:r>
              <w:rPr>
                <w:rFonts w:hint="eastAsia" w:ascii="宋体" w:hAnsi="宋体" w:cs="宋体"/>
              </w:rPr>
              <w:t>☑</w:t>
            </w:r>
            <w:r>
              <w:rPr>
                <w:rFonts w:hint="eastAsia" w:ascii="宋体" w:hAnsi="宋体" w:eastAsia="宋体" w:cs="宋体"/>
                <w:bCs/>
                <w:sz w:val="21"/>
                <w:szCs w:val="21"/>
                <w:lang w:val="zh-CN"/>
              </w:rPr>
              <w:t xml:space="preserve"> 否。</w:t>
            </w:r>
          </w:p>
        </w:tc>
      </w:tr>
      <w:tr w14:paraId="0DEBFD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423" w:hRule="atLeast"/>
          <w:jc w:val="center"/>
        </w:trPr>
        <w:tc>
          <w:tcPr>
            <w:tcW w:w="801" w:type="dxa"/>
            <w:vAlign w:val="center"/>
          </w:tcPr>
          <w:p w14:paraId="47EF4F96">
            <w:pPr>
              <w:spacing w:line="300" w:lineRule="exact"/>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2</w:t>
            </w:r>
          </w:p>
        </w:tc>
        <w:tc>
          <w:tcPr>
            <w:tcW w:w="1192" w:type="dxa"/>
            <w:vAlign w:val="center"/>
          </w:tcPr>
          <w:p w14:paraId="42CCF6EC">
            <w:pPr>
              <w:spacing w:line="300" w:lineRule="exact"/>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招标代理服务费</w:t>
            </w:r>
          </w:p>
        </w:tc>
        <w:tc>
          <w:tcPr>
            <w:tcW w:w="6511" w:type="dxa"/>
            <w:vAlign w:val="center"/>
          </w:tcPr>
          <w:p w14:paraId="4C2995DF">
            <w:pPr>
              <w:adjustRightInd w:val="0"/>
              <w:snapToGrid w:val="0"/>
              <w:spacing w:line="264" w:lineRule="auto"/>
              <w:ind w:right="26"/>
              <w:rPr>
                <w:rFonts w:ascii="宋体" w:hAnsi="宋体" w:eastAsia="宋体" w:cs="宋体"/>
                <w:sz w:val="21"/>
                <w:szCs w:val="21"/>
              </w:rPr>
            </w:pPr>
            <w:r>
              <w:rPr>
                <w:rFonts w:hint="eastAsia" w:ascii="宋体" w:hAnsi="宋体" w:eastAsia="宋体" w:cs="宋体"/>
                <w:sz w:val="21"/>
                <w:szCs w:val="21"/>
              </w:rPr>
              <w:t>（1）本项目向中标供应商（中标人）收取招标代理服务费。</w:t>
            </w:r>
          </w:p>
          <w:p w14:paraId="7267798E">
            <w:pPr>
              <w:adjustRightInd w:val="0"/>
              <w:snapToGrid w:val="0"/>
              <w:spacing w:line="264" w:lineRule="auto"/>
              <w:ind w:right="26"/>
              <w:rPr>
                <w:rFonts w:ascii="宋体" w:hAnsi="宋体" w:eastAsia="宋体" w:cs="宋体"/>
                <w:sz w:val="21"/>
                <w:szCs w:val="21"/>
              </w:rPr>
            </w:pPr>
            <w:r>
              <w:rPr>
                <w:rFonts w:hint="eastAsia" w:ascii="宋体" w:hAnsi="宋体" w:eastAsia="宋体" w:cs="宋体"/>
                <w:sz w:val="21"/>
                <w:szCs w:val="21"/>
              </w:rPr>
              <w:t>中标供应商在领取《中标通知书》之前须向中国远东国际招标有限公司交纳代理服务费。若因中标供应商交纳代理服务费所产生的时间影响到合同签订的，由中标供应商自行承担责任。</w:t>
            </w:r>
          </w:p>
          <w:p w14:paraId="06AF2BDC">
            <w:pPr>
              <w:adjustRightInd w:val="0"/>
              <w:snapToGrid w:val="0"/>
              <w:spacing w:line="264" w:lineRule="auto"/>
              <w:ind w:right="26"/>
              <w:rPr>
                <w:rFonts w:ascii="宋体" w:hAnsi="宋体" w:eastAsia="宋体" w:cs="宋体"/>
                <w:sz w:val="21"/>
                <w:szCs w:val="21"/>
              </w:rPr>
            </w:pPr>
            <w:r>
              <w:rPr>
                <w:rFonts w:hint="eastAsia" w:ascii="宋体" w:hAnsi="宋体" w:eastAsia="宋体" w:cs="宋体"/>
                <w:sz w:val="21"/>
                <w:szCs w:val="21"/>
              </w:rPr>
              <w:t>招标代理服务费根据《关于规范深圳市社会采购代理机构管理有关事项的补充通知》（深财购〔2018〕27号）的指导和规定收费标准收取，收费标准如下。</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843"/>
              <w:gridCol w:w="1187"/>
              <w:gridCol w:w="1091"/>
              <w:gridCol w:w="1115"/>
            </w:tblGrid>
            <w:tr w14:paraId="767CD7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2843" w:type="dxa"/>
                  <w:vMerge w:val="restart"/>
                  <w:shd w:val="clear" w:color="auto" w:fill="D7D7D7"/>
                  <w:vAlign w:val="center"/>
                </w:tcPr>
                <w:p w14:paraId="0932405C">
                  <w:pPr>
                    <w:adjustRightInd w:val="0"/>
                    <w:snapToGrid w:val="0"/>
                    <w:spacing w:line="264" w:lineRule="auto"/>
                    <w:ind w:right="26"/>
                    <w:jc w:val="center"/>
                    <w:rPr>
                      <w:rFonts w:ascii="宋体" w:hAnsi="宋体" w:eastAsia="宋体" w:cs="宋体"/>
                      <w:b/>
                      <w:bCs/>
                      <w:sz w:val="21"/>
                      <w:szCs w:val="21"/>
                    </w:rPr>
                  </w:pPr>
                  <w:r>
                    <w:rPr>
                      <w:rFonts w:hint="eastAsia" w:ascii="宋体" w:hAnsi="宋体" w:eastAsia="宋体" w:cs="宋体"/>
                      <w:b/>
                      <w:bCs/>
                      <w:sz w:val="21"/>
                      <w:szCs w:val="21"/>
                    </w:rPr>
                    <w:t>中标金额（万元）</w:t>
                  </w:r>
                </w:p>
              </w:tc>
              <w:tc>
                <w:tcPr>
                  <w:tcW w:w="3393" w:type="dxa"/>
                  <w:gridSpan w:val="3"/>
                  <w:shd w:val="clear" w:color="auto" w:fill="D7D7D7"/>
                  <w:vAlign w:val="center"/>
                </w:tcPr>
                <w:p w14:paraId="67DBCE0E">
                  <w:pPr>
                    <w:adjustRightInd w:val="0"/>
                    <w:snapToGrid w:val="0"/>
                    <w:spacing w:line="264" w:lineRule="auto"/>
                    <w:ind w:right="26"/>
                    <w:jc w:val="center"/>
                    <w:rPr>
                      <w:rFonts w:ascii="宋体" w:hAnsi="宋体" w:eastAsia="宋体" w:cs="宋体"/>
                      <w:b/>
                      <w:bCs/>
                      <w:sz w:val="21"/>
                      <w:szCs w:val="21"/>
                    </w:rPr>
                  </w:pPr>
                  <w:r>
                    <w:rPr>
                      <w:rFonts w:hint="eastAsia" w:ascii="宋体" w:hAnsi="宋体" w:eastAsia="宋体" w:cs="宋体"/>
                      <w:b/>
                      <w:bCs/>
                      <w:sz w:val="21"/>
                      <w:szCs w:val="21"/>
                    </w:rPr>
                    <w:t>各类型招标代理服务费计算费率</w:t>
                  </w:r>
                </w:p>
              </w:tc>
            </w:tr>
            <w:tr w14:paraId="656F9E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843" w:type="dxa"/>
                  <w:vMerge w:val="continue"/>
                  <w:shd w:val="clear" w:color="auto" w:fill="D7D7D7"/>
                  <w:vAlign w:val="center"/>
                </w:tcPr>
                <w:p w14:paraId="2E68646C">
                  <w:pPr>
                    <w:adjustRightInd w:val="0"/>
                    <w:snapToGrid w:val="0"/>
                    <w:spacing w:line="264" w:lineRule="auto"/>
                    <w:ind w:right="26"/>
                    <w:jc w:val="center"/>
                    <w:rPr>
                      <w:rFonts w:ascii="宋体" w:hAnsi="宋体" w:eastAsia="宋体" w:cs="宋体"/>
                      <w:b/>
                      <w:bCs/>
                      <w:sz w:val="21"/>
                      <w:szCs w:val="21"/>
                    </w:rPr>
                  </w:pPr>
                </w:p>
              </w:tc>
              <w:tc>
                <w:tcPr>
                  <w:tcW w:w="1187" w:type="dxa"/>
                  <w:shd w:val="clear" w:color="auto" w:fill="D7D7D7"/>
                  <w:vAlign w:val="center"/>
                </w:tcPr>
                <w:p w14:paraId="75E15AAC">
                  <w:pPr>
                    <w:adjustRightInd w:val="0"/>
                    <w:snapToGrid w:val="0"/>
                    <w:spacing w:line="264" w:lineRule="auto"/>
                    <w:ind w:right="26"/>
                    <w:jc w:val="center"/>
                    <w:rPr>
                      <w:rFonts w:ascii="宋体" w:hAnsi="宋体" w:eastAsia="宋体" w:cs="宋体"/>
                      <w:b/>
                      <w:bCs/>
                      <w:sz w:val="21"/>
                      <w:szCs w:val="21"/>
                    </w:rPr>
                  </w:pPr>
                  <w:r>
                    <w:rPr>
                      <w:rFonts w:hint="eastAsia" w:ascii="宋体" w:hAnsi="宋体" w:eastAsia="宋体" w:cs="宋体"/>
                      <w:b/>
                      <w:bCs/>
                      <w:sz w:val="21"/>
                      <w:szCs w:val="21"/>
                    </w:rPr>
                    <w:t>货物招标</w:t>
                  </w:r>
                </w:p>
              </w:tc>
              <w:tc>
                <w:tcPr>
                  <w:tcW w:w="1091" w:type="dxa"/>
                  <w:shd w:val="clear" w:color="auto" w:fill="D7D7D7"/>
                  <w:vAlign w:val="center"/>
                </w:tcPr>
                <w:p w14:paraId="616077B6">
                  <w:pPr>
                    <w:adjustRightInd w:val="0"/>
                    <w:snapToGrid w:val="0"/>
                    <w:spacing w:line="264" w:lineRule="auto"/>
                    <w:ind w:right="26"/>
                    <w:jc w:val="center"/>
                    <w:rPr>
                      <w:rFonts w:ascii="宋体" w:hAnsi="宋体" w:eastAsia="宋体" w:cs="宋体"/>
                      <w:b/>
                      <w:bCs/>
                      <w:sz w:val="21"/>
                      <w:szCs w:val="21"/>
                    </w:rPr>
                  </w:pPr>
                  <w:r>
                    <w:rPr>
                      <w:rFonts w:hint="eastAsia" w:ascii="宋体" w:hAnsi="宋体" w:eastAsia="宋体" w:cs="宋体"/>
                      <w:b/>
                      <w:bCs/>
                      <w:sz w:val="21"/>
                      <w:szCs w:val="21"/>
                    </w:rPr>
                    <w:t>服务招标</w:t>
                  </w:r>
                </w:p>
              </w:tc>
              <w:tc>
                <w:tcPr>
                  <w:tcW w:w="1115" w:type="dxa"/>
                  <w:shd w:val="clear" w:color="auto" w:fill="D7D7D7"/>
                  <w:vAlign w:val="center"/>
                </w:tcPr>
                <w:p w14:paraId="4CDD6B71">
                  <w:pPr>
                    <w:adjustRightInd w:val="0"/>
                    <w:snapToGrid w:val="0"/>
                    <w:spacing w:line="264" w:lineRule="auto"/>
                    <w:ind w:right="26"/>
                    <w:jc w:val="center"/>
                    <w:rPr>
                      <w:rFonts w:ascii="宋体" w:hAnsi="宋体" w:eastAsia="宋体" w:cs="宋体"/>
                      <w:b/>
                      <w:bCs/>
                      <w:sz w:val="21"/>
                      <w:szCs w:val="21"/>
                    </w:rPr>
                  </w:pPr>
                  <w:r>
                    <w:rPr>
                      <w:rFonts w:hint="eastAsia" w:ascii="宋体" w:hAnsi="宋体" w:eastAsia="宋体" w:cs="宋体"/>
                      <w:b/>
                      <w:bCs/>
                      <w:sz w:val="21"/>
                      <w:szCs w:val="21"/>
                    </w:rPr>
                    <w:t>工程招标</w:t>
                  </w:r>
                </w:p>
              </w:tc>
            </w:tr>
            <w:tr w14:paraId="4A761C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843" w:type="dxa"/>
                  <w:vAlign w:val="center"/>
                </w:tcPr>
                <w:p w14:paraId="0615D830">
                  <w:pPr>
                    <w:adjustRightInd w:val="0"/>
                    <w:snapToGrid w:val="0"/>
                    <w:spacing w:line="264" w:lineRule="auto"/>
                    <w:ind w:right="26"/>
                    <w:rPr>
                      <w:rFonts w:ascii="宋体" w:hAnsi="宋体" w:eastAsia="宋体" w:cs="宋体"/>
                      <w:sz w:val="21"/>
                      <w:szCs w:val="21"/>
                    </w:rPr>
                  </w:pPr>
                  <w:r>
                    <w:rPr>
                      <w:rFonts w:hint="eastAsia" w:ascii="宋体" w:hAnsi="宋体" w:eastAsia="宋体" w:cs="宋体"/>
                      <w:sz w:val="21"/>
                      <w:szCs w:val="21"/>
                    </w:rPr>
                    <w:t>100万元以下</w:t>
                  </w:r>
                </w:p>
              </w:tc>
              <w:tc>
                <w:tcPr>
                  <w:tcW w:w="1187" w:type="dxa"/>
                  <w:vAlign w:val="center"/>
                </w:tcPr>
                <w:p w14:paraId="0F1356FF">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1.5%</w:t>
                  </w:r>
                </w:p>
              </w:tc>
              <w:tc>
                <w:tcPr>
                  <w:tcW w:w="1091" w:type="dxa"/>
                  <w:vAlign w:val="center"/>
                </w:tcPr>
                <w:p w14:paraId="73FD38E5">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1.5%</w:t>
                  </w:r>
                </w:p>
              </w:tc>
              <w:tc>
                <w:tcPr>
                  <w:tcW w:w="1115" w:type="dxa"/>
                  <w:vAlign w:val="center"/>
                </w:tcPr>
                <w:p w14:paraId="547C953D">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1.0%</w:t>
                  </w:r>
                </w:p>
              </w:tc>
            </w:tr>
            <w:tr w14:paraId="6F193F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843" w:type="dxa"/>
                  <w:vAlign w:val="center"/>
                </w:tcPr>
                <w:p w14:paraId="30289954">
                  <w:pPr>
                    <w:adjustRightInd w:val="0"/>
                    <w:snapToGrid w:val="0"/>
                    <w:spacing w:line="264" w:lineRule="auto"/>
                    <w:ind w:right="26"/>
                    <w:rPr>
                      <w:rFonts w:ascii="宋体" w:hAnsi="宋体" w:eastAsia="宋体" w:cs="宋体"/>
                      <w:sz w:val="21"/>
                      <w:szCs w:val="21"/>
                    </w:rPr>
                  </w:pPr>
                  <w:r>
                    <w:rPr>
                      <w:rFonts w:hint="eastAsia" w:ascii="宋体" w:hAnsi="宋体" w:eastAsia="宋体" w:cs="宋体"/>
                      <w:sz w:val="21"/>
                      <w:szCs w:val="21"/>
                    </w:rPr>
                    <w:t>100万元（含）-500万元</w:t>
                  </w:r>
                </w:p>
              </w:tc>
              <w:tc>
                <w:tcPr>
                  <w:tcW w:w="1187" w:type="dxa"/>
                  <w:vAlign w:val="center"/>
                </w:tcPr>
                <w:p w14:paraId="208EFFD0">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1.1%</w:t>
                  </w:r>
                </w:p>
              </w:tc>
              <w:tc>
                <w:tcPr>
                  <w:tcW w:w="1091" w:type="dxa"/>
                  <w:vAlign w:val="center"/>
                </w:tcPr>
                <w:p w14:paraId="28F88F4D">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0.8%</w:t>
                  </w:r>
                </w:p>
              </w:tc>
              <w:tc>
                <w:tcPr>
                  <w:tcW w:w="1115" w:type="dxa"/>
                  <w:vAlign w:val="center"/>
                </w:tcPr>
                <w:p w14:paraId="629E546A">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0.7%</w:t>
                  </w:r>
                </w:p>
              </w:tc>
            </w:tr>
            <w:tr w14:paraId="6E96CD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843" w:type="dxa"/>
                  <w:vAlign w:val="center"/>
                </w:tcPr>
                <w:p w14:paraId="36A109B0">
                  <w:pPr>
                    <w:adjustRightInd w:val="0"/>
                    <w:snapToGrid w:val="0"/>
                    <w:spacing w:line="264" w:lineRule="auto"/>
                    <w:ind w:right="26"/>
                    <w:rPr>
                      <w:rFonts w:ascii="宋体" w:hAnsi="宋体" w:eastAsia="宋体" w:cs="宋体"/>
                      <w:sz w:val="21"/>
                      <w:szCs w:val="21"/>
                    </w:rPr>
                  </w:pPr>
                  <w:r>
                    <w:rPr>
                      <w:rFonts w:hint="eastAsia" w:ascii="宋体" w:hAnsi="宋体" w:eastAsia="宋体" w:cs="宋体"/>
                      <w:sz w:val="21"/>
                      <w:szCs w:val="21"/>
                    </w:rPr>
                    <w:t>500万元（含）-1000万元</w:t>
                  </w:r>
                </w:p>
              </w:tc>
              <w:tc>
                <w:tcPr>
                  <w:tcW w:w="1187" w:type="dxa"/>
                  <w:vAlign w:val="center"/>
                </w:tcPr>
                <w:p w14:paraId="5AFD673F">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0.8%</w:t>
                  </w:r>
                </w:p>
              </w:tc>
              <w:tc>
                <w:tcPr>
                  <w:tcW w:w="1091" w:type="dxa"/>
                  <w:vAlign w:val="center"/>
                </w:tcPr>
                <w:p w14:paraId="466ED293">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0.45%</w:t>
                  </w:r>
                </w:p>
              </w:tc>
              <w:tc>
                <w:tcPr>
                  <w:tcW w:w="1115" w:type="dxa"/>
                  <w:vAlign w:val="center"/>
                </w:tcPr>
                <w:p w14:paraId="24912074">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0.55%</w:t>
                  </w:r>
                </w:p>
              </w:tc>
            </w:tr>
            <w:tr w14:paraId="57F8DB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843" w:type="dxa"/>
                  <w:vAlign w:val="center"/>
                </w:tcPr>
                <w:p w14:paraId="2A62B64D">
                  <w:pPr>
                    <w:adjustRightInd w:val="0"/>
                    <w:snapToGrid w:val="0"/>
                    <w:spacing w:line="264" w:lineRule="auto"/>
                    <w:ind w:right="26"/>
                    <w:rPr>
                      <w:rFonts w:ascii="宋体" w:hAnsi="宋体" w:eastAsia="宋体" w:cs="宋体"/>
                      <w:sz w:val="21"/>
                      <w:szCs w:val="21"/>
                    </w:rPr>
                  </w:pPr>
                  <w:r>
                    <w:rPr>
                      <w:rFonts w:hint="eastAsia" w:ascii="宋体" w:hAnsi="宋体" w:eastAsia="宋体" w:cs="宋体"/>
                      <w:sz w:val="21"/>
                      <w:szCs w:val="21"/>
                    </w:rPr>
                    <w:t>1000万元（含）-5000万元</w:t>
                  </w:r>
                </w:p>
              </w:tc>
              <w:tc>
                <w:tcPr>
                  <w:tcW w:w="1187" w:type="dxa"/>
                  <w:vAlign w:val="center"/>
                </w:tcPr>
                <w:p w14:paraId="27F866B0">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0.5%</w:t>
                  </w:r>
                </w:p>
              </w:tc>
              <w:tc>
                <w:tcPr>
                  <w:tcW w:w="1091" w:type="dxa"/>
                  <w:vAlign w:val="center"/>
                </w:tcPr>
                <w:p w14:paraId="7F88490C">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0.25%</w:t>
                  </w:r>
                </w:p>
              </w:tc>
              <w:tc>
                <w:tcPr>
                  <w:tcW w:w="1115" w:type="dxa"/>
                  <w:vAlign w:val="center"/>
                </w:tcPr>
                <w:p w14:paraId="2A674CC5">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0.35%</w:t>
                  </w:r>
                </w:p>
              </w:tc>
            </w:tr>
            <w:tr w14:paraId="66EFE4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843" w:type="dxa"/>
                  <w:vAlign w:val="center"/>
                </w:tcPr>
                <w:p w14:paraId="01034DCF">
                  <w:pPr>
                    <w:adjustRightInd w:val="0"/>
                    <w:snapToGrid w:val="0"/>
                    <w:spacing w:line="264" w:lineRule="auto"/>
                    <w:ind w:right="26"/>
                    <w:rPr>
                      <w:rFonts w:ascii="宋体" w:hAnsi="宋体" w:eastAsia="宋体" w:cs="宋体"/>
                      <w:sz w:val="21"/>
                      <w:szCs w:val="21"/>
                    </w:rPr>
                  </w:pPr>
                  <w:r>
                    <w:rPr>
                      <w:rFonts w:hint="eastAsia" w:ascii="宋体" w:hAnsi="宋体" w:eastAsia="宋体" w:cs="宋体"/>
                      <w:sz w:val="21"/>
                      <w:szCs w:val="21"/>
                    </w:rPr>
                    <w:t>5000万元（含）-1亿元</w:t>
                  </w:r>
                </w:p>
              </w:tc>
              <w:tc>
                <w:tcPr>
                  <w:tcW w:w="1187" w:type="dxa"/>
                  <w:vAlign w:val="center"/>
                </w:tcPr>
                <w:p w14:paraId="76CCB053">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0.25%</w:t>
                  </w:r>
                </w:p>
              </w:tc>
              <w:tc>
                <w:tcPr>
                  <w:tcW w:w="1091" w:type="dxa"/>
                  <w:vAlign w:val="center"/>
                </w:tcPr>
                <w:p w14:paraId="25954DDA">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0.1%</w:t>
                  </w:r>
                </w:p>
              </w:tc>
              <w:tc>
                <w:tcPr>
                  <w:tcW w:w="1115" w:type="dxa"/>
                  <w:vAlign w:val="center"/>
                </w:tcPr>
                <w:p w14:paraId="6BD86036">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0.2%</w:t>
                  </w:r>
                </w:p>
              </w:tc>
            </w:tr>
            <w:tr w14:paraId="66C8E9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843" w:type="dxa"/>
                  <w:vAlign w:val="center"/>
                </w:tcPr>
                <w:p w14:paraId="1C1A8675">
                  <w:pPr>
                    <w:adjustRightInd w:val="0"/>
                    <w:snapToGrid w:val="0"/>
                    <w:spacing w:line="264" w:lineRule="auto"/>
                    <w:ind w:right="26"/>
                    <w:rPr>
                      <w:rFonts w:ascii="宋体" w:hAnsi="宋体" w:eastAsia="宋体" w:cs="宋体"/>
                      <w:sz w:val="21"/>
                      <w:szCs w:val="21"/>
                    </w:rPr>
                  </w:pPr>
                  <w:r>
                    <w:rPr>
                      <w:rFonts w:hint="eastAsia" w:ascii="宋体" w:hAnsi="宋体" w:eastAsia="宋体" w:cs="宋体"/>
                      <w:sz w:val="21"/>
                      <w:szCs w:val="21"/>
                    </w:rPr>
                    <w:t>1亿元（含）-5亿元</w:t>
                  </w:r>
                </w:p>
              </w:tc>
              <w:tc>
                <w:tcPr>
                  <w:tcW w:w="1187" w:type="dxa"/>
                  <w:vAlign w:val="center"/>
                </w:tcPr>
                <w:p w14:paraId="40A50913">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0.05%</w:t>
                  </w:r>
                </w:p>
              </w:tc>
              <w:tc>
                <w:tcPr>
                  <w:tcW w:w="1091" w:type="dxa"/>
                  <w:vAlign w:val="center"/>
                </w:tcPr>
                <w:p w14:paraId="1659FE30">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0.05%</w:t>
                  </w:r>
                </w:p>
              </w:tc>
              <w:tc>
                <w:tcPr>
                  <w:tcW w:w="1115" w:type="dxa"/>
                  <w:vAlign w:val="center"/>
                </w:tcPr>
                <w:p w14:paraId="15793A94">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0.05%</w:t>
                  </w:r>
                </w:p>
              </w:tc>
            </w:tr>
            <w:tr w14:paraId="7709396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843" w:type="dxa"/>
                  <w:vAlign w:val="center"/>
                </w:tcPr>
                <w:p w14:paraId="44B873C0">
                  <w:pPr>
                    <w:adjustRightInd w:val="0"/>
                    <w:snapToGrid w:val="0"/>
                    <w:spacing w:line="264" w:lineRule="auto"/>
                    <w:ind w:right="26"/>
                    <w:rPr>
                      <w:rFonts w:ascii="宋体" w:hAnsi="宋体" w:eastAsia="宋体" w:cs="宋体"/>
                      <w:sz w:val="21"/>
                      <w:szCs w:val="21"/>
                    </w:rPr>
                  </w:pPr>
                  <w:r>
                    <w:rPr>
                      <w:rFonts w:hint="eastAsia" w:ascii="宋体" w:hAnsi="宋体" w:eastAsia="宋体" w:cs="宋体"/>
                      <w:sz w:val="21"/>
                      <w:szCs w:val="21"/>
                    </w:rPr>
                    <w:t>5亿元（含）-10亿元</w:t>
                  </w:r>
                </w:p>
              </w:tc>
              <w:tc>
                <w:tcPr>
                  <w:tcW w:w="1187" w:type="dxa"/>
                  <w:vAlign w:val="center"/>
                </w:tcPr>
                <w:p w14:paraId="733D5C8C">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0.035%</w:t>
                  </w:r>
                </w:p>
              </w:tc>
              <w:tc>
                <w:tcPr>
                  <w:tcW w:w="1091" w:type="dxa"/>
                  <w:vAlign w:val="center"/>
                </w:tcPr>
                <w:p w14:paraId="141451DC">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0.035%</w:t>
                  </w:r>
                </w:p>
              </w:tc>
              <w:tc>
                <w:tcPr>
                  <w:tcW w:w="1115" w:type="dxa"/>
                  <w:vAlign w:val="center"/>
                </w:tcPr>
                <w:p w14:paraId="6A952715">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0.035%</w:t>
                  </w:r>
                </w:p>
              </w:tc>
            </w:tr>
            <w:tr w14:paraId="6C62B8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843" w:type="dxa"/>
                  <w:vAlign w:val="center"/>
                </w:tcPr>
                <w:p w14:paraId="37EB1588">
                  <w:pPr>
                    <w:adjustRightInd w:val="0"/>
                    <w:snapToGrid w:val="0"/>
                    <w:spacing w:line="264" w:lineRule="auto"/>
                    <w:ind w:right="26"/>
                    <w:rPr>
                      <w:rFonts w:ascii="宋体" w:hAnsi="宋体" w:eastAsia="宋体" w:cs="宋体"/>
                      <w:sz w:val="21"/>
                      <w:szCs w:val="21"/>
                    </w:rPr>
                  </w:pPr>
                  <w:r>
                    <w:rPr>
                      <w:rFonts w:hint="eastAsia" w:ascii="宋体" w:hAnsi="宋体" w:eastAsia="宋体" w:cs="宋体"/>
                      <w:sz w:val="21"/>
                      <w:szCs w:val="21"/>
                    </w:rPr>
                    <w:t>10亿元（含）-50亿元</w:t>
                  </w:r>
                </w:p>
              </w:tc>
              <w:tc>
                <w:tcPr>
                  <w:tcW w:w="1187" w:type="dxa"/>
                  <w:vAlign w:val="center"/>
                </w:tcPr>
                <w:p w14:paraId="50A5CD69">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0.008%</w:t>
                  </w:r>
                </w:p>
              </w:tc>
              <w:tc>
                <w:tcPr>
                  <w:tcW w:w="1091" w:type="dxa"/>
                  <w:vAlign w:val="center"/>
                </w:tcPr>
                <w:p w14:paraId="03C6082B">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0.008%</w:t>
                  </w:r>
                </w:p>
              </w:tc>
              <w:tc>
                <w:tcPr>
                  <w:tcW w:w="1115" w:type="dxa"/>
                  <w:vAlign w:val="center"/>
                </w:tcPr>
                <w:p w14:paraId="5F3416FC">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0.008%</w:t>
                  </w:r>
                </w:p>
              </w:tc>
            </w:tr>
            <w:tr w14:paraId="768904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843" w:type="dxa"/>
                  <w:vAlign w:val="center"/>
                </w:tcPr>
                <w:p w14:paraId="2253E413">
                  <w:pPr>
                    <w:adjustRightInd w:val="0"/>
                    <w:snapToGrid w:val="0"/>
                    <w:spacing w:line="264" w:lineRule="auto"/>
                    <w:ind w:right="26"/>
                    <w:rPr>
                      <w:rFonts w:ascii="宋体" w:hAnsi="宋体" w:eastAsia="宋体" w:cs="宋体"/>
                      <w:sz w:val="21"/>
                      <w:szCs w:val="21"/>
                    </w:rPr>
                  </w:pPr>
                  <w:r>
                    <w:rPr>
                      <w:rFonts w:hint="eastAsia" w:ascii="宋体" w:hAnsi="宋体" w:eastAsia="宋体" w:cs="宋体"/>
                      <w:sz w:val="21"/>
                      <w:szCs w:val="21"/>
                    </w:rPr>
                    <w:t>50亿元（含）-100亿元</w:t>
                  </w:r>
                </w:p>
              </w:tc>
              <w:tc>
                <w:tcPr>
                  <w:tcW w:w="1187" w:type="dxa"/>
                  <w:vAlign w:val="center"/>
                </w:tcPr>
                <w:p w14:paraId="07615FEF">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0.006%</w:t>
                  </w:r>
                </w:p>
              </w:tc>
              <w:tc>
                <w:tcPr>
                  <w:tcW w:w="1091" w:type="dxa"/>
                  <w:vAlign w:val="center"/>
                </w:tcPr>
                <w:p w14:paraId="3DA9FBB0">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0.006%</w:t>
                  </w:r>
                </w:p>
              </w:tc>
              <w:tc>
                <w:tcPr>
                  <w:tcW w:w="1115" w:type="dxa"/>
                  <w:vAlign w:val="center"/>
                </w:tcPr>
                <w:p w14:paraId="3D295AB1">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0.006%</w:t>
                  </w:r>
                </w:p>
              </w:tc>
            </w:tr>
            <w:tr w14:paraId="6F2B63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2843" w:type="dxa"/>
                  <w:vAlign w:val="center"/>
                </w:tcPr>
                <w:p w14:paraId="0175F8AE">
                  <w:pPr>
                    <w:adjustRightInd w:val="0"/>
                    <w:snapToGrid w:val="0"/>
                    <w:spacing w:line="264" w:lineRule="auto"/>
                    <w:ind w:right="26"/>
                    <w:rPr>
                      <w:rFonts w:ascii="宋体" w:hAnsi="宋体" w:eastAsia="宋体" w:cs="宋体"/>
                      <w:sz w:val="21"/>
                      <w:szCs w:val="21"/>
                    </w:rPr>
                  </w:pPr>
                  <w:r>
                    <w:rPr>
                      <w:rFonts w:hint="eastAsia" w:ascii="宋体" w:hAnsi="宋体" w:eastAsia="宋体" w:cs="宋体"/>
                      <w:sz w:val="21"/>
                      <w:szCs w:val="21"/>
                    </w:rPr>
                    <w:t>100亿元（含）以上</w:t>
                  </w:r>
                </w:p>
              </w:tc>
              <w:tc>
                <w:tcPr>
                  <w:tcW w:w="1187" w:type="dxa"/>
                  <w:vAlign w:val="center"/>
                </w:tcPr>
                <w:p w14:paraId="25D1D972">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0.004%</w:t>
                  </w:r>
                </w:p>
              </w:tc>
              <w:tc>
                <w:tcPr>
                  <w:tcW w:w="1091" w:type="dxa"/>
                  <w:vAlign w:val="center"/>
                </w:tcPr>
                <w:p w14:paraId="7E8FA0A9">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0.004%</w:t>
                  </w:r>
                </w:p>
              </w:tc>
              <w:tc>
                <w:tcPr>
                  <w:tcW w:w="1115" w:type="dxa"/>
                  <w:vAlign w:val="center"/>
                </w:tcPr>
                <w:p w14:paraId="67136C37">
                  <w:pPr>
                    <w:adjustRightInd w:val="0"/>
                    <w:snapToGrid w:val="0"/>
                    <w:spacing w:line="264" w:lineRule="auto"/>
                    <w:ind w:right="26"/>
                    <w:jc w:val="center"/>
                    <w:rPr>
                      <w:rFonts w:ascii="宋体" w:hAnsi="宋体" w:eastAsia="宋体" w:cs="宋体"/>
                      <w:sz w:val="21"/>
                      <w:szCs w:val="21"/>
                    </w:rPr>
                  </w:pPr>
                  <w:r>
                    <w:rPr>
                      <w:rFonts w:hint="eastAsia" w:ascii="宋体" w:hAnsi="宋体" w:eastAsia="宋体" w:cs="宋体"/>
                      <w:sz w:val="21"/>
                      <w:szCs w:val="21"/>
                    </w:rPr>
                    <w:t>0.004%</w:t>
                  </w:r>
                </w:p>
              </w:tc>
            </w:tr>
          </w:tbl>
          <w:p w14:paraId="6E85D693">
            <w:pPr>
              <w:adjustRightInd w:val="0"/>
              <w:snapToGrid w:val="0"/>
              <w:spacing w:line="264" w:lineRule="auto"/>
              <w:ind w:right="26"/>
              <w:rPr>
                <w:rFonts w:ascii="宋体" w:hAnsi="宋体" w:eastAsia="宋体" w:cs="宋体"/>
                <w:b/>
                <w:bCs/>
                <w:sz w:val="21"/>
                <w:szCs w:val="21"/>
              </w:rPr>
            </w:pPr>
          </w:p>
          <w:p w14:paraId="1F85C89B">
            <w:pPr>
              <w:adjustRightInd w:val="0"/>
              <w:snapToGrid w:val="0"/>
              <w:spacing w:line="264" w:lineRule="auto"/>
              <w:ind w:right="26"/>
              <w:rPr>
                <w:rFonts w:ascii="宋体" w:hAnsi="宋体" w:eastAsia="宋体" w:cs="宋体"/>
                <w:sz w:val="21"/>
                <w:szCs w:val="21"/>
              </w:rPr>
            </w:pPr>
            <w:r>
              <w:rPr>
                <w:rFonts w:hint="eastAsia" w:ascii="宋体" w:hAnsi="宋体" w:eastAsia="宋体" w:cs="宋体"/>
                <w:sz w:val="21"/>
                <w:szCs w:val="21"/>
              </w:rPr>
              <w:t>（2）招标代理服务收费按差额定率累进法计算；</w:t>
            </w:r>
          </w:p>
          <w:p w14:paraId="6A6D97E1">
            <w:pPr>
              <w:adjustRightInd w:val="0"/>
              <w:snapToGrid w:val="0"/>
              <w:spacing w:line="264" w:lineRule="auto"/>
              <w:ind w:right="26"/>
              <w:rPr>
                <w:rFonts w:ascii="宋体" w:hAnsi="宋体" w:eastAsia="宋体" w:cs="宋体"/>
                <w:sz w:val="21"/>
                <w:szCs w:val="21"/>
              </w:rPr>
            </w:pPr>
            <w:r>
              <w:rPr>
                <w:rFonts w:hint="eastAsia" w:ascii="宋体" w:hAnsi="宋体" w:eastAsia="宋体" w:cs="宋体"/>
                <w:sz w:val="21"/>
                <w:szCs w:val="21"/>
              </w:rPr>
              <w:t>（3）本次招标为货物招标，</w:t>
            </w:r>
            <w:r>
              <w:rPr>
                <w:rFonts w:hint="eastAsia" w:ascii="宋体" w:hAnsi="宋体" w:eastAsia="宋体" w:cs="宋体"/>
                <w:color w:val="FF0000"/>
                <w:sz w:val="21"/>
                <w:szCs w:val="21"/>
              </w:rPr>
              <w:t>招标代理服务费计算费率类别为</w:t>
            </w:r>
            <w:r>
              <w:rPr>
                <w:rFonts w:hint="eastAsia" w:ascii="宋体" w:hAnsi="宋体" w:eastAsia="宋体" w:cs="宋体"/>
                <w:b/>
                <w:bCs/>
                <w:color w:val="FF0000"/>
                <w:sz w:val="21"/>
                <w:szCs w:val="21"/>
                <w:u w:val="single"/>
              </w:rPr>
              <w:t xml:space="preserve"> 货物招标 </w:t>
            </w:r>
            <w:r>
              <w:rPr>
                <w:rFonts w:hint="eastAsia" w:ascii="宋体" w:hAnsi="宋体" w:eastAsia="宋体" w:cs="宋体"/>
                <w:b/>
                <w:bCs/>
                <w:color w:val="FF0000"/>
                <w:sz w:val="21"/>
                <w:szCs w:val="21"/>
              </w:rPr>
              <w:t>。</w:t>
            </w:r>
          </w:p>
          <w:p w14:paraId="09688E13">
            <w:pPr>
              <w:adjustRightInd w:val="0"/>
              <w:snapToGrid w:val="0"/>
              <w:spacing w:line="264" w:lineRule="auto"/>
              <w:ind w:right="26"/>
              <w:rPr>
                <w:rFonts w:ascii="宋体" w:hAnsi="宋体" w:eastAsia="宋体" w:cs="宋体"/>
                <w:sz w:val="21"/>
                <w:szCs w:val="21"/>
              </w:rPr>
            </w:pPr>
            <w:r>
              <w:rPr>
                <w:rFonts w:hint="eastAsia" w:ascii="宋体" w:hAnsi="宋体" w:eastAsia="宋体" w:cs="宋体"/>
                <w:sz w:val="21"/>
                <w:szCs w:val="21"/>
              </w:rPr>
              <w:t>（4）招标代理服务费按</w:t>
            </w:r>
            <w:r>
              <w:rPr>
                <w:rFonts w:hint="eastAsia" w:ascii="宋体" w:hAnsi="宋体" w:eastAsia="宋体" w:cs="宋体"/>
                <w:b/>
                <w:bCs/>
                <w:sz w:val="21"/>
                <w:szCs w:val="21"/>
                <w:u w:val="single"/>
              </w:rPr>
              <w:t>货物招标</w:t>
            </w:r>
            <w:r>
              <w:rPr>
                <w:rFonts w:hint="eastAsia" w:ascii="宋体" w:hAnsi="宋体" w:eastAsia="宋体" w:cs="宋体"/>
                <w:sz w:val="21"/>
                <w:szCs w:val="21"/>
              </w:rPr>
              <w:t>计费标准的90%计算收取。</w:t>
            </w:r>
          </w:p>
          <w:p w14:paraId="0B1F21A2">
            <w:pPr>
              <w:adjustRightInd w:val="0"/>
              <w:snapToGrid w:val="0"/>
              <w:spacing w:line="264" w:lineRule="auto"/>
              <w:ind w:right="26"/>
              <w:rPr>
                <w:rFonts w:ascii="宋体" w:hAnsi="宋体" w:eastAsia="宋体" w:cs="宋体"/>
                <w:sz w:val="21"/>
                <w:szCs w:val="21"/>
              </w:rPr>
            </w:pPr>
            <w:r>
              <w:rPr>
                <w:rFonts w:hint="eastAsia" w:ascii="宋体" w:hAnsi="宋体" w:eastAsia="宋体" w:cs="宋体"/>
                <w:sz w:val="21"/>
                <w:szCs w:val="21"/>
              </w:rPr>
              <w:t>（5）招标代理服务费缴纳至：</w:t>
            </w:r>
          </w:p>
          <w:p w14:paraId="4459F634">
            <w:pPr>
              <w:adjustRightInd w:val="0"/>
              <w:snapToGrid w:val="0"/>
              <w:spacing w:line="264" w:lineRule="auto"/>
              <w:ind w:right="26" w:firstLine="420" w:firstLineChars="200"/>
              <w:rPr>
                <w:rFonts w:ascii="宋体" w:hAnsi="宋体" w:eastAsia="宋体" w:cs="宋体"/>
                <w:sz w:val="21"/>
                <w:szCs w:val="21"/>
              </w:rPr>
            </w:pPr>
            <w:r>
              <w:rPr>
                <w:rFonts w:hint="eastAsia" w:ascii="宋体" w:hAnsi="宋体" w:eastAsia="宋体" w:cs="宋体"/>
                <w:sz w:val="21"/>
                <w:szCs w:val="21"/>
              </w:rPr>
              <w:t>开户名称：中国远东国际招标有限公司深圳分公司</w:t>
            </w:r>
          </w:p>
          <w:p w14:paraId="4A470521">
            <w:pPr>
              <w:adjustRightInd w:val="0"/>
              <w:snapToGrid w:val="0"/>
              <w:spacing w:line="264" w:lineRule="auto"/>
              <w:ind w:right="26" w:firstLine="420" w:firstLineChars="200"/>
              <w:rPr>
                <w:rFonts w:ascii="宋体" w:hAnsi="宋体" w:eastAsia="宋体" w:cs="宋体"/>
                <w:sz w:val="21"/>
                <w:szCs w:val="21"/>
              </w:rPr>
            </w:pPr>
            <w:r>
              <w:rPr>
                <w:rFonts w:hint="eastAsia" w:ascii="宋体" w:hAnsi="宋体" w:eastAsia="宋体" w:cs="宋体"/>
                <w:sz w:val="21"/>
                <w:szCs w:val="21"/>
              </w:rPr>
              <w:t>银行账号：443066027015004105368</w:t>
            </w:r>
          </w:p>
          <w:p w14:paraId="219C8D78">
            <w:pPr>
              <w:ind w:firstLine="420" w:firstLineChars="200"/>
              <w:rPr>
                <w:rFonts w:ascii="宋体" w:hAnsi="宋体" w:eastAsia="宋体" w:cs="宋体"/>
                <w:color w:val="000000"/>
                <w:sz w:val="21"/>
                <w:szCs w:val="21"/>
              </w:rPr>
            </w:pPr>
            <w:r>
              <w:rPr>
                <w:rFonts w:hint="eastAsia" w:ascii="宋体" w:hAnsi="宋体" w:eastAsia="宋体" w:cs="宋体"/>
                <w:sz w:val="21"/>
                <w:szCs w:val="21"/>
              </w:rPr>
              <w:t>开户银行：交通银行股份有限公司深圳上步支行</w:t>
            </w:r>
          </w:p>
        </w:tc>
      </w:tr>
      <w:tr w14:paraId="70B941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801" w:type="dxa"/>
            <w:vAlign w:val="center"/>
          </w:tcPr>
          <w:p w14:paraId="315D67BE">
            <w:pPr>
              <w:spacing w:line="300" w:lineRule="exact"/>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3</w:t>
            </w:r>
          </w:p>
        </w:tc>
        <w:tc>
          <w:tcPr>
            <w:tcW w:w="1192" w:type="dxa"/>
            <w:vAlign w:val="center"/>
          </w:tcPr>
          <w:p w14:paraId="6761B22C">
            <w:pPr>
              <w:spacing w:line="300" w:lineRule="exact"/>
              <w:jc w:val="center"/>
              <w:rPr>
                <w:rFonts w:ascii="宋体" w:hAnsi="宋体" w:eastAsia="宋体" w:cs="宋体"/>
                <w:b/>
                <w:bCs/>
                <w:color w:val="000000"/>
                <w:sz w:val="21"/>
                <w:szCs w:val="21"/>
              </w:rPr>
            </w:pPr>
            <w:r>
              <w:rPr>
                <w:rFonts w:hint="eastAsia" w:ascii="宋体" w:hAnsi="宋体" w:eastAsia="宋体" w:cs="宋体"/>
                <w:b/>
                <w:bCs/>
                <w:sz w:val="21"/>
                <w:szCs w:val="21"/>
              </w:rPr>
              <w:t>关于政府采购订单融资政策</w:t>
            </w:r>
          </w:p>
        </w:tc>
        <w:tc>
          <w:tcPr>
            <w:tcW w:w="6511" w:type="dxa"/>
            <w:vAlign w:val="center"/>
          </w:tcPr>
          <w:p w14:paraId="29FD2D22">
            <w:pPr>
              <w:rPr>
                <w:rFonts w:ascii="宋体" w:hAnsi="宋体" w:eastAsia="宋体" w:cs="宋体"/>
                <w:sz w:val="21"/>
                <w:szCs w:val="21"/>
              </w:rPr>
            </w:pPr>
            <w:r>
              <w:rPr>
                <w:rFonts w:hint="eastAsia" w:ascii="宋体" w:hAnsi="宋体" w:eastAsia="宋体" w:cs="宋体"/>
                <w:bCs/>
                <w:sz w:val="21"/>
                <w:szCs w:val="21"/>
              </w:rPr>
              <w:t>关于政府采购订单融资政策：为进一步拓宽企业融资渠道，降低企业融资成本，我市推出政府采购订单融资服务，中标（成交）供应商可以凭借中标（成交）通知书或政府采购合同向金融机构提出融资申请。订单融资具体流程可登录深圳交易集团融资服务平台（http://zfcg.szggzy.com:8081/financeplatform/），相关政策法规参阅深圳市政府采购监管网（http://zfcg.sz.gov.cn/）信息公开栏目。咨询电话：0755­88653386。</w:t>
            </w:r>
          </w:p>
        </w:tc>
      </w:tr>
      <w:tr w14:paraId="6DCE0A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801" w:type="dxa"/>
            <w:vAlign w:val="center"/>
          </w:tcPr>
          <w:p w14:paraId="0E10B94A">
            <w:pPr>
              <w:spacing w:line="300" w:lineRule="exact"/>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4</w:t>
            </w:r>
          </w:p>
        </w:tc>
        <w:tc>
          <w:tcPr>
            <w:tcW w:w="1192" w:type="dxa"/>
            <w:vAlign w:val="center"/>
          </w:tcPr>
          <w:p w14:paraId="32A0FD90">
            <w:pPr>
              <w:spacing w:line="300" w:lineRule="exact"/>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其他说明</w:t>
            </w:r>
          </w:p>
        </w:tc>
        <w:tc>
          <w:tcPr>
            <w:tcW w:w="6511" w:type="dxa"/>
            <w:vAlign w:val="center"/>
          </w:tcPr>
          <w:p w14:paraId="652C4132">
            <w:pPr>
              <w:rPr>
                <w:rFonts w:ascii="宋体" w:hAnsi="宋体" w:eastAsia="宋体" w:cs="宋体"/>
                <w:sz w:val="21"/>
                <w:szCs w:val="21"/>
              </w:rPr>
            </w:pPr>
            <w:r>
              <w:rPr>
                <w:rFonts w:hint="eastAsia" w:ascii="宋体" w:hAnsi="宋体" w:eastAsia="宋体" w:cs="宋体"/>
                <w:sz w:val="21"/>
                <w:szCs w:val="21"/>
              </w:rPr>
              <w:t>本项目允许使用电子营业执照加、解密，投标（应答）供应商在使用“投标文件制作专用软件”制作投标（应答）文件时，可以通过微信扫码功能调用“电子营业执照”小程序制作、加密、解密投标（应答）响应文件。供应商加密投标（应答）响应文件与开标解密必须使用同一种方式，否则解密失败，导致投标无效（即：使用电子执照加密的，后续开标只能使用电子执照解密）。</w:t>
            </w:r>
          </w:p>
        </w:tc>
      </w:tr>
      <w:tr w14:paraId="3F0772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60" w:hRule="atLeast"/>
          <w:jc w:val="center"/>
        </w:trPr>
        <w:tc>
          <w:tcPr>
            <w:tcW w:w="801" w:type="dxa"/>
            <w:vAlign w:val="center"/>
          </w:tcPr>
          <w:p w14:paraId="147E9389">
            <w:pPr>
              <w:spacing w:line="300" w:lineRule="exact"/>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5</w:t>
            </w:r>
          </w:p>
        </w:tc>
        <w:tc>
          <w:tcPr>
            <w:tcW w:w="1192" w:type="dxa"/>
            <w:vAlign w:val="center"/>
          </w:tcPr>
          <w:p w14:paraId="56EE9BF3">
            <w:pPr>
              <w:spacing w:line="300" w:lineRule="exact"/>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重要提示</w:t>
            </w:r>
          </w:p>
        </w:tc>
        <w:tc>
          <w:tcPr>
            <w:tcW w:w="6511" w:type="dxa"/>
            <w:vAlign w:val="center"/>
          </w:tcPr>
          <w:p w14:paraId="1AE1A76D">
            <w:pPr>
              <w:rPr>
                <w:rFonts w:ascii="宋体" w:hAnsi="宋体" w:eastAsia="宋体" w:cs="宋体"/>
                <w:sz w:val="21"/>
                <w:szCs w:val="21"/>
              </w:rPr>
            </w:pPr>
            <w:r>
              <w:rPr>
                <w:rFonts w:hint="eastAsia" w:ascii="宋体" w:hAnsi="宋体" w:eastAsia="宋体" w:cs="宋体"/>
                <w:sz w:val="21"/>
                <w:szCs w:val="21"/>
              </w:rPr>
              <w:t>（1）使用电子营业执照功能时，请确保已经在手机微信安装 “电子营业执照”小程序，或已安装了“电子营业执照”APP，并且在 “电子营业执照”小程序/app中完成相应的下载电子营业执照、法人授权、备份密钥等操作（具体详见国家工商总局网站），电子投标地区必须选择 “广东省-深圳市-深圳政府采购智慧平台”（请根据手机小程序/app提示进行设置，或拨打电子营业执照平台技术支持电话010-86355313，15921122750）。</w:t>
            </w:r>
          </w:p>
          <w:p w14:paraId="5DE0B485">
            <w:pPr>
              <w:rPr>
                <w:rFonts w:ascii="宋体" w:hAnsi="宋体" w:eastAsia="宋体" w:cs="宋体"/>
                <w:sz w:val="21"/>
                <w:szCs w:val="21"/>
              </w:rPr>
            </w:pPr>
            <w:r>
              <w:rPr>
                <w:rFonts w:hint="eastAsia" w:ascii="宋体" w:hAnsi="宋体" w:eastAsia="宋体" w:cs="宋体"/>
                <w:sz w:val="21"/>
                <w:szCs w:val="21"/>
              </w:rPr>
              <w:t>（2）电子营业执照应用于投标文件制作和加解密属于创新应用场景，如不熟悉操作可能导致错过投标截止时间，系统已提供加密、测试解密和撤回重新上传的功能，各投标人须预留充足时间，提前制作和加密上传投标文件。</w:t>
            </w:r>
          </w:p>
          <w:p w14:paraId="107A4DCD">
            <w:pPr>
              <w:rPr>
                <w:rFonts w:ascii="宋体" w:hAnsi="宋体" w:eastAsia="宋体" w:cs="宋体"/>
                <w:sz w:val="21"/>
                <w:szCs w:val="21"/>
              </w:rPr>
            </w:pPr>
            <w:r>
              <w:rPr>
                <w:rFonts w:hint="eastAsia" w:ascii="宋体" w:hAnsi="宋体" w:eastAsia="宋体" w:cs="宋体"/>
                <w:sz w:val="21"/>
                <w:szCs w:val="21"/>
              </w:rPr>
              <w:t>（3）已办理数字证书（电子密钥）的用户，可以继续使用数字证书完成投标活动。未申请电子营业执照或无法通过电子营业执照完成投标文件制作和加解密的用户，必须使用电子密钥进行投标文件制作和加解密，咨询电话0755-83948165，4008301330（CA办理指引详见链接https://www.szzfcg.cn/portal/documentView.do?method=view&amp;id=597167584）。</w:t>
            </w:r>
          </w:p>
        </w:tc>
      </w:tr>
    </w:tbl>
    <w:p w14:paraId="1BB27931">
      <w:pPr>
        <w:ind w:firstLine="480" w:firstLineChars="200"/>
        <w:rPr>
          <w:b/>
          <w:bCs/>
        </w:rPr>
      </w:pPr>
    </w:p>
    <w:p w14:paraId="28E0036D">
      <w:pPr>
        <w:rPr>
          <w:rFonts w:cs="宋体"/>
          <w:szCs w:val="28"/>
        </w:rPr>
      </w:pPr>
    </w:p>
    <w:p w14:paraId="34F03009">
      <w:pPr>
        <w:pStyle w:val="21"/>
        <w:jc w:val="center"/>
        <w:outlineLvl w:val="1"/>
        <w:rPr>
          <w:rFonts w:ascii="黑体" w:hAnsi="黑体" w:eastAsia="黑体" w:cs="黑体"/>
          <w:sz w:val="36"/>
          <w:szCs w:val="36"/>
        </w:rPr>
      </w:pPr>
      <w:r>
        <w:rPr>
          <w:rFonts w:hint="eastAsia" w:ascii="黑体" w:hAnsi="黑体" w:eastAsia="黑体" w:cs="黑体"/>
          <w:b/>
          <w:bCs/>
          <w:sz w:val="36"/>
          <w:szCs w:val="36"/>
        </w:rPr>
        <w:br w:type="page"/>
      </w:r>
      <w:r>
        <w:rPr>
          <w:rFonts w:hint="eastAsia" w:ascii="黑体" w:hAnsi="黑体" w:eastAsia="黑体" w:cs="黑体"/>
          <w:b/>
          <w:bCs/>
          <w:sz w:val="36"/>
          <w:szCs w:val="36"/>
        </w:rPr>
        <w:t>第三章 用户需求书</w:t>
      </w:r>
    </w:p>
    <w:p w14:paraId="7D6F8F06">
      <w:pPr>
        <w:pStyle w:val="4"/>
        <w:spacing w:before="120" w:beforeLines="50" w:after="120" w:afterLines="50"/>
        <w:jc w:val="center"/>
        <w:rPr>
          <w:szCs w:val="28"/>
        </w:rPr>
      </w:pPr>
      <w:r>
        <w:rPr>
          <w:rFonts w:hint="eastAsia"/>
          <w:szCs w:val="28"/>
        </w:rPr>
        <w:t>一、项目基本信息</w:t>
      </w:r>
    </w:p>
    <w:tbl>
      <w:tblPr>
        <w:tblStyle w:val="28"/>
        <w:tblW w:w="907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30"/>
        <w:gridCol w:w="3525"/>
        <w:gridCol w:w="2295"/>
        <w:gridCol w:w="2221"/>
      </w:tblGrid>
      <w:tr w14:paraId="2E111B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030" w:type="dxa"/>
            <w:vAlign w:val="center"/>
          </w:tcPr>
          <w:p w14:paraId="3BCEDD81">
            <w:pPr>
              <w:jc w:val="center"/>
              <w:rPr>
                <w:rFonts w:ascii="宋体" w:hAnsi="宋体" w:eastAsia="宋体" w:cs="宋体"/>
                <w:b/>
                <w:sz w:val="21"/>
                <w:szCs w:val="21"/>
              </w:rPr>
            </w:pPr>
            <w:r>
              <w:rPr>
                <w:rFonts w:hint="eastAsia" w:ascii="宋体" w:hAnsi="宋体" w:eastAsia="宋体" w:cs="宋体"/>
                <w:b/>
                <w:sz w:val="21"/>
                <w:szCs w:val="21"/>
              </w:rPr>
              <w:t>序号</w:t>
            </w:r>
          </w:p>
        </w:tc>
        <w:tc>
          <w:tcPr>
            <w:tcW w:w="3525" w:type="dxa"/>
            <w:vAlign w:val="center"/>
          </w:tcPr>
          <w:p w14:paraId="0A146F50">
            <w:pPr>
              <w:jc w:val="center"/>
              <w:rPr>
                <w:rFonts w:ascii="宋体" w:hAnsi="宋体" w:eastAsia="宋体" w:cs="宋体"/>
                <w:b/>
                <w:sz w:val="21"/>
                <w:szCs w:val="21"/>
              </w:rPr>
            </w:pPr>
            <w:r>
              <w:rPr>
                <w:rFonts w:hint="eastAsia" w:ascii="宋体" w:hAnsi="宋体" w:eastAsia="宋体" w:cs="宋体"/>
                <w:b/>
                <w:sz w:val="21"/>
                <w:szCs w:val="21"/>
              </w:rPr>
              <w:t>采购项目名称</w:t>
            </w:r>
          </w:p>
        </w:tc>
        <w:tc>
          <w:tcPr>
            <w:tcW w:w="2295" w:type="dxa"/>
            <w:vAlign w:val="center"/>
          </w:tcPr>
          <w:p w14:paraId="4CFF148C">
            <w:pPr>
              <w:jc w:val="center"/>
              <w:rPr>
                <w:rFonts w:ascii="宋体" w:hAnsi="宋体" w:eastAsia="宋体" w:cs="宋体"/>
                <w:b/>
                <w:sz w:val="21"/>
                <w:szCs w:val="21"/>
              </w:rPr>
            </w:pPr>
            <w:r>
              <w:rPr>
                <w:rFonts w:hint="eastAsia" w:ascii="宋体" w:hAnsi="宋体" w:eastAsia="宋体" w:cs="宋体"/>
                <w:b/>
                <w:sz w:val="21"/>
                <w:szCs w:val="21"/>
              </w:rPr>
              <w:t>预算金额（元）</w:t>
            </w:r>
          </w:p>
        </w:tc>
        <w:tc>
          <w:tcPr>
            <w:tcW w:w="2221" w:type="dxa"/>
            <w:vAlign w:val="center"/>
          </w:tcPr>
          <w:p w14:paraId="70C41972">
            <w:pPr>
              <w:jc w:val="center"/>
              <w:rPr>
                <w:rFonts w:ascii="宋体" w:hAnsi="宋体" w:eastAsia="宋体" w:cs="宋体"/>
                <w:b/>
                <w:sz w:val="21"/>
                <w:szCs w:val="21"/>
              </w:rPr>
            </w:pPr>
            <w:r>
              <w:rPr>
                <w:rFonts w:hint="eastAsia" w:ascii="宋体" w:hAnsi="宋体" w:eastAsia="宋体" w:cs="宋体"/>
                <w:b/>
                <w:sz w:val="21"/>
                <w:szCs w:val="21"/>
              </w:rPr>
              <w:t>最高限价（元）</w:t>
            </w:r>
          </w:p>
        </w:tc>
      </w:tr>
      <w:tr w14:paraId="4AD963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030" w:type="dxa"/>
            <w:vAlign w:val="center"/>
          </w:tcPr>
          <w:p w14:paraId="61553B52">
            <w:pPr>
              <w:jc w:val="center"/>
              <w:rPr>
                <w:rFonts w:ascii="宋体" w:hAnsi="宋体" w:eastAsia="宋体" w:cs="宋体"/>
                <w:bCs/>
                <w:sz w:val="21"/>
                <w:szCs w:val="21"/>
              </w:rPr>
            </w:pPr>
            <w:r>
              <w:rPr>
                <w:rFonts w:hint="eastAsia" w:ascii="宋体" w:hAnsi="宋体" w:eastAsia="宋体" w:cs="宋体"/>
                <w:bCs/>
                <w:sz w:val="21"/>
                <w:szCs w:val="21"/>
              </w:rPr>
              <w:t>1</w:t>
            </w:r>
          </w:p>
        </w:tc>
        <w:tc>
          <w:tcPr>
            <w:tcW w:w="3525" w:type="dxa"/>
            <w:vAlign w:val="center"/>
          </w:tcPr>
          <w:p w14:paraId="1DD1B120">
            <w:pPr>
              <w:jc w:val="center"/>
              <w:rPr>
                <w:rFonts w:hint="eastAsia" w:ascii="宋体" w:hAnsi="宋体" w:eastAsia="宋体" w:cs="宋体"/>
                <w:b/>
                <w:bCs/>
                <w:sz w:val="21"/>
                <w:szCs w:val="21"/>
                <w:lang w:eastAsia="zh-CN"/>
              </w:rPr>
            </w:pPr>
            <w:r>
              <w:rPr>
                <w:rFonts w:hint="eastAsia" w:ascii="宋体" w:hAnsi="宋体" w:eastAsia="宋体" w:cs="宋体"/>
                <w:sz w:val="21"/>
                <w:szCs w:val="21"/>
                <w:lang w:eastAsia="zh-CN"/>
              </w:rPr>
              <w:t>低温质子辐照终端</w:t>
            </w:r>
          </w:p>
        </w:tc>
        <w:tc>
          <w:tcPr>
            <w:tcW w:w="2295" w:type="dxa"/>
            <w:vAlign w:val="center"/>
          </w:tcPr>
          <w:p w14:paraId="1084E787">
            <w:pPr>
              <w:jc w:val="center"/>
              <w:rPr>
                <w:rFonts w:ascii="宋体" w:hAnsi="宋体" w:eastAsia="宋体" w:cs="宋体"/>
                <w:bCs/>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14</w:t>
            </w:r>
            <w:r>
              <w:rPr>
                <w:rFonts w:hint="eastAsia" w:ascii="宋体" w:hAnsi="宋体" w:eastAsia="宋体" w:cs="宋体"/>
                <w:sz w:val="21"/>
                <w:szCs w:val="21"/>
              </w:rPr>
              <w:t>,</w:t>
            </w:r>
            <w:r>
              <w:rPr>
                <w:rFonts w:hint="eastAsia" w:ascii="宋体" w:hAnsi="宋体" w:eastAsia="宋体" w:cs="宋体"/>
                <w:sz w:val="21"/>
                <w:szCs w:val="21"/>
                <w:lang w:val="en-US" w:eastAsia="zh-CN"/>
              </w:rPr>
              <w:t>000</w:t>
            </w:r>
            <w:r>
              <w:rPr>
                <w:rFonts w:hint="eastAsia" w:ascii="宋体" w:hAnsi="宋体" w:eastAsia="宋体" w:cs="宋体"/>
                <w:sz w:val="21"/>
                <w:szCs w:val="21"/>
              </w:rPr>
              <w:t>,000.00</w:t>
            </w:r>
          </w:p>
        </w:tc>
        <w:tc>
          <w:tcPr>
            <w:tcW w:w="2221" w:type="dxa"/>
            <w:vAlign w:val="center"/>
          </w:tcPr>
          <w:p w14:paraId="55B2E3C8">
            <w:pPr>
              <w:jc w:val="center"/>
              <w:rPr>
                <w:rFonts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14</w:t>
            </w:r>
            <w:r>
              <w:rPr>
                <w:rFonts w:hint="eastAsia" w:ascii="宋体" w:hAnsi="宋体" w:eastAsia="宋体" w:cs="宋体"/>
                <w:sz w:val="21"/>
                <w:szCs w:val="21"/>
              </w:rPr>
              <w:t>,</w:t>
            </w:r>
            <w:r>
              <w:rPr>
                <w:rFonts w:hint="eastAsia" w:ascii="宋体" w:hAnsi="宋体" w:eastAsia="宋体" w:cs="宋体"/>
                <w:sz w:val="21"/>
                <w:szCs w:val="21"/>
                <w:lang w:val="en-US" w:eastAsia="zh-CN"/>
              </w:rPr>
              <w:t>000</w:t>
            </w:r>
            <w:r>
              <w:rPr>
                <w:rFonts w:hint="eastAsia" w:ascii="宋体" w:hAnsi="宋体" w:eastAsia="宋体" w:cs="宋体"/>
                <w:sz w:val="21"/>
                <w:szCs w:val="21"/>
              </w:rPr>
              <w:t>,000.00</w:t>
            </w:r>
          </w:p>
        </w:tc>
      </w:tr>
    </w:tbl>
    <w:p w14:paraId="23592BC6">
      <w:pPr>
        <w:spacing w:before="120" w:beforeLines="50" w:after="120" w:afterLines="50"/>
        <w:jc w:val="center"/>
      </w:pPr>
    </w:p>
    <w:p w14:paraId="05114EFB">
      <w:pPr>
        <w:pStyle w:val="4"/>
        <w:spacing w:before="120" w:beforeLines="50" w:after="120" w:afterLines="50"/>
        <w:jc w:val="center"/>
        <w:rPr>
          <w:szCs w:val="24"/>
        </w:rPr>
      </w:pPr>
      <w:r>
        <w:rPr>
          <w:rFonts w:hint="eastAsia"/>
          <w:szCs w:val="24"/>
        </w:rPr>
        <w:t>二、</w:t>
      </w:r>
      <w:bookmarkStart w:id="26" w:name="_Hlk72073432"/>
      <w:r>
        <w:rPr>
          <w:rFonts w:hint="eastAsia"/>
          <w:szCs w:val="24"/>
        </w:rPr>
        <w:t>货物需求明细</w:t>
      </w:r>
      <w:bookmarkEnd w:id="26"/>
    </w:p>
    <w:p w14:paraId="6B792E03">
      <w:r>
        <w:rPr>
          <w:rFonts w:hint="eastAsia" w:ascii="宋体" w:eastAsia="宋体" w:cs="宋体"/>
          <w:b/>
          <w:sz w:val="21"/>
          <w:szCs w:val="21"/>
        </w:rPr>
        <w:t>（一）货物总清单</w:t>
      </w:r>
    </w:p>
    <w:tbl>
      <w:tblPr>
        <w:tblStyle w:val="28"/>
        <w:tblW w:w="907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205"/>
        <w:gridCol w:w="3062"/>
        <w:gridCol w:w="1101"/>
        <w:gridCol w:w="1087"/>
        <w:gridCol w:w="2616"/>
      </w:tblGrid>
      <w:tr w14:paraId="6A8558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023" w:type="dxa"/>
            <w:tcBorders>
              <w:tl2br w:val="nil"/>
              <w:tr2bl w:val="nil"/>
            </w:tcBorders>
            <w:vAlign w:val="center"/>
          </w:tcPr>
          <w:p w14:paraId="22E72194">
            <w:pPr>
              <w:jc w:val="center"/>
              <w:rPr>
                <w:rFonts w:ascii="宋体" w:hAnsi="宋体" w:eastAsia="宋体" w:cs="宋体"/>
                <w:b/>
                <w:sz w:val="21"/>
                <w:szCs w:val="21"/>
              </w:rPr>
            </w:pPr>
            <w:r>
              <w:rPr>
                <w:rFonts w:hint="eastAsia" w:ascii="宋体" w:hAnsi="宋体" w:eastAsia="宋体" w:cs="宋体"/>
                <w:b/>
                <w:sz w:val="21"/>
                <w:szCs w:val="21"/>
              </w:rPr>
              <w:t>序号</w:t>
            </w:r>
          </w:p>
        </w:tc>
        <w:tc>
          <w:tcPr>
            <w:tcW w:w="2600" w:type="dxa"/>
            <w:tcBorders>
              <w:tl2br w:val="nil"/>
              <w:tr2bl w:val="nil"/>
            </w:tcBorders>
            <w:vAlign w:val="center"/>
          </w:tcPr>
          <w:p w14:paraId="17FFE13E">
            <w:pPr>
              <w:jc w:val="center"/>
              <w:rPr>
                <w:rFonts w:ascii="宋体" w:hAnsi="宋体" w:eastAsia="宋体" w:cs="宋体"/>
                <w:b/>
                <w:sz w:val="21"/>
                <w:szCs w:val="21"/>
              </w:rPr>
            </w:pPr>
            <w:r>
              <w:rPr>
                <w:rFonts w:hint="eastAsia" w:ascii="宋体" w:hAnsi="宋体" w:eastAsia="宋体" w:cs="宋体"/>
                <w:b/>
                <w:sz w:val="21"/>
                <w:szCs w:val="21"/>
              </w:rPr>
              <w:t>货物名称</w:t>
            </w:r>
          </w:p>
        </w:tc>
        <w:tc>
          <w:tcPr>
            <w:tcW w:w="935" w:type="dxa"/>
            <w:tcBorders>
              <w:tl2br w:val="nil"/>
              <w:tr2bl w:val="nil"/>
            </w:tcBorders>
            <w:vAlign w:val="center"/>
          </w:tcPr>
          <w:p w14:paraId="4E70BD06">
            <w:pPr>
              <w:jc w:val="center"/>
              <w:rPr>
                <w:rFonts w:ascii="宋体" w:hAnsi="宋体" w:eastAsia="宋体" w:cs="宋体"/>
                <w:b/>
                <w:sz w:val="21"/>
                <w:szCs w:val="21"/>
              </w:rPr>
            </w:pPr>
            <w:r>
              <w:rPr>
                <w:rFonts w:hint="eastAsia" w:ascii="宋体" w:hAnsi="宋体" w:eastAsia="宋体" w:cs="宋体"/>
                <w:b/>
                <w:sz w:val="21"/>
                <w:szCs w:val="21"/>
              </w:rPr>
              <w:t>数量</w:t>
            </w:r>
          </w:p>
        </w:tc>
        <w:tc>
          <w:tcPr>
            <w:tcW w:w="923" w:type="dxa"/>
            <w:tcBorders>
              <w:tl2br w:val="nil"/>
              <w:tr2bl w:val="nil"/>
            </w:tcBorders>
            <w:vAlign w:val="center"/>
          </w:tcPr>
          <w:p w14:paraId="56105D2E">
            <w:pPr>
              <w:jc w:val="center"/>
              <w:rPr>
                <w:rFonts w:ascii="宋体" w:hAnsi="宋体" w:eastAsia="宋体" w:cs="宋体"/>
                <w:b/>
                <w:sz w:val="21"/>
                <w:szCs w:val="21"/>
              </w:rPr>
            </w:pPr>
            <w:r>
              <w:rPr>
                <w:rFonts w:hint="eastAsia" w:ascii="宋体" w:hAnsi="宋体" w:eastAsia="宋体" w:cs="宋体"/>
                <w:b/>
                <w:sz w:val="21"/>
                <w:szCs w:val="21"/>
              </w:rPr>
              <w:t>单位</w:t>
            </w:r>
          </w:p>
        </w:tc>
        <w:tc>
          <w:tcPr>
            <w:tcW w:w="2221" w:type="dxa"/>
            <w:tcBorders>
              <w:tl2br w:val="nil"/>
              <w:tr2bl w:val="nil"/>
            </w:tcBorders>
            <w:vAlign w:val="center"/>
          </w:tcPr>
          <w:p w14:paraId="4CD38AEC">
            <w:pPr>
              <w:jc w:val="center"/>
              <w:rPr>
                <w:rFonts w:ascii="宋体" w:hAnsi="宋体" w:eastAsia="宋体" w:cs="宋体"/>
                <w:b/>
                <w:sz w:val="21"/>
                <w:szCs w:val="21"/>
              </w:rPr>
            </w:pPr>
            <w:r>
              <w:rPr>
                <w:rFonts w:hint="eastAsia" w:ascii="宋体" w:hAnsi="宋体" w:eastAsia="宋体" w:cs="宋体"/>
                <w:b/>
                <w:sz w:val="21"/>
                <w:szCs w:val="21"/>
              </w:rPr>
              <w:t>财政预算限额（元）</w:t>
            </w:r>
          </w:p>
        </w:tc>
      </w:tr>
      <w:tr w14:paraId="7ED2AC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1023" w:type="dxa"/>
            <w:tcBorders>
              <w:tl2br w:val="nil"/>
              <w:tr2bl w:val="nil"/>
            </w:tcBorders>
            <w:vAlign w:val="center"/>
          </w:tcPr>
          <w:p w14:paraId="1890B0AA">
            <w:pPr>
              <w:jc w:val="center"/>
              <w:rPr>
                <w:rFonts w:ascii="宋体" w:hAnsi="宋体" w:eastAsia="宋体" w:cs="宋体"/>
                <w:bCs/>
                <w:sz w:val="21"/>
                <w:szCs w:val="21"/>
              </w:rPr>
            </w:pPr>
            <w:r>
              <w:rPr>
                <w:rFonts w:hint="eastAsia" w:ascii="宋体" w:hAnsi="宋体" w:eastAsia="宋体" w:cs="宋体"/>
                <w:sz w:val="21"/>
                <w:szCs w:val="21"/>
              </w:rPr>
              <w:t>1</w:t>
            </w:r>
          </w:p>
        </w:tc>
        <w:tc>
          <w:tcPr>
            <w:tcW w:w="2600" w:type="dxa"/>
            <w:tcBorders>
              <w:tl2br w:val="nil"/>
              <w:tr2bl w:val="nil"/>
            </w:tcBorders>
            <w:vAlign w:val="center"/>
          </w:tcPr>
          <w:p w14:paraId="01D6227C">
            <w:pPr>
              <w:jc w:val="center"/>
              <w:rPr>
                <w:rFonts w:ascii="宋体" w:hAnsi="宋体" w:eastAsia="宋体" w:cs="宋体"/>
                <w:bCs/>
                <w:sz w:val="21"/>
                <w:szCs w:val="21"/>
              </w:rPr>
            </w:pPr>
            <w:r>
              <w:rPr>
                <w:rFonts w:hint="eastAsia" w:ascii="宋体" w:hAnsi="宋体" w:eastAsia="宋体" w:cs="宋体"/>
                <w:sz w:val="21"/>
                <w:szCs w:val="21"/>
                <w:lang w:eastAsia="zh-CN"/>
              </w:rPr>
              <w:t>低温质子辐照终端</w:t>
            </w:r>
          </w:p>
        </w:tc>
        <w:tc>
          <w:tcPr>
            <w:tcW w:w="935" w:type="dxa"/>
            <w:tcBorders>
              <w:tl2br w:val="nil"/>
              <w:tr2bl w:val="nil"/>
            </w:tcBorders>
            <w:vAlign w:val="center"/>
          </w:tcPr>
          <w:p w14:paraId="0EF58F6B">
            <w:pPr>
              <w:jc w:val="center"/>
              <w:rPr>
                <w:rFonts w:ascii="宋体" w:hAnsi="宋体" w:eastAsia="宋体" w:cs="宋体"/>
                <w:bCs/>
                <w:sz w:val="21"/>
                <w:szCs w:val="21"/>
              </w:rPr>
            </w:pPr>
            <w:r>
              <w:rPr>
                <w:rFonts w:hint="eastAsia" w:ascii="宋体" w:hAnsi="宋体" w:eastAsia="宋体" w:cs="宋体"/>
                <w:bCs/>
                <w:sz w:val="21"/>
                <w:szCs w:val="21"/>
              </w:rPr>
              <w:t>1</w:t>
            </w:r>
          </w:p>
        </w:tc>
        <w:tc>
          <w:tcPr>
            <w:tcW w:w="923" w:type="dxa"/>
            <w:tcBorders>
              <w:tl2br w:val="nil"/>
              <w:tr2bl w:val="nil"/>
            </w:tcBorders>
            <w:vAlign w:val="center"/>
          </w:tcPr>
          <w:p w14:paraId="7D8BC154">
            <w:pPr>
              <w:jc w:val="center"/>
              <w:rPr>
                <w:rFonts w:ascii="宋体" w:hAnsi="宋体" w:eastAsia="宋体" w:cs="宋体"/>
                <w:bCs/>
                <w:sz w:val="21"/>
                <w:szCs w:val="21"/>
              </w:rPr>
            </w:pPr>
            <w:r>
              <w:rPr>
                <w:rFonts w:hint="eastAsia" w:ascii="宋体" w:hAnsi="宋体" w:eastAsia="宋体" w:cs="宋体"/>
                <w:bCs/>
                <w:sz w:val="21"/>
                <w:szCs w:val="21"/>
              </w:rPr>
              <w:t>套</w:t>
            </w:r>
          </w:p>
        </w:tc>
        <w:tc>
          <w:tcPr>
            <w:tcW w:w="2221" w:type="dxa"/>
            <w:tcBorders>
              <w:tl2br w:val="nil"/>
              <w:tr2bl w:val="nil"/>
            </w:tcBorders>
            <w:vAlign w:val="center"/>
          </w:tcPr>
          <w:p w14:paraId="7584B2F7">
            <w:pPr>
              <w:jc w:val="center"/>
              <w:rPr>
                <w:rFonts w:ascii="宋体" w:hAnsi="宋体" w:eastAsia="宋体" w:cs="宋体"/>
                <w:bCs/>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14</w:t>
            </w:r>
            <w:r>
              <w:rPr>
                <w:rFonts w:hint="eastAsia" w:ascii="宋体" w:hAnsi="宋体" w:eastAsia="宋体" w:cs="宋体"/>
                <w:sz w:val="21"/>
                <w:szCs w:val="21"/>
              </w:rPr>
              <w:t>,</w:t>
            </w:r>
            <w:r>
              <w:rPr>
                <w:rFonts w:hint="eastAsia" w:ascii="宋体" w:hAnsi="宋体" w:eastAsia="宋体" w:cs="宋体"/>
                <w:sz w:val="21"/>
                <w:szCs w:val="21"/>
                <w:lang w:val="en-US" w:eastAsia="zh-CN"/>
              </w:rPr>
              <w:t>000</w:t>
            </w:r>
            <w:r>
              <w:rPr>
                <w:rFonts w:hint="eastAsia" w:ascii="宋体" w:hAnsi="宋体" w:eastAsia="宋体" w:cs="宋体"/>
                <w:sz w:val="21"/>
                <w:szCs w:val="21"/>
              </w:rPr>
              <w:t>,000.00</w:t>
            </w:r>
          </w:p>
        </w:tc>
      </w:tr>
    </w:tbl>
    <w:p w14:paraId="733F3D61">
      <w:pPr>
        <w:rPr>
          <w:rFonts w:ascii="宋体" w:eastAsia="宋体" w:cs="宋体"/>
          <w:b/>
          <w:sz w:val="21"/>
          <w:szCs w:val="21"/>
        </w:rPr>
      </w:pPr>
      <w:r>
        <w:rPr>
          <w:rFonts w:hint="eastAsia" w:ascii="宋体" w:eastAsia="宋体" w:cs="宋体"/>
          <w:b/>
          <w:sz w:val="21"/>
          <w:szCs w:val="21"/>
        </w:rPr>
        <w:t>（二）货物清单明细</w:t>
      </w:r>
    </w:p>
    <w:tbl>
      <w:tblPr>
        <w:tblStyle w:val="28"/>
        <w:tblW w:w="907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57"/>
        <w:gridCol w:w="3463"/>
        <w:gridCol w:w="1150"/>
        <w:gridCol w:w="1194"/>
        <w:gridCol w:w="2207"/>
      </w:tblGrid>
      <w:tr w14:paraId="15D8EE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51" w:type="dxa"/>
            <w:tcBorders>
              <w:tl2br w:val="nil"/>
              <w:tr2bl w:val="nil"/>
            </w:tcBorders>
            <w:vAlign w:val="center"/>
          </w:tcPr>
          <w:p w14:paraId="5C22A600">
            <w:pPr>
              <w:jc w:val="center"/>
              <w:rPr>
                <w:rFonts w:ascii="宋体" w:hAnsi="宋体" w:eastAsia="宋体" w:cs="宋体"/>
                <w:bCs/>
                <w:sz w:val="21"/>
                <w:szCs w:val="21"/>
              </w:rPr>
            </w:pPr>
            <w:r>
              <w:rPr>
                <w:rFonts w:hint="eastAsia" w:ascii="宋体" w:hAnsi="宋体" w:eastAsia="宋体" w:cs="宋体"/>
                <w:b/>
                <w:sz w:val="21"/>
                <w:szCs w:val="21"/>
              </w:rPr>
              <w:t>序号</w:t>
            </w:r>
          </w:p>
        </w:tc>
        <w:tc>
          <w:tcPr>
            <w:tcW w:w="2785" w:type="dxa"/>
            <w:tcBorders>
              <w:tl2br w:val="nil"/>
              <w:tr2bl w:val="nil"/>
            </w:tcBorders>
            <w:vAlign w:val="center"/>
          </w:tcPr>
          <w:p w14:paraId="38474044">
            <w:pPr>
              <w:jc w:val="center"/>
              <w:rPr>
                <w:rFonts w:ascii="宋体" w:hAnsi="宋体" w:eastAsia="宋体" w:cs="宋体"/>
                <w:bCs/>
                <w:sz w:val="21"/>
                <w:szCs w:val="21"/>
              </w:rPr>
            </w:pPr>
            <w:r>
              <w:rPr>
                <w:rFonts w:hint="eastAsia" w:ascii="宋体" w:hAnsi="宋体" w:eastAsia="宋体" w:cs="宋体"/>
                <w:b/>
                <w:sz w:val="21"/>
                <w:szCs w:val="21"/>
              </w:rPr>
              <w:t>货物名称</w:t>
            </w:r>
            <w:r>
              <w:rPr>
                <w:rFonts w:hint="eastAsia" w:ascii="宋体" w:hAnsi="宋体" w:eastAsia="宋体" w:cs="宋体"/>
                <w:b/>
                <w:bCs/>
                <w:color w:val="FF0000"/>
                <w:sz w:val="21"/>
                <w:szCs w:val="21"/>
              </w:rPr>
              <w:t>（标的名称）</w:t>
            </w:r>
          </w:p>
        </w:tc>
        <w:tc>
          <w:tcPr>
            <w:tcW w:w="925" w:type="dxa"/>
            <w:tcBorders>
              <w:tl2br w:val="nil"/>
              <w:tr2bl w:val="nil"/>
            </w:tcBorders>
            <w:vAlign w:val="center"/>
          </w:tcPr>
          <w:p w14:paraId="20794A9F">
            <w:pPr>
              <w:jc w:val="center"/>
              <w:rPr>
                <w:rFonts w:ascii="宋体" w:hAnsi="宋体" w:eastAsia="宋体" w:cs="宋体"/>
                <w:b/>
                <w:sz w:val="21"/>
                <w:szCs w:val="21"/>
              </w:rPr>
            </w:pPr>
            <w:r>
              <w:rPr>
                <w:rFonts w:hint="eastAsia" w:ascii="宋体" w:hAnsi="宋体" w:eastAsia="宋体" w:cs="宋体"/>
                <w:b/>
                <w:sz w:val="21"/>
                <w:szCs w:val="21"/>
              </w:rPr>
              <w:t>数量</w:t>
            </w:r>
          </w:p>
        </w:tc>
        <w:tc>
          <w:tcPr>
            <w:tcW w:w="960" w:type="dxa"/>
            <w:tcBorders>
              <w:tl2br w:val="nil"/>
              <w:tr2bl w:val="nil"/>
            </w:tcBorders>
            <w:vAlign w:val="center"/>
          </w:tcPr>
          <w:p w14:paraId="68306809">
            <w:pPr>
              <w:jc w:val="center"/>
              <w:rPr>
                <w:rFonts w:ascii="宋体" w:hAnsi="宋体" w:eastAsia="宋体" w:cs="宋体"/>
                <w:b/>
                <w:sz w:val="21"/>
                <w:szCs w:val="21"/>
              </w:rPr>
            </w:pPr>
            <w:r>
              <w:rPr>
                <w:rFonts w:hint="eastAsia" w:ascii="宋体" w:hAnsi="宋体" w:eastAsia="宋体" w:cs="宋体"/>
                <w:b/>
                <w:sz w:val="21"/>
                <w:szCs w:val="21"/>
              </w:rPr>
              <w:t>单位</w:t>
            </w:r>
          </w:p>
        </w:tc>
        <w:tc>
          <w:tcPr>
            <w:tcW w:w="1775" w:type="dxa"/>
            <w:tcBorders>
              <w:tl2br w:val="nil"/>
              <w:tr2bl w:val="nil"/>
            </w:tcBorders>
            <w:vAlign w:val="center"/>
          </w:tcPr>
          <w:p w14:paraId="24141CE7">
            <w:pPr>
              <w:jc w:val="center"/>
              <w:rPr>
                <w:rFonts w:ascii="宋体" w:hAnsi="宋体" w:eastAsia="宋体" w:cs="宋体"/>
                <w:b/>
                <w:sz w:val="21"/>
                <w:szCs w:val="21"/>
              </w:rPr>
            </w:pPr>
            <w:r>
              <w:rPr>
                <w:rFonts w:hint="eastAsia" w:ascii="宋体" w:hAnsi="宋体" w:eastAsia="宋体" w:cs="宋体"/>
                <w:b/>
                <w:sz w:val="21"/>
                <w:szCs w:val="21"/>
              </w:rPr>
              <w:t>备注</w:t>
            </w:r>
          </w:p>
        </w:tc>
      </w:tr>
      <w:tr w14:paraId="3065CB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51" w:type="dxa"/>
            <w:tcBorders>
              <w:tl2br w:val="nil"/>
              <w:tr2bl w:val="nil"/>
            </w:tcBorders>
            <w:vAlign w:val="center"/>
          </w:tcPr>
          <w:p w14:paraId="3E444E98">
            <w:pPr>
              <w:jc w:val="center"/>
              <w:rPr>
                <w:rFonts w:ascii="宋体" w:hAnsi="宋体" w:eastAsia="宋体" w:cs="宋体"/>
                <w:bCs/>
                <w:sz w:val="21"/>
                <w:szCs w:val="21"/>
              </w:rPr>
            </w:pPr>
            <w:bookmarkStart w:id="27" w:name="_Hlk219128614"/>
            <w:r>
              <w:rPr>
                <w:rFonts w:hint="eastAsia" w:ascii="宋体" w:hAnsi="宋体" w:eastAsia="宋体" w:cs="宋体"/>
                <w:bCs/>
                <w:sz w:val="21"/>
                <w:szCs w:val="21"/>
              </w:rPr>
              <w:t>1</w:t>
            </w:r>
          </w:p>
        </w:tc>
        <w:tc>
          <w:tcPr>
            <w:tcW w:w="2785" w:type="dxa"/>
            <w:tcBorders>
              <w:tl2br w:val="nil"/>
              <w:tr2bl w:val="nil"/>
            </w:tcBorders>
            <w:vAlign w:val="top"/>
          </w:tcPr>
          <w:p w14:paraId="5D87FFF9">
            <w:pPr>
              <w:jc w:val="center"/>
              <w:rPr>
                <w:rFonts w:hint="eastAsia" w:ascii="宋体" w:hAnsi="宋体" w:eastAsia="宋体" w:cs="宋体"/>
                <w:bCs/>
                <w:sz w:val="21"/>
                <w:szCs w:val="21"/>
              </w:rPr>
            </w:pPr>
            <w:r>
              <w:rPr>
                <w:rFonts w:hint="eastAsia" w:ascii="宋体" w:hAnsi="宋体" w:eastAsia="宋体" w:cs="宋体"/>
                <w:bCs/>
                <w:sz w:val="21"/>
                <w:szCs w:val="21"/>
                <w:lang w:val="en-US" w:eastAsia="zh-CN"/>
              </w:rPr>
              <w:t>主舱室</w:t>
            </w:r>
          </w:p>
        </w:tc>
        <w:tc>
          <w:tcPr>
            <w:tcW w:w="925" w:type="dxa"/>
            <w:tcBorders>
              <w:tl2br w:val="nil"/>
              <w:tr2bl w:val="nil"/>
            </w:tcBorders>
            <w:vAlign w:val="top"/>
          </w:tcPr>
          <w:p w14:paraId="4573DCBB">
            <w:pPr>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960" w:type="dxa"/>
            <w:tcBorders>
              <w:tl2br w:val="nil"/>
              <w:tr2bl w:val="nil"/>
            </w:tcBorders>
            <w:vAlign w:val="top"/>
          </w:tcPr>
          <w:p w14:paraId="08E7D3A5">
            <w:pPr>
              <w:jc w:val="center"/>
              <w:rPr>
                <w:rFonts w:hint="eastAsia" w:ascii="宋体" w:hAnsi="宋体" w:eastAsia="宋体" w:cs="宋体"/>
                <w:bCs/>
                <w:sz w:val="21"/>
                <w:szCs w:val="21"/>
              </w:rPr>
            </w:pPr>
            <w:r>
              <w:rPr>
                <w:rFonts w:hint="eastAsia" w:ascii="宋体" w:hAnsi="宋体" w:eastAsia="宋体" w:cs="宋体"/>
                <w:bCs/>
                <w:sz w:val="21"/>
                <w:szCs w:val="21"/>
                <w:lang w:val="en-US" w:eastAsia="zh-CN"/>
              </w:rPr>
              <w:t>套</w:t>
            </w:r>
          </w:p>
        </w:tc>
        <w:tc>
          <w:tcPr>
            <w:tcW w:w="1775" w:type="dxa"/>
            <w:tcBorders>
              <w:tl2br w:val="nil"/>
              <w:tr2bl w:val="nil"/>
            </w:tcBorders>
            <w:vAlign w:val="center"/>
          </w:tcPr>
          <w:p w14:paraId="40AF0F06">
            <w:pPr>
              <w:jc w:val="center"/>
              <w:rPr>
                <w:rFonts w:ascii="宋体" w:hAnsi="宋体" w:eastAsia="宋体" w:cs="宋体"/>
                <w:bCs/>
                <w:sz w:val="21"/>
                <w:szCs w:val="21"/>
              </w:rPr>
            </w:pPr>
            <w:r>
              <w:rPr>
                <w:rFonts w:hint="eastAsia" w:ascii="宋体" w:hAnsi="宋体" w:eastAsia="宋体" w:cs="宋体"/>
                <w:bCs/>
                <w:sz w:val="21"/>
                <w:szCs w:val="21"/>
                <w:lang w:val="en-US" w:eastAsia="zh-CN"/>
              </w:rPr>
              <w:t>拒绝</w:t>
            </w:r>
            <w:r>
              <w:rPr>
                <w:rFonts w:hint="eastAsia" w:ascii="宋体" w:hAnsi="宋体" w:eastAsia="宋体" w:cs="宋体"/>
                <w:bCs/>
                <w:sz w:val="21"/>
                <w:szCs w:val="21"/>
              </w:rPr>
              <w:t>进口</w:t>
            </w:r>
          </w:p>
        </w:tc>
      </w:tr>
      <w:tr w14:paraId="277CFE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51" w:type="dxa"/>
            <w:tcBorders>
              <w:tl2br w:val="nil"/>
              <w:tr2bl w:val="nil"/>
            </w:tcBorders>
            <w:shd w:val="clear" w:color="auto" w:fill="auto"/>
            <w:vAlign w:val="center"/>
          </w:tcPr>
          <w:p w14:paraId="4C46AB17">
            <w:pPr>
              <w:jc w:val="center"/>
              <w:rPr>
                <w:rFonts w:ascii="宋体" w:hAnsi="宋体" w:eastAsia="宋体" w:cs="宋体"/>
                <w:bCs/>
                <w:sz w:val="21"/>
                <w:szCs w:val="21"/>
              </w:rPr>
            </w:pPr>
            <w:bookmarkStart w:id="28" w:name="_Hlk207265903"/>
            <w:r>
              <w:rPr>
                <w:rFonts w:hint="eastAsia" w:ascii="宋体" w:hAnsi="宋体" w:eastAsia="宋体" w:cs="宋体"/>
                <w:bCs/>
                <w:sz w:val="21"/>
                <w:szCs w:val="21"/>
              </w:rPr>
              <w:t>2</w:t>
            </w:r>
          </w:p>
        </w:tc>
        <w:tc>
          <w:tcPr>
            <w:tcW w:w="2785" w:type="dxa"/>
            <w:tcBorders>
              <w:tl2br w:val="nil"/>
              <w:tr2bl w:val="nil"/>
            </w:tcBorders>
            <w:shd w:val="clear" w:color="auto" w:fill="auto"/>
            <w:vAlign w:val="top"/>
          </w:tcPr>
          <w:p w14:paraId="4E1E747C">
            <w:pPr>
              <w:jc w:val="center"/>
              <w:rPr>
                <w:rFonts w:hint="eastAsia" w:ascii="宋体" w:hAnsi="宋体" w:eastAsia="宋体" w:cs="宋体"/>
                <w:bCs/>
                <w:sz w:val="21"/>
                <w:szCs w:val="21"/>
              </w:rPr>
            </w:pPr>
            <w:r>
              <w:rPr>
                <w:rFonts w:hint="eastAsia" w:ascii="宋体" w:hAnsi="宋体" w:eastAsia="宋体" w:cs="宋体"/>
                <w:bCs/>
                <w:sz w:val="21"/>
                <w:szCs w:val="21"/>
                <w:lang w:val="en-US" w:eastAsia="zh-CN"/>
              </w:rPr>
              <w:t>高低温系统</w:t>
            </w:r>
          </w:p>
        </w:tc>
        <w:tc>
          <w:tcPr>
            <w:tcW w:w="925" w:type="dxa"/>
            <w:tcBorders>
              <w:tl2br w:val="nil"/>
              <w:tr2bl w:val="nil"/>
            </w:tcBorders>
            <w:shd w:val="clear" w:color="auto" w:fill="auto"/>
            <w:vAlign w:val="top"/>
          </w:tcPr>
          <w:p w14:paraId="01679ECE">
            <w:pPr>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960" w:type="dxa"/>
            <w:tcBorders>
              <w:tl2br w:val="nil"/>
              <w:tr2bl w:val="nil"/>
            </w:tcBorders>
            <w:shd w:val="clear" w:color="auto" w:fill="auto"/>
            <w:vAlign w:val="top"/>
          </w:tcPr>
          <w:p w14:paraId="7F43EB92">
            <w:pPr>
              <w:jc w:val="center"/>
              <w:rPr>
                <w:rFonts w:hint="eastAsia" w:ascii="宋体" w:hAnsi="宋体" w:eastAsia="宋体" w:cs="宋体"/>
                <w:bCs/>
                <w:sz w:val="21"/>
                <w:szCs w:val="21"/>
              </w:rPr>
            </w:pPr>
            <w:r>
              <w:rPr>
                <w:rFonts w:hint="eastAsia" w:ascii="宋体" w:hAnsi="宋体" w:eastAsia="宋体" w:cs="宋体"/>
                <w:bCs/>
                <w:sz w:val="21"/>
                <w:szCs w:val="21"/>
                <w:lang w:val="en-US" w:eastAsia="zh-CN"/>
              </w:rPr>
              <w:t>套</w:t>
            </w:r>
          </w:p>
        </w:tc>
        <w:tc>
          <w:tcPr>
            <w:tcW w:w="1775" w:type="dxa"/>
            <w:tcBorders>
              <w:tl2br w:val="nil"/>
              <w:tr2bl w:val="nil"/>
            </w:tcBorders>
            <w:vAlign w:val="center"/>
          </w:tcPr>
          <w:p w14:paraId="6BB13CB8">
            <w:pPr>
              <w:jc w:val="center"/>
              <w:rPr>
                <w:rFonts w:ascii="宋体" w:hAnsi="宋体" w:eastAsia="宋体" w:cs="宋体"/>
                <w:bCs/>
                <w:sz w:val="21"/>
                <w:szCs w:val="21"/>
              </w:rPr>
            </w:pPr>
            <w:r>
              <w:rPr>
                <w:rFonts w:hint="eastAsia" w:ascii="宋体" w:hAnsi="宋体" w:eastAsia="宋体" w:cs="宋体"/>
                <w:bCs/>
                <w:sz w:val="21"/>
                <w:szCs w:val="21"/>
                <w:lang w:val="en-US" w:eastAsia="zh-CN"/>
              </w:rPr>
              <w:t>拒绝</w:t>
            </w:r>
            <w:r>
              <w:rPr>
                <w:rFonts w:hint="eastAsia" w:ascii="宋体" w:hAnsi="宋体" w:eastAsia="宋体" w:cs="宋体"/>
                <w:bCs/>
                <w:sz w:val="21"/>
                <w:szCs w:val="21"/>
              </w:rPr>
              <w:t>进口</w:t>
            </w:r>
          </w:p>
        </w:tc>
      </w:tr>
      <w:bookmarkEnd w:id="28"/>
      <w:tr w14:paraId="1319F5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51" w:type="dxa"/>
            <w:tcBorders>
              <w:tl2br w:val="nil"/>
              <w:tr2bl w:val="nil"/>
            </w:tcBorders>
            <w:vAlign w:val="center"/>
          </w:tcPr>
          <w:p w14:paraId="0149C651">
            <w:pPr>
              <w:jc w:val="center"/>
              <w:rPr>
                <w:rFonts w:ascii="宋体" w:hAnsi="宋体" w:eastAsia="宋体" w:cs="宋体"/>
                <w:bCs/>
                <w:sz w:val="21"/>
                <w:szCs w:val="21"/>
              </w:rPr>
            </w:pPr>
            <w:r>
              <w:rPr>
                <w:rFonts w:hint="eastAsia" w:ascii="宋体" w:hAnsi="宋体" w:eastAsia="宋体" w:cs="宋体"/>
                <w:bCs/>
                <w:sz w:val="21"/>
                <w:szCs w:val="21"/>
              </w:rPr>
              <w:t>3</w:t>
            </w:r>
          </w:p>
        </w:tc>
        <w:tc>
          <w:tcPr>
            <w:tcW w:w="2785" w:type="dxa"/>
            <w:tcBorders>
              <w:tl2br w:val="nil"/>
              <w:tr2bl w:val="nil"/>
            </w:tcBorders>
            <w:vAlign w:val="top"/>
          </w:tcPr>
          <w:p w14:paraId="0649D218">
            <w:pPr>
              <w:jc w:val="center"/>
              <w:rPr>
                <w:rFonts w:hint="eastAsia" w:ascii="宋体" w:hAnsi="宋体" w:eastAsia="宋体" w:cs="宋体"/>
                <w:bCs/>
                <w:sz w:val="21"/>
                <w:szCs w:val="21"/>
              </w:rPr>
            </w:pPr>
            <w:r>
              <w:rPr>
                <w:rFonts w:hint="eastAsia" w:ascii="宋体" w:hAnsi="宋体" w:eastAsia="宋体" w:cs="宋体"/>
                <w:bCs/>
                <w:sz w:val="21"/>
                <w:szCs w:val="21"/>
                <w:lang w:val="en-US" w:eastAsia="zh-CN"/>
              </w:rPr>
              <w:t>束流检测装置</w:t>
            </w:r>
          </w:p>
        </w:tc>
        <w:tc>
          <w:tcPr>
            <w:tcW w:w="925" w:type="dxa"/>
            <w:tcBorders>
              <w:tl2br w:val="nil"/>
              <w:tr2bl w:val="nil"/>
            </w:tcBorders>
            <w:vAlign w:val="top"/>
          </w:tcPr>
          <w:p w14:paraId="590D8CD4">
            <w:pPr>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960" w:type="dxa"/>
            <w:tcBorders>
              <w:tl2br w:val="nil"/>
              <w:tr2bl w:val="nil"/>
            </w:tcBorders>
            <w:vAlign w:val="top"/>
          </w:tcPr>
          <w:p w14:paraId="77E0897F">
            <w:pPr>
              <w:jc w:val="center"/>
              <w:rPr>
                <w:rFonts w:hint="eastAsia" w:ascii="宋体" w:hAnsi="宋体" w:eastAsia="宋体" w:cs="宋体"/>
                <w:bCs/>
                <w:sz w:val="21"/>
                <w:szCs w:val="21"/>
              </w:rPr>
            </w:pPr>
            <w:r>
              <w:rPr>
                <w:rFonts w:hint="eastAsia" w:ascii="宋体" w:hAnsi="宋体" w:eastAsia="宋体" w:cs="宋体"/>
                <w:bCs/>
                <w:sz w:val="21"/>
                <w:szCs w:val="21"/>
                <w:lang w:val="en-US" w:eastAsia="zh-CN"/>
              </w:rPr>
              <w:t>套</w:t>
            </w:r>
          </w:p>
        </w:tc>
        <w:tc>
          <w:tcPr>
            <w:tcW w:w="1775" w:type="dxa"/>
            <w:tcBorders>
              <w:tl2br w:val="nil"/>
              <w:tr2bl w:val="nil"/>
            </w:tcBorders>
            <w:vAlign w:val="center"/>
          </w:tcPr>
          <w:p w14:paraId="7C07BDFA">
            <w:pPr>
              <w:jc w:val="center"/>
              <w:rPr>
                <w:rFonts w:ascii="宋体" w:hAnsi="宋体" w:eastAsia="宋体" w:cs="宋体"/>
                <w:bCs/>
                <w:sz w:val="21"/>
                <w:szCs w:val="21"/>
              </w:rPr>
            </w:pPr>
            <w:r>
              <w:rPr>
                <w:rFonts w:hint="eastAsia" w:ascii="宋体" w:hAnsi="宋体" w:eastAsia="宋体" w:cs="宋体"/>
                <w:bCs/>
                <w:sz w:val="21"/>
                <w:szCs w:val="21"/>
                <w:lang w:val="en-US" w:eastAsia="zh-CN"/>
              </w:rPr>
              <w:t>拒绝</w:t>
            </w:r>
            <w:r>
              <w:rPr>
                <w:rFonts w:hint="eastAsia" w:ascii="宋体" w:hAnsi="宋体" w:eastAsia="宋体" w:cs="宋体"/>
                <w:bCs/>
                <w:sz w:val="21"/>
                <w:szCs w:val="21"/>
              </w:rPr>
              <w:t>进口</w:t>
            </w:r>
          </w:p>
        </w:tc>
      </w:tr>
      <w:tr w14:paraId="579CFB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51" w:type="dxa"/>
            <w:tcBorders>
              <w:tl2br w:val="nil"/>
              <w:tr2bl w:val="nil"/>
            </w:tcBorders>
            <w:vAlign w:val="center"/>
          </w:tcPr>
          <w:p w14:paraId="65E8B062">
            <w:pPr>
              <w:jc w:val="center"/>
              <w:rPr>
                <w:rFonts w:ascii="宋体" w:hAnsi="宋体" w:eastAsia="宋体" w:cs="宋体"/>
                <w:bCs/>
                <w:sz w:val="21"/>
                <w:szCs w:val="21"/>
              </w:rPr>
            </w:pPr>
            <w:r>
              <w:rPr>
                <w:rFonts w:hint="eastAsia" w:ascii="宋体" w:hAnsi="宋体" w:eastAsia="宋体" w:cs="宋体"/>
                <w:bCs/>
                <w:sz w:val="21"/>
                <w:szCs w:val="21"/>
              </w:rPr>
              <w:t>4</w:t>
            </w:r>
          </w:p>
        </w:tc>
        <w:tc>
          <w:tcPr>
            <w:tcW w:w="2785" w:type="dxa"/>
            <w:tcBorders>
              <w:tl2br w:val="nil"/>
              <w:tr2bl w:val="nil"/>
            </w:tcBorders>
            <w:vAlign w:val="top"/>
          </w:tcPr>
          <w:p w14:paraId="2AC38761">
            <w:pPr>
              <w:jc w:val="center"/>
              <w:rPr>
                <w:rFonts w:hint="eastAsia" w:ascii="宋体" w:hAnsi="宋体" w:eastAsia="宋体" w:cs="宋体"/>
                <w:bCs/>
                <w:sz w:val="21"/>
                <w:szCs w:val="21"/>
              </w:rPr>
            </w:pPr>
            <w:r>
              <w:rPr>
                <w:rFonts w:hint="eastAsia" w:ascii="宋体" w:hAnsi="宋体" w:eastAsia="宋体" w:cs="宋体"/>
                <w:bCs/>
                <w:sz w:val="21"/>
                <w:szCs w:val="21"/>
                <w:lang w:val="en-US" w:eastAsia="zh-CN"/>
              </w:rPr>
              <w:t>真空系统</w:t>
            </w:r>
          </w:p>
        </w:tc>
        <w:tc>
          <w:tcPr>
            <w:tcW w:w="925" w:type="dxa"/>
            <w:tcBorders>
              <w:tl2br w:val="nil"/>
              <w:tr2bl w:val="nil"/>
            </w:tcBorders>
            <w:vAlign w:val="top"/>
          </w:tcPr>
          <w:p w14:paraId="2A2D5DAB">
            <w:pPr>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960" w:type="dxa"/>
            <w:tcBorders>
              <w:tl2br w:val="nil"/>
              <w:tr2bl w:val="nil"/>
            </w:tcBorders>
            <w:vAlign w:val="top"/>
          </w:tcPr>
          <w:p w14:paraId="296F4343">
            <w:pPr>
              <w:jc w:val="center"/>
              <w:rPr>
                <w:rFonts w:hint="eastAsia" w:ascii="宋体" w:hAnsi="宋体" w:eastAsia="宋体" w:cs="宋体"/>
                <w:bCs/>
                <w:sz w:val="21"/>
                <w:szCs w:val="21"/>
              </w:rPr>
            </w:pPr>
            <w:r>
              <w:rPr>
                <w:rFonts w:hint="eastAsia" w:ascii="宋体" w:hAnsi="宋体" w:eastAsia="宋体" w:cs="宋体"/>
                <w:bCs/>
                <w:sz w:val="21"/>
                <w:szCs w:val="21"/>
                <w:lang w:val="en-US" w:eastAsia="zh-CN"/>
              </w:rPr>
              <w:t>套</w:t>
            </w:r>
          </w:p>
        </w:tc>
        <w:tc>
          <w:tcPr>
            <w:tcW w:w="1775" w:type="dxa"/>
            <w:tcBorders>
              <w:tl2br w:val="nil"/>
              <w:tr2bl w:val="nil"/>
            </w:tcBorders>
            <w:vAlign w:val="center"/>
          </w:tcPr>
          <w:p w14:paraId="2C742886">
            <w:pPr>
              <w:jc w:val="center"/>
              <w:rPr>
                <w:rFonts w:ascii="宋体" w:hAnsi="宋体" w:eastAsia="宋体" w:cs="宋体"/>
                <w:bCs/>
                <w:sz w:val="21"/>
                <w:szCs w:val="21"/>
              </w:rPr>
            </w:pPr>
            <w:r>
              <w:rPr>
                <w:rFonts w:hint="eastAsia" w:ascii="宋体" w:hAnsi="宋体" w:eastAsia="宋体" w:cs="宋体"/>
                <w:bCs/>
                <w:sz w:val="21"/>
                <w:szCs w:val="21"/>
                <w:lang w:val="en-US" w:eastAsia="zh-CN"/>
              </w:rPr>
              <w:t>拒绝</w:t>
            </w:r>
            <w:r>
              <w:rPr>
                <w:rFonts w:hint="eastAsia" w:ascii="宋体" w:hAnsi="宋体" w:eastAsia="宋体" w:cs="宋体"/>
                <w:bCs/>
                <w:sz w:val="21"/>
                <w:szCs w:val="21"/>
              </w:rPr>
              <w:t>进口</w:t>
            </w:r>
          </w:p>
        </w:tc>
      </w:tr>
      <w:tr w14:paraId="30B2A7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51" w:type="dxa"/>
            <w:tcBorders>
              <w:tl2br w:val="nil"/>
              <w:tr2bl w:val="nil"/>
            </w:tcBorders>
            <w:vAlign w:val="center"/>
          </w:tcPr>
          <w:p w14:paraId="3C5E5103">
            <w:pPr>
              <w:jc w:val="center"/>
              <w:rPr>
                <w:rFonts w:ascii="宋体" w:hAnsi="宋体" w:eastAsia="宋体" w:cs="宋体"/>
                <w:bCs/>
                <w:sz w:val="21"/>
                <w:szCs w:val="21"/>
              </w:rPr>
            </w:pPr>
            <w:r>
              <w:rPr>
                <w:rFonts w:hint="eastAsia" w:ascii="宋体" w:hAnsi="宋体" w:eastAsia="宋体" w:cs="宋体"/>
                <w:bCs/>
                <w:sz w:val="21"/>
                <w:szCs w:val="21"/>
              </w:rPr>
              <w:t>5</w:t>
            </w:r>
          </w:p>
        </w:tc>
        <w:tc>
          <w:tcPr>
            <w:tcW w:w="2785" w:type="dxa"/>
            <w:tcBorders>
              <w:tl2br w:val="nil"/>
              <w:tr2bl w:val="nil"/>
            </w:tcBorders>
            <w:vAlign w:val="top"/>
          </w:tcPr>
          <w:p w14:paraId="0956A660">
            <w:pPr>
              <w:jc w:val="center"/>
              <w:rPr>
                <w:rFonts w:hint="eastAsia" w:ascii="宋体" w:hAnsi="宋体" w:eastAsia="宋体" w:cs="宋体"/>
                <w:bCs/>
                <w:sz w:val="21"/>
                <w:szCs w:val="21"/>
              </w:rPr>
            </w:pPr>
            <w:r>
              <w:rPr>
                <w:rFonts w:hint="eastAsia" w:ascii="宋体" w:hAnsi="宋体" w:eastAsia="宋体" w:cs="宋体"/>
                <w:bCs/>
                <w:sz w:val="21"/>
                <w:szCs w:val="21"/>
                <w:lang w:val="en-US" w:eastAsia="zh-CN"/>
              </w:rPr>
              <w:t>控制系统</w:t>
            </w:r>
          </w:p>
        </w:tc>
        <w:tc>
          <w:tcPr>
            <w:tcW w:w="925" w:type="dxa"/>
            <w:tcBorders>
              <w:tl2br w:val="nil"/>
              <w:tr2bl w:val="nil"/>
            </w:tcBorders>
            <w:vAlign w:val="top"/>
          </w:tcPr>
          <w:p w14:paraId="5C3972E3">
            <w:pPr>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960" w:type="dxa"/>
            <w:tcBorders>
              <w:tl2br w:val="nil"/>
              <w:tr2bl w:val="nil"/>
            </w:tcBorders>
            <w:vAlign w:val="top"/>
          </w:tcPr>
          <w:p w14:paraId="22F94948">
            <w:pPr>
              <w:jc w:val="center"/>
              <w:rPr>
                <w:rFonts w:hint="eastAsia" w:ascii="宋体" w:hAnsi="宋体" w:eastAsia="宋体" w:cs="宋体"/>
                <w:bCs/>
                <w:sz w:val="21"/>
                <w:szCs w:val="21"/>
              </w:rPr>
            </w:pPr>
            <w:r>
              <w:rPr>
                <w:rFonts w:hint="eastAsia" w:ascii="宋体" w:hAnsi="宋体" w:eastAsia="宋体" w:cs="宋体"/>
                <w:bCs/>
                <w:sz w:val="21"/>
                <w:szCs w:val="21"/>
                <w:lang w:val="en-US" w:eastAsia="zh-CN"/>
              </w:rPr>
              <w:t>套</w:t>
            </w:r>
          </w:p>
        </w:tc>
        <w:tc>
          <w:tcPr>
            <w:tcW w:w="1775" w:type="dxa"/>
            <w:tcBorders>
              <w:tl2br w:val="nil"/>
              <w:tr2bl w:val="nil"/>
            </w:tcBorders>
            <w:vAlign w:val="center"/>
          </w:tcPr>
          <w:p w14:paraId="507D0853">
            <w:pPr>
              <w:jc w:val="center"/>
              <w:rPr>
                <w:rFonts w:ascii="宋体" w:hAnsi="宋体" w:eastAsia="宋体" w:cs="宋体"/>
                <w:bCs/>
                <w:sz w:val="21"/>
                <w:szCs w:val="21"/>
              </w:rPr>
            </w:pPr>
            <w:r>
              <w:rPr>
                <w:rFonts w:hint="eastAsia" w:ascii="宋体" w:hAnsi="宋体" w:eastAsia="宋体" w:cs="宋体"/>
                <w:bCs/>
                <w:sz w:val="21"/>
                <w:szCs w:val="21"/>
                <w:lang w:val="en-US" w:eastAsia="zh-CN"/>
              </w:rPr>
              <w:t>拒绝</w:t>
            </w:r>
            <w:r>
              <w:rPr>
                <w:rFonts w:hint="eastAsia" w:ascii="宋体" w:hAnsi="宋体" w:eastAsia="宋体" w:cs="宋体"/>
                <w:bCs/>
                <w:sz w:val="21"/>
                <w:szCs w:val="21"/>
              </w:rPr>
              <w:t>进口</w:t>
            </w:r>
          </w:p>
        </w:tc>
      </w:tr>
      <w:tr w14:paraId="090822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51" w:type="dxa"/>
            <w:tcBorders>
              <w:tl2br w:val="nil"/>
              <w:tr2bl w:val="nil"/>
            </w:tcBorders>
            <w:vAlign w:val="center"/>
          </w:tcPr>
          <w:p w14:paraId="50DAA82C">
            <w:pPr>
              <w:jc w:val="center"/>
              <w:rPr>
                <w:rFonts w:ascii="宋体" w:hAnsi="宋体" w:eastAsia="宋体" w:cs="宋体"/>
                <w:bCs/>
                <w:sz w:val="21"/>
                <w:szCs w:val="21"/>
              </w:rPr>
            </w:pPr>
            <w:r>
              <w:rPr>
                <w:rFonts w:hint="eastAsia" w:ascii="宋体" w:hAnsi="宋体" w:eastAsia="宋体" w:cs="宋体"/>
                <w:bCs/>
                <w:sz w:val="21"/>
                <w:szCs w:val="21"/>
              </w:rPr>
              <w:t>6</w:t>
            </w:r>
          </w:p>
        </w:tc>
        <w:tc>
          <w:tcPr>
            <w:tcW w:w="2785" w:type="dxa"/>
            <w:tcBorders>
              <w:tl2br w:val="nil"/>
              <w:tr2bl w:val="nil"/>
            </w:tcBorders>
            <w:vAlign w:val="top"/>
          </w:tcPr>
          <w:p w14:paraId="6F7292FF">
            <w:pPr>
              <w:jc w:val="center"/>
              <w:rPr>
                <w:rFonts w:hint="eastAsia" w:ascii="宋体" w:hAnsi="宋体" w:eastAsia="宋体" w:cs="宋体"/>
                <w:bCs/>
                <w:sz w:val="21"/>
                <w:szCs w:val="21"/>
              </w:rPr>
            </w:pPr>
            <w:r>
              <w:rPr>
                <w:rFonts w:hint="eastAsia" w:ascii="宋体" w:hAnsi="宋体" w:eastAsia="宋体" w:cs="宋体"/>
                <w:bCs/>
                <w:sz w:val="21"/>
                <w:szCs w:val="21"/>
                <w:lang w:val="en-US" w:eastAsia="zh-CN"/>
              </w:rPr>
              <w:t>监控系统</w:t>
            </w:r>
          </w:p>
        </w:tc>
        <w:tc>
          <w:tcPr>
            <w:tcW w:w="925" w:type="dxa"/>
            <w:tcBorders>
              <w:tl2br w:val="nil"/>
              <w:tr2bl w:val="nil"/>
            </w:tcBorders>
            <w:vAlign w:val="top"/>
          </w:tcPr>
          <w:p w14:paraId="197E39E0">
            <w:pPr>
              <w:jc w:val="center"/>
              <w:rPr>
                <w:rFonts w:hint="eastAsia" w:ascii="宋体" w:hAnsi="宋体" w:eastAsia="宋体" w:cs="宋体"/>
                <w:bCs/>
                <w:sz w:val="21"/>
                <w:szCs w:val="21"/>
              </w:rPr>
            </w:pPr>
            <w:r>
              <w:rPr>
                <w:rFonts w:hint="eastAsia" w:ascii="宋体" w:hAnsi="宋体" w:eastAsia="宋体" w:cs="宋体"/>
                <w:bCs/>
                <w:sz w:val="21"/>
                <w:szCs w:val="21"/>
                <w:lang w:val="en-US" w:eastAsia="zh-CN"/>
              </w:rPr>
              <w:t>1</w:t>
            </w:r>
          </w:p>
        </w:tc>
        <w:tc>
          <w:tcPr>
            <w:tcW w:w="960" w:type="dxa"/>
            <w:tcBorders>
              <w:tl2br w:val="nil"/>
              <w:tr2bl w:val="nil"/>
            </w:tcBorders>
            <w:vAlign w:val="top"/>
          </w:tcPr>
          <w:p w14:paraId="1A7EF5F5">
            <w:pPr>
              <w:jc w:val="center"/>
              <w:rPr>
                <w:rFonts w:hint="eastAsia" w:ascii="宋体" w:hAnsi="宋体" w:eastAsia="宋体" w:cs="宋体"/>
                <w:bCs/>
                <w:sz w:val="21"/>
                <w:szCs w:val="21"/>
              </w:rPr>
            </w:pPr>
            <w:r>
              <w:rPr>
                <w:rFonts w:hint="eastAsia" w:ascii="宋体" w:hAnsi="宋体" w:eastAsia="宋体" w:cs="宋体"/>
                <w:bCs/>
                <w:sz w:val="21"/>
                <w:szCs w:val="21"/>
                <w:lang w:val="en-US" w:eastAsia="zh-CN"/>
              </w:rPr>
              <w:t>套</w:t>
            </w:r>
          </w:p>
        </w:tc>
        <w:tc>
          <w:tcPr>
            <w:tcW w:w="1775" w:type="dxa"/>
            <w:tcBorders>
              <w:tl2br w:val="nil"/>
              <w:tr2bl w:val="nil"/>
            </w:tcBorders>
            <w:vAlign w:val="center"/>
          </w:tcPr>
          <w:p w14:paraId="13AE7898">
            <w:pPr>
              <w:jc w:val="center"/>
              <w:rPr>
                <w:rFonts w:ascii="宋体" w:hAnsi="宋体" w:eastAsia="宋体" w:cs="宋体"/>
                <w:bCs/>
                <w:sz w:val="21"/>
                <w:szCs w:val="21"/>
              </w:rPr>
            </w:pPr>
            <w:r>
              <w:rPr>
                <w:rFonts w:hint="eastAsia" w:ascii="宋体" w:hAnsi="宋体" w:eastAsia="宋体" w:cs="宋体"/>
                <w:bCs/>
                <w:sz w:val="21"/>
                <w:szCs w:val="21"/>
                <w:lang w:val="en-US" w:eastAsia="zh-CN"/>
              </w:rPr>
              <w:t>拒绝</w:t>
            </w:r>
            <w:r>
              <w:rPr>
                <w:rFonts w:hint="eastAsia" w:ascii="宋体" w:hAnsi="宋体" w:eastAsia="宋体" w:cs="宋体"/>
                <w:bCs/>
                <w:sz w:val="21"/>
                <w:szCs w:val="21"/>
              </w:rPr>
              <w:t>进口</w:t>
            </w:r>
          </w:p>
        </w:tc>
      </w:tr>
      <w:bookmarkEnd w:id="27"/>
    </w:tbl>
    <w:p w14:paraId="06116988">
      <w:pPr>
        <w:ind w:firstLine="422" w:firstLineChars="200"/>
        <w:rPr>
          <w:rFonts w:ascii="宋体" w:hAnsi="宋体" w:eastAsia="宋体" w:cs="宋体"/>
          <w:b/>
          <w:color w:val="FF0000"/>
          <w:sz w:val="21"/>
          <w:szCs w:val="21"/>
        </w:rPr>
      </w:pPr>
    </w:p>
    <w:p w14:paraId="042303FC">
      <w:pPr>
        <w:ind w:firstLine="422" w:firstLineChars="200"/>
        <w:rPr>
          <w:rFonts w:ascii="宋体" w:hAnsi="宋体" w:eastAsia="宋体" w:cs="宋体"/>
          <w:b/>
          <w:color w:val="FF0000"/>
          <w:sz w:val="21"/>
          <w:szCs w:val="21"/>
        </w:rPr>
      </w:pPr>
      <w:r>
        <w:rPr>
          <w:rFonts w:hint="eastAsia" w:ascii="宋体" w:hAnsi="宋体" w:eastAsia="宋体" w:cs="宋体"/>
          <w:b/>
          <w:color w:val="FF0000"/>
          <w:sz w:val="21"/>
          <w:szCs w:val="21"/>
        </w:rPr>
        <w:t>备注：</w:t>
      </w:r>
    </w:p>
    <w:p w14:paraId="4E5C97D6">
      <w:pPr>
        <w:ind w:firstLine="422" w:firstLineChars="200"/>
        <w:rPr>
          <w:rFonts w:ascii="宋体" w:hAnsi="宋体" w:eastAsia="宋体" w:cs="宋体"/>
          <w:b/>
          <w:color w:val="FF0000"/>
          <w:sz w:val="21"/>
          <w:szCs w:val="21"/>
        </w:rPr>
      </w:pPr>
      <w:r>
        <w:rPr>
          <w:rFonts w:hint="eastAsia" w:ascii="宋体" w:hAnsi="宋体" w:eastAsia="宋体" w:cs="宋体"/>
          <w:b/>
          <w:color w:val="FF0000"/>
          <w:sz w:val="21"/>
          <w:szCs w:val="21"/>
        </w:rPr>
        <w:t>1.投标人各分项报价和投标总价不得超过</w:t>
      </w:r>
      <w:r>
        <w:rPr>
          <w:rFonts w:hint="eastAsia" w:ascii="宋体" w:hAnsi="宋体" w:eastAsia="宋体" w:cs="宋体"/>
          <w:b/>
          <w:color w:val="FF0000"/>
          <w:sz w:val="21"/>
          <w:szCs w:val="21"/>
          <w:lang w:bidi="ar"/>
        </w:rPr>
        <w:t>最高预算金额</w:t>
      </w:r>
      <w:r>
        <w:rPr>
          <w:rFonts w:hint="eastAsia" w:ascii="宋体" w:hAnsi="宋体" w:eastAsia="宋体" w:cs="宋体"/>
          <w:b/>
          <w:color w:val="FF0000"/>
          <w:sz w:val="21"/>
          <w:szCs w:val="21"/>
        </w:rPr>
        <w:t>，否则作投标无效处理。</w:t>
      </w:r>
    </w:p>
    <w:p w14:paraId="5139DCE9">
      <w:pPr>
        <w:ind w:firstLine="422" w:firstLineChars="200"/>
        <w:rPr>
          <w:rFonts w:ascii="宋体" w:hAnsi="宋体" w:eastAsia="宋体" w:cs="宋体"/>
          <w:b/>
          <w:color w:val="FF0000"/>
          <w:sz w:val="21"/>
          <w:szCs w:val="21"/>
        </w:rPr>
      </w:pPr>
      <w:r>
        <w:rPr>
          <w:rFonts w:hint="eastAsia" w:ascii="宋体" w:hAnsi="宋体" w:eastAsia="宋体" w:cs="宋体"/>
          <w:b/>
          <w:color w:val="FF0000"/>
          <w:sz w:val="21"/>
          <w:szCs w:val="21"/>
        </w:rPr>
        <w:t>2.备注栏注明</w:t>
      </w:r>
      <w:r>
        <w:rPr>
          <w:rFonts w:hint="eastAsia" w:ascii="宋体" w:hAnsi="宋体" w:eastAsia="宋体" w:cs="宋体"/>
          <w:b/>
          <w:color w:val="FF0000"/>
          <w:sz w:val="21"/>
          <w:szCs w:val="21"/>
          <w:u w:val="double"/>
        </w:rPr>
        <w:t>“拒绝进口”</w:t>
      </w:r>
      <w:r>
        <w:rPr>
          <w:rFonts w:hint="eastAsia" w:ascii="宋体" w:hAnsi="宋体" w:eastAsia="宋体" w:cs="宋体"/>
          <w:b/>
          <w:color w:val="FF0000"/>
          <w:sz w:val="21"/>
          <w:szCs w:val="21"/>
        </w:rPr>
        <w:t>的产品不接受投标人选用进口产品参与投标；注明</w:t>
      </w:r>
      <w:r>
        <w:rPr>
          <w:rFonts w:hint="eastAsia" w:ascii="宋体" w:hAnsi="宋体" w:eastAsia="宋体" w:cs="宋体"/>
          <w:b/>
          <w:color w:val="FF0000"/>
          <w:sz w:val="21"/>
          <w:szCs w:val="21"/>
          <w:u w:val="double"/>
        </w:rPr>
        <w:t>“接受进口”</w:t>
      </w:r>
      <w:r>
        <w:rPr>
          <w:rFonts w:hint="eastAsia" w:ascii="宋体" w:hAnsi="宋体" w:eastAsia="宋体" w:cs="宋体"/>
          <w:b/>
          <w:color w:val="FF0000"/>
          <w:sz w:val="21"/>
          <w:szCs w:val="21"/>
        </w:rPr>
        <w:t xml:space="preserve">的产品允许投标人选用进口产品参与投标，但不排斥国内产品。 </w:t>
      </w:r>
    </w:p>
    <w:p w14:paraId="3A26FCE2">
      <w:pPr>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3.进口产品是指通过海关验放进入中国境内且产自关境外的产品。即所谓进口产品是指制造过程均在国外，如果产品在国内组装，其中的零部件（包括核心部件）是进口产品，则应当视为非进口产品。采用“接受进口”的产品优先采购向我国企业转让技术、与我国企业签订消化吸收再创新方案的供应商的进口产品，相关内容以财库〔2007〕119 号文和财办库〔2008〕248 号文的相关规定为准。</w:t>
      </w:r>
    </w:p>
    <w:p w14:paraId="23EF9627">
      <w:pPr>
        <w:ind w:firstLine="422" w:firstLineChars="200"/>
        <w:rPr>
          <w:rFonts w:hint="eastAsia" w:ascii="宋体" w:hAnsi="宋体" w:eastAsia="宋体" w:cs="宋体"/>
          <w:b/>
          <w:color w:val="FF0000"/>
          <w:sz w:val="21"/>
          <w:szCs w:val="21"/>
          <w:lang w:val="en-US" w:eastAsia="zh-CN"/>
        </w:rPr>
      </w:pPr>
      <w:r>
        <w:rPr>
          <w:rFonts w:hint="eastAsia" w:ascii="宋体" w:hAnsi="宋体" w:eastAsia="宋体" w:cs="宋体"/>
          <w:b/>
          <w:color w:val="FF0000"/>
          <w:sz w:val="21"/>
          <w:szCs w:val="21"/>
          <w:lang w:val="en-US" w:eastAsia="zh-CN"/>
        </w:rPr>
        <w:t>4.投标供应商不得选用《关于在政府采购活动中对有关美国企业采取相关措施的通知》列明的 46 家美国企业(不包括在华美资企业)生产的产品参与投标，否则作投标无效处理。</w:t>
      </w:r>
    </w:p>
    <w:p w14:paraId="33DCAD43">
      <w:pPr>
        <w:ind w:firstLine="422" w:firstLineChars="200"/>
        <w:rPr>
          <w:rFonts w:ascii="宋体" w:hAnsi="宋体" w:eastAsia="宋体" w:cs="宋体"/>
          <w:b/>
          <w:color w:val="FF0000"/>
          <w:sz w:val="21"/>
          <w:szCs w:val="21"/>
        </w:rPr>
      </w:pPr>
      <w:r>
        <w:rPr>
          <w:rFonts w:hint="eastAsia" w:ascii="宋体" w:hAnsi="宋体" w:eastAsia="宋体" w:cs="宋体"/>
          <w:b/>
          <w:color w:val="FF0000"/>
          <w:sz w:val="21"/>
          <w:szCs w:val="21"/>
          <w:lang w:val="en-US" w:eastAsia="zh-CN"/>
        </w:rPr>
        <w:t>5.</w:t>
      </w:r>
      <w:r>
        <w:rPr>
          <w:rFonts w:hint="eastAsia" w:ascii="宋体" w:hAnsi="宋体" w:eastAsia="宋体" w:cs="宋体"/>
          <w:b/>
          <w:color w:val="FF0000"/>
          <w:sz w:val="21"/>
          <w:szCs w:val="21"/>
        </w:rPr>
        <w:t>本项目核心产品为：</w:t>
      </w:r>
      <w:r>
        <w:rPr>
          <w:rFonts w:hint="eastAsia" w:ascii="宋体" w:hAnsi="宋体" w:eastAsia="宋体" w:cs="宋体"/>
          <w:b/>
          <w:color w:val="FF0000"/>
          <w:sz w:val="21"/>
          <w:szCs w:val="21"/>
          <w:u w:val="single"/>
        </w:rPr>
        <w:t xml:space="preserve"> </w:t>
      </w:r>
      <w:r>
        <w:rPr>
          <w:rFonts w:hint="eastAsia" w:ascii="宋体" w:hAnsi="宋体" w:eastAsia="宋体" w:cs="宋体"/>
          <w:b/>
          <w:color w:val="FF0000"/>
          <w:sz w:val="21"/>
          <w:szCs w:val="21"/>
          <w:u w:val="single"/>
          <w:lang w:val="en-US" w:eastAsia="zh-CN"/>
        </w:rPr>
        <w:t>主舱室</w:t>
      </w:r>
      <w:r>
        <w:rPr>
          <w:rFonts w:hint="eastAsia" w:ascii="宋体" w:hAnsi="宋体" w:eastAsia="宋体" w:cs="宋体"/>
          <w:b/>
          <w:color w:val="FF0000"/>
          <w:sz w:val="21"/>
          <w:szCs w:val="21"/>
          <w:u w:val="single"/>
        </w:rPr>
        <w:t xml:space="preserve"> </w:t>
      </w:r>
      <w:r>
        <w:rPr>
          <w:rFonts w:hint="eastAsia" w:ascii="宋体" w:hAnsi="宋体" w:eastAsia="宋体" w:cs="宋体"/>
          <w:b/>
          <w:color w:val="FF0000"/>
          <w:sz w:val="21"/>
          <w:szCs w:val="21"/>
        </w:rPr>
        <w:t>。</w:t>
      </w:r>
    </w:p>
    <w:p w14:paraId="0F16E0F0">
      <w:pPr>
        <w:spacing w:before="120" w:beforeLines="50" w:after="120" w:afterLines="50"/>
        <w:jc w:val="center"/>
        <w:rPr>
          <w:szCs w:val="28"/>
        </w:rPr>
      </w:pPr>
    </w:p>
    <w:p w14:paraId="7BC0154D">
      <w:pPr>
        <w:spacing w:before="120" w:beforeLines="50" w:after="120" w:afterLines="50"/>
        <w:jc w:val="center"/>
        <w:rPr>
          <w:szCs w:val="28"/>
        </w:rPr>
      </w:pPr>
    </w:p>
    <w:p w14:paraId="12FE1B12">
      <w:pPr>
        <w:rPr>
          <w:szCs w:val="28"/>
        </w:rPr>
      </w:pPr>
      <w:r>
        <w:rPr>
          <w:rFonts w:hint="eastAsia"/>
          <w:szCs w:val="28"/>
        </w:rPr>
        <w:br w:type="page"/>
      </w:r>
    </w:p>
    <w:p w14:paraId="39612AD3">
      <w:pPr>
        <w:pStyle w:val="4"/>
        <w:spacing w:before="120" w:beforeLines="50" w:after="120" w:afterLines="50"/>
        <w:jc w:val="center"/>
        <w:rPr>
          <w:rFonts w:cs="宋体"/>
          <w:szCs w:val="28"/>
        </w:rPr>
      </w:pPr>
      <w:r>
        <w:rPr>
          <w:rFonts w:hint="eastAsia"/>
          <w:szCs w:val="28"/>
        </w:rPr>
        <w:t>三、技术要求</w:t>
      </w:r>
    </w:p>
    <w:p w14:paraId="5FB4BDB6">
      <w:pPr>
        <w:rPr>
          <w:rFonts w:ascii="宋体" w:eastAsia="宋体" w:cs="宋体"/>
          <w:b/>
          <w:sz w:val="21"/>
          <w:szCs w:val="21"/>
        </w:rPr>
      </w:pPr>
      <w:r>
        <w:rPr>
          <w:rFonts w:hint="eastAsia" w:ascii="宋体" w:eastAsia="宋体" w:cs="宋体"/>
          <w:b/>
          <w:sz w:val="21"/>
          <w:szCs w:val="21"/>
        </w:rPr>
        <w:t>说明：</w:t>
      </w:r>
    </w:p>
    <w:p w14:paraId="33DEDFE3">
      <w:pPr>
        <w:rPr>
          <w:rFonts w:ascii="宋体" w:eastAsia="宋体" w:cs="宋体"/>
          <w:b/>
          <w:sz w:val="21"/>
          <w:szCs w:val="21"/>
        </w:rPr>
      </w:pPr>
      <w:r>
        <w:rPr>
          <w:rFonts w:hint="eastAsia" w:ascii="宋体" w:eastAsia="宋体" w:cs="宋体"/>
          <w:b/>
          <w:sz w:val="21"/>
          <w:szCs w:val="21"/>
        </w:rPr>
        <w:t xml:space="preserve">1.带“★”指标项为关键指标，如出现负偏离，将被视为未实质性满足招标文件要求作投标无效处理。带“▲”指标项为重要指标，负偏离时依相关评分准则内容作重点扣分处理。 </w:t>
      </w:r>
    </w:p>
    <w:p w14:paraId="083FC91B">
      <w:pPr>
        <w:rPr>
          <w:rFonts w:ascii="宋体" w:eastAsia="宋体" w:cs="宋体"/>
          <w:b/>
          <w:sz w:val="21"/>
          <w:szCs w:val="21"/>
        </w:rPr>
      </w:pPr>
      <w:r>
        <w:rPr>
          <w:rFonts w:hint="eastAsia" w:ascii="宋体" w:eastAsia="宋体" w:cs="宋体"/>
          <w:b/>
          <w:sz w:val="21"/>
          <w:szCs w:val="21"/>
        </w:rPr>
        <w:t>2.招标技术要求中，用</w:t>
      </w:r>
      <w:r>
        <w:rPr>
          <w:rFonts w:hint="eastAsia" w:ascii="宋体" w:eastAsia="宋体" w:cs="宋体"/>
          <w:b/>
          <w:color w:val="FF0000"/>
          <w:sz w:val="21"/>
          <w:szCs w:val="21"/>
          <w:u w:val="double"/>
        </w:rPr>
        <w:t xml:space="preserve"> 红色字体标注的条款 </w:t>
      </w:r>
      <w:r>
        <w:rPr>
          <w:rFonts w:hint="eastAsia" w:ascii="宋体" w:eastAsia="宋体" w:cs="宋体"/>
          <w:b/>
          <w:sz w:val="21"/>
          <w:szCs w:val="21"/>
        </w:rPr>
        <w:t>为要求提供证明资料的条款，其余为未要求提供证明资料的条款，无需提供相关证明资料。</w:t>
      </w:r>
    </w:p>
    <w:p w14:paraId="1212C8C8">
      <w:pPr>
        <w:rPr>
          <w:rFonts w:ascii="宋体" w:eastAsia="宋体" w:cs="宋体"/>
          <w:b/>
          <w:sz w:val="21"/>
          <w:szCs w:val="21"/>
        </w:rPr>
      </w:pPr>
      <w:r>
        <w:rPr>
          <w:rFonts w:hint="eastAsia" w:ascii="宋体" w:eastAsia="宋体" w:cs="宋体"/>
          <w:b/>
          <w:sz w:val="21"/>
          <w:szCs w:val="21"/>
        </w:rPr>
        <w:t>3.投标人</w:t>
      </w:r>
      <w:r>
        <w:rPr>
          <w:rFonts w:hint="eastAsia" w:ascii="宋体" w:eastAsia="宋体" w:cs="宋体"/>
          <w:b/>
          <w:color w:val="FF0000"/>
          <w:sz w:val="21"/>
          <w:szCs w:val="21"/>
        </w:rPr>
        <w:t>递交的投标文件</w:t>
      </w:r>
      <w:r>
        <w:rPr>
          <w:rFonts w:hint="eastAsia" w:ascii="宋体" w:eastAsia="宋体" w:cs="宋体"/>
          <w:b/>
          <w:sz w:val="21"/>
          <w:szCs w:val="21"/>
        </w:rPr>
        <w:t>须如实填写《技术规格偏离表》，并按招标文件的要求提供相关证明资料（如有要求）。提供的证明资料与投标响应情况不相符的，视为《技术规格偏离表》填写不实，按负偏离扣分处理。</w:t>
      </w:r>
    </w:p>
    <w:p w14:paraId="75AD6E6E">
      <w:pPr>
        <w:rPr>
          <w:rFonts w:ascii="宋体" w:eastAsia="宋体" w:cs="宋体"/>
          <w:b/>
          <w:sz w:val="21"/>
          <w:szCs w:val="21"/>
        </w:rPr>
      </w:pPr>
      <w:r>
        <w:rPr>
          <w:rFonts w:hint="eastAsia" w:ascii="宋体" w:eastAsia="宋体" w:cs="宋体"/>
          <w:b/>
          <w:sz w:val="21"/>
          <w:szCs w:val="21"/>
        </w:rPr>
        <w:t>4.评分时，如对一项招标技术要求（以划分框为准）中的内容存在两处（或以上）负偏离的，在评分时只作一项负偏离扣分。</w:t>
      </w:r>
    </w:p>
    <w:tbl>
      <w:tblPr>
        <w:tblStyle w:val="28"/>
        <w:tblW w:w="907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65"/>
        <w:gridCol w:w="1302"/>
        <w:gridCol w:w="6804"/>
      </w:tblGrid>
      <w:tr w14:paraId="58A377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965" w:type="dxa"/>
            <w:tcBorders>
              <w:tl2br w:val="nil"/>
              <w:tr2bl w:val="nil"/>
            </w:tcBorders>
            <w:vAlign w:val="center"/>
          </w:tcPr>
          <w:p w14:paraId="794D42FB">
            <w:pPr>
              <w:jc w:val="center"/>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序号</w:t>
            </w:r>
          </w:p>
        </w:tc>
        <w:tc>
          <w:tcPr>
            <w:tcW w:w="1302" w:type="dxa"/>
            <w:tcBorders>
              <w:tl2br w:val="nil"/>
              <w:tr2bl w:val="nil"/>
            </w:tcBorders>
            <w:vAlign w:val="center"/>
          </w:tcPr>
          <w:p w14:paraId="05C1167E">
            <w:pPr>
              <w:jc w:val="center"/>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货物名称</w:t>
            </w:r>
          </w:p>
        </w:tc>
        <w:tc>
          <w:tcPr>
            <w:tcW w:w="6804" w:type="dxa"/>
            <w:tcBorders>
              <w:tl2br w:val="nil"/>
              <w:tr2bl w:val="nil"/>
            </w:tcBorders>
            <w:vAlign w:val="center"/>
          </w:tcPr>
          <w:p w14:paraId="33AD9AA7">
            <w:pPr>
              <w:jc w:val="center"/>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招标技术要求</w:t>
            </w:r>
          </w:p>
        </w:tc>
      </w:tr>
      <w:tr w14:paraId="61D7F1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restart"/>
            <w:tcBorders>
              <w:tl2br w:val="nil"/>
              <w:tr2bl w:val="nil"/>
            </w:tcBorders>
            <w:vAlign w:val="center"/>
          </w:tcPr>
          <w:p w14:paraId="6DD6C592">
            <w:pPr>
              <w:jc w:val="center"/>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1</w:t>
            </w:r>
          </w:p>
        </w:tc>
        <w:tc>
          <w:tcPr>
            <w:tcW w:w="1302" w:type="dxa"/>
            <w:vMerge w:val="restart"/>
            <w:tcBorders>
              <w:tl2br w:val="nil"/>
              <w:tr2bl w:val="nil"/>
            </w:tcBorders>
            <w:vAlign w:val="center"/>
          </w:tcPr>
          <w:p w14:paraId="26D0BADA">
            <w:pPr>
              <w:jc w:val="center"/>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lang w:val="en-US" w:eastAsia="zh-CN"/>
              </w:rPr>
              <w:t>主舱室</w:t>
            </w:r>
          </w:p>
        </w:tc>
        <w:tc>
          <w:tcPr>
            <w:tcW w:w="6804" w:type="dxa"/>
            <w:tcBorders>
              <w:tl2br w:val="nil"/>
              <w:tr2bl w:val="nil"/>
            </w:tcBorders>
          </w:tcPr>
          <w:p w14:paraId="5D19E780">
            <w:pPr>
              <w:rPr>
                <w:rFonts w:hint="default" w:ascii="Times New Roman" w:hAnsi="Times New Roman" w:eastAsia="宋体" w:cs="Times New Roman"/>
                <w:bCs/>
                <w:sz w:val="21"/>
                <w:szCs w:val="21"/>
                <w:lang w:eastAsia="zh-CN"/>
              </w:rPr>
            </w:pPr>
            <w:r>
              <w:rPr>
                <w:rFonts w:hint="default" w:ascii="Times New Roman" w:hAnsi="Times New Roman" w:eastAsia="宋体" w:cs="Times New Roman"/>
                <w:bCs/>
                <w:sz w:val="21"/>
                <w:szCs w:val="21"/>
              </w:rPr>
              <w:t>★1.1</w:t>
            </w:r>
            <w:r>
              <w:rPr>
                <w:rFonts w:hint="default" w:ascii="Times New Roman" w:hAnsi="Times New Roman" w:eastAsia="宋体" w:cs="Times New Roman"/>
                <w:bCs/>
                <w:sz w:val="21"/>
                <w:szCs w:val="21"/>
                <w:lang w:val="en-US" w:eastAsia="zh-CN"/>
              </w:rPr>
              <w:t>主舱室</w:t>
            </w:r>
            <w:r>
              <w:rPr>
                <w:rFonts w:hint="default" w:ascii="Times New Roman" w:hAnsi="Times New Roman" w:eastAsia="宋体" w:cs="Times New Roman"/>
                <w:bCs/>
                <w:sz w:val="21"/>
                <w:szCs w:val="21"/>
              </w:rPr>
              <w:t>包括主真空腔室、样品快速进样室、样品传送装置、多维样品架、四维位移台、观察窗、钛窗、穿舱单元、隔振承重平台及样品测试必要的真空组件等，通过高真空阀门及管道连接。</w:t>
            </w:r>
          </w:p>
        </w:tc>
      </w:tr>
      <w:tr w14:paraId="550878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0A4205BB">
            <w:pPr>
              <w:rPr>
                <w:rFonts w:hint="default" w:ascii="Times New Roman" w:hAnsi="Times New Roman" w:eastAsia="宋体" w:cs="Times New Roman"/>
                <w:bCs/>
                <w:sz w:val="21"/>
                <w:szCs w:val="21"/>
              </w:rPr>
            </w:pPr>
          </w:p>
        </w:tc>
        <w:tc>
          <w:tcPr>
            <w:tcW w:w="1302" w:type="dxa"/>
            <w:vMerge w:val="continue"/>
            <w:tcBorders>
              <w:tl2br w:val="nil"/>
              <w:tr2bl w:val="nil"/>
            </w:tcBorders>
            <w:vAlign w:val="center"/>
          </w:tcPr>
          <w:p w14:paraId="75E0239B">
            <w:pPr>
              <w:rPr>
                <w:rFonts w:hint="default" w:ascii="Times New Roman" w:hAnsi="Times New Roman" w:eastAsia="宋体" w:cs="Times New Roman"/>
                <w:bCs/>
                <w:sz w:val="21"/>
                <w:szCs w:val="21"/>
              </w:rPr>
            </w:pPr>
          </w:p>
        </w:tc>
        <w:tc>
          <w:tcPr>
            <w:tcW w:w="6804" w:type="dxa"/>
            <w:tcBorders>
              <w:tl2br w:val="nil"/>
              <w:tr2bl w:val="nil"/>
            </w:tcBorders>
          </w:tcPr>
          <w:p w14:paraId="264BC5FB">
            <w:pPr>
              <w:rPr>
                <w:rFonts w:hint="default" w:ascii="Times New Roman" w:hAnsi="Times New Roman" w:eastAsia="宋体" w:cs="Times New Roman"/>
                <w:bCs/>
                <w:sz w:val="21"/>
                <w:szCs w:val="21"/>
                <w:lang w:eastAsia="zh-CN"/>
              </w:rPr>
            </w:pPr>
            <w:r>
              <w:rPr>
                <w:rFonts w:hint="default" w:ascii="Times New Roman" w:hAnsi="Times New Roman" w:eastAsia="宋体" w:cs="Times New Roman"/>
                <w:bCs/>
                <w:sz w:val="21"/>
                <w:szCs w:val="21"/>
              </w:rPr>
              <w:t>▲1.2主真空腔室内部空间不小于φ1000</w:t>
            </w:r>
            <w:r>
              <w:rPr>
                <w:rFonts w:hint="default" w:ascii="Times New Roman" w:hAnsi="Times New Roman" w:eastAsia="宋体" w:cs="Times New Roman"/>
                <w:bCs/>
                <w:sz w:val="21"/>
                <w:szCs w:val="21"/>
                <w:lang w:val="en-US" w:eastAsia="zh-CN"/>
              </w:rPr>
              <w:t xml:space="preserve"> </w:t>
            </w:r>
            <w:r>
              <w:rPr>
                <w:rFonts w:hint="default" w:ascii="Times New Roman" w:hAnsi="Times New Roman" w:eastAsia="宋体" w:cs="Times New Roman"/>
                <w:bCs/>
                <w:sz w:val="21"/>
                <w:szCs w:val="21"/>
              </w:rPr>
              <w:t>mm×L1200</w:t>
            </w:r>
            <w:r>
              <w:rPr>
                <w:rFonts w:hint="default" w:ascii="Times New Roman" w:hAnsi="Times New Roman" w:eastAsia="宋体" w:cs="Times New Roman"/>
                <w:bCs/>
                <w:sz w:val="21"/>
                <w:szCs w:val="21"/>
                <w:lang w:val="en-US" w:eastAsia="zh-CN"/>
              </w:rPr>
              <w:t xml:space="preserve"> </w:t>
            </w:r>
            <w:r>
              <w:rPr>
                <w:rFonts w:hint="default" w:ascii="Times New Roman" w:hAnsi="Times New Roman" w:eastAsia="宋体" w:cs="Times New Roman"/>
                <w:bCs/>
                <w:sz w:val="21"/>
                <w:szCs w:val="21"/>
              </w:rPr>
              <w:t>mm，腔室采用低活化材料加工，腔体及大门厚度设计需要提供变形、屈曲仿真分析，且需满足辐射防护需求，腔体表面进行抛光及化学清洗，腔室单点漏率优于1E-1</w:t>
            </w:r>
            <w:r>
              <w:rPr>
                <w:rFonts w:hint="eastAsia" w:eastAsia="宋体" w:cs="Times New Roman"/>
                <w:bCs/>
                <w:sz w:val="21"/>
                <w:szCs w:val="21"/>
                <w:lang w:val="en-US" w:eastAsia="zh-CN"/>
              </w:rPr>
              <w:t>0</w:t>
            </w:r>
            <w:r>
              <w:rPr>
                <w:rFonts w:hint="default" w:ascii="Times New Roman" w:hAnsi="Times New Roman" w:eastAsia="宋体" w:cs="Times New Roman"/>
                <w:bCs/>
                <w:sz w:val="21"/>
                <w:szCs w:val="21"/>
                <w:lang w:val="en-US" w:eastAsia="zh-CN"/>
              </w:rPr>
              <w:t xml:space="preserve"> </w:t>
            </w:r>
            <w:r>
              <w:rPr>
                <w:rFonts w:hint="default" w:ascii="Times New Roman" w:hAnsi="Times New Roman" w:eastAsia="宋体" w:cs="Times New Roman"/>
                <w:bCs/>
                <w:sz w:val="21"/>
                <w:szCs w:val="21"/>
              </w:rPr>
              <w:t>Pam</w:t>
            </w:r>
            <w:r>
              <w:rPr>
                <w:rFonts w:hint="default" w:ascii="Times New Roman" w:hAnsi="Times New Roman" w:eastAsia="宋体" w:cs="Times New Roman"/>
                <w:bCs/>
                <w:sz w:val="21"/>
                <w:szCs w:val="21"/>
                <w:vertAlign w:val="superscript"/>
              </w:rPr>
              <w:t>3</w:t>
            </w:r>
            <w:r>
              <w:rPr>
                <w:rFonts w:hint="default" w:ascii="Times New Roman" w:hAnsi="Times New Roman" w:eastAsia="宋体" w:cs="Times New Roman"/>
                <w:bCs/>
                <w:sz w:val="21"/>
                <w:szCs w:val="21"/>
              </w:rPr>
              <w:t>/s。</w:t>
            </w:r>
          </w:p>
        </w:tc>
      </w:tr>
      <w:tr w14:paraId="2EA81FB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19EDA808">
            <w:pPr>
              <w:rPr>
                <w:rFonts w:hint="default" w:ascii="Times New Roman" w:hAnsi="Times New Roman" w:eastAsia="宋体" w:cs="Times New Roman"/>
                <w:bCs/>
                <w:sz w:val="21"/>
                <w:szCs w:val="21"/>
              </w:rPr>
            </w:pPr>
          </w:p>
        </w:tc>
        <w:tc>
          <w:tcPr>
            <w:tcW w:w="1302" w:type="dxa"/>
            <w:vMerge w:val="continue"/>
            <w:tcBorders>
              <w:tl2br w:val="nil"/>
              <w:tr2bl w:val="nil"/>
            </w:tcBorders>
            <w:vAlign w:val="center"/>
          </w:tcPr>
          <w:p w14:paraId="4D5405C2">
            <w:pPr>
              <w:rPr>
                <w:rFonts w:hint="default" w:ascii="Times New Roman" w:hAnsi="Times New Roman" w:eastAsia="宋体" w:cs="Times New Roman"/>
                <w:bCs/>
                <w:sz w:val="21"/>
                <w:szCs w:val="21"/>
              </w:rPr>
            </w:pPr>
          </w:p>
        </w:tc>
        <w:tc>
          <w:tcPr>
            <w:tcW w:w="6804" w:type="dxa"/>
            <w:tcBorders>
              <w:tl2br w:val="nil"/>
              <w:tr2bl w:val="nil"/>
            </w:tcBorders>
          </w:tcPr>
          <w:p w14:paraId="2B6DCEED">
            <w:pPr>
              <w:rPr>
                <w:rFonts w:hint="default" w:ascii="Times New Roman" w:hAnsi="Times New Roman" w:eastAsia="宋体" w:cs="Times New Roman"/>
                <w:bCs/>
                <w:sz w:val="21"/>
                <w:szCs w:val="21"/>
                <w:lang w:eastAsia="zh-CN"/>
              </w:rPr>
            </w:pPr>
            <w:r>
              <w:rPr>
                <w:rFonts w:hint="default" w:ascii="Times New Roman" w:hAnsi="Times New Roman" w:eastAsia="宋体" w:cs="Times New Roman"/>
                <w:bCs/>
                <w:sz w:val="21"/>
                <w:szCs w:val="21"/>
              </w:rPr>
              <w:t>1.3样品快速进样室尺寸设计需满足内部样品架及束流测试装置的位移需求，放气率优于5E-13</w:t>
            </w:r>
            <w:r>
              <w:rPr>
                <w:rFonts w:hint="eastAsia" w:ascii="Times New Roman" w:hAnsi="Times New Roman" w:eastAsia="宋体" w:cs="Times New Roman"/>
                <w:bCs/>
                <w:sz w:val="21"/>
                <w:szCs w:val="21"/>
                <w:lang w:val="en-US" w:eastAsia="zh-CN"/>
              </w:rPr>
              <w:t xml:space="preserve"> </w:t>
            </w:r>
            <w:r>
              <w:rPr>
                <w:rFonts w:hint="default" w:ascii="Times New Roman" w:hAnsi="Times New Roman" w:eastAsia="宋体" w:cs="Times New Roman"/>
                <w:bCs/>
                <w:sz w:val="21"/>
                <w:szCs w:val="21"/>
              </w:rPr>
              <w:t>Pam</w:t>
            </w:r>
            <w:r>
              <w:rPr>
                <w:rFonts w:hint="default" w:ascii="Times New Roman" w:hAnsi="Times New Roman" w:eastAsia="宋体" w:cs="Times New Roman"/>
                <w:bCs/>
                <w:sz w:val="21"/>
                <w:szCs w:val="21"/>
                <w:vertAlign w:val="superscript"/>
              </w:rPr>
              <w:t>3</w:t>
            </w:r>
            <w:r>
              <w:rPr>
                <w:rFonts w:hint="default" w:ascii="Times New Roman" w:hAnsi="Times New Roman" w:eastAsia="宋体" w:cs="Times New Roman"/>
                <w:bCs/>
                <w:sz w:val="21"/>
                <w:szCs w:val="21"/>
              </w:rPr>
              <w:t>/(s</w:t>
            </w:r>
            <w:r>
              <w:rPr>
                <w:rFonts w:hint="default" w:ascii="Times New Roman" w:hAnsi="Times New Roman" w:eastAsia="宋体" w:cs="Times New Roman"/>
                <w:bCs/>
                <w:sz w:val="21"/>
                <w:szCs w:val="21"/>
                <w:lang w:val="en-US" w:eastAsia="zh-CN"/>
              </w:rPr>
              <w:t>·</w:t>
            </w:r>
            <w:r>
              <w:rPr>
                <w:rFonts w:hint="default" w:ascii="Times New Roman" w:hAnsi="Times New Roman" w:eastAsia="宋体" w:cs="Times New Roman"/>
                <w:bCs/>
                <w:sz w:val="21"/>
                <w:szCs w:val="21"/>
              </w:rPr>
              <w:t>cm</w:t>
            </w:r>
            <w:r>
              <w:rPr>
                <w:rFonts w:hint="default" w:ascii="Times New Roman" w:hAnsi="Times New Roman" w:eastAsia="宋体" w:cs="Times New Roman"/>
                <w:bCs/>
                <w:sz w:val="21"/>
                <w:szCs w:val="21"/>
                <w:vertAlign w:val="superscript"/>
              </w:rPr>
              <w:t>2</w:t>
            </w:r>
            <w:r>
              <w:rPr>
                <w:rFonts w:hint="default" w:ascii="Times New Roman" w:hAnsi="Times New Roman" w:eastAsia="宋体" w:cs="Times New Roman"/>
                <w:bCs/>
                <w:sz w:val="21"/>
                <w:szCs w:val="21"/>
              </w:rPr>
              <w:t>)，同时作为冷屏提高样品温度均匀性。</w:t>
            </w:r>
          </w:p>
        </w:tc>
      </w:tr>
      <w:tr w14:paraId="47BF4D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5CE93702">
            <w:pPr>
              <w:rPr>
                <w:rFonts w:hint="default" w:ascii="Times New Roman" w:hAnsi="Times New Roman" w:eastAsia="宋体" w:cs="Times New Roman"/>
                <w:bCs/>
                <w:sz w:val="21"/>
                <w:szCs w:val="21"/>
              </w:rPr>
            </w:pPr>
          </w:p>
        </w:tc>
        <w:tc>
          <w:tcPr>
            <w:tcW w:w="1302" w:type="dxa"/>
            <w:vMerge w:val="continue"/>
            <w:tcBorders>
              <w:tl2br w:val="nil"/>
              <w:tr2bl w:val="nil"/>
            </w:tcBorders>
            <w:vAlign w:val="center"/>
          </w:tcPr>
          <w:p w14:paraId="79F031BF">
            <w:pPr>
              <w:rPr>
                <w:rFonts w:hint="default" w:ascii="Times New Roman" w:hAnsi="Times New Roman" w:eastAsia="宋体" w:cs="Times New Roman"/>
                <w:bCs/>
                <w:sz w:val="21"/>
                <w:szCs w:val="21"/>
              </w:rPr>
            </w:pPr>
          </w:p>
        </w:tc>
        <w:tc>
          <w:tcPr>
            <w:tcW w:w="6804" w:type="dxa"/>
            <w:tcBorders>
              <w:tl2br w:val="nil"/>
              <w:tr2bl w:val="nil"/>
            </w:tcBorders>
          </w:tcPr>
          <w:p w14:paraId="0EB16D6B">
            <w:pPr>
              <w:rPr>
                <w:rFonts w:hint="default" w:ascii="Times New Roman" w:hAnsi="Times New Roman" w:eastAsia="宋体" w:cs="Times New Roman"/>
                <w:bCs/>
                <w:sz w:val="21"/>
                <w:szCs w:val="21"/>
                <w:lang w:eastAsia="zh-CN"/>
              </w:rPr>
            </w:pPr>
            <w:r>
              <w:rPr>
                <w:rFonts w:hint="default" w:ascii="Times New Roman" w:hAnsi="Times New Roman" w:eastAsia="宋体" w:cs="Times New Roman"/>
                <w:bCs/>
                <w:sz w:val="21"/>
                <w:szCs w:val="21"/>
              </w:rPr>
              <w:t>▲1.4根据试验需求，需设计样品传送装置，满足样品快速换样，更换测试样品速度≥1个/</w:t>
            </w:r>
            <w:r>
              <w:rPr>
                <w:rFonts w:hint="eastAsia" w:eastAsia="宋体" w:cs="Times New Roman"/>
                <w:bCs/>
                <w:sz w:val="21"/>
                <w:szCs w:val="21"/>
                <w:lang w:val="en-US" w:eastAsia="zh-CN"/>
              </w:rPr>
              <w:t>3</w:t>
            </w:r>
            <w:r>
              <w:rPr>
                <w:rFonts w:hint="default" w:ascii="Times New Roman" w:hAnsi="Times New Roman" w:eastAsia="宋体" w:cs="Times New Roman"/>
                <w:bCs/>
                <w:sz w:val="21"/>
                <w:szCs w:val="21"/>
              </w:rPr>
              <w:t>分钟，快速换样需满足样品带电原位测试要求。</w:t>
            </w:r>
          </w:p>
        </w:tc>
      </w:tr>
      <w:tr w14:paraId="0ADBB1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59" w:hRule="atLeast"/>
          <w:jc w:val="center"/>
        </w:trPr>
        <w:tc>
          <w:tcPr>
            <w:tcW w:w="965" w:type="dxa"/>
            <w:vMerge w:val="continue"/>
            <w:tcBorders>
              <w:tl2br w:val="nil"/>
              <w:tr2bl w:val="nil"/>
            </w:tcBorders>
            <w:vAlign w:val="center"/>
          </w:tcPr>
          <w:p w14:paraId="12A4EF82">
            <w:pPr>
              <w:rPr>
                <w:rFonts w:hint="default" w:ascii="Times New Roman" w:hAnsi="Times New Roman" w:eastAsia="宋体" w:cs="Times New Roman"/>
                <w:bCs/>
                <w:sz w:val="21"/>
                <w:szCs w:val="21"/>
              </w:rPr>
            </w:pPr>
          </w:p>
        </w:tc>
        <w:tc>
          <w:tcPr>
            <w:tcW w:w="1302" w:type="dxa"/>
            <w:vMerge w:val="continue"/>
            <w:tcBorders>
              <w:tl2br w:val="nil"/>
              <w:tr2bl w:val="nil"/>
            </w:tcBorders>
            <w:vAlign w:val="center"/>
          </w:tcPr>
          <w:p w14:paraId="5C851A81">
            <w:pPr>
              <w:rPr>
                <w:rFonts w:hint="default" w:ascii="Times New Roman" w:hAnsi="Times New Roman" w:eastAsia="宋体" w:cs="Times New Roman"/>
                <w:bCs/>
                <w:sz w:val="21"/>
                <w:szCs w:val="21"/>
              </w:rPr>
            </w:pPr>
          </w:p>
        </w:tc>
        <w:tc>
          <w:tcPr>
            <w:tcW w:w="6804" w:type="dxa"/>
            <w:tcBorders>
              <w:tl2br w:val="nil"/>
              <w:tr2bl w:val="nil"/>
            </w:tcBorders>
          </w:tcPr>
          <w:p w14:paraId="79569D41">
            <w:pPr>
              <w:rPr>
                <w:rFonts w:hint="default" w:ascii="Times New Roman" w:hAnsi="Times New Roman" w:eastAsia="宋体" w:cs="Times New Roman"/>
                <w:bCs/>
                <w:sz w:val="21"/>
                <w:szCs w:val="21"/>
                <w:lang w:eastAsia="zh-CN"/>
              </w:rPr>
            </w:pPr>
            <w:r>
              <w:rPr>
                <w:rFonts w:hint="default" w:ascii="Times New Roman" w:hAnsi="Times New Roman" w:eastAsia="宋体" w:cs="Times New Roman"/>
                <w:bCs/>
                <w:sz w:val="21"/>
                <w:szCs w:val="21"/>
              </w:rPr>
              <w:t>1.5根据试验需求，需设计多维样品架，满足单次试验条件下逐次进行多个样品的带电原位测试，多维样品架放置样品数量≥6个。</w:t>
            </w:r>
          </w:p>
        </w:tc>
      </w:tr>
      <w:tr w14:paraId="1F006A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3C8AE5F3">
            <w:pPr>
              <w:rPr>
                <w:rFonts w:hint="default" w:ascii="Times New Roman" w:hAnsi="Times New Roman" w:eastAsia="宋体" w:cs="Times New Roman"/>
                <w:bCs/>
                <w:sz w:val="21"/>
                <w:szCs w:val="21"/>
              </w:rPr>
            </w:pPr>
          </w:p>
        </w:tc>
        <w:tc>
          <w:tcPr>
            <w:tcW w:w="1302" w:type="dxa"/>
            <w:vMerge w:val="continue"/>
            <w:tcBorders>
              <w:tl2br w:val="nil"/>
              <w:tr2bl w:val="nil"/>
            </w:tcBorders>
            <w:vAlign w:val="center"/>
          </w:tcPr>
          <w:p w14:paraId="37A472B8">
            <w:pPr>
              <w:rPr>
                <w:rFonts w:hint="default" w:ascii="Times New Roman" w:hAnsi="Times New Roman" w:eastAsia="宋体" w:cs="Times New Roman"/>
                <w:bCs/>
                <w:sz w:val="21"/>
                <w:szCs w:val="21"/>
              </w:rPr>
            </w:pPr>
          </w:p>
        </w:tc>
        <w:tc>
          <w:tcPr>
            <w:tcW w:w="6804" w:type="dxa"/>
            <w:tcBorders>
              <w:tl2br w:val="nil"/>
              <w:tr2bl w:val="nil"/>
            </w:tcBorders>
          </w:tcPr>
          <w:p w14:paraId="3AD1D5B6">
            <w:pPr>
              <w:rPr>
                <w:rFonts w:hint="default" w:ascii="Times New Roman" w:hAnsi="Times New Roman" w:eastAsia="宋体" w:cs="Times New Roman"/>
                <w:bCs/>
                <w:sz w:val="21"/>
                <w:szCs w:val="21"/>
                <w:lang w:eastAsia="zh-CN"/>
              </w:rPr>
            </w:pPr>
            <w:r>
              <w:rPr>
                <w:rFonts w:hint="default" w:ascii="Times New Roman" w:hAnsi="Times New Roman" w:eastAsia="宋体" w:cs="Times New Roman"/>
                <w:bCs/>
                <w:sz w:val="21"/>
                <w:szCs w:val="21"/>
              </w:rPr>
              <w:t>★1.6四维位移台用于实现样品架的四轴移动，在1E-4</w:t>
            </w:r>
            <w:r>
              <w:rPr>
                <w:rFonts w:hint="eastAsia" w:ascii="Times New Roman" w:hAnsi="Times New Roman" w:eastAsia="宋体" w:cs="Times New Roman"/>
                <w:bCs/>
                <w:sz w:val="21"/>
                <w:szCs w:val="21"/>
                <w:lang w:val="en-US" w:eastAsia="zh-CN"/>
              </w:rPr>
              <w:t xml:space="preserve"> </w:t>
            </w:r>
            <w:r>
              <w:rPr>
                <w:rFonts w:hint="default" w:ascii="Times New Roman" w:hAnsi="Times New Roman" w:eastAsia="宋体" w:cs="Times New Roman"/>
                <w:bCs/>
                <w:sz w:val="21"/>
                <w:szCs w:val="21"/>
              </w:rPr>
              <w:t>Pa真空度下，满足平面x、y、z位移范围≥±10 cm，重复定位精度≤±0.5 mm，转动范围≥±180°，重复定位精度≤±0.05°，四维位移台需考虑辐射防护设计。</w:t>
            </w:r>
          </w:p>
        </w:tc>
      </w:tr>
      <w:tr w14:paraId="16E69C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180BB31B">
            <w:pPr>
              <w:rPr>
                <w:rFonts w:hint="default" w:ascii="Times New Roman" w:hAnsi="Times New Roman" w:eastAsia="宋体" w:cs="Times New Roman"/>
                <w:bCs/>
                <w:sz w:val="21"/>
                <w:szCs w:val="21"/>
              </w:rPr>
            </w:pPr>
          </w:p>
        </w:tc>
        <w:tc>
          <w:tcPr>
            <w:tcW w:w="1302" w:type="dxa"/>
            <w:vMerge w:val="continue"/>
            <w:tcBorders>
              <w:tl2br w:val="nil"/>
              <w:tr2bl w:val="nil"/>
            </w:tcBorders>
            <w:vAlign w:val="center"/>
          </w:tcPr>
          <w:p w14:paraId="13E2D739">
            <w:pPr>
              <w:rPr>
                <w:rFonts w:hint="default" w:ascii="Times New Roman" w:hAnsi="Times New Roman" w:eastAsia="宋体" w:cs="Times New Roman"/>
                <w:bCs/>
                <w:sz w:val="21"/>
                <w:szCs w:val="21"/>
              </w:rPr>
            </w:pPr>
          </w:p>
        </w:tc>
        <w:tc>
          <w:tcPr>
            <w:tcW w:w="6804" w:type="dxa"/>
            <w:tcBorders>
              <w:tl2br w:val="nil"/>
              <w:tr2bl w:val="nil"/>
            </w:tcBorders>
          </w:tcPr>
          <w:p w14:paraId="006752F8">
            <w:pPr>
              <w:rPr>
                <w:rFonts w:hint="default" w:ascii="Times New Roman" w:hAnsi="Times New Roman" w:eastAsia="宋体" w:cs="Times New Roman"/>
                <w:bCs/>
                <w:sz w:val="21"/>
                <w:szCs w:val="21"/>
                <w:lang w:eastAsia="zh-CN"/>
              </w:rPr>
            </w:pPr>
            <w:r>
              <w:rPr>
                <w:rFonts w:hint="default" w:ascii="Times New Roman" w:hAnsi="Times New Roman" w:eastAsia="宋体" w:cs="Times New Roman"/>
                <w:bCs/>
                <w:sz w:val="21"/>
                <w:szCs w:val="21"/>
                <w:lang w:val="en-US" w:eastAsia="zh-CN"/>
              </w:rPr>
              <w:t>★1.7需配备样品定位系统包括激光定位系统以及样品自动定位系统，激光定位系统</w:t>
            </w:r>
            <w:r>
              <w:rPr>
                <w:rFonts w:hint="eastAsia" w:eastAsia="宋体" w:cs="Times New Roman"/>
                <w:bCs/>
                <w:sz w:val="21"/>
                <w:szCs w:val="21"/>
                <w:lang w:val="en-US" w:eastAsia="zh-CN"/>
              </w:rPr>
              <w:t>选用</w:t>
            </w:r>
            <w:r>
              <w:rPr>
                <w:rFonts w:hint="default" w:ascii="Times New Roman" w:hAnsi="Times New Roman" w:eastAsia="宋体" w:cs="Times New Roman"/>
                <w:bCs/>
                <w:sz w:val="21"/>
                <w:szCs w:val="21"/>
                <w:lang w:val="en-US" w:eastAsia="zh-CN"/>
              </w:rPr>
              <w:t>十字激光</w:t>
            </w:r>
            <w:r>
              <w:rPr>
                <w:rFonts w:hint="eastAsia" w:eastAsia="宋体" w:cs="Times New Roman"/>
                <w:bCs/>
                <w:sz w:val="21"/>
                <w:szCs w:val="21"/>
                <w:lang w:val="en-US" w:eastAsia="zh-CN"/>
              </w:rPr>
              <w:t>或</w:t>
            </w:r>
            <w:r>
              <w:rPr>
                <w:rFonts w:hint="default" w:ascii="Times New Roman" w:hAnsi="Times New Roman" w:eastAsia="宋体" w:cs="Times New Roman"/>
                <w:bCs/>
                <w:sz w:val="21"/>
                <w:szCs w:val="21"/>
                <w:lang w:val="en-US" w:eastAsia="zh-CN"/>
              </w:rPr>
              <w:t>点激光组成，定位最大偏差≤1</w:t>
            </w:r>
            <w:r>
              <w:rPr>
                <w:rFonts w:hint="eastAsia" w:ascii="Times New Roman" w:hAnsi="Times New Roman" w:eastAsia="宋体" w:cs="Times New Roman"/>
                <w:bCs/>
                <w:sz w:val="21"/>
                <w:szCs w:val="21"/>
                <w:lang w:val="en-US" w:eastAsia="zh-CN"/>
              </w:rPr>
              <w:t xml:space="preserve"> </w:t>
            </w:r>
            <w:r>
              <w:rPr>
                <w:rFonts w:hint="default" w:ascii="Times New Roman" w:hAnsi="Times New Roman" w:eastAsia="宋体" w:cs="Times New Roman"/>
                <w:bCs/>
                <w:sz w:val="21"/>
                <w:szCs w:val="21"/>
                <w:lang w:val="en-US" w:eastAsia="zh-CN"/>
              </w:rPr>
              <w:t>mm。</w:t>
            </w:r>
          </w:p>
        </w:tc>
      </w:tr>
      <w:tr w14:paraId="6AC2D4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4F90E0C9">
            <w:pPr>
              <w:rPr>
                <w:rFonts w:hint="default" w:ascii="Times New Roman" w:hAnsi="Times New Roman" w:eastAsia="宋体" w:cs="Times New Roman"/>
                <w:bCs/>
                <w:sz w:val="21"/>
                <w:szCs w:val="21"/>
              </w:rPr>
            </w:pPr>
          </w:p>
        </w:tc>
        <w:tc>
          <w:tcPr>
            <w:tcW w:w="1302" w:type="dxa"/>
            <w:vMerge w:val="continue"/>
            <w:tcBorders>
              <w:tl2br w:val="nil"/>
              <w:tr2bl w:val="nil"/>
            </w:tcBorders>
            <w:vAlign w:val="center"/>
          </w:tcPr>
          <w:p w14:paraId="040C4E5F">
            <w:pPr>
              <w:rPr>
                <w:rFonts w:hint="default" w:ascii="Times New Roman" w:hAnsi="Times New Roman" w:eastAsia="宋体" w:cs="Times New Roman"/>
                <w:bCs/>
                <w:sz w:val="21"/>
                <w:szCs w:val="21"/>
              </w:rPr>
            </w:pPr>
          </w:p>
        </w:tc>
        <w:tc>
          <w:tcPr>
            <w:tcW w:w="6804" w:type="dxa"/>
            <w:tcBorders>
              <w:tl2br w:val="nil"/>
              <w:tr2bl w:val="nil"/>
            </w:tcBorders>
          </w:tcPr>
          <w:p w14:paraId="672753B3">
            <w:pPr>
              <w:rPr>
                <w:rFonts w:hint="default" w:ascii="Times New Roman" w:hAnsi="Times New Roman" w:eastAsia="宋体" w:cs="Times New Roman"/>
                <w:bCs/>
                <w:sz w:val="21"/>
                <w:szCs w:val="21"/>
                <w:lang w:eastAsia="zh-CN"/>
              </w:rPr>
            </w:pPr>
            <w:r>
              <w:rPr>
                <w:rFonts w:hint="default" w:ascii="Times New Roman" w:hAnsi="Times New Roman" w:eastAsia="宋体" w:cs="Times New Roman"/>
                <w:bCs/>
                <w:sz w:val="21"/>
                <w:szCs w:val="21"/>
                <w:lang w:val="en-US" w:eastAsia="zh-CN"/>
              </w:rPr>
              <w:t>1.8主真空腔室需配备观察窗及钛窗，观察窗尺寸不小于φ100</w:t>
            </w:r>
            <w:r>
              <w:rPr>
                <w:rFonts w:hint="eastAsia" w:ascii="Times New Roman" w:hAnsi="Times New Roman" w:eastAsia="宋体" w:cs="Times New Roman"/>
                <w:bCs/>
                <w:sz w:val="21"/>
                <w:szCs w:val="21"/>
                <w:lang w:val="en-US" w:eastAsia="zh-CN"/>
              </w:rPr>
              <w:t xml:space="preserve"> </w:t>
            </w:r>
            <w:r>
              <w:rPr>
                <w:rFonts w:hint="default" w:ascii="Times New Roman" w:hAnsi="Times New Roman" w:eastAsia="宋体" w:cs="Times New Roman"/>
                <w:bCs/>
                <w:sz w:val="21"/>
                <w:szCs w:val="21"/>
                <w:lang w:val="en-US" w:eastAsia="zh-CN"/>
              </w:rPr>
              <w:t>mm，束流接口需采用钛窗，钛窗厚度及束流衰减需提供仿真及设计报告。</w:t>
            </w:r>
          </w:p>
        </w:tc>
      </w:tr>
      <w:tr w14:paraId="59C125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442D6042">
            <w:pPr>
              <w:rPr>
                <w:rFonts w:hint="default" w:ascii="Times New Roman" w:hAnsi="Times New Roman" w:eastAsia="宋体" w:cs="Times New Roman"/>
                <w:bCs/>
                <w:sz w:val="21"/>
                <w:szCs w:val="21"/>
              </w:rPr>
            </w:pPr>
          </w:p>
        </w:tc>
        <w:tc>
          <w:tcPr>
            <w:tcW w:w="1302" w:type="dxa"/>
            <w:vMerge w:val="continue"/>
            <w:tcBorders>
              <w:tl2br w:val="nil"/>
              <w:tr2bl w:val="nil"/>
            </w:tcBorders>
            <w:vAlign w:val="center"/>
          </w:tcPr>
          <w:p w14:paraId="201C3DA8">
            <w:pPr>
              <w:rPr>
                <w:rFonts w:hint="default" w:ascii="Times New Roman" w:hAnsi="Times New Roman" w:eastAsia="宋体" w:cs="Times New Roman"/>
                <w:bCs/>
                <w:sz w:val="21"/>
                <w:szCs w:val="21"/>
              </w:rPr>
            </w:pPr>
          </w:p>
        </w:tc>
        <w:tc>
          <w:tcPr>
            <w:tcW w:w="6804" w:type="dxa"/>
            <w:tcBorders>
              <w:tl2br w:val="nil"/>
              <w:tr2bl w:val="nil"/>
            </w:tcBorders>
          </w:tcPr>
          <w:p w14:paraId="77036EDE">
            <w:pPr>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lang w:val="en-US" w:eastAsia="zh-CN"/>
              </w:rPr>
              <w:t>1.9穿舱单元提供主真空腔室内部组件与外部电子学单元真空密封下的连接接口，</w:t>
            </w:r>
            <w:r>
              <w:rPr>
                <w:rFonts w:hint="default" w:eastAsia="宋体"/>
                <w:bCs/>
                <w:sz w:val="21"/>
                <w:szCs w:val="21"/>
              </w:rPr>
              <w:t>可为低压/小电流供电电源和信号提供接口≥165 pin，可为高压/大电流供电电源提供接口≥8 pin。</w:t>
            </w:r>
          </w:p>
        </w:tc>
      </w:tr>
      <w:tr w14:paraId="138908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63935A41">
            <w:pPr>
              <w:rPr>
                <w:rFonts w:hint="default" w:ascii="Times New Roman" w:hAnsi="Times New Roman" w:eastAsia="宋体" w:cs="Times New Roman"/>
                <w:bCs/>
                <w:sz w:val="21"/>
                <w:szCs w:val="21"/>
              </w:rPr>
            </w:pPr>
          </w:p>
        </w:tc>
        <w:tc>
          <w:tcPr>
            <w:tcW w:w="1302" w:type="dxa"/>
            <w:vMerge w:val="continue"/>
            <w:tcBorders>
              <w:tl2br w:val="nil"/>
              <w:tr2bl w:val="nil"/>
            </w:tcBorders>
            <w:vAlign w:val="center"/>
          </w:tcPr>
          <w:p w14:paraId="362A3008">
            <w:pPr>
              <w:rPr>
                <w:rFonts w:hint="default" w:ascii="Times New Roman" w:hAnsi="Times New Roman" w:eastAsia="宋体" w:cs="Times New Roman"/>
                <w:bCs/>
                <w:sz w:val="21"/>
                <w:szCs w:val="21"/>
              </w:rPr>
            </w:pPr>
          </w:p>
        </w:tc>
        <w:tc>
          <w:tcPr>
            <w:tcW w:w="6804" w:type="dxa"/>
            <w:tcBorders>
              <w:tl2br w:val="nil"/>
              <w:tr2bl w:val="nil"/>
            </w:tcBorders>
          </w:tcPr>
          <w:p w14:paraId="1AF6EA3A">
            <w:pP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1.10隔振承重平台用于主真空腔室内测试系统的安装，尺寸不小于500</w:t>
            </w:r>
            <w:r>
              <w:rPr>
                <w:rFonts w:hint="eastAsia" w:ascii="Times New Roman" w:hAnsi="Times New Roman" w:eastAsia="宋体" w:cs="Times New Roman"/>
                <w:bCs/>
                <w:sz w:val="21"/>
                <w:szCs w:val="21"/>
                <w:lang w:val="en-US" w:eastAsia="zh-CN"/>
              </w:rPr>
              <w:t xml:space="preserve"> </w:t>
            </w:r>
            <w:r>
              <w:rPr>
                <w:rFonts w:hint="default" w:ascii="Times New Roman" w:hAnsi="Times New Roman" w:eastAsia="宋体" w:cs="Times New Roman"/>
                <w:bCs/>
                <w:sz w:val="21"/>
                <w:szCs w:val="21"/>
                <w:lang w:val="en-US" w:eastAsia="zh-CN"/>
              </w:rPr>
              <w:t>mm×800</w:t>
            </w:r>
            <w:r>
              <w:rPr>
                <w:rFonts w:hint="eastAsia" w:ascii="Times New Roman" w:hAnsi="Times New Roman" w:eastAsia="宋体" w:cs="Times New Roman"/>
                <w:bCs/>
                <w:sz w:val="21"/>
                <w:szCs w:val="21"/>
                <w:lang w:val="en-US" w:eastAsia="zh-CN"/>
              </w:rPr>
              <w:t xml:space="preserve"> </w:t>
            </w:r>
            <w:r>
              <w:rPr>
                <w:rFonts w:hint="default" w:ascii="Times New Roman" w:hAnsi="Times New Roman" w:eastAsia="宋体" w:cs="Times New Roman"/>
                <w:bCs/>
                <w:sz w:val="21"/>
                <w:szCs w:val="21"/>
                <w:lang w:val="en-US" w:eastAsia="zh-CN"/>
              </w:rPr>
              <w:t>mm，承重不小于50</w:t>
            </w:r>
            <w:r>
              <w:rPr>
                <w:rFonts w:hint="eastAsia" w:ascii="Times New Roman" w:hAnsi="Times New Roman" w:eastAsia="宋体" w:cs="Times New Roman"/>
                <w:bCs/>
                <w:sz w:val="21"/>
                <w:szCs w:val="21"/>
                <w:lang w:val="en-US" w:eastAsia="zh-CN"/>
              </w:rPr>
              <w:t xml:space="preserve"> </w:t>
            </w:r>
            <w:r>
              <w:rPr>
                <w:rFonts w:hint="default" w:ascii="Times New Roman" w:hAnsi="Times New Roman" w:eastAsia="宋体" w:cs="Times New Roman"/>
                <w:bCs/>
                <w:sz w:val="21"/>
                <w:szCs w:val="21"/>
                <w:lang w:val="en-US" w:eastAsia="zh-CN"/>
              </w:rPr>
              <w:t>kg，且需满足辐射防护需求。</w:t>
            </w:r>
          </w:p>
        </w:tc>
      </w:tr>
      <w:tr w14:paraId="1B9409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17706EEC">
            <w:pPr>
              <w:rPr>
                <w:rFonts w:hint="default" w:ascii="Times New Roman" w:hAnsi="Times New Roman" w:eastAsia="宋体" w:cs="Times New Roman"/>
                <w:bCs/>
                <w:sz w:val="21"/>
                <w:szCs w:val="21"/>
              </w:rPr>
            </w:pPr>
          </w:p>
        </w:tc>
        <w:tc>
          <w:tcPr>
            <w:tcW w:w="1302" w:type="dxa"/>
            <w:vMerge w:val="continue"/>
            <w:tcBorders>
              <w:tl2br w:val="nil"/>
              <w:tr2bl w:val="nil"/>
            </w:tcBorders>
            <w:vAlign w:val="center"/>
          </w:tcPr>
          <w:p w14:paraId="0D4A5B9F">
            <w:pPr>
              <w:rPr>
                <w:rFonts w:hint="default" w:ascii="Times New Roman" w:hAnsi="Times New Roman" w:eastAsia="宋体" w:cs="Times New Roman"/>
                <w:bCs/>
                <w:sz w:val="21"/>
                <w:szCs w:val="21"/>
              </w:rPr>
            </w:pPr>
          </w:p>
        </w:tc>
        <w:tc>
          <w:tcPr>
            <w:tcW w:w="6804" w:type="dxa"/>
            <w:tcBorders>
              <w:tl2br w:val="nil"/>
              <w:tr2bl w:val="nil"/>
            </w:tcBorders>
          </w:tcPr>
          <w:p w14:paraId="4F64E30E">
            <w:pP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1.11主真空腔室需配备可便携开关的大门并集成照明功能，需配备真空计，真空度测量范围</w:t>
            </w:r>
            <w:r>
              <w:rPr>
                <w:rFonts w:hint="eastAsia" w:ascii="Times New Roman" w:hAnsi="Times New Roman" w:eastAsia="宋体" w:cs="Times New Roman"/>
                <w:bCs/>
                <w:sz w:val="21"/>
                <w:szCs w:val="21"/>
                <w:lang w:val="en-US" w:eastAsia="zh-CN"/>
              </w:rPr>
              <w:t>为</w:t>
            </w:r>
            <w:r>
              <w:rPr>
                <w:rFonts w:hint="default" w:ascii="Times New Roman" w:hAnsi="Times New Roman" w:eastAsia="宋体" w:cs="Times New Roman"/>
                <w:bCs/>
                <w:sz w:val="21"/>
                <w:szCs w:val="21"/>
                <w:lang w:val="en-US" w:eastAsia="zh-CN"/>
              </w:rPr>
              <w:t>1E-6～1E5</w:t>
            </w:r>
            <w:r>
              <w:rPr>
                <w:rFonts w:hint="eastAsia" w:ascii="Times New Roman" w:hAnsi="Times New Roman" w:eastAsia="宋体" w:cs="Times New Roman"/>
                <w:bCs/>
                <w:sz w:val="21"/>
                <w:szCs w:val="21"/>
                <w:lang w:val="en-US" w:eastAsia="zh-CN"/>
              </w:rPr>
              <w:t xml:space="preserve"> </w:t>
            </w:r>
            <w:r>
              <w:rPr>
                <w:rFonts w:hint="default" w:ascii="Times New Roman" w:hAnsi="Times New Roman" w:eastAsia="宋体" w:cs="Times New Roman"/>
                <w:bCs/>
                <w:sz w:val="21"/>
                <w:szCs w:val="21"/>
                <w:lang w:val="en-US" w:eastAsia="zh-CN"/>
              </w:rPr>
              <w:t>Pa，项目验收时真空计需提供校准证书。</w:t>
            </w:r>
          </w:p>
        </w:tc>
      </w:tr>
      <w:tr w14:paraId="301F37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restart"/>
            <w:tcBorders>
              <w:tl2br w:val="nil"/>
              <w:tr2bl w:val="nil"/>
            </w:tcBorders>
            <w:vAlign w:val="center"/>
          </w:tcPr>
          <w:p w14:paraId="077D5C36">
            <w:pPr>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2</w:t>
            </w:r>
          </w:p>
        </w:tc>
        <w:tc>
          <w:tcPr>
            <w:tcW w:w="1302" w:type="dxa"/>
            <w:vMerge w:val="restart"/>
            <w:tcBorders>
              <w:tl2br w:val="nil"/>
              <w:tr2bl w:val="nil"/>
            </w:tcBorders>
            <w:vAlign w:val="center"/>
          </w:tcPr>
          <w:p w14:paraId="14C64460">
            <w:pPr>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高低温系统</w:t>
            </w:r>
          </w:p>
        </w:tc>
        <w:tc>
          <w:tcPr>
            <w:tcW w:w="6804" w:type="dxa"/>
            <w:tcBorders>
              <w:tl2br w:val="nil"/>
              <w:tr2bl w:val="nil"/>
            </w:tcBorders>
            <w:vAlign w:val="center"/>
          </w:tcPr>
          <w:p w14:paraId="0CBA8C0B">
            <w:pP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★2.1</w:t>
            </w:r>
            <w:r>
              <w:rPr>
                <w:rFonts w:hint="eastAsia" w:ascii="Times New Roman" w:hAnsi="Times New Roman" w:eastAsia="宋体" w:cs="Times New Roman"/>
                <w:bCs/>
                <w:sz w:val="21"/>
                <w:szCs w:val="21"/>
                <w:lang w:val="en-US" w:eastAsia="zh-CN"/>
              </w:rPr>
              <w:t>高低温系统</w:t>
            </w:r>
            <w:r>
              <w:rPr>
                <w:rFonts w:hint="default" w:ascii="Times New Roman" w:hAnsi="Times New Roman" w:eastAsia="宋体" w:cs="Times New Roman"/>
                <w:bCs/>
                <w:sz w:val="21"/>
                <w:szCs w:val="21"/>
                <w:lang w:val="en-US" w:eastAsia="zh-CN"/>
              </w:rPr>
              <w:t>包括制冷机组、温度控制器、高低温样品台、多通道信号转换器、宽温域温度传感器、制冷机控制器、冷水机、真空防辐射组件、可移动铅屏等。</w:t>
            </w:r>
          </w:p>
        </w:tc>
      </w:tr>
      <w:tr w14:paraId="738186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14802A4B">
            <w:pPr>
              <w:rPr>
                <w:rFonts w:hint="default" w:ascii="Times New Roman" w:hAnsi="Times New Roman" w:eastAsia="宋体" w:cs="Times New Roman"/>
                <w:bCs/>
                <w:sz w:val="21"/>
                <w:szCs w:val="21"/>
                <w:lang w:val="en-US" w:eastAsia="zh-CN"/>
              </w:rPr>
            </w:pPr>
          </w:p>
        </w:tc>
        <w:tc>
          <w:tcPr>
            <w:tcW w:w="1302" w:type="dxa"/>
            <w:vMerge w:val="continue"/>
            <w:tcBorders>
              <w:tl2br w:val="nil"/>
              <w:tr2bl w:val="nil"/>
            </w:tcBorders>
            <w:vAlign w:val="center"/>
          </w:tcPr>
          <w:p w14:paraId="5406E40E">
            <w:pPr>
              <w:rPr>
                <w:rFonts w:hint="default" w:ascii="Times New Roman" w:hAnsi="Times New Roman" w:eastAsia="宋体" w:cs="Times New Roman"/>
                <w:bCs/>
                <w:sz w:val="21"/>
                <w:szCs w:val="21"/>
                <w:lang w:val="en-US" w:eastAsia="zh-CN"/>
              </w:rPr>
            </w:pPr>
          </w:p>
        </w:tc>
        <w:tc>
          <w:tcPr>
            <w:tcW w:w="6804" w:type="dxa"/>
            <w:tcBorders>
              <w:tl2br w:val="nil"/>
              <w:tr2bl w:val="nil"/>
            </w:tcBorders>
            <w:vAlign w:val="center"/>
          </w:tcPr>
          <w:p w14:paraId="2E67042F">
            <w:pP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★2.2高低温样品台采用制冷机组降温及温度控制器电加热方式，温度交变范围</w:t>
            </w:r>
            <w:r>
              <w:rPr>
                <w:rFonts w:hint="eastAsia" w:ascii="Times New Roman" w:hAnsi="Times New Roman" w:eastAsia="宋体" w:cs="Times New Roman"/>
                <w:bCs/>
                <w:sz w:val="21"/>
                <w:szCs w:val="21"/>
                <w:lang w:val="en-US" w:eastAsia="zh-CN"/>
              </w:rPr>
              <w:t>为</w:t>
            </w:r>
            <w:r>
              <w:rPr>
                <w:rFonts w:hint="default" w:ascii="Times New Roman" w:hAnsi="Times New Roman" w:eastAsia="宋体" w:cs="Times New Roman"/>
                <w:bCs/>
                <w:sz w:val="21"/>
                <w:szCs w:val="21"/>
                <w:lang w:val="en-US" w:eastAsia="zh-CN"/>
              </w:rPr>
              <w:t>90~500</w:t>
            </w:r>
            <w:r>
              <w:rPr>
                <w:rFonts w:hint="eastAsia" w:ascii="Times New Roman" w:hAnsi="Times New Roman" w:eastAsia="宋体" w:cs="Times New Roman"/>
                <w:bCs/>
                <w:sz w:val="21"/>
                <w:szCs w:val="21"/>
                <w:lang w:val="en-US" w:eastAsia="zh-CN"/>
              </w:rPr>
              <w:t xml:space="preserve"> </w:t>
            </w:r>
            <w:r>
              <w:rPr>
                <w:rFonts w:hint="default" w:ascii="Times New Roman" w:hAnsi="Times New Roman" w:eastAsia="宋体" w:cs="Times New Roman"/>
                <w:bCs/>
                <w:sz w:val="21"/>
                <w:szCs w:val="21"/>
                <w:lang w:val="en-US" w:eastAsia="zh-CN"/>
              </w:rPr>
              <w:t>K，多通道信号转换器可实现温度测量通道不少于</w:t>
            </w:r>
            <w:r>
              <w:rPr>
                <w:rFonts w:hint="eastAsia" w:eastAsia="宋体" w:cs="Times New Roman"/>
                <w:bCs/>
                <w:sz w:val="21"/>
                <w:szCs w:val="21"/>
                <w:lang w:val="en-US" w:eastAsia="zh-CN"/>
              </w:rPr>
              <w:t>2</w:t>
            </w:r>
            <w:r>
              <w:rPr>
                <w:rFonts w:hint="default" w:ascii="Times New Roman" w:hAnsi="Times New Roman" w:eastAsia="宋体" w:cs="Times New Roman"/>
                <w:bCs/>
                <w:sz w:val="21"/>
                <w:szCs w:val="21"/>
                <w:lang w:val="en-US" w:eastAsia="zh-CN"/>
              </w:rPr>
              <w:t>路，宽温域温度传感器的温度测量精度优于±2</w:t>
            </w:r>
            <w:r>
              <w:rPr>
                <w:rFonts w:hint="eastAsia" w:ascii="Times New Roman" w:hAnsi="Times New Roman" w:eastAsia="宋体" w:cs="Times New Roman"/>
                <w:bCs/>
                <w:sz w:val="21"/>
                <w:szCs w:val="21"/>
                <w:lang w:val="en-US" w:eastAsia="zh-CN"/>
              </w:rPr>
              <w:t xml:space="preserve"> </w:t>
            </w:r>
            <w:r>
              <w:rPr>
                <w:rFonts w:hint="default" w:ascii="Times New Roman" w:hAnsi="Times New Roman" w:eastAsia="宋体" w:cs="Times New Roman"/>
                <w:bCs/>
                <w:sz w:val="21"/>
                <w:szCs w:val="21"/>
                <w:lang w:val="en-US" w:eastAsia="zh-CN"/>
              </w:rPr>
              <w:t>K，温度传感器满足便携装拆设计，项目验收时温度传感器需提供校准证书。</w:t>
            </w:r>
          </w:p>
        </w:tc>
      </w:tr>
      <w:tr w14:paraId="6DF6C3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57FF1BA2">
            <w:pPr>
              <w:rPr>
                <w:rFonts w:hint="default" w:ascii="Times New Roman" w:hAnsi="Times New Roman" w:eastAsia="宋体" w:cs="Times New Roman"/>
                <w:bCs/>
                <w:sz w:val="21"/>
                <w:szCs w:val="21"/>
                <w:lang w:val="en-US" w:eastAsia="zh-CN"/>
              </w:rPr>
            </w:pPr>
          </w:p>
        </w:tc>
        <w:tc>
          <w:tcPr>
            <w:tcW w:w="1302" w:type="dxa"/>
            <w:vMerge w:val="continue"/>
            <w:tcBorders>
              <w:tl2br w:val="nil"/>
              <w:tr2bl w:val="nil"/>
            </w:tcBorders>
            <w:vAlign w:val="center"/>
          </w:tcPr>
          <w:p w14:paraId="72A77D7F">
            <w:pPr>
              <w:rPr>
                <w:rFonts w:hint="default" w:ascii="Times New Roman" w:hAnsi="Times New Roman" w:eastAsia="宋体" w:cs="Times New Roman"/>
                <w:bCs/>
                <w:sz w:val="21"/>
                <w:szCs w:val="21"/>
                <w:lang w:val="en-US" w:eastAsia="zh-CN"/>
              </w:rPr>
            </w:pPr>
          </w:p>
        </w:tc>
        <w:tc>
          <w:tcPr>
            <w:tcW w:w="6804" w:type="dxa"/>
            <w:tcBorders>
              <w:tl2br w:val="nil"/>
              <w:tr2bl w:val="nil"/>
            </w:tcBorders>
            <w:vAlign w:val="center"/>
          </w:tcPr>
          <w:p w14:paraId="0A5402A8">
            <w:pP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2.3高低温样品台需配备导冷组件、样品托及隔热模块，导冷组件用于实现冷源与样品托的紧密连接，在可靠高效导冷的同时满足样品托位移需求；样品托具备样品可靠夹持的功能，选用高热导率材质且内部预留加热模块安装接口，用于对样品进行导冷和传热；隔热模块用于隔离样品托与位移台的热传导，并在高温场景下保护冷源。</w:t>
            </w:r>
          </w:p>
        </w:tc>
      </w:tr>
      <w:tr w14:paraId="09EEA0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4FBAE123">
            <w:pPr>
              <w:rPr>
                <w:rFonts w:hint="default" w:ascii="Times New Roman" w:hAnsi="Times New Roman" w:eastAsia="宋体" w:cs="Times New Roman"/>
                <w:bCs/>
                <w:sz w:val="21"/>
                <w:szCs w:val="21"/>
                <w:lang w:val="en-US" w:eastAsia="zh-CN"/>
              </w:rPr>
            </w:pPr>
          </w:p>
        </w:tc>
        <w:tc>
          <w:tcPr>
            <w:tcW w:w="1302" w:type="dxa"/>
            <w:vMerge w:val="continue"/>
            <w:tcBorders>
              <w:tl2br w:val="nil"/>
              <w:tr2bl w:val="nil"/>
            </w:tcBorders>
            <w:vAlign w:val="center"/>
          </w:tcPr>
          <w:p w14:paraId="61AAB848">
            <w:pPr>
              <w:rPr>
                <w:rFonts w:hint="default" w:ascii="Times New Roman" w:hAnsi="Times New Roman" w:eastAsia="宋体" w:cs="Times New Roman"/>
                <w:bCs/>
                <w:sz w:val="21"/>
                <w:szCs w:val="21"/>
                <w:lang w:val="en-US" w:eastAsia="zh-CN"/>
              </w:rPr>
            </w:pPr>
          </w:p>
        </w:tc>
        <w:tc>
          <w:tcPr>
            <w:tcW w:w="6804" w:type="dxa"/>
            <w:tcBorders>
              <w:tl2br w:val="nil"/>
              <w:tr2bl w:val="nil"/>
            </w:tcBorders>
            <w:vAlign w:val="center"/>
          </w:tcPr>
          <w:p w14:paraId="2955CCD4">
            <w:pP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2.4冷源及高低温样品台布局及材质设计需考虑辐照环境影响。</w:t>
            </w:r>
          </w:p>
        </w:tc>
      </w:tr>
      <w:tr w14:paraId="3D2843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3B12E929">
            <w:pPr>
              <w:rPr>
                <w:rFonts w:hint="default" w:ascii="Times New Roman" w:hAnsi="Times New Roman" w:eastAsia="宋体" w:cs="Times New Roman"/>
                <w:bCs/>
                <w:sz w:val="21"/>
                <w:szCs w:val="21"/>
                <w:lang w:val="en-US" w:eastAsia="zh-CN"/>
              </w:rPr>
            </w:pPr>
          </w:p>
        </w:tc>
        <w:tc>
          <w:tcPr>
            <w:tcW w:w="1302" w:type="dxa"/>
            <w:vMerge w:val="continue"/>
            <w:tcBorders>
              <w:tl2br w:val="nil"/>
              <w:tr2bl w:val="nil"/>
            </w:tcBorders>
            <w:vAlign w:val="center"/>
          </w:tcPr>
          <w:p w14:paraId="278ABFB2">
            <w:pPr>
              <w:rPr>
                <w:rFonts w:hint="default" w:ascii="Times New Roman" w:hAnsi="Times New Roman" w:eastAsia="宋体" w:cs="Times New Roman"/>
                <w:bCs/>
                <w:sz w:val="21"/>
                <w:szCs w:val="21"/>
                <w:lang w:val="en-US" w:eastAsia="zh-CN"/>
              </w:rPr>
            </w:pPr>
          </w:p>
        </w:tc>
        <w:tc>
          <w:tcPr>
            <w:tcW w:w="6804" w:type="dxa"/>
            <w:tcBorders>
              <w:tl2br w:val="nil"/>
              <w:tr2bl w:val="nil"/>
            </w:tcBorders>
            <w:vAlign w:val="center"/>
          </w:tcPr>
          <w:p w14:paraId="0F54398F">
            <w:pP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2.5真空防辐射组件包括废束站、厚铅屏风、厚中子屏风、铅衣和手持式长杆伽马剂量仪等，用于收集废束并进行屏蔽与防护。废束站用于实现对废弃束流的有效收集，厚铅屏风、厚中子屏风用于对试验后样品平台及束流管道重要活化设备的辐射屏蔽，手持式长杆伽马剂量仪和铅衣用于对试验人员的辐射防护。</w:t>
            </w:r>
          </w:p>
        </w:tc>
      </w:tr>
      <w:tr w14:paraId="7E7CB1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4F4A3EB5">
            <w:pPr>
              <w:rPr>
                <w:rFonts w:hint="default" w:ascii="Times New Roman" w:hAnsi="Times New Roman" w:eastAsia="宋体" w:cs="Times New Roman"/>
                <w:bCs/>
                <w:sz w:val="21"/>
                <w:szCs w:val="21"/>
                <w:lang w:val="en-US" w:eastAsia="zh-CN"/>
              </w:rPr>
            </w:pPr>
          </w:p>
        </w:tc>
        <w:tc>
          <w:tcPr>
            <w:tcW w:w="1302" w:type="dxa"/>
            <w:vMerge w:val="continue"/>
            <w:tcBorders>
              <w:tl2br w:val="nil"/>
              <w:tr2bl w:val="nil"/>
            </w:tcBorders>
            <w:vAlign w:val="center"/>
          </w:tcPr>
          <w:p w14:paraId="129157FF">
            <w:pPr>
              <w:rPr>
                <w:rFonts w:hint="default" w:ascii="Times New Roman" w:hAnsi="Times New Roman" w:eastAsia="宋体" w:cs="Times New Roman"/>
                <w:bCs/>
                <w:sz w:val="21"/>
                <w:szCs w:val="21"/>
                <w:lang w:val="en-US" w:eastAsia="zh-CN"/>
              </w:rPr>
            </w:pPr>
          </w:p>
        </w:tc>
        <w:tc>
          <w:tcPr>
            <w:tcW w:w="6804" w:type="dxa"/>
            <w:tcBorders>
              <w:tl2br w:val="nil"/>
              <w:tr2bl w:val="nil"/>
            </w:tcBorders>
            <w:vAlign w:val="center"/>
          </w:tcPr>
          <w:p w14:paraId="5626E5C2">
            <w:pP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▲2.6</w:t>
            </w:r>
            <w:r>
              <w:rPr>
                <w:rFonts w:hint="eastAsia" w:eastAsia="宋体" w:cs="Times New Roman"/>
                <w:bCs/>
                <w:sz w:val="21"/>
                <w:szCs w:val="21"/>
                <w:lang w:val="en-US" w:eastAsia="zh-CN"/>
              </w:rPr>
              <w:t>中标后，投标人应</w:t>
            </w:r>
            <w:r>
              <w:rPr>
                <w:rFonts w:hint="default" w:ascii="Times New Roman" w:hAnsi="Times New Roman" w:eastAsia="宋体" w:cs="Times New Roman"/>
                <w:bCs/>
                <w:sz w:val="21"/>
                <w:szCs w:val="21"/>
                <w:lang w:val="en-US" w:eastAsia="zh-CN"/>
              </w:rPr>
              <w:t>提供辐照终端屏蔽</w:t>
            </w:r>
            <w:r>
              <w:rPr>
                <w:rFonts w:hint="eastAsia" w:eastAsia="宋体" w:cs="Times New Roman"/>
                <w:bCs/>
                <w:sz w:val="21"/>
                <w:szCs w:val="21"/>
                <w:lang w:val="en-US" w:eastAsia="zh-CN"/>
              </w:rPr>
              <w:t>设计</w:t>
            </w:r>
            <w:r>
              <w:rPr>
                <w:rFonts w:hint="default" w:ascii="Times New Roman" w:hAnsi="Times New Roman" w:eastAsia="宋体" w:cs="Times New Roman"/>
                <w:bCs/>
                <w:sz w:val="21"/>
                <w:szCs w:val="21"/>
                <w:lang w:val="en-US" w:eastAsia="zh-CN"/>
              </w:rPr>
              <w:t>方案，对重点部位进行局部屏蔽，提供能量沉积效率（在束流垃圾桶内沉积的全部能量与入射到束流垃圾桶内的全部质子能量的比值）≥95%的仿真分析报告。</w:t>
            </w:r>
          </w:p>
        </w:tc>
      </w:tr>
      <w:tr w14:paraId="736EF5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1D86DF07">
            <w:pPr>
              <w:rPr>
                <w:rFonts w:hint="default" w:ascii="Times New Roman" w:hAnsi="Times New Roman" w:eastAsia="宋体" w:cs="Times New Roman"/>
                <w:bCs/>
                <w:sz w:val="21"/>
                <w:szCs w:val="21"/>
                <w:lang w:val="en-US" w:eastAsia="zh-CN"/>
              </w:rPr>
            </w:pPr>
          </w:p>
        </w:tc>
        <w:tc>
          <w:tcPr>
            <w:tcW w:w="1302" w:type="dxa"/>
            <w:vMerge w:val="continue"/>
            <w:tcBorders>
              <w:tl2br w:val="nil"/>
              <w:tr2bl w:val="nil"/>
            </w:tcBorders>
            <w:vAlign w:val="center"/>
          </w:tcPr>
          <w:p w14:paraId="7E7F5F14">
            <w:pPr>
              <w:rPr>
                <w:rFonts w:hint="default" w:ascii="Times New Roman" w:hAnsi="Times New Roman" w:eastAsia="宋体" w:cs="Times New Roman"/>
                <w:bCs/>
                <w:sz w:val="21"/>
                <w:szCs w:val="21"/>
                <w:lang w:val="en-US" w:eastAsia="zh-CN"/>
              </w:rPr>
            </w:pPr>
          </w:p>
        </w:tc>
        <w:tc>
          <w:tcPr>
            <w:tcW w:w="6804" w:type="dxa"/>
            <w:tcBorders>
              <w:tl2br w:val="nil"/>
              <w:tr2bl w:val="nil"/>
            </w:tcBorders>
            <w:vAlign w:val="center"/>
          </w:tcPr>
          <w:p w14:paraId="32EEF8D1">
            <w:pP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2.7屏蔽废束站使用复合材料，由靶芯和屏蔽体组成，设置自动铅屏蔽门。</w:t>
            </w:r>
          </w:p>
        </w:tc>
      </w:tr>
      <w:tr w14:paraId="3247E9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restart"/>
            <w:tcBorders>
              <w:tl2br w:val="nil"/>
              <w:tr2bl w:val="nil"/>
            </w:tcBorders>
            <w:vAlign w:val="center"/>
          </w:tcPr>
          <w:p w14:paraId="1AFAA328">
            <w:pPr>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3</w:t>
            </w:r>
          </w:p>
        </w:tc>
        <w:tc>
          <w:tcPr>
            <w:tcW w:w="1302" w:type="dxa"/>
            <w:vMerge w:val="restart"/>
            <w:tcBorders>
              <w:tl2br w:val="nil"/>
              <w:tr2bl w:val="nil"/>
            </w:tcBorders>
            <w:vAlign w:val="center"/>
          </w:tcPr>
          <w:p w14:paraId="2BCE53A4">
            <w:pPr>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束流检测装置</w:t>
            </w:r>
          </w:p>
        </w:tc>
        <w:tc>
          <w:tcPr>
            <w:tcW w:w="6804" w:type="dxa"/>
            <w:tcBorders>
              <w:tl2br w:val="nil"/>
              <w:tr2bl w:val="nil"/>
            </w:tcBorders>
            <w:vAlign w:val="center"/>
          </w:tcPr>
          <w:p w14:paraId="642BBDF7">
            <w:pP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★3.1</w:t>
            </w:r>
            <w:r>
              <w:rPr>
                <w:rFonts w:hint="eastAsia" w:ascii="Times New Roman" w:hAnsi="Times New Roman" w:eastAsia="宋体" w:cs="Times New Roman"/>
                <w:bCs/>
                <w:sz w:val="21"/>
                <w:szCs w:val="21"/>
                <w:lang w:val="en-US" w:eastAsia="zh-CN"/>
              </w:rPr>
              <w:t>束流检测装置</w:t>
            </w:r>
            <w:r>
              <w:rPr>
                <w:rFonts w:hint="default" w:ascii="Times New Roman" w:hAnsi="Times New Roman" w:eastAsia="宋体" w:cs="Times New Roman"/>
                <w:bCs/>
                <w:sz w:val="21"/>
                <w:szCs w:val="21"/>
                <w:lang w:val="en-US" w:eastAsia="zh-CN"/>
              </w:rPr>
              <w:t>包括两级降能、多级降束、法拉第筒及前端电子学、闪烁体探测器及前端电子学、二次电子探测器及前端电子学、条电极探测器及前端电子学、后端电子学及数据获取系统、束流能量探测器系统、荧光靶、电子学风冷机柜、探测器隔振承重平台等。</w:t>
            </w:r>
          </w:p>
        </w:tc>
      </w:tr>
      <w:tr w14:paraId="07FAE3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54650B3E">
            <w:pPr>
              <w:jc w:val="center"/>
              <w:rPr>
                <w:rFonts w:hint="default" w:ascii="Times New Roman" w:hAnsi="Times New Roman" w:eastAsia="宋体" w:cs="Times New Roman"/>
                <w:bCs/>
                <w:sz w:val="21"/>
                <w:szCs w:val="21"/>
                <w:lang w:val="en-US" w:eastAsia="zh-CN"/>
              </w:rPr>
            </w:pPr>
          </w:p>
        </w:tc>
        <w:tc>
          <w:tcPr>
            <w:tcW w:w="1302" w:type="dxa"/>
            <w:vMerge w:val="continue"/>
            <w:tcBorders>
              <w:tl2br w:val="nil"/>
              <w:tr2bl w:val="nil"/>
            </w:tcBorders>
            <w:vAlign w:val="center"/>
          </w:tcPr>
          <w:p w14:paraId="43D43F89">
            <w:pPr>
              <w:jc w:val="center"/>
              <w:rPr>
                <w:rFonts w:hint="default" w:ascii="Times New Roman" w:hAnsi="Times New Roman" w:eastAsia="宋体" w:cs="Times New Roman"/>
                <w:bCs/>
                <w:sz w:val="21"/>
                <w:szCs w:val="21"/>
                <w:lang w:val="en-US" w:eastAsia="zh-CN"/>
              </w:rPr>
            </w:pPr>
          </w:p>
        </w:tc>
        <w:tc>
          <w:tcPr>
            <w:tcW w:w="6804" w:type="dxa"/>
            <w:tcBorders>
              <w:tl2br w:val="nil"/>
              <w:tr2bl w:val="nil"/>
            </w:tcBorders>
            <w:vAlign w:val="center"/>
          </w:tcPr>
          <w:p w14:paraId="70E7BBE9">
            <w:pP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★3.2束流检测装置可测量的最大辐照面积≥5 cm×5 cm，束流探测能量范围为30~100 MeV，可探测注量率在10</w:t>
            </w:r>
            <w:r>
              <w:rPr>
                <w:rFonts w:hint="default" w:ascii="Times New Roman" w:hAnsi="Times New Roman" w:eastAsia="宋体" w:cs="Times New Roman"/>
                <w:bCs/>
                <w:sz w:val="21"/>
                <w:szCs w:val="21"/>
                <w:vertAlign w:val="superscript"/>
                <w:lang w:val="en-US" w:eastAsia="zh-CN"/>
              </w:rPr>
              <w:t>5</w:t>
            </w:r>
            <w:r>
              <w:rPr>
                <w:rFonts w:hint="default" w:ascii="Times New Roman" w:hAnsi="Times New Roman" w:eastAsia="宋体" w:cs="Times New Roman"/>
                <w:bCs/>
                <w:sz w:val="21"/>
                <w:szCs w:val="21"/>
                <w:lang w:val="en-US" w:eastAsia="zh-CN"/>
              </w:rPr>
              <w:t>~10</w:t>
            </w:r>
            <w:r>
              <w:rPr>
                <w:rFonts w:hint="default" w:ascii="Times New Roman" w:hAnsi="Times New Roman" w:eastAsia="宋体" w:cs="Times New Roman"/>
                <w:bCs/>
                <w:sz w:val="21"/>
                <w:szCs w:val="21"/>
                <w:vertAlign w:val="superscript"/>
                <w:lang w:val="en-US" w:eastAsia="zh-CN"/>
              </w:rPr>
              <w:t xml:space="preserve">8 </w:t>
            </w:r>
            <w:r>
              <w:rPr>
                <w:rFonts w:hint="default" w:ascii="Times New Roman" w:hAnsi="Times New Roman" w:eastAsia="宋体" w:cs="Times New Roman"/>
                <w:bCs/>
                <w:sz w:val="21"/>
                <w:szCs w:val="21"/>
                <w:vertAlign w:val="baseline"/>
                <w:lang w:val="en-US" w:eastAsia="zh-CN"/>
              </w:rPr>
              <w:t>p·</w:t>
            </w:r>
            <w:r>
              <w:rPr>
                <w:rFonts w:hint="default" w:ascii="Times New Roman" w:hAnsi="Times New Roman" w:eastAsia="宋体" w:cs="Times New Roman"/>
                <w:bCs/>
                <w:sz w:val="21"/>
                <w:szCs w:val="21"/>
                <w:lang w:val="en-US" w:eastAsia="zh-CN"/>
              </w:rPr>
              <w:t>cm</w:t>
            </w:r>
            <w:r>
              <w:rPr>
                <w:rFonts w:hint="default" w:ascii="Times New Roman" w:hAnsi="Times New Roman" w:eastAsia="宋体" w:cs="Times New Roman"/>
                <w:bCs/>
                <w:sz w:val="21"/>
                <w:szCs w:val="21"/>
                <w:vertAlign w:val="superscript"/>
                <w:lang w:val="en-US" w:eastAsia="zh-CN"/>
              </w:rPr>
              <w:t>-2</w:t>
            </w:r>
            <w:r>
              <w:rPr>
                <w:rFonts w:hint="default" w:ascii="Times New Roman" w:hAnsi="Times New Roman" w:eastAsia="宋体" w:cs="Times New Roman"/>
                <w:bCs/>
                <w:sz w:val="21"/>
                <w:szCs w:val="21"/>
                <w:vertAlign w:val="baseline"/>
                <w:lang w:val="en-US" w:eastAsia="zh-CN"/>
              </w:rPr>
              <w:t>·</w:t>
            </w:r>
            <w:r>
              <w:rPr>
                <w:rFonts w:hint="default" w:ascii="Times New Roman" w:hAnsi="Times New Roman" w:eastAsia="宋体" w:cs="Times New Roman"/>
                <w:bCs/>
                <w:sz w:val="21"/>
                <w:szCs w:val="21"/>
                <w:lang w:val="en-US" w:eastAsia="zh-CN"/>
              </w:rPr>
              <w:t>s</w:t>
            </w:r>
            <w:r>
              <w:rPr>
                <w:rFonts w:hint="default" w:ascii="Times New Roman" w:hAnsi="Times New Roman" w:eastAsia="宋体" w:cs="Times New Roman"/>
                <w:bCs/>
                <w:sz w:val="21"/>
                <w:szCs w:val="21"/>
                <w:vertAlign w:val="superscript"/>
                <w:lang w:val="en-US" w:eastAsia="zh-CN"/>
              </w:rPr>
              <w:t>-1</w:t>
            </w:r>
            <w:r>
              <w:rPr>
                <w:rFonts w:hint="default" w:ascii="Times New Roman" w:hAnsi="Times New Roman" w:eastAsia="宋体" w:cs="Times New Roman"/>
                <w:bCs/>
                <w:sz w:val="21"/>
                <w:szCs w:val="21"/>
                <w:lang w:val="en-US" w:eastAsia="zh-CN"/>
              </w:rPr>
              <w:t>的质子束流，非测试状态时可以将主真空腔室内的探测器移出束流区域。</w:t>
            </w:r>
          </w:p>
        </w:tc>
      </w:tr>
      <w:tr w14:paraId="2E9BF6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7C8AB98C">
            <w:pPr>
              <w:rPr>
                <w:rFonts w:hint="default" w:ascii="Times New Roman" w:hAnsi="Times New Roman" w:eastAsia="宋体" w:cs="Times New Roman"/>
                <w:bCs/>
                <w:sz w:val="21"/>
                <w:szCs w:val="21"/>
                <w:lang w:val="en-US" w:eastAsia="zh-CN"/>
              </w:rPr>
            </w:pPr>
          </w:p>
        </w:tc>
        <w:tc>
          <w:tcPr>
            <w:tcW w:w="1302" w:type="dxa"/>
            <w:vMerge w:val="continue"/>
            <w:tcBorders>
              <w:tl2br w:val="nil"/>
              <w:tr2bl w:val="nil"/>
            </w:tcBorders>
            <w:vAlign w:val="center"/>
          </w:tcPr>
          <w:p w14:paraId="027BFE50">
            <w:pPr>
              <w:rPr>
                <w:rFonts w:hint="default" w:ascii="Times New Roman" w:hAnsi="Times New Roman" w:eastAsia="宋体" w:cs="Times New Roman"/>
                <w:bCs/>
                <w:sz w:val="21"/>
                <w:szCs w:val="21"/>
                <w:lang w:val="en-US" w:eastAsia="zh-CN"/>
              </w:rPr>
            </w:pPr>
          </w:p>
        </w:tc>
        <w:tc>
          <w:tcPr>
            <w:tcW w:w="6804" w:type="dxa"/>
            <w:tcBorders>
              <w:tl2br w:val="nil"/>
              <w:tr2bl w:val="nil"/>
            </w:tcBorders>
            <w:vAlign w:val="center"/>
          </w:tcPr>
          <w:p w14:paraId="44773C5B">
            <w:pPr>
              <w:rPr>
                <w:rFonts w:hint="default"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3.3</w:t>
            </w:r>
            <w:r>
              <w:rPr>
                <w:rFonts w:hint="default" w:ascii="Times New Roman" w:hAnsi="Times New Roman" w:eastAsia="宋体" w:cs="Times New Roman"/>
                <w:bCs/>
                <w:sz w:val="21"/>
                <w:szCs w:val="21"/>
                <w:lang w:val="en-US" w:eastAsia="zh-CN"/>
              </w:rPr>
              <w:t>需配备降能系统包括降能片组、气动装置和远程控制器等。降能系统采取多种厚度降能片组合的方式，束斑尺寸不小于5</w:t>
            </w:r>
            <w:r>
              <w:rPr>
                <w:rFonts w:hint="eastAsia" w:ascii="Times New Roman" w:hAnsi="Times New Roman" w:eastAsia="宋体" w:cs="Times New Roman"/>
                <w:bCs/>
                <w:sz w:val="21"/>
                <w:szCs w:val="21"/>
                <w:lang w:val="en-US" w:eastAsia="zh-CN"/>
              </w:rPr>
              <w:t xml:space="preserve"> </w:t>
            </w:r>
            <w:r>
              <w:rPr>
                <w:rFonts w:hint="default" w:ascii="Times New Roman" w:hAnsi="Times New Roman" w:eastAsia="宋体" w:cs="Times New Roman"/>
                <w:bCs/>
                <w:sz w:val="21"/>
                <w:szCs w:val="21"/>
                <w:lang w:val="en-US" w:eastAsia="zh-CN"/>
              </w:rPr>
              <w:t>cm×5 cm的情况下，质子能量30-100 MeV准连续可调。</w:t>
            </w:r>
          </w:p>
        </w:tc>
      </w:tr>
      <w:tr w14:paraId="61F575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62943736">
            <w:pPr>
              <w:rPr>
                <w:rFonts w:hint="default" w:ascii="Times New Roman" w:hAnsi="Times New Roman" w:eastAsia="宋体" w:cs="Times New Roman"/>
                <w:bCs/>
                <w:sz w:val="21"/>
                <w:szCs w:val="21"/>
                <w:lang w:val="en-US" w:eastAsia="zh-CN"/>
              </w:rPr>
            </w:pPr>
          </w:p>
        </w:tc>
        <w:tc>
          <w:tcPr>
            <w:tcW w:w="1302" w:type="dxa"/>
            <w:vMerge w:val="continue"/>
            <w:tcBorders>
              <w:tl2br w:val="nil"/>
              <w:tr2bl w:val="nil"/>
            </w:tcBorders>
            <w:vAlign w:val="center"/>
          </w:tcPr>
          <w:p w14:paraId="0CE31356">
            <w:pPr>
              <w:rPr>
                <w:rFonts w:hint="default" w:ascii="Times New Roman" w:hAnsi="Times New Roman" w:eastAsia="宋体" w:cs="Times New Roman"/>
                <w:bCs/>
                <w:sz w:val="21"/>
                <w:szCs w:val="21"/>
                <w:lang w:val="en-US" w:eastAsia="zh-CN"/>
              </w:rPr>
            </w:pPr>
          </w:p>
        </w:tc>
        <w:tc>
          <w:tcPr>
            <w:tcW w:w="6804" w:type="dxa"/>
            <w:tcBorders>
              <w:tl2br w:val="nil"/>
              <w:tr2bl w:val="nil"/>
            </w:tcBorders>
            <w:vAlign w:val="center"/>
          </w:tcPr>
          <w:p w14:paraId="3E83B086">
            <w:pPr>
              <w:rPr>
                <w:rFonts w:hint="default"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3.4</w:t>
            </w:r>
            <w:r>
              <w:rPr>
                <w:rFonts w:hint="default" w:ascii="Times New Roman" w:hAnsi="Times New Roman" w:eastAsia="宋体" w:cs="Times New Roman"/>
                <w:bCs/>
                <w:sz w:val="21"/>
                <w:szCs w:val="21"/>
              </w:rPr>
              <w:t>降能片在束、不在束状态的控制通过气动装置来执行，并设计降能器自动化控制软件。自动化控制软件通过输入预期质子能量，由程序自动组合降能片实现所需能量。</w:t>
            </w:r>
          </w:p>
        </w:tc>
      </w:tr>
      <w:tr w14:paraId="2666B4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632D5780">
            <w:pPr>
              <w:rPr>
                <w:rFonts w:hint="default" w:ascii="Times New Roman" w:hAnsi="Times New Roman" w:eastAsia="宋体" w:cs="Times New Roman"/>
                <w:bCs/>
                <w:sz w:val="21"/>
                <w:szCs w:val="21"/>
                <w:lang w:val="en-US" w:eastAsia="zh-CN"/>
              </w:rPr>
            </w:pPr>
          </w:p>
        </w:tc>
        <w:tc>
          <w:tcPr>
            <w:tcW w:w="1302" w:type="dxa"/>
            <w:vMerge w:val="continue"/>
            <w:tcBorders>
              <w:tl2br w:val="nil"/>
              <w:tr2bl w:val="nil"/>
            </w:tcBorders>
            <w:vAlign w:val="center"/>
          </w:tcPr>
          <w:p w14:paraId="076E4D12">
            <w:pPr>
              <w:rPr>
                <w:rFonts w:hint="default" w:ascii="Times New Roman" w:hAnsi="Times New Roman" w:eastAsia="宋体" w:cs="Times New Roman"/>
                <w:bCs/>
                <w:sz w:val="21"/>
                <w:szCs w:val="21"/>
              </w:rPr>
            </w:pPr>
          </w:p>
        </w:tc>
        <w:tc>
          <w:tcPr>
            <w:tcW w:w="6804" w:type="dxa"/>
            <w:tcBorders>
              <w:tl2br w:val="nil"/>
              <w:tr2bl w:val="nil"/>
            </w:tcBorders>
            <w:vAlign w:val="center"/>
          </w:tcPr>
          <w:p w14:paraId="2202A7DF">
            <w:pPr>
              <w:rPr>
                <w:rFonts w:hint="default" w:ascii="Times New Roman" w:hAnsi="Times New Roman" w:eastAsia="宋体" w:cs="Times New Roman"/>
                <w:bCs/>
                <w:sz w:val="21"/>
                <w:szCs w:val="21"/>
                <w:lang w:eastAsia="zh-CN"/>
              </w:rPr>
            </w:pPr>
            <w:r>
              <w:rPr>
                <w:rFonts w:hint="eastAsia" w:ascii="Times New Roman" w:hAnsi="Times New Roman" w:eastAsia="宋体" w:cs="Times New Roman"/>
                <w:bCs/>
                <w:sz w:val="21"/>
                <w:szCs w:val="21"/>
                <w:lang w:val="en-US" w:eastAsia="zh-CN"/>
              </w:rPr>
              <w:t>3.5</w:t>
            </w:r>
            <w:r>
              <w:rPr>
                <w:rFonts w:hint="default" w:ascii="Times New Roman" w:hAnsi="Times New Roman" w:eastAsia="宋体" w:cs="Times New Roman"/>
                <w:bCs/>
                <w:sz w:val="21"/>
                <w:szCs w:val="21"/>
              </w:rPr>
              <w:t>辐照终端配置束斑可调装置，束斑可调节范围0.5×0.5 cm</w:t>
            </w:r>
            <w:r>
              <w:rPr>
                <w:rFonts w:hint="default" w:ascii="Times New Roman" w:hAnsi="Times New Roman" w:eastAsia="宋体" w:cs="Times New Roman"/>
                <w:bCs/>
                <w:sz w:val="21"/>
                <w:szCs w:val="21"/>
                <w:vertAlign w:val="superscript"/>
              </w:rPr>
              <w:t>2</w:t>
            </w:r>
            <w:r>
              <w:rPr>
                <w:rFonts w:hint="default" w:ascii="Times New Roman" w:hAnsi="Times New Roman" w:eastAsia="宋体" w:cs="Times New Roman"/>
                <w:bCs/>
                <w:sz w:val="21"/>
                <w:szCs w:val="21"/>
                <w:lang w:val="en-US" w:eastAsia="zh-CN"/>
              </w:rPr>
              <w:t>~</w:t>
            </w:r>
            <w:r>
              <w:rPr>
                <w:rFonts w:hint="default" w:ascii="Times New Roman" w:hAnsi="Times New Roman" w:eastAsia="宋体" w:cs="Times New Roman"/>
                <w:bCs/>
                <w:sz w:val="21"/>
                <w:szCs w:val="21"/>
              </w:rPr>
              <w:t>5×5 cm</w:t>
            </w:r>
            <w:r>
              <w:rPr>
                <w:rFonts w:hint="default" w:ascii="Times New Roman" w:hAnsi="Times New Roman" w:eastAsia="宋体" w:cs="Times New Roman"/>
                <w:bCs/>
                <w:sz w:val="21"/>
                <w:szCs w:val="21"/>
                <w:vertAlign w:val="superscript"/>
              </w:rPr>
              <w:t>2</w:t>
            </w:r>
            <w:r>
              <w:rPr>
                <w:rFonts w:hint="default" w:ascii="Times New Roman" w:hAnsi="Times New Roman" w:eastAsia="宋体" w:cs="Times New Roman"/>
                <w:bCs/>
                <w:sz w:val="21"/>
                <w:szCs w:val="21"/>
              </w:rPr>
              <w:t>。</w:t>
            </w:r>
          </w:p>
        </w:tc>
      </w:tr>
      <w:tr w14:paraId="14330D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7A562DB1">
            <w:pPr>
              <w:rPr>
                <w:rFonts w:hint="default" w:ascii="Times New Roman" w:hAnsi="Times New Roman" w:eastAsia="宋体" w:cs="Times New Roman"/>
                <w:bCs/>
                <w:sz w:val="21"/>
                <w:szCs w:val="21"/>
                <w:lang w:val="en-US" w:eastAsia="zh-CN"/>
              </w:rPr>
            </w:pPr>
          </w:p>
        </w:tc>
        <w:tc>
          <w:tcPr>
            <w:tcW w:w="1302" w:type="dxa"/>
            <w:vMerge w:val="continue"/>
            <w:tcBorders>
              <w:tl2br w:val="nil"/>
              <w:tr2bl w:val="nil"/>
            </w:tcBorders>
            <w:vAlign w:val="center"/>
          </w:tcPr>
          <w:p w14:paraId="4E4B223B">
            <w:pPr>
              <w:rPr>
                <w:rFonts w:hint="default" w:ascii="Times New Roman" w:hAnsi="Times New Roman" w:eastAsia="宋体" w:cs="Times New Roman"/>
                <w:bCs/>
                <w:sz w:val="21"/>
                <w:szCs w:val="21"/>
              </w:rPr>
            </w:pPr>
          </w:p>
        </w:tc>
        <w:tc>
          <w:tcPr>
            <w:tcW w:w="6804" w:type="dxa"/>
            <w:tcBorders>
              <w:tl2br w:val="nil"/>
              <w:tr2bl w:val="nil"/>
            </w:tcBorders>
            <w:vAlign w:val="center"/>
          </w:tcPr>
          <w:p w14:paraId="09DF8197">
            <w:pPr>
              <w:rPr>
                <w:rFonts w:hint="default" w:ascii="Times New Roman" w:hAnsi="Times New Roman" w:eastAsia="宋体" w:cs="Times New Roman"/>
                <w:bCs/>
                <w:sz w:val="21"/>
                <w:szCs w:val="21"/>
                <w:lang w:eastAsia="zh-CN"/>
              </w:rPr>
            </w:pPr>
            <w:r>
              <w:rPr>
                <w:rFonts w:hint="default" w:ascii="Times New Roman" w:hAnsi="Times New Roman" w:eastAsia="宋体" w:cs="Times New Roman"/>
                <w:bCs/>
                <w:sz w:val="21"/>
                <w:szCs w:val="21"/>
              </w:rPr>
              <w:t>▲3.</w:t>
            </w:r>
            <w:r>
              <w:rPr>
                <w:rFonts w:hint="default" w:ascii="Times New Roman" w:hAnsi="Times New Roman" w:eastAsia="宋体" w:cs="Times New Roman"/>
                <w:bCs/>
                <w:sz w:val="21"/>
                <w:szCs w:val="21"/>
                <w:lang w:val="en-US" w:eastAsia="zh-CN"/>
              </w:rPr>
              <w:t>6</w:t>
            </w:r>
            <w:r>
              <w:rPr>
                <w:rFonts w:hint="default" w:ascii="Times New Roman" w:hAnsi="Times New Roman" w:eastAsia="宋体" w:cs="Times New Roman"/>
                <w:bCs/>
                <w:sz w:val="21"/>
                <w:szCs w:val="21"/>
              </w:rPr>
              <w:t>中标后为束流线和辐照终端两级降能提供设计方案及联机调试，具备与束流线降能系统联机的能力，设计中需要考虑一级降能和二级降能对束流能散度的影响，要求束流能散度≤10%，样品辐照位置中子质子比≤5%（仿真指标）。</w:t>
            </w:r>
          </w:p>
        </w:tc>
      </w:tr>
      <w:tr w14:paraId="103274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2DDAC946">
            <w:pPr>
              <w:rPr>
                <w:rFonts w:hint="default" w:ascii="Times New Roman" w:hAnsi="Times New Roman" w:eastAsia="宋体" w:cs="Times New Roman"/>
                <w:bCs/>
                <w:sz w:val="21"/>
                <w:szCs w:val="21"/>
                <w:lang w:val="en-US" w:eastAsia="zh-CN"/>
              </w:rPr>
            </w:pPr>
          </w:p>
        </w:tc>
        <w:tc>
          <w:tcPr>
            <w:tcW w:w="1302" w:type="dxa"/>
            <w:vMerge w:val="continue"/>
            <w:tcBorders>
              <w:tl2br w:val="nil"/>
              <w:tr2bl w:val="nil"/>
            </w:tcBorders>
            <w:vAlign w:val="center"/>
          </w:tcPr>
          <w:p w14:paraId="371E1D42">
            <w:pPr>
              <w:rPr>
                <w:rFonts w:hint="default" w:ascii="Times New Roman" w:hAnsi="Times New Roman" w:eastAsia="宋体" w:cs="Times New Roman"/>
                <w:bCs/>
                <w:sz w:val="21"/>
                <w:szCs w:val="21"/>
              </w:rPr>
            </w:pPr>
          </w:p>
        </w:tc>
        <w:tc>
          <w:tcPr>
            <w:tcW w:w="6804" w:type="dxa"/>
            <w:tcBorders>
              <w:tl2br w:val="nil"/>
              <w:tr2bl w:val="nil"/>
            </w:tcBorders>
            <w:vAlign w:val="center"/>
          </w:tcPr>
          <w:p w14:paraId="6C94D9B5">
            <w:pPr>
              <w:rPr>
                <w:rFonts w:hint="default" w:ascii="Times New Roman" w:hAnsi="Times New Roman" w:eastAsia="宋体" w:cs="Times New Roman"/>
                <w:bCs/>
                <w:sz w:val="21"/>
                <w:szCs w:val="21"/>
                <w:lang w:eastAsia="zh-CN"/>
              </w:rPr>
            </w:pPr>
            <w:r>
              <w:rPr>
                <w:rFonts w:hint="default" w:ascii="Times New Roman" w:hAnsi="Times New Roman" w:eastAsia="宋体" w:cs="Times New Roman"/>
                <w:bCs/>
                <w:sz w:val="21"/>
                <w:szCs w:val="21"/>
                <w:lang w:val="en-US" w:eastAsia="zh-CN"/>
              </w:rPr>
              <w:t>▲3.</w:t>
            </w:r>
            <w:r>
              <w:rPr>
                <w:rFonts w:hint="eastAsia" w:ascii="Times New Roman" w:hAnsi="Times New Roman" w:eastAsia="宋体" w:cs="Times New Roman"/>
                <w:bCs/>
                <w:sz w:val="21"/>
                <w:szCs w:val="21"/>
                <w:lang w:val="en-US" w:eastAsia="zh-CN"/>
              </w:rPr>
              <w:t>7</w:t>
            </w:r>
            <w:r>
              <w:rPr>
                <w:rFonts w:hint="default" w:ascii="Times New Roman" w:hAnsi="Times New Roman" w:eastAsia="宋体" w:cs="Times New Roman"/>
                <w:bCs/>
                <w:sz w:val="21"/>
                <w:szCs w:val="21"/>
                <w:lang w:val="en-US" w:eastAsia="zh-CN"/>
              </w:rPr>
              <w:t>中标后为束流线和辐照终端多级降束提供设计方案及联机调试，具备与束流线降束系统联机的能力，设计中需要考虑磁铁和可调狭缝等对束流强度的影响，可将束流强度降低3个量级及以上。</w:t>
            </w:r>
          </w:p>
        </w:tc>
      </w:tr>
      <w:tr w14:paraId="3EFC74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7E5E20F8">
            <w:pPr>
              <w:rPr>
                <w:rFonts w:hint="default" w:ascii="Times New Roman" w:hAnsi="Times New Roman" w:eastAsia="宋体" w:cs="Times New Roman"/>
                <w:bCs/>
                <w:sz w:val="21"/>
                <w:szCs w:val="21"/>
                <w:lang w:val="en-US" w:eastAsia="zh-CN"/>
              </w:rPr>
            </w:pPr>
          </w:p>
        </w:tc>
        <w:tc>
          <w:tcPr>
            <w:tcW w:w="1302" w:type="dxa"/>
            <w:vMerge w:val="continue"/>
            <w:tcBorders>
              <w:tl2br w:val="nil"/>
              <w:tr2bl w:val="nil"/>
            </w:tcBorders>
            <w:vAlign w:val="center"/>
          </w:tcPr>
          <w:p w14:paraId="36AED51A">
            <w:pPr>
              <w:rPr>
                <w:rFonts w:hint="default" w:ascii="Times New Roman" w:hAnsi="Times New Roman" w:eastAsia="宋体" w:cs="Times New Roman"/>
                <w:bCs/>
                <w:sz w:val="21"/>
                <w:szCs w:val="21"/>
              </w:rPr>
            </w:pPr>
          </w:p>
        </w:tc>
        <w:tc>
          <w:tcPr>
            <w:tcW w:w="6804" w:type="dxa"/>
            <w:tcBorders>
              <w:tl2br w:val="nil"/>
              <w:tr2bl w:val="nil"/>
            </w:tcBorders>
            <w:vAlign w:val="center"/>
          </w:tcPr>
          <w:p w14:paraId="7FD35FCB">
            <w:pPr>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lang w:val="en-US" w:eastAsia="zh-CN"/>
              </w:rPr>
              <w:t>▲3.</w:t>
            </w:r>
            <w:r>
              <w:rPr>
                <w:rFonts w:hint="eastAsia" w:ascii="Times New Roman" w:hAnsi="Times New Roman" w:eastAsia="宋体" w:cs="Times New Roman"/>
                <w:bCs/>
                <w:sz w:val="21"/>
                <w:szCs w:val="21"/>
                <w:lang w:val="en-US" w:eastAsia="zh-CN"/>
              </w:rPr>
              <w:t>8</w:t>
            </w:r>
            <w:r>
              <w:rPr>
                <w:rFonts w:hint="default" w:ascii="Times New Roman" w:hAnsi="Times New Roman" w:eastAsia="宋体" w:cs="Times New Roman"/>
                <w:bCs/>
                <w:sz w:val="21"/>
                <w:szCs w:val="21"/>
                <w:lang w:val="en-US" w:eastAsia="zh-CN"/>
              </w:rPr>
              <w:t>中标后为束流线和辐照终端扩束提供设计方案及联机调试，具备与束流线扩束系统联机的能力，采用八极扩束方法进行扩束设计。束流线设计采用八极磁铁校正法将束流扩展成</w:t>
            </w:r>
            <w:r>
              <w:rPr>
                <w:rFonts w:hint="eastAsia" w:ascii="Times New Roman" w:hAnsi="Times New Roman" w:eastAsia="宋体" w:cs="Times New Roman"/>
                <w:bCs/>
                <w:sz w:val="21"/>
                <w:szCs w:val="21"/>
                <w:lang w:val="en-US" w:eastAsia="zh-CN"/>
              </w:rPr>
              <w:t>5</w:t>
            </w:r>
            <w:r>
              <w:rPr>
                <w:rFonts w:hint="default" w:ascii="Times New Roman" w:hAnsi="Times New Roman" w:eastAsia="宋体" w:cs="Times New Roman"/>
                <w:bCs/>
                <w:sz w:val="21"/>
                <w:szCs w:val="21"/>
                <w:lang w:val="en-US" w:eastAsia="zh-CN"/>
              </w:rPr>
              <w:t xml:space="preserve"> cm×</w:t>
            </w:r>
            <w:r>
              <w:rPr>
                <w:rFonts w:hint="eastAsia" w:ascii="Times New Roman" w:hAnsi="Times New Roman" w:eastAsia="宋体" w:cs="Times New Roman"/>
                <w:bCs/>
                <w:sz w:val="21"/>
                <w:szCs w:val="21"/>
                <w:lang w:val="en-US" w:eastAsia="zh-CN"/>
              </w:rPr>
              <w:t>5</w:t>
            </w:r>
            <w:r>
              <w:rPr>
                <w:rFonts w:hint="default" w:ascii="Times New Roman" w:hAnsi="Times New Roman" w:eastAsia="宋体" w:cs="Times New Roman"/>
                <w:bCs/>
                <w:sz w:val="21"/>
                <w:szCs w:val="21"/>
                <w:lang w:val="en-US" w:eastAsia="zh-CN"/>
              </w:rPr>
              <w:t xml:space="preserve"> cm的大面积均匀分布的束斑，非均匀性≤10%。</w:t>
            </w:r>
          </w:p>
        </w:tc>
      </w:tr>
      <w:tr w14:paraId="3F8DB3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restart"/>
            <w:tcBorders>
              <w:tl2br w:val="nil"/>
              <w:tr2bl w:val="nil"/>
            </w:tcBorders>
            <w:vAlign w:val="center"/>
          </w:tcPr>
          <w:p w14:paraId="5FAE2776">
            <w:pPr>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4</w:t>
            </w:r>
          </w:p>
        </w:tc>
        <w:tc>
          <w:tcPr>
            <w:tcW w:w="1302" w:type="dxa"/>
            <w:vMerge w:val="restart"/>
            <w:tcBorders>
              <w:tl2br w:val="nil"/>
              <w:tr2bl w:val="nil"/>
            </w:tcBorders>
            <w:vAlign w:val="center"/>
          </w:tcPr>
          <w:p w14:paraId="6984B579">
            <w:pPr>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真空系统</w:t>
            </w:r>
          </w:p>
        </w:tc>
        <w:tc>
          <w:tcPr>
            <w:tcW w:w="6804" w:type="dxa"/>
            <w:tcBorders>
              <w:tl2br w:val="nil"/>
              <w:tr2bl w:val="nil"/>
            </w:tcBorders>
            <w:vAlign w:val="center"/>
          </w:tcPr>
          <w:p w14:paraId="073C40D3">
            <w:pP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sz w:val="21"/>
                <w:szCs w:val="21"/>
              </w:rPr>
              <w:t>▲4.1</w:t>
            </w:r>
            <w:r>
              <w:rPr>
                <w:rFonts w:hint="eastAsia" w:ascii="Times New Roman" w:hAnsi="Times New Roman" w:eastAsia="宋体" w:cs="Times New Roman"/>
                <w:sz w:val="21"/>
                <w:szCs w:val="21"/>
                <w:lang w:val="en-US" w:eastAsia="zh-CN"/>
              </w:rPr>
              <w:t>真空系统</w:t>
            </w:r>
            <w:r>
              <w:rPr>
                <w:rFonts w:hint="default" w:ascii="Times New Roman" w:hAnsi="Times New Roman" w:eastAsia="宋体" w:cs="Times New Roman"/>
                <w:sz w:val="21"/>
                <w:szCs w:val="21"/>
              </w:rPr>
              <w:t>包括干泵、分子泵、真空规、真空计控制器、插板阀、真空管路、高压气泵、辐射防护组件等。</w:t>
            </w:r>
          </w:p>
        </w:tc>
      </w:tr>
      <w:tr w14:paraId="362A22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17F37225">
            <w:pPr>
              <w:rPr>
                <w:rFonts w:hint="default" w:ascii="Times New Roman" w:hAnsi="Times New Roman" w:eastAsia="宋体" w:cs="Times New Roman"/>
                <w:bCs/>
                <w:sz w:val="21"/>
                <w:szCs w:val="21"/>
                <w:lang w:val="en-US" w:eastAsia="zh-CN"/>
              </w:rPr>
            </w:pPr>
          </w:p>
        </w:tc>
        <w:tc>
          <w:tcPr>
            <w:tcW w:w="1302" w:type="dxa"/>
            <w:vMerge w:val="continue"/>
            <w:tcBorders>
              <w:tl2br w:val="nil"/>
              <w:tr2bl w:val="nil"/>
            </w:tcBorders>
            <w:vAlign w:val="center"/>
          </w:tcPr>
          <w:p w14:paraId="4CF74ED6">
            <w:pPr>
              <w:rPr>
                <w:rFonts w:hint="default" w:ascii="Times New Roman" w:hAnsi="Times New Roman" w:eastAsia="宋体" w:cs="Times New Roman"/>
                <w:bCs/>
                <w:sz w:val="21"/>
                <w:szCs w:val="21"/>
              </w:rPr>
            </w:pPr>
          </w:p>
        </w:tc>
        <w:tc>
          <w:tcPr>
            <w:tcW w:w="6804" w:type="dxa"/>
            <w:tcBorders>
              <w:tl2br w:val="nil"/>
              <w:tr2bl w:val="nil"/>
            </w:tcBorders>
            <w:vAlign w:val="center"/>
          </w:tcPr>
          <w:p w14:paraId="75D0CABB">
            <w:pP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rPr>
              <w:t>★4.2真空系统可以实现主舱室极限真空度优于10</w:t>
            </w:r>
            <w:r>
              <w:rPr>
                <w:rFonts w:hint="default" w:ascii="Times New Roman" w:hAnsi="Times New Roman" w:eastAsia="宋体" w:cs="Times New Roman"/>
                <w:bCs/>
                <w:sz w:val="21"/>
                <w:szCs w:val="21"/>
                <w:vertAlign w:val="superscript"/>
              </w:rPr>
              <w:t>-4</w:t>
            </w:r>
            <w:r>
              <w:rPr>
                <w:rFonts w:hint="eastAsia" w:ascii="Times New Roman" w:hAnsi="Times New Roman" w:eastAsia="宋体" w:cs="Times New Roman"/>
                <w:bCs/>
                <w:sz w:val="21"/>
                <w:szCs w:val="21"/>
                <w:lang w:val="en-US" w:eastAsia="zh-CN"/>
              </w:rPr>
              <w:t xml:space="preserve"> </w:t>
            </w:r>
            <w:r>
              <w:rPr>
                <w:rFonts w:hint="default" w:ascii="Times New Roman" w:hAnsi="Times New Roman" w:eastAsia="宋体" w:cs="Times New Roman"/>
                <w:bCs/>
                <w:sz w:val="21"/>
                <w:szCs w:val="21"/>
              </w:rPr>
              <w:t>Pa。</w:t>
            </w:r>
          </w:p>
        </w:tc>
      </w:tr>
      <w:tr w14:paraId="23D313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39831EB9">
            <w:pPr>
              <w:rPr>
                <w:rFonts w:hint="default" w:ascii="Times New Roman" w:hAnsi="Times New Roman" w:eastAsia="宋体" w:cs="Times New Roman"/>
                <w:bCs/>
                <w:sz w:val="21"/>
                <w:szCs w:val="21"/>
                <w:lang w:val="en-US" w:eastAsia="zh-CN"/>
              </w:rPr>
            </w:pPr>
          </w:p>
        </w:tc>
        <w:tc>
          <w:tcPr>
            <w:tcW w:w="1302" w:type="dxa"/>
            <w:vMerge w:val="continue"/>
            <w:tcBorders>
              <w:tl2br w:val="nil"/>
              <w:tr2bl w:val="nil"/>
            </w:tcBorders>
            <w:vAlign w:val="center"/>
          </w:tcPr>
          <w:p w14:paraId="62872F8F">
            <w:pPr>
              <w:rPr>
                <w:rFonts w:hint="default" w:ascii="Times New Roman" w:hAnsi="Times New Roman" w:eastAsia="宋体" w:cs="Times New Roman"/>
                <w:bCs/>
                <w:sz w:val="21"/>
                <w:szCs w:val="21"/>
              </w:rPr>
            </w:pPr>
          </w:p>
        </w:tc>
        <w:tc>
          <w:tcPr>
            <w:tcW w:w="6804" w:type="dxa"/>
            <w:tcBorders>
              <w:tl2br w:val="nil"/>
              <w:tr2bl w:val="nil"/>
            </w:tcBorders>
            <w:vAlign w:val="center"/>
          </w:tcPr>
          <w:p w14:paraId="20D17C95">
            <w:pPr>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4.3交付的真空泵需提供抽气性能测试报告，真空泵组布放位置需满足质子辐射试验的防护要求。</w:t>
            </w:r>
          </w:p>
        </w:tc>
      </w:tr>
      <w:tr w14:paraId="4E1741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restart"/>
            <w:tcBorders>
              <w:tl2br w:val="nil"/>
              <w:tr2bl w:val="nil"/>
            </w:tcBorders>
            <w:vAlign w:val="center"/>
          </w:tcPr>
          <w:p w14:paraId="6D4D5BFE">
            <w:pPr>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5</w:t>
            </w:r>
          </w:p>
        </w:tc>
        <w:tc>
          <w:tcPr>
            <w:tcW w:w="1302" w:type="dxa"/>
            <w:vMerge w:val="restart"/>
            <w:tcBorders>
              <w:tl2br w:val="nil"/>
              <w:tr2bl w:val="nil"/>
            </w:tcBorders>
            <w:vAlign w:val="center"/>
          </w:tcPr>
          <w:p w14:paraId="75D10372">
            <w:pPr>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控制系统</w:t>
            </w:r>
          </w:p>
        </w:tc>
        <w:tc>
          <w:tcPr>
            <w:tcW w:w="6804" w:type="dxa"/>
            <w:tcBorders>
              <w:tl2br w:val="nil"/>
              <w:tr2bl w:val="nil"/>
            </w:tcBorders>
            <w:vAlign w:val="center"/>
          </w:tcPr>
          <w:p w14:paraId="5DFFC660">
            <w:pPr>
              <w:rPr>
                <w:rFonts w:hint="default" w:ascii="Times New Roman" w:hAnsi="Times New Roman" w:eastAsia="宋体" w:cs="Times New Roman"/>
                <w:bCs/>
                <w:sz w:val="21"/>
                <w:szCs w:val="21"/>
                <w:lang w:eastAsia="zh-CN"/>
              </w:rPr>
            </w:pPr>
            <w:r>
              <w:rPr>
                <w:rFonts w:hint="default" w:ascii="Times New Roman" w:hAnsi="Times New Roman" w:eastAsia="宋体" w:cs="Times New Roman"/>
                <w:bCs/>
                <w:sz w:val="21"/>
                <w:szCs w:val="21"/>
                <w:lang w:val="en-US" w:eastAsia="zh-CN"/>
              </w:rPr>
              <w:t>★5.1控制系统覆盖主舱室、高低温系统、束流检测装置、真空系统、电气配套系统、降能系统、降束系统、扩束系统、束流准直系统、样品定位系统等的控制。</w:t>
            </w:r>
          </w:p>
        </w:tc>
      </w:tr>
      <w:tr w14:paraId="4249D4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2990F761">
            <w:pPr>
              <w:rPr>
                <w:rFonts w:hint="default" w:ascii="Times New Roman" w:hAnsi="Times New Roman" w:eastAsia="宋体" w:cs="Times New Roman"/>
                <w:bCs/>
                <w:sz w:val="21"/>
                <w:szCs w:val="21"/>
                <w:lang w:val="en-US" w:eastAsia="zh-CN"/>
              </w:rPr>
            </w:pPr>
          </w:p>
        </w:tc>
        <w:tc>
          <w:tcPr>
            <w:tcW w:w="1302" w:type="dxa"/>
            <w:vMerge w:val="continue"/>
            <w:tcBorders>
              <w:tl2br w:val="nil"/>
              <w:tr2bl w:val="nil"/>
            </w:tcBorders>
            <w:vAlign w:val="center"/>
          </w:tcPr>
          <w:p w14:paraId="751B6EC6">
            <w:pPr>
              <w:rPr>
                <w:rFonts w:hint="default" w:ascii="Times New Roman" w:hAnsi="Times New Roman" w:eastAsia="宋体" w:cs="Times New Roman"/>
                <w:bCs/>
                <w:sz w:val="21"/>
                <w:szCs w:val="21"/>
              </w:rPr>
            </w:pPr>
          </w:p>
        </w:tc>
        <w:tc>
          <w:tcPr>
            <w:tcW w:w="6804" w:type="dxa"/>
            <w:tcBorders>
              <w:tl2br w:val="nil"/>
              <w:tr2bl w:val="nil"/>
            </w:tcBorders>
            <w:vAlign w:val="center"/>
          </w:tcPr>
          <w:p w14:paraId="42472834">
            <w:pP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5.2</w:t>
            </w:r>
            <w:r>
              <w:rPr>
                <w:rFonts w:hint="eastAsia" w:ascii="Times New Roman" w:hAnsi="Times New Roman" w:eastAsia="宋体" w:cs="Times New Roman"/>
                <w:bCs/>
                <w:sz w:val="21"/>
                <w:szCs w:val="21"/>
                <w:lang w:val="en-US" w:eastAsia="zh-CN"/>
              </w:rPr>
              <w:t>控制系统</w:t>
            </w:r>
            <w:r>
              <w:rPr>
                <w:rFonts w:hint="default" w:ascii="Times New Roman" w:hAnsi="Times New Roman" w:eastAsia="宋体" w:cs="Times New Roman"/>
                <w:bCs/>
                <w:sz w:val="21"/>
                <w:szCs w:val="21"/>
                <w:lang w:val="en-US" w:eastAsia="zh-CN"/>
              </w:rPr>
              <w:t>采用就地及远程控制两种模式，需按照用户需求进行程序编写及调用</w:t>
            </w:r>
            <w:r>
              <w:rPr>
                <w:rFonts w:hint="eastAsia" w:ascii="Times New Roman" w:hAnsi="Times New Roman" w:eastAsia="宋体" w:cs="Times New Roman"/>
                <w:bCs/>
                <w:sz w:val="21"/>
                <w:szCs w:val="21"/>
                <w:lang w:val="en-US" w:eastAsia="zh-CN"/>
              </w:rPr>
              <w:t>，通过</w:t>
            </w:r>
            <w:r>
              <w:rPr>
                <w:rFonts w:hint="default" w:ascii="Times New Roman" w:hAnsi="Times New Roman" w:eastAsia="宋体" w:cs="Times New Roman"/>
                <w:bCs/>
                <w:sz w:val="21"/>
                <w:szCs w:val="21"/>
                <w:lang w:val="en-US" w:eastAsia="zh-CN"/>
              </w:rPr>
              <w:t>按钮式机械控制与上位机两种控制模式实现对真空、温度、样品位移的控制，并实现数据采集和处理。</w:t>
            </w:r>
          </w:p>
        </w:tc>
      </w:tr>
      <w:tr w14:paraId="70AA22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6AA27C8B">
            <w:pPr>
              <w:rPr>
                <w:rFonts w:hint="default" w:ascii="Times New Roman" w:hAnsi="Times New Roman" w:eastAsia="宋体" w:cs="Times New Roman"/>
                <w:bCs/>
                <w:sz w:val="21"/>
                <w:szCs w:val="21"/>
                <w:lang w:val="en-US" w:eastAsia="zh-CN"/>
              </w:rPr>
            </w:pPr>
          </w:p>
        </w:tc>
        <w:tc>
          <w:tcPr>
            <w:tcW w:w="1302" w:type="dxa"/>
            <w:vMerge w:val="continue"/>
            <w:tcBorders>
              <w:tl2br w:val="nil"/>
              <w:tr2bl w:val="nil"/>
            </w:tcBorders>
            <w:vAlign w:val="center"/>
          </w:tcPr>
          <w:p w14:paraId="01FE5E04">
            <w:pPr>
              <w:rPr>
                <w:rFonts w:hint="default" w:ascii="Times New Roman" w:hAnsi="Times New Roman" w:eastAsia="宋体" w:cs="Times New Roman"/>
                <w:bCs/>
                <w:sz w:val="21"/>
                <w:szCs w:val="21"/>
              </w:rPr>
            </w:pPr>
          </w:p>
        </w:tc>
        <w:tc>
          <w:tcPr>
            <w:tcW w:w="6804" w:type="dxa"/>
            <w:tcBorders>
              <w:tl2br w:val="nil"/>
              <w:tr2bl w:val="nil"/>
            </w:tcBorders>
            <w:vAlign w:val="center"/>
          </w:tcPr>
          <w:p w14:paraId="391A5860">
            <w:pP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5.3由PLC控制柜及各元器件（包括总线模块、IO模块、CPU模块、DI模块、DO模块、AI模块、AO模块、RS485模块、断路器等）和上位机的控制程序、数据存储与传输程序、图像处理程序构成，用于控制辐照终端各个设备的运行。</w:t>
            </w:r>
          </w:p>
        </w:tc>
      </w:tr>
      <w:tr w14:paraId="79BEEA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5115B249">
            <w:pPr>
              <w:rPr>
                <w:rFonts w:hint="default" w:ascii="Times New Roman" w:hAnsi="Times New Roman" w:eastAsia="宋体" w:cs="Times New Roman"/>
                <w:bCs/>
                <w:sz w:val="21"/>
                <w:szCs w:val="21"/>
                <w:lang w:val="en-US" w:eastAsia="zh-CN"/>
              </w:rPr>
            </w:pPr>
          </w:p>
        </w:tc>
        <w:tc>
          <w:tcPr>
            <w:tcW w:w="1302" w:type="dxa"/>
            <w:vMerge w:val="continue"/>
            <w:tcBorders>
              <w:tl2br w:val="nil"/>
              <w:tr2bl w:val="nil"/>
            </w:tcBorders>
            <w:vAlign w:val="center"/>
          </w:tcPr>
          <w:p w14:paraId="3D142124">
            <w:pPr>
              <w:rPr>
                <w:rFonts w:hint="default" w:ascii="Times New Roman" w:hAnsi="Times New Roman" w:eastAsia="宋体" w:cs="Times New Roman"/>
                <w:bCs/>
                <w:sz w:val="21"/>
                <w:szCs w:val="21"/>
              </w:rPr>
            </w:pPr>
          </w:p>
        </w:tc>
        <w:tc>
          <w:tcPr>
            <w:tcW w:w="6804" w:type="dxa"/>
            <w:tcBorders>
              <w:tl2br w:val="nil"/>
              <w:tr2bl w:val="nil"/>
            </w:tcBorders>
            <w:vAlign w:val="center"/>
          </w:tcPr>
          <w:p w14:paraId="634EAF76">
            <w:pP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rPr>
              <w:t>5.4控制程序采用国际普遍使用的EPICS（Experimental Physics and Industrial Control System，实验物理和工业控制系统）系统。基于EPICS的分布式体系结构，即国际上通行的</w:t>
            </w:r>
            <w:r>
              <w:rPr>
                <w:rFonts w:hint="eastAsia" w:ascii="Times New Roman" w:hAnsi="Times New Roman" w:eastAsia="宋体" w:cs="Times New Roman"/>
                <w:bCs/>
                <w:sz w:val="21"/>
                <w:szCs w:val="21"/>
                <w:lang w:eastAsia="zh-CN"/>
              </w:rPr>
              <w:t>“</w:t>
            </w:r>
            <w:r>
              <w:rPr>
                <w:rFonts w:hint="default" w:ascii="Times New Roman" w:hAnsi="Times New Roman" w:eastAsia="宋体" w:cs="Times New Roman"/>
                <w:bCs/>
                <w:sz w:val="21"/>
                <w:szCs w:val="21"/>
              </w:rPr>
              <w:t>标准模型</w:t>
            </w:r>
            <w:r>
              <w:rPr>
                <w:rFonts w:hint="eastAsia" w:ascii="Times New Roman" w:hAnsi="Times New Roman" w:eastAsia="宋体" w:cs="Times New Roman"/>
                <w:bCs/>
                <w:sz w:val="21"/>
                <w:szCs w:val="21"/>
                <w:lang w:eastAsia="zh-CN"/>
              </w:rPr>
              <w:t>”</w:t>
            </w:r>
            <w:r>
              <w:rPr>
                <w:rFonts w:hint="default" w:ascii="Times New Roman" w:hAnsi="Times New Roman" w:eastAsia="宋体" w:cs="Times New Roman"/>
                <w:bCs/>
                <w:sz w:val="21"/>
                <w:szCs w:val="21"/>
              </w:rPr>
              <w:t>。系统从逻辑上划分为三级，即操作员界面层 OPI、输入输出控制器IOC和设备层。</w:t>
            </w:r>
          </w:p>
        </w:tc>
      </w:tr>
      <w:tr w14:paraId="77B769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66F43AA0">
            <w:pPr>
              <w:rPr>
                <w:rFonts w:hint="default" w:ascii="Times New Roman" w:hAnsi="Times New Roman" w:eastAsia="宋体" w:cs="Times New Roman"/>
                <w:bCs/>
                <w:sz w:val="21"/>
                <w:szCs w:val="21"/>
                <w:lang w:val="en-US" w:eastAsia="zh-CN"/>
              </w:rPr>
            </w:pPr>
          </w:p>
        </w:tc>
        <w:tc>
          <w:tcPr>
            <w:tcW w:w="1302" w:type="dxa"/>
            <w:vMerge w:val="continue"/>
            <w:tcBorders>
              <w:tl2br w:val="nil"/>
              <w:tr2bl w:val="nil"/>
            </w:tcBorders>
            <w:vAlign w:val="center"/>
          </w:tcPr>
          <w:p w14:paraId="3D5A451D">
            <w:pPr>
              <w:rPr>
                <w:rFonts w:hint="default" w:ascii="Times New Roman" w:hAnsi="Times New Roman" w:eastAsia="宋体" w:cs="Times New Roman"/>
                <w:bCs/>
                <w:sz w:val="21"/>
                <w:szCs w:val="21"/>
              </w:rPr>
            </w:pPr>
          </w:p>
        </w:tc>
        <w:tc>
          <w:tcPr>
            <w:tcW w:w="6804" w:type="dxa"/>
            <w:tcBorders>
              <w:tl2br w:val="nil"/>
              <w:tr2bl w:val="nil"/>
            </w:tcBorders>
            <w:vAlign w:val="center"/>
          </w:tcPr>
          <w:p w14:paraId="3243218A">
            <w:pPr>
              <w:rPr>
                <w:rFonts w:hint="default" w:ascii="Times New Roman" w:hAnsi="Times New Roman" w:eastAsia="宋体" w:cs="Times New Roman"/>
                <w:bCs/>
                <w:sz w:val="21"/>
                <w:szCs w:val="21"/>
                <w:lang w:eastAsia="zh-CN"/>
              </w:rPr>
            </w:pPr>
            <w:r>
              <w:rPr>
                <w:rFonts w:hint="default" w:ascii="Times New Roman" w:hAnsi="Times New Roman" w:eastAsia="宋体" w:cs="Times New Roman"/>
                <w:bCs/>
                <w:sz w:val="21"/>
                <w:szCs w:val="21"/>
              </w:rPr>
              <w:t>5.5电线电缆包括信号转换（BNC同轴线、网线、DB9、光纤、SMA等），高压（探测器高压SHV），三同轴电缆。满足分立器件、集成电路、新型微纳器件和光电器件等不同器件的测试需求。</w:t>
            </w:r>
          </w:p>
        </w:tc>
      </w:tr>
      <w:tr w14:paraId="5100D3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15B25D5C">
            <w:pPr>
              <w:rPr>
                <w:rFonts w:hint="default" w:ascii="Times New Roman" w:hAnsi="Times New Roman" w:eastAsia="宋体" w:cs="Times New Roman"/>
                <w:bCs/>
                <w:sz w:val="21"/>
                <w:szCs w:val="21"/>
                <w:lang w:val="en-US" w:eastAsia="zh-CN"/>
              </w:rPr>
            </w:pPr>
          </w:p>
        </w:tc>
        <w:tc>
          <w:tcPr>
            <w:tcW w:w="1302" w:type="dxa"/>
            <w:vMerge w:val="continue"/>
            <w:tcBorders>
              <w:tl2br w:val="nil"/>
              <w:tr2bl w:val="nil"/>
            </w:tcBorders>
            <w:vAlign w:val="center"/>
          </w:tcPr>
          <w:p w14:paraId="03A764A0">
            <w:pPr>
              <w:rPr>
                <w:rFonts w:hint="default" w:ascii="Times New Roman" w:hAnsi="Times New Roman" w:eastAsia="宋体" w:cs="Times New Roman"/>
                <w:bCs/>
                <w:sz w:val="21"/>
                <w:szCs w:val="21"/>
              </w:rPr>
            </w:pPr>
          </w:p>
        </w:tc>
        <w:tc>
          <w:tcPr>
            <w:tcW w:w="6804" w:type="dxa"/>
            <w:tcBorders>
              <w:tl2br w:val="nil"/>
              <w:tr2bl w:val="nil"/>
            </w:tcBorders>
            <w:vAlign w:val="center"/>
          </w:tcPr>
          <w:p w14:paraId="00BA25E8">
            <w:pPr>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5.6可以实时监控真空度、温度、束流能量、束流强度、均匀度并显示记录，数据可实现自动采集存储，间隔时间≤1</w:t>
            </w:r>
            <w:r>
              <w:rPr>
                <w:rFonts w:hint="eastAsia" w:ascii="Times New Roman" w:hAnsi="Times New Roman" w:eastAsia="宋体" w:cs="Times New Roman"/>
                <w:bCs/>
                <w:sz w:val="21"/>
                <w:szCs w:val="21"/>
                <w:lang w:val="en-US" w:eastAsia="zh-CN"/>
              </w:rPr>
              <w:t xml:space="preserve"> </w:t>
            </w:r>
            <w:r>
              <w:rPr>
                <w:rFonts w:hint="default" w:ascii="Times New Roman" w:hAnsi="Times New Roman" w:eastAsia="宋体" w:cs="Times New Roman"/>
                <w:bCs/>
                <w:sz w:val="21"/>
                <w:szCs w:val="21"/>
              </w:rPr>
              <w:t>s，具有分析、导出、传输功能，可查询5年内的历史数据。</w:t>
            </w:r>
          </w:p>
        </w:tc>
      </w:tr>
      <w:tr w14:paraId="5D9C19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4669BE93">
            <w:pPr>
              <w:rPr>
                <w:rFonts w:hint="default" w:ascii="Times New Roman" w:hAnsi="Times New Roman" w:eastAsia="宋体" w:cs="Times New Roman"/>
                <w:bCs/>
                <w:sz w:val="21"/>
                <w:szCs w:val="21"/>
                <w:lang w:val="en-US" w:eastAsia="zh-CN"/>
              </w:rPr>
            </w:pPr>
          </w:p>
        </w:tc>
        <w:tc>
          <w:tcPr>
            <w:tcW w:w="1302" w:type="dxa"/>
            <w:vMerge w:val="continue"/>
            <w:tcBorders>
              <w:tl2br w:val="nil"/>
              <w:tr2bl w:val="nil"/>
            </w:tcBorders>
            <w:vAlign w:val="center"/>
          </w:tcPr>
          <w:p w14:paraId="4A8D74E4">
            <w:pPr>
              <w:rPr>
                <w:rFonts w:hint="default" w:ascii="Times New Roman" w:hAnsi="Times New Roman" w:eastAsia="宋体" w:cs="Times New Roman"/>
                <w:bCs/>
                <w:sz w:val="21"/>
                <w:szCs w:val="21"/>
              </w:rPr>
            </w:pPr>
          </w:p>
        </w:tc>
        <w:tc>
          <w:tcPr>
            <w:tcW w:w="6804" w:type="dxa"/>
            <w:tcBorders>
              <w:tl2br w:val="nil"/>
              <w:tr2bl w:val="nil"/>
            </w:tcBorders>
            <w:vAlign w:val="center"/>
          </w:tcPr>
          <w:p w14:paraId="64D68C06">
            <w:pPr>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★5.7具备与加速器联调、安全联锁的联机能力以及对现场监控和数据处理的能力。</w:t>
            </w:r>
          </w:p>
        </w:tc>
      </w:tr>
      <w:tr w14:paraId="5E8525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restart"/>
            <w:tcBorders>
              <w:tl2br w:val="nil"/>
              <w:tr2bl w:val="nil"/>
            </w:tcBorders>
            <w:vAlign w:val="center"/>
          </w:tcPr>
          <w:p w14:paraId="2CA132D1">
            <w:pPr>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6</w:t>
            </w:r>
          </w:p>
        </w:tc>
        <w:tc>
          <w:tcPr>
            <w:tcW w:w="1302" w:type="dxa"/>
            <w:vMerge w:val="restart"/>
            <w:tcBorders>
              <w:tl2br w:val="nil"/>
              <w:tr2bl w:val="nil"/>
            </w:tcBorders>
            <w:vAlign w:val="center"/>
          </w:tcPr>
          <w:p w14:paraId="1C4C86B0">
            <w:pPr>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监控系统</w:t>
            </w:r>
          </w:p>
        </w:tc>
        <w:tc>
          <w:tcPr>
            <w:tcW w:w="6804" w:type="dxa"/>
            <w:tcBorders>
              <w:tl2br w:val="nil"/>
              <w:tr2bl w:val="nil"/>
            </w:tcBorders>
            <w:vAlign w:val="center"/>
          </w:tcPr>
          <w:p w14:paraId="679A84DB">
            <w:pPr>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lang w:val="en-US" w:eastAsia="zh-CN"/>
              </w:rPr>
              <w:t>★6.1监控系统覆盖主舱室、高低温系统、束流检测装置、真空系统、电气配套系统、降能系统、降束系统、扩束系统、束流准直系统、样品定位系统等的监控。</w:t>
            </w:r>
          </w:p>
        </w:tc>
      </w:tr>
      <w:tr w14:paraId="2E69CD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70971477">
            <w:pPr>
              <w:rPr>
                <w:rFonts w:hint="default" w:ascii="Times New Roman" w:hAnsi="Times New Roman" w:eastAsia="宋体" w:cs="Times New Roman"/>
                <w:bCs/>
                <w:sz w:val="21"/>
                <w:szCs w:val="21"/>
                <w:lang w:val="en-US" w:eastAsia="zh-CN"/>
              </w:rPr>
            </w:pPr>
          </w:p>
        </w:tc>
        <w:tc>
          <w:tcPr>
            <w:tcW w:w="1302" w:type="dxa"/>
            <w:vMerge w:val="continue"/>
            <w:tcBorders>
              <w:tl2br w:val="nil"/>
              <w:tr2bl w:val="nil"/>
            </w:tcBorders>
            <w:vAlign w:val="center"/>
          </w:tcPr>
          <w:p w14:paraId="1D138910">
            <w:pPr>
              <w:rPr>
                <w:rFonts w:hint="default" w:ascii="Times New Roman" w:hAnsi="Times New Roman" w:eastAsia="宋体" w:cs="Times New Roman"/>
                <w:bCs/>
                <w:sz w:val="21"/>
                <w:szCs w:val="21"/>
              </w:rPr>
            </w:pPr>
          </w:p>
        </w:tc>
        <w:tc>
          <w:tcPr>
            <w:tcW w:w="6804" w:type="dxa"/>
            <w:tcBorders>
              <w:tl2br w:val="nil"/>
              <w:tr2bl w:val="nil"/>
            </w:tcBorders>
            <w:vAlign w:val="center"/>
          </w:tcPr>
          <w:p w14:paraId="24AD0276">
            <w:pP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▲6.2包括显示单元、监视存储回放单元、金相显微镜、高分辨率相机、线缆等。</w:t>
            </w:r>
          </w:p>
        </w:tc>
      </w:tr>
      <w:tr w14:paraId="30D35B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59E571E7">
            <w:pPr>
              <w:rPr>
                <w:rFonts w:hint="default" w:ascii="Times New Roman" w:hAnsi="Times New Roman" w:eastAsia="宋体" w:cs="Times New Roman"/>
                <w:bCs/>
                <w:sz w:val="21"/>
                <w:szCs w:val="21"/>
                <w:lang w:val="en-US" w:eastAsia="zh-CN"/>
              </w:rPr>
            </w:pPr>
          </w:p>
        </w:tc>
        <w:tc>
          <w:tcPr>
            <w:tcW w:w="1302" w:type="dxa"/>
            <w:vMerge w:val="continue"/>
            <w:tcBorders>
              <w:tl2br w:val="nil"/>
              <w:tr2bl w:val="nil"/>
            </w:tcBorders>
            <w:vAlign w:val="center"/>
          </w:tcPr>
          <w:p w14:paraId="5C8B37B6">
            <w:pPr>
              <w:rPr>
                <w:rFonts w:hint="default" w:ascii="Times New Roman" w:hAnsi="Times New Roman" w:eastAsia="宋体" w:cs="Times New Roman"/>
                <w:bCs/>
                <w:sz w:val="21"/>
                <w:szCs w:val="21"/>
              </w:rPr>
            </w:pPr>
          </w:p>
        </w:tc>
        <w:tc>
          <w:tcPr>
            <w:tcW w:w="6804" w:type="dxa"/>
            <w:tcBorders>
              <w:tl2br w:val="nil"/>
              <w:tr2bl w:val="nil"/>
            </w:tcBorders>
            <w:vAlign w:val="center"/>
          </w:tcPr>
          <w:p w14:paraId="460D7C74">
            <w:pPr>
              <w:rPr>
                <w:rFonts w:hint="default"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6.3</w:t>
            </w:r>
            <w:r>
              <w:rPr>
                <w:rFonts w:hint="default" w:ascii="Times New Roman" w:hAnsi="Times New Roman" w:eastAsia="宋体" w:cs="Times New Roman"/>
                <w:bCs/>
                <w:sz w:val="21"/>
                <w:szCs w:val="21"/>
                <w:lang w:val="en-US" w:eastAsia="zh-CN"/>
              </w:rPr>
              <w:t>需配备电气配套装置，包括与终端功率匹配的电柜、与紧密电子设备功率匹配的配电柜、高压电源、电线电缆、插座、压缩空气、程控PDU以及实现带电原位测试所需的各种接线端子等。</w:t>
            </w:r>
          </w:p>
        </w:tc>
      </w:tr>
      <w:tr w14:paraId="40565C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5" w:type="dxa"/>
            <w:vMerge w:val="continue"/>
            <w:tcBorders>
              <w:tl2br w:val="nil"/>
              <w:tr2bl w:val="nil"/>
            </w:tcBorders>
            <w:vAlign w:val="center"/>
          </w:tcPr>
          <w:p w14:paraId="2DEBE10D">
            <w:pPr>
              <w:rPr>
                <w:rFonts w:hint="default" w:ascii="Times New Roman" w:hAnsi="Times New Roman" w:eastAsia="宋体" w:cs="Times New Roman"/>
                <w:bCs/>
                <w:sz w:val="21"/>
                <w:szCs w:val="21"/>
                <w:lang w:val="en-US" w:eastAsia="zh-CN"/>
              </w:rPr>
            </w:pPr>
          </w:p>
        </w:tc>
        <w:tc>
          <w:tcPr>
            <w:tcW w:w="1302" w:type="dxa"/>
            <w:vMerge w:val="continue"/>
            <w:tcBorders>
              <w:tl2br w:val="nil"/>
              <w:tr2bl w:val="nil"/>
            </w:tcBorders>
            <w:vAlign w:val="center"/>
          </w:tcPr>
          <w:p w14:paraId="6907BD0C">
            <w:pPr>
              <w:rPr>
                <w:rFonts w:hint="default" w:ascii="Times New Roman" w:hAnsi="Times New Roman" w:eastAsia="宋体" w:cs="Times New Roman"/>
                <w:bCs/>
                <w:sz w:val="21"/>
                <w:szCs w:val="21"/>
              </w:rPr>
            </w:pPr>
          </w:p>
        </w:tc>
        <w:tc>
          <w:tcPr>
            <w:tcW w:w="6804" w:type="dxa"/>
            <w:tcBorders>
              <w:tl2br w:val="nil"/>
              <w:tr2bl w:val="nil"/>
            </w:tcBorders>
            <w:vAlign w:val="center"/>
          </w:tcPr>
          <w:p w14:paraId="2AF9C6A9">
            <w:pP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rPr>
              <w:t>6.</w:t>
            </w:r>
            <w:r>
              <w:rPr>
                <w:rFonts w:hint="eastAsia" w:ascii="Times New Roman" w:hAnsi="Times New Roman" w:eastAsia="宋体" w:cs="Times New Roman"/>
                <w:bCs/>
                <w:sz w:val="21"/>
                <w:szCs w:val="21"/>
                <w:lang w:val="en-US" w:eastAsia="zh-CN"/>
              </w:rPr>
              <w:t>4</w:t>
            </w:r>
            <w:r>
              <w:rPr>
                <w:rFonts w:hint="default" w:ascii="Times New Roman" w:hAnsi="Times New Roman" w:eastAsia="宋体" w:cs="Times New Roman"/>
                <w:bCs/>
                <w:sz w:val="21"/>
                <w:szCs w:val="21"/>
              </w:rPr>
              <w:t>具有样品辐照测试实验、实验样品更换、辐照过程成像等视频监控记录，其中主腔室视频监控点位不少于2个。</w:t>
            </w:r>
          </w:p>
        </w:tc>
      </w:tr>
    </w:tbl>
    <w:p w14:paraId="7B2EB41C">
      <w:pPr>
        <w:pStyle w:val="8"/>
      </w:pPr>
    </w:p>
    <w:p w14:paraId="2FBB80D3">
      <w:pPr>
        <w:rPr>
          <w:rFonts w:ascii="宋体" w:eastAsia="宋体" w:cs="宋体"/>
          <w:b/>
          <w:sz w:val="21"/>
          <w:szCs w:val="21"/>
        </w:rPr>
      </w:pPr>
    </w:p>
    <w:p w14:paraId="4749E9E1">
      <w:pPr>
        <w:pStyle w:val="4"/>
        <w:spacing w:before="120" w:beforeLines="50" w:after="120" w:afterLines="50"/>
        <w:jc w:val="center"/>
        <w:rPr>
          <w:rFonts w:cs="宋体"/>
          <w:szCs w:val="28"/>
        </w:rPr>
      </w:pPr>
      <w:r>
        <w:rPr>
          <w:rFonts w:hint="eastAsia"/>
          <w:szCs w:val="28"/>
        </w:rPr>
        <w:br w:type="page"/>
      </w:r>
      <w:r>
        <w:rPr>
          <w:rFonts w:hint="eastAsia"/>
          <w:szCs w:val="28"/>
        </w:rPr>
        <w:t>四、商务要求</w:t>
      </w:r>
    </w:p>
    <w:p w14:paraId="799E44A9">
      <w:pPr>
        <w:rPr>
          <w:rFonts w:ascii="宋体" w:hAnsi="宋体" w:eastAsia="宋体" w:cs="宋体"/>
          <w:b/>
          <w:sz w:val="21"/>
          <w:szCs w:val="21"/>
        </w:rPr>
      </w:pPr>
      <w:r>
        <w:rPr>
          <w:rFonts w:hint="eastAsia" w:ascii="宋体" w:hAnsi="宋体" w:eastAsia="宋体" w:cs="宋体"/>
          <w:b/>
          <w:sz w:val="21"/>
          <w:szCs w:val="21"/>
        </w:rPr>
        <w:t>说明：</w:t>
      </w:r>
    </w:p>
    <w:p w14:paraId="47BD0520">
      <w:pPr>
        <w:rPr>
          <w:rFonts w:ascii="宋体" w:eastAsia="宋体" w:cs="宋体"/>
          <w:b/>
          <w:sz w:val="21"/>
          <w:szCs w:val="21"/>
        </w:rPr>
      </w:pPr>
      <w:r>
        <w:rPr>
          <w:rFonts w:hint="eastAsia" w:ascii="宋体" w:eastAsia="宋体" w:cs="宋体"/>
          <w:b/>
          <w:sz w:val="21"/>
          <w:szCs w:val="21"/>
        </w:rPr>
        <w:t xml:space="preserve">1.带“★”指标项为关键指标，如出现负偏离，将被视为未实质性满足招标文件要求作投标无效处理。带“▲”指标项为重要指标，负偏离时依相关评分准则内容作重点扣分处理。 </w:t>
      </w:r>
    </w:p>
    <w:p w14:paraId="397A6EAC">
      <w:r>
        <w:rPr>
          <w:rFonts w:hint="eastAsia" w:ascii="宋体" w:eastAsia="宋体" w:cs="宋体"/>
          <w:b/>
          <w:sz w:val="21"/>
          <w:szCs w:val="21"/>
        </w:rPr>
        <w:t>2.招标</w:t>
      </w:r>
      <w:r>
        <w:rPr>
          <w:rFonts w:hint="eastAsia" w:ascii="宋体" w:hAnsi="宋体" w:eastAsia="宋体" w:cs="宋体"/>
          <w:b/>
          <w:sz w:val="21"/>
          <w:szCs w:val="21"/>
        </w:rPr>
        <w:t>商务</w:t>
      </w:r>
      <w:r>
        <w:rPr>
          <w:rFonts w:hint="eastAsia" w:ascii="宋体" w:eastAsia="宋体" w:cs="宋体"/>
          <w:b/>
          <w:sz w:val="21"/>
          <w:szCs w:val="21"/>
        </w:rPr>
        <w:t>要求中，用</w:t>
      </w:r>
      <w:r>
        <w:rPr>
          <w:rFonts w:hint="eastAsia" w:ascii="宋体" w:eastAsia="宋体" w:cs="宋体"/>
          <w:b/>
          <w:color w:val="FF0000"/>
          <w:sz w:val="21"/>
          <w:szCs w:val="21"/>
          <w:u w:val="double"/>
        </w:rPr>
        <w:t xml:space="preserve"> 红色字体标注的条款 </w:t>
      </w:r>
      <w:r>
        <w:rPr>
          <w:rFonts w:hint="eastAsia" w:ascii="宋体" w:eastAsia="宋体" w:cs="宋体"/>
          <w:b/>
          <w:sz w:val="21"/>
          <w:szCs w:val="21"/>
        </w:rPr>
        <w:t>为要求提供证明资料的条款，其余为未要求提供证明资料的条款，无需提供相关证明资料。</w:t>
      </w:r>
    </w:p>
    <w:tbl>
      <w:tblPr>
        <w:tblStyle w:val="28"/>
        <w:tblW w:w="907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296"/>
        <w:gridCol w:w="1666"/>
        <w:gridCol w:w="6109"/>
      </w:tblGrid>
      <w:tr w14:paraId="55CD42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6" w:type="dxa"/>
            <w:tcBorders>
              <w:tl2br w:val="nil"/>
              <w:tr2bl w:val="nil"/>
            </w:tcBorders>
            <w:vAlign w:val="center"/>
          </w:tcPr>
          <w:p w14:paraId="2AB9C68B">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
                <w:sz w:val="21"/>
                <w:szCs w:val="21"/>
              </w:rPr>
            </w:pPr>
            <w:r>
              <w:rPr>
                <w:rFonts w:ascii="Times New Roman" w:hAnsi="Times New Roman" w:cs="Times New Roman"/>
                <w:b/>
                <w:sz w:val="21"/>
                <w:szCs w:val="21"/>
              </w:rPr>
              <w:t>序号</w:t>
            </w:r>
          </w:p>
        </w:tc>
        <w:tc>
          <w:tcPr>
            <w:tcW w:w="1666" w:type="dxa"/>
            <w:tcBorders>
              <w:tl2br w:val="nil"/>
              <w:tr2bl w:val="nil"/>
            </w:tcBorders>
            <w:vAlign w:val="center"/>
          </w:tcPr>
          <w:p w14:paraId="7DECD91B">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
                <w:sz w:val="21"/>
                <w:szCs w:val="21"/>
              </w:rPr>
            </w:pPr>
            <w:r>
              <w:rPr>
                <w:rFonts w:ascii="Times New Roman" w:hAnsi="Times New Roman" w:cs="Times New Roman"/>
                <w:b/>
                <w:sz w:val="21"/>
                <w:szCs w:val="21"/>
              </w:rPr>
              <w:t>目录</w:t>
            </w:r>
          </w:p>
        </w:tc>
        <w:tc>
          <w:tcPr>
            <w:tcW w:w="6109" w:type="dxa"/>
            <w:tcBorders>
              <w:tl2br w:val="nil"/>
              <w:tr2bl w:val="nil"/>
            </w:tcBorders>
            <w:vAlign w:val="center"/>
          </w:tcPr>
          <w:p w14:paraId="6C7C6C46">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
                <w:sz w:val="21"/>
                <w:szCs w:val="21"/>
              </w:rPr>
            </w:pPr>
            <w:r>
              <w:rPr>
                <w:rFonts w:ascii="Times New Roman" w:hAnsi="Times New Roman" w:cs="Times New Roman"/>
                <w:b/>
                <w:sz w:val="21"/>
                <w:szCs w:val="21"/>
              </w:rPr>
              <w:t>招标商务需求</w:t>
            </w:r>
          </w:p>
        </w:tc>
      </w:tr>
      <w:tr w14:paraId="2A21A7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9071" w:type="dxa"/>
            <w:gridSpan w:val="3"/>
            <w:tcBorders>
              <w:tl2br w:val="nil"/>
              <w:tr2bl w:val="nil"/>
            </w:tcBorders>
            <w:vAlign w:val="center"/>
          </w:tcPr>
          <w:p w14:paraId="60A1EE0A">
            <w:pPr>
              <w:keepNext w:val="0"/>
              <w:keepLines w:val="0"/>
              <w:pageBreakBefore w:val="0"/>
              <w:widowControl/>
              <w:kinsoku/>
              <w:wordWrap/>
              <w:overflowPunct/>
              <w:topLinePunct w:val="0"/>
              <w:autoSpaceDE/>
              <w:autoSpaceDN/>
              <w:bidi w:val="0"/>
              <w:snapToGrid/>
              <w:spacing w:line="264" w:lineRule="auto"/>
              <w:jc w:val="left"/>
              <w:textAlignment w:val="auto"/>
              <w:rPr>
                <w:rFonts w:ascii="Times New Roman" w:hAnsi="Times New Roman" w:cs="Times New Roman"/>
                <w:b/>
                <w:sz w:val="21"/>
                <w:szCs w:val="21"/>
              </w:rPr>
            </w:pPr>
            <w:r>
              <w:rPr>
                <w:rFonts w:ascii="Times New Roman" w:hAnsi="Times New Roman" w:cs="Times New Roman"/>
                <w:b/>
                <w:sz w:val="21"/>
                <w:szCs w:val="21"/>
              </w:rPr>
              <w:t>（一）免费保修期内售后服务要求</w:t>
            </w:r>
          </w:p>
        </w:tc>
      </w:tr>
      <w:tr w14:paraId="135B17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296" w:type="dxa"/>
            <w:tcBorders>
              <w:tl2br w:val="nil"/>
              <w:tr2bl w:val="nil"/>
            </w:tcBorders>
            <w:vAlign w:val="center"/>
          </w:tcPr>
          <w:p w14:paraId="4802E9B2">
            <w:pPr>
              <w:keepNext w:val="0"/>
              <w:keepLines w:val="0"/>
              <w:pageBreakBefore w:val="0"/>
              <w:widowControl/>
              <w:kinsoku/>
              <w:wordWrap/>
              <w:overflowPunct/>
              <w:topLinePunct w:val="0"/>
              <w:autoSpaceDE/>
              <w:autoSpaceDN/>
              <w:bidi w:val="0"/>
              <w:snapToGrid/>
              <w:spacing w:line="264" w:lineRule="auto"/>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1</w:t>
            </w:r>
          </w:p>
        </w:tc>
        <w:tc>
          <w:tcPr>
            <w:tcW w:w="1666" w:type="dxa"/>
            <w:tcBorders>
              <w:tl2br w:val="nil"/>
              <w:tr2bl w:val="nil"/>
            </w:tcBorders>
            <w:vAlign w:val="center"/>
          </w:tcPr>
          <w:p w14:paraId="18EA7659">
            <w:pPr>
              <w:keepNext w:val="0"/>
              <w:keepLines w:val="0"/>
              <w:pageBreakBefore w:val="0"/>
              <w:widowControl/>
              <w:kinsoku/>
              <w:wordWrap/>
              <w:overflowPunct/>
              <w:topLinePunct w:val="0"/>
              <w:autoSpaceDE/>
              <w:autoSpaceDN/>
              <w:bidi w:val="0"/>
              <w:snapToGrid/>
              <w:spacing w:line="264" w:lineRule="auto"/>
              <w:jc w:val="center"/>
              <w:textAlignment w:val="auto"/>
              <w:rPr>
                <w:rFonts w:hint="default"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关于免费保修期</w:t>
            </w:r>
          </w:p>
        </w:tc>
        <w:tc>
          <w:tcPr>
            <w:tcW w:w="6109" w:type="dxa"/>
            <w:tcBorders>
              <w:tl2br w:val="nil"/>
              <w:tr2bl w:val="nil"/>
            </w:tcBorders>
            <w:vAlign w:val="center"/>
          </w:tcPr>
          <w:p w14:paraId="331BBDAF">
            <w:pPr>
              <w:keepNext w:val="0"/>
              <w:keepLines w:val="0"/>
              <w:pageBreakBefore w:val="0"/>
              <w:widowControl/>
              <w:kinsoku/>
              <w:wordWrap/>
              <w:overflowPunct/>
              <w:topLinePunct w:val="0"/>
              <w:autoSpaceDE/>
              <w:autoSpaceDN/>
              <w:bidi w:val="0"/>
              <w:snapToGrid/>
              <w:spacing w:line="264" w:lineRule="auto"/>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 xml:space="preserve">★货物免费保修期 </w:t>
            </w:r>
            <w:r>
              <w:rPr>
                <w:rFonts w:hint="default" w:ascii="Times New Roman" w:hAnsi="Times New Roman" w:eastAsia="宋体" w:cs="Times New Roman"/>
                <w:bCs/>
                <w:sz w:val="21"/>
                <w:szCs w:val="21"/>
                <w:highlight w:val="none"/>
                <w:lang w:val="en-US" w:eastAsia="zh-CN"/>
              </w:rPr>
              <w:t>2</w:t>
            </w:r>
            <w:r>
              <w:rPr>
                <w:rFonts w:hint="default" w:ascii="Times New Roman" w:hAnsi="Times New Roman" w:eastAsia="宋体" w:cs="Times New Roman"/>
                <w:bCs/>
                <w:sz w:val="21"/>
                <w:szCs w:val="21"/>
                <w:highlight w:val="none"/>
              </w:rPr>
              <w:t xml:space="preserve"> 年，时间自最终验收合格并交付使用之日起计算，保修期内提供全部免费保修，包括人工费、仪器的全部零配件、运输费等均由投标</w:t>
            </w:r>
            <w:r>
              <w:rPr>
                <w:rFonts w:hint="default" w:ascii="Times New Roman" w:hAnsi="Times New Roman" w:eastAsia="宋体" w:cs="Times New Roman"/>
                <w:bCs/>
                <w:sz w:val="21"/>
                <w:szCs w:val="21"/>
                <w:highlight w:val="none"/>
                <w:lang w:val="en-US" w:eastAsia="zh-CN"/>
              </w:rPr>
              <w:t>方</w:t>
            </w:r>
            <w:r>
              <w:rPr>
                <w:rFonts w:hint="default" w:ascii="Times New Roman" w:hAnsi="Times New Roman" w:eastAsia="宋体" w:cs="Times New Roman"/>
                <w:bCs/>
                <w:sz w:val="21"/>
                <w:szCs w:val="21"/>
                <w:highlight w:val="none"/>
              </w:rPr>
              <w:t>承担，不额外收费。</w:t>
            </w:r>
          </w:p>
        </w:tc>
      </w:tr>
      <w:tr w14:paraId="5CD539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03" w:hRule="atLeast"/>
          <w:jc w:val="center"/>
        </w:trPr>
        <w:tc>
          <w:tcPr>
            <w:tcW w:w="1296" w:type="dxa"/>
            <w:tcBorders>
              <w:tl2br w:val="nil"/>
              <w:tr2bl w:val="nil"/>
            </w:tcBorders>
            <w:vAlign w:val="center"/>
          </w:tcPr>
          <w:p w14:paraId="60DB9C1A">
            <w:pPr>
              <w:keepNext w:val="0"/>
              <w:keepLines w:val="0"/>
              <w:pageBreakBefore w:val="0"/>
              <w:widowControl/>
              <w:kinsoku/>
              <w:wordWrap/>
              <w:overflowPunct/>
              <w:topLinePunct w:val="0"/>
              <w:autoSpaceDE/>
              <w:autoSpaceDN/>
              <w:bidi w:val="0"/>
              <w:snapToGrid/>
              <w:spacing w:line="264" w:lineRule="auto"/>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2</w:t>
            </w:r>
          </w:p>
        </w:tc>
        <w:tc>
          <w:tcPr>
            <w:tcW w:w="1666" w:type="dxa"/>
            <w:tcBorders>
              <w:tl2br w:val="nil"/>
              <w:tr2bl w:val="nil"/>
            </w:tcBorders>
            <w:vAlign w:val="center"/>
          </w:tcPr>
          <w:p w14:paraId="64006E48">
            <w:pPr>
              <w:keepNext w:val="0"/>
              <w:keepLines w:val="0"/>
              <w:pageBreakBefore w:val="0"/>
              <w:widowControl/>
              <w:kinsoku/>
              <w:wordWrap/>
              <w:overflowPunct/>
              <w:topLinePunct w:val="0"/>
              <w:autoSpaceDE/>
              <w:autoSpaceDN/>
              <w:bidi w:val="0"/>
              <w:snapToGrid/>
              <w:spacing w:line="264" w:lineRule="auto"/>
              <w:jc w:val="center"/>
              <w:textAlignment w:val="auto"/>
              <w:rPr>
                <w:rFonts w:hint="default"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维修响应及故障解决时间</w:t>
            </w:r>
          </w:p>
        </w:tc>
        <w:tc>
          <w:tcPr>
            <w:tcW w:w="6109" w:type="dxa"/>
            <w:tcBorders>
              <w:tl2br w:val="nil"/>
              <w:tr2bl w:val="nil"/>
            </w:tcBorders>
            <w:vAlign w:val="center"/>
          </w:tcPr>
          <w:p w14:paraId="7F939C04">
            <w:pPr>
              <w:keepNext w:val="0"/>
              <w:keepLines w:val="0"/>
              <w:pageBreakBefore w:val="0"/>
              <w:widowControl/>
              <w:kinsoku/>
              <w:wordWrap/>
              <w:overflowPunct/>
              <w:topLinePunct w:val="0"/>
              <w:autoSpaceDE/>
              <w:autoSpaceDN/>
              <w:bidi w:val="0"/>
              <w:snapToGrid/>
              <w:spacing w:line="264" w:lineRule="auto"/>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w:t>
            </w:r>
            <w:r>
              <w:rPr>
                <w:rFonts w:hint="eastAsia" w:ascii="Times New Roman" w:hAnsi="Times New Roman" w:eastAsia="宋体" w:cs="Times New Roman"/>
                <w:bCs/>
                <w:sz w:val="21"/>
                <w:szCs w:val="21"/>
                <w:highlight w:val="none"/>
              </w:rPr>
              <w:t>投标人提供</w:t>
            </w:r>
            <w:r>
              <w:rPr>
                <w:rFonts w:hint="default" w:ascii="Times New Roman" w:hAnsi="Times New Roman" w:eastAsia="宋体" w:cs="Times New Roman"/>
                <w:bCs/>
                <w:sz w:val="21"/>
                <w:szCs w:val="21"/>
                <w:highlight w:val="none"/>
              </w:rPr>
              <w:t xml:space="preserve">7×24小时电话/在线技术支持，非工作时间的紧急情况下通过远程诊断为采购人提供解决方案。在保修期内，一旦发生质量问题，投标人保证在接到通知的 </w:t>
            </w:r>
            <w:r>
              <w:rPr>
                <w:rFonts w:hint="default" w:ascii="Times New Roman" w:hAnsi="Times New Roman" w:eastAsia="宋体" w:cs="Times New Roman"/>
                <w:bCs/>
                <w:sz w:val="21"/>
                <w:szCs w:val="21"/>
                <w:highlight w:val="none"/>
                <w:lang w:val="en-US" w:eastAsia="zh-CN"/>
              </w:rPr>
              <w:t>8</w:t>
            </w:r>
            <w:r>
              <w:rPr>
                <w:rFonts w:hint="default" w:ascii="Times New Roman" w:hAnsi="Times New Roman" w:eastAsia="宋体" w:cs="Times New Roman"/>
                <w:bCs/>
                <w:sz w:val="21"/>
                <w:szCs w:val="21"/>
                <w:highlight w:val="none"/>
              </w:rPr>
              <w:t xml:space="preserve"> 小时内作出响应，包括通过电话或电子邮件进行远程支持。若投标</w:t>
            </w:r>
            <w:r>
              <w:rPr>
                <w:rFonts w:hint="default" w:ascii="Times New Roman" w:hAnsi="Times New Roman" w:eastAsia="宋体" w:cs="Times New Roman"/>
                <w:bCs/>
                <w:sz w:val="21"/>
                <w:szCs w:val="21"/>
                <w:highlight w:val="none"/>
                <w:lang w:val="en-US" w:eastAsia="zh-CN"/>
              </w:rPr>
              <w:t>人</w:t>
            </w:r>
            <w:r>
              <w:rPr>
                <w:rFonts w:hint="default" w:ascii="Times New Roman" w:hAnsi="Times New Roman" w:eastAsia="宋体" w:cs="Times New Roman"/>
                <w:bCs/>
                <w:sz w:val="21"/>
                <w:szCs w:val="21"/>
                <w:highlight w:val="none"/>
              </w:rPr>
              <w:t xml:space="preserve">确认故障无法通过远程支持予以解决，一般应在确认后 </w:t>
            </w:r>
            <w:r>
              <w:rPr>
                <w:rFonts w:hint="default" w:ascii="Times New Roman" w:hAnsi="Times New Roman" w:eastAsia="宋体" w:cs="Times New Roman"/>
                <w:bCs/>
                <w:sz w:val="21"/>
                <w:szCs w:val="21"/>
                <w:highlight w:val="none"/>
                <w:lang w:val="en-US" w:eastAsia="zh-CN"/>
              </w:rPr>
              <w:t>36</w:t>
            </w:r>
            <w:r>
              <w:rPr>
                <w:rFonts w:hint="default" w:ascii="Times New Roman" w:hAnsi="Times New Roman" w:eastAsia="宋体" w:cs="Times New Roman"/>
                <w:bCs/>
                <w:sz w:val="21"/>
                <w:szCs w:val="21"/>
                <w:highlight w:val="none"/>
              </w:rPr>
              <w:t xml:space="preserve"> 小时内派服务工程师到达最终用户现场查找原因并提供解决方案。对于紧急故障（如设备停机），投标人需在 </w:t>
            </w:r>
            <w:r>
              <w:rPr>
                <w:rFonts w:hint="default" w:ascii="Times New Roman" w:hAnsi="Times New Roman" w:eastAsia="宋体" w:cs="Times New Roman"/>
                <w:bCs/>
                <w:sz w:val="21"/>
                <w:szCs w:val="21"/>
                <w:highlight w:val="none"/>
                <w:lang w:val="en-US" w:eastAsia="zh-CN"/>
              </w:rPr>
              <w:t>5</w:t>
            </w:r>
            <w:r>
              <w:rPr>
                <w:rFonts w:hint="default" w:ascii="Times New Roman" w:hAnsi="Times New Roman" w:eastAsia="宋体" w:cs="Times New Roman"/>
                <w:bCs/>
                <w:sz w:val="21"/>
                <w:szCs w:val="21"/>
                <w:highlight w:val="none"/>
              </w:rPr>
              <w:t xml:space="preserve"> </w:t>
            </w:r>
            <w:r>
              <w:rPr>
                <w:rFonts w:hint="default" w:ascii="Times New Roman" w:hAnsi="Times New Roman" w:eastAsia="宋体" w:cs="Times New Roman"/>
                <w:bCs/>
                <w:sz w:val="21"/>
                <w:szCs w:val="21"/>
                <w:highlight w:val="none"/>
                <w:lang w:val="en-US" w:eastAsia="zh-CN"/>
              </w:rPr>
              <w:t>个工作日</w:t>
            </w:r>
            <w:r>
              <w:rPr>
                <w:rFonts w:hint="default" w:ascii="Times New Roman" w:hAnsi="Times New Roman" w:eastAsia="宋体" w:cs="Times New Roman"/>
                <w:bCs/>
                <w:sz w:val="21"/>
                <w:szCs w:val="21"/>
                <w:highlight w:val="none"/>
              </w:rPr>
              <w:t xml:space="preserve">内到场排除故障；对于一般故障，投标人需在 </w:t>
            </w:r>
            <w:r>
              <w:rPr>
                <w:rFonts w:hint="default" w:ascii="Times New Roman" w:hAnsi="Times New Roman" w:eastAsia="宋体" w:cs="Times New Roman"/>
                <w:bCs/>
                <w:sz w:val="21"/>
                <w:szCs w:val="21"/>
                <w:highlight w:val="none"/>
                <w:lang w:val="en-US" w:eastAsia="zh-CN"/>
              </w:rPr>
              <w:t>10</w:t>
            </w:r>
            <w:r>
              <w:rPr>
                <w:rFonts w:hint="default" w:ascii="Times New Roman" w:hAnsi="Times New Roman" w:eastAsia="宋体" w:cs="Times New Roman"/>
                <w:bCs/>
                <w:sz w:val="21"/>
                <w:szCs w:val="21"/>
                <w:highlight w:val="none"/>
              </w:rPr>
              <w:t xml:space="preserve"> </w:t>
            </w:r>
            <w:r>
              <w:rPr>
                <w:rFonts w:hint="default" w:ascii="Times New Roman" w:hAnsi="Times New Roman" w:eastAsia="宋体" w:cs="Times New Roman"/>
                <w:bCs/>
                <w:sz w:val="21"/>
                <w:szCs w:val="21"/>
                <w:highlight w:val="none"/>
                <w:lang w:val="en-US" w:eastAsia="zh-CN"/>
              </w:rPr>
              <w:t>个工作日</w:t>
            </w:r>
            <w:r>
              <w:rPr>
                <w:rFonts w:hint="default" w:ascii="Times New Roman" w:hAnsi="Times New Roman" w:eastAsia="宋体" w:cs="Times New Roman"/>
                <w:bCs/>
                <w:sz w:val="21"/>
                <w:szCs w:val="21"/>
                <w:highlight w:val="none"/>
              </w:rPr>
              <w:t xml:space="preserve">内到场排除故障；若遇重大故障不能按期排除，则设备免费保修期顺延，但投标人应在 </w:t>
            </w:r>
            <w:r>
              <w:rPr>
                <w:rFonts w:hint="default" w:ascii="Times New Roman" w:hAnsi="Times New Roman" w:eastAsia="宋体" w:cs="Times New Roman"/>
                <w:bCs/>
                <w:sz w:val="21"/>
                <w:szCs w:val="21"/>
                <w:highlight w:val="none"/>
                <w:lang w:val="en-US" w:eastAsia="zh-CN"/>
              </w:rPr>
              <w:t>30</w:t>
            </w:r>
            <w:r>
              <w:rPr>
                <w:rFonts w:hint="default" w:ascii="Times New Roman" w:hAnsi="Times New Roman" w:eastAsia="宋体" w:cs="Times New Roman"/>
                <w:bCs/>
                <w:sz w:val="21"/>
                <w:szCs w:val="21"/>
                <w:highlight w:val="none"/>
              </w:rPr>
              <w:t xml:space="preserve"> 个工作日内排除故障。若投标人确认设备无法通过远程或现场维修解决的，投标人将予以返厂维修或更换，且投标人将承担设备流转所产生的费用，包括但不限于检验费、运费、保险费、仓储费和装卸费等。保修期内，某项货物出现故障的次数达【5】次的，其保修期延长【6】个月；延长期限内，该项货物出现故障的次数达【5】次的，采购人有权要求投标人对货物进行检测，检测期间，投标方须提供可保证采购人设备继续工作的替换货物，并将该故障货物送往采购人指定检测机构进行检测，如检测无质量问题，保修期继续延长【6】个月，如有质量问题须更换货物，并延长整机或该货物相关系统质量保证期【12】个月，以后均按此规定执行。投标人对设备控制软件提供终生维护服务（不额外收费），具体指软件的常规版本升级，不包含特殊定制功能开发。</w:t>
            </w:r>
          </w:p>
        </w:tc>
      </w:tr>
      <w:tr w14:paraId="493B27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296" w:type="dxa"/>
            <w:tcBorders>
              <w:tl2br w:val="nil"/>
              <w:tr2bl w:val="nil"/>
            </w:tcBorders>
            <w:vAlign w:val="center"/>
          </w:tcPr>
          <w:p w14:paraId="27CB34FA">
            <w:pPr>
              <w:keepNext w:val="0"/>
              <w:keepLines w:val="0"/>
              <w:pageBreakBefore w:val="0"/>
              <w:widowControl/>
              <w:kinsoku/>
              <w:wordWrap/>
              <w:overflowPunct/>
              <w:topLinePunct w:val="0"/>
              <w:autoSpaceDE/>
              <w:autoSpaceDN/>
              <w:bidi w:val="0"/>
              <w:snapToGrid/>
              <w:spacing w:line="264" w:lineRule="auto"/>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3</w:t>
            </w:r>
          </w:p>
        </w:tc>
        <w:tc>
          <w:tcPr>
            <w:tcW w:w="1666" w:type="dxa"/>
            <w:tcBorders>
              <w:tl2br w:val="nil"/>
              <w:tr2bl w:val="nil"/>
            </w:tcBorders>
            <w:vAlign w:val="center"/>
          </w:tcPr>
          <w:p w14:paraId="565E31FC">
            <w:pPr>
              <w:keepNext w:val="0"/>
              <w:keepLines w:val="0"/>
              <w:pageBreakBefore w:val="0"/>
              <w:widowControl/>
              <w:kinsoku/>
              <w:wordWrap/>
              <w:overflowPunct/>
              <w:topLinePunct w:val="0"/>
              <w:autoSpaceDE/>
              <w:autoSpaceDN/>
              <w:bidi w:val="0"/>
              <w:snapToGrid/>
              <w:spacing w:line="264" w:lineRule="auto"/>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售后服务团队要求</w:t>
            </w:r>
          </w:p>
        </w:tc>
        <w:tc>
          <w:tcPr>
            <w:tcW w:w="6109" w:type="dxa"/>
            <w:tcBorders>
              <w:tl2br w:val="nil"/>
              <w:tr2bl w:val="nil"/>
            </w:tcBorders>
            <w:vAlign w:val="center"/>
          </w:tcPr>
          <w:p w14:paraId="6F2BE24A">
            <w:pPr>
              <w:keepNext w:val="0"/>
              <w:keepLines w:val="0"/>
              <w:pageBreakBefore w:val="0"/>
              <w:widowControl/>
              <w:kinsoku/>
              <w:wordWrap/>
              <w:overflowPunct/>
              <w:topLinePunct w:val="0"/>
              <w:autoSpaceDE/>
              <w:autoSpaceDN/>
              <w:bidi w:val="0"/>
              <w:snapToGrid/>
              <w:spacing w:line="264" w:lineRule="auto"/>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 xml:space="preserve">售后支持技术人员不少于 </w:t>
            </w:r>
            <w:r>
              <w:rPr>
                <w:rFonts w:hint="eastAsia" w:ascii="Times New Roman" w:hAnsi="Times New Roman" w:eastAsia="宋体" w:cs="Times New Roman"/>
                <w:bCs/>
                <w:sz w:val="21"/>
                <w:szCs w:val="21"/>
                <w:highlight w:val="none"/>
                <w:lang w:val="en-US" w:eastAsia="zh-CN"/>
              </w:rPr>
              <w:t>15</w:t>
            </w:r>
            <w:r>
              <w:rPr>
                <w:rFonts w:hint="default" w:ascii="Times New Roman" w:hAnsi="Times New Roman" w:eastAsia="宋体" w:cs="Times New Roman"/>
                <w:bCs/>
                <w:sz w:val="21"/>
                <w:szCs w:val="21"/>
                <w:highlight w:val="none"/>
              </w:rPr>
              <w:t xml:space="preserve"> 人。</w:t>
            </w:r>
          </w:p>
        </w:tc>
      </w:tr>
      <w:tr w14:paraId="5C5158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296" w:type="dxa"/>
            <w:tcBorders>
              <w:tl2br w:val="nil"/>
              <w:tr2bl w:val="nil"/>
            </w:tcBorders>
            <w:vAlign w:val="center"/>
          </w:tcPr>
          <w:p w14:paraId="293A8A0D">
            <w:pPr>
              <w:keepNext w:val="0"/>
              <w:keepLines w:val="0"/>
              <w:pageBreakBefore w:val="0"/>
              <w:widowControl/>
              <w:kinsoku/>
              <w:wordWrap/>
              <w:overflowPunct/>
              <w:topLinePunct w:val="0"/>
              <w:autoSpaceDE/>
              <w:autoSpaceDN/>
              <w:bidi w:val="0"/>
              <w:snapToGrid/>
              <w:spacing w:line="264" w:lineRule="auto"/>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4</w:t>
            </w:r>
          </w:p>
        </w:tc>
        <w:tc>
          <w:tcPr>
            <w:tcW w:w="1666" w:type="dxa"/>
            <w:tcBorders>
              <w:tl2br w:val="nil"/>
              <w:tr2bl w:val="nil"/>
            </w:tcBorders>
            <w:vAlign w:val="center"/>
          </w:tcPr>
          <w:p w14:paraId="45CEEE69">
            <w:pPr>
              <w:keepNext w:val="0"/>
              <w:keepLines w:val="0"/>
              <w:pageBreakBefore w:val="0"/>
              <w:widowControl/>
              <w:kinsoku/>
              <w:wordWrap/>
              <w:overflowPunct/>
              <w:topLinePunct w:val="0"/>
              <w:autoSpaceDE/>
              <w:autoSpaceDN/>
              <w:bidi w:val="0"/>
              <w:snapToGrid/>
              <w:spacing w:line="264" w:lineRule="auto"/>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培训要求</w:t>
            </w:r>
          </w:p>
        </w:tc>
        <w:tc>
          <w:tcPr>
            <w:tcW w:w="6109" w:type="dxa"/>
            <w:tcBorders>
              <w:tl2br w:val="nil"/>
              <w:tr2bl w:val="nil"/>
            </w:tcBorders>
            <w:vAlign w:val="center"/>
          </w:tcPr>
          <w:p w14:paraId="4AD718A5">
            <w:pPr>
              <w:keepNext w:val="0"/>
              <w:keepLines w:val="0"/>
              <w:pageBreakBefore w:val="0"/>
              <w:widowControl/>
              <w:kinsoku/>
              <w:wordWrap/>
              <w:overflowPunct/>
              <w:topLinePunct w:val="0"/>
              <w:autoSpaceDE/>
              <w:autoSpaceDN/>
              <w:bidi w:val="0"/>
              <w:snapToGrid/>
              <w:spacing w:line="264" w:lineRule="auto"/>
              <w:textAlignment w:val="auto"/>
              <w:rPr>
                <w:rFonts w:hint="default"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投标人保证提供货物相关的免费技术培训，培训内容包括设备的使用，维护等。</w:t>
            </w:r>
          </w:p>
          <w:p w14:paraId="38D95E5D">
            <w:pPr>
              <w:keepNext w:val="0"/>
              <w:keepLines w:val="0"/>
              <w:pageBreakBefore w:val="0"/>
              <w:widowControl/>
              <w:kinsoku/>
              <w:wordWrap/>
              <w:overflowPunct/>
              <w:topLinePunct w:val="0"/>
              <w:autoSpaceDE/>
              <w:autoSpaceDN/>
              <w:bidi w:val="0"/>
              <w:snapToGrid/>
              <w:spacing w:line="264" w:lineRule="auto"/>
              <w:textAlignment w:val="auto"/>
              <w:rPr>
                <w:rFonts w:hint="default"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w:t>
            </w:r>
            <w:r>
              <w:rPr>
                <w:rFonts w:hint="default" w:ascii="Times New Roman" w:hAnsi="Times New Roman" w:eastAsia="宋体" w:cs="Times New Roman"/>
                <w:bCs/>
                <w:sz w:val="21"/>
                <w:szCs w:val="21"/>
                <w:highlight w:val="none"/>
              </w:rPr>
              <w:t>1</w:t>
            </w:r>
            <w:r>
              <w:rPr>
                <w:rFonts w:hint="eastAsia" w:ascii="Times New Roman" w:hAnsi="Times New Roman" w:eastAsia="宋体" w:cs="Times New Roman"/>
                <w:bCs/>
                <w:sz w:val="21"/>
                <w:szCs w:val="21"/>
                <w:highlight w:val="none"/>
              </w:rPr>
              <w:t>）投标人应在交货前提供完整的运行操作规程</w:t>
            </w:r>
            <w:r>
              <w:rPr>
                <w:rFonts w:hint="default" w:ascii="Times New Roman" w:hAnsi="Times New Roman" w:eastAsia="宋体" w:cs="Times New Roman"/>
                <w:bCs/>
                <w:sz w:val="21"/>
                <w:szCs w:val="21"/>
                <w:highlight w:val="none"/>
              </w:rPr>
              <w:t>/</w:t>
            </w:r>
            <w:r>
              <w:rPr>
                <w:rFonts w:hint="eastAsia" w:ascii="Times New Roman" w:hAnsi="Times New Roman" w:eastAsia="宋体" w:cs="Times New Roman"/>
                <w:bCs/>
                <w:sz w:val="21"/>
                <w:szCs w:val="21"/>
                <w:highlight w:val="none"/>
              </w:rPr>
              <w:t>手册</w:t>
            </w:r>
            <w:r>
              <w:rPr>
                <w:rFonts w:hint="default" w:ascii="Times New Roman" w:hAnsi="Times New Roman" w:eastAsia="宋体" w:cs="Times New Roman"/>
                <w:bCs/>
                <w:sz w:val="21"/>
                <w:szCs w:val="21"/>
                <w:highlight w:val="none"/>
              </w:rPr>
              <w:t>(</w:t>
            </w:r>
            <w:r>
              <w:rPr>
                <w:rFonts w:hint="eastAsia" w:ascii="Times New Roman" w:hAnsi="Times New Roman" w:eastAsia="宋体" w:cs="Times New Roman"/>
                <w:bCs/>
                <w:sz w:val="21"/>
                <w:szCs w:val="21"/>
                <w:highlight w:val="none"/>
              </w:rPr>
              <w:t>含安全规范</w:t>
            </w:r>
            <w:r>
              <w:rPr>
                <w:rFonts w:hint="default" w:ascii="Times New Roman" w:hAnsi="Times New Roman" w:eastAsia="宋体" w:cs="Times New Roman"/>
                <w:bCs/>
                <w:sz w:val="21"/>
                <w:szCs w:val="21"/>
                <w:highlight w:val="none"/>
              </w:rPr>
              <w:t>)</w:t>
            </w:r>
            <w:r>
              <w:rPr>
                <w:rFonts w:hint="eastAsia" w:ascii="Times New Roman" w:hAnsi="Times New Roman" w:eastAsia="宋体" w:cs="Times New Roman"/>
                <w:bCs/>
                <w:sz w:val="21"/>
                <w:szCs w:val="21"/>
                <w:highlight w:val="none"/>
              </w:rPr>
              <w:t>、试运行记录以及其他技术通知单、工作联系单等技术文档。</w:t>
            </w:r>
          </w:p>
          <w:p w14:paraId="2E9D1C3F">
            <w:pPr>
              <w:keepNext w:val="0"/>
              <w:keepLines w:val="0"/>
              <w:pageBreakBefore w:val="0"/>
              <w:widowControl/>
              <w:kinsoku/>
              <w:wordWrap/>
              <w:overflowPunct/>
              <w:topLinePunct w:val="0"/>
              <w:autoSpaceDE/>
              <w:autoSpaceDN/>
              <w:bidi w:val="0"/>
              <w:snapToGrid/>
              <w:spacing w:line="264" w:lineRule="auto"/>
              <w:textAlignment w:val="auto"/>
              <w:rPr>
                <w:rFonts w:hint="default"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w:t>
            </w:r>
            <w:r>
              <w:rPr>
                <w:rFonts w:hint="default" w:ascii="Times New Roman" w:hAnsi="Times New Roman" w:eastAsia="宋体" w:cs="Times New Roman"/>
                <w:bCs/>
                <w:sz w:val="21"/>
                <w:szCs w:val="21"/>
                <w:highlight w:val="none"/>
              </w:rPr>
              <w:t>2</w:t>
            </w:r>
            <w:r>
              <w:rPr>
                <w:rFonts w:hint="eastAsia" w:ascii="Times New Roman" w:hAnsi="Times New Roman" w:eastAsia="宋体" w:cs="Times New Roman"/>
                <w:bCs/>
                <w:sz w:val="21"/>
                <w:szCs w:val="21"/>
                <w:highlight w:val="none"/>
              </w:rPr>
              <w:t>）投标人对</w:t>
            </w:r>
            <w:r>
              <w:rPr>
                <w:rFonts w:hint="eastAsia" w:ascii="Times New Roman" w:hAnsi="Times New Roman" w:eastAsia="宋体" w:cs="Times New Roman"/>
                <w:bCs/>
                <w:sz w:val="21"/>
                <w:szCs w:val="21"/>
                <w:highlight w:val="none"/>
                <w:lang w:val="en-US" w:eastAsia="zh-CN"/>
              </w:rPr>
              <w:t>采购</w:t>
            </w:r>
            <w:r>
              <w:rPr>
                <w:rFonts w:hint="eastAsia" w:ascii="Times New Roman" w:hAnsi="Times New Roman" w:eastAsia="宋体" w:cs="Times New Roman"/>
                <w:bCs/>
                <w:sz w:val="21"/>
                <w:szCs w:val="21"/>
                <w:highlight w:val="none"/>
              </w:rPr>
              <w:t>人培训内容包括但不限于：设备原理、设备电路线路原理、机械结构及各功能模块介绍、设备基本故障诊断排查、易损部件更换、程序设置、工艺操作、紧急事件处理等，使招标方的有关操作人员能熟练、正确操作使用、维护设备，有关的维修人员能独立排除设备的常见故障并进行常规维护。</w:t>
            </w:r>
          </w:p>
          <w:p w14:paraId="5B2D314F">
            <w:pPr>
              <w:keepNext w:val="0"/>
              <w:keepLines w:val="0"/>
              <w:pageBreakBefore w:val="0"/>
              <w:widowControl/>
              <w:kinsoku/>
              <w:wordWrap/>
              <w:overflowPunct/>
              <w:topLinePunct w:val="0"/>
              <w:autoSpaceDE/>
              <w:autoSpaceDN/>
              <w:bidi w:val="0"/>
              <w:snapToGrid/>
              <w:spacing w:line="264" w:lineRule="auto"/>
              <w:textAlignment w:val="auto"/>
              <w:rPr>
                <w:rFonts w:hint="default"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w:t>
            </w:r>
            <w:r>
              <w:rPr>
                <w:rFonts w:hint="default" w:ascii="Times New Roman" w:hAnsi="Times New Roman" w:eastAsia="宋体" w:cs="Times New Roman"/>
                <w:bCs/>
                <w:sz w:val="21"/>
                <w:szCs w:val="21"/>
                <w:highlight w:val="none"/>
              </w:rPr>
              <w:t>3</w:t>
            </w:r>
            <w:r>
              <w:rPr>
                <w:rFonts w:hint="eastAsia" w:ascii="Times New Roman" w:hAnsi="Times New Roman" w:eastAsia="宋体" w:cs="Times New Roman"/>
                <w:bCs/>
                <w:sz w:val="21"/>
                <w:szCs w:val="21"/>
                <w:highlight w:val="none"/>
              </w:rPr>
              <w:t>）关于培训的时间、地点，根据采购人实际需求指定备选的时间和地点，由投标人从中选择，参加培训的人员数量由采购人自行确定；</w:t>
            </w:r>
          </w:p>
        </w:tc>
      </w:tr>
      <w:tr w14:paraId="209209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96" w:type="dxa"/>
            <w:tcBorders>
              <w:tl2br w:val="nil"/>
              <w:tr2bl w:val="nil"/>
            </w:tcBorders>
            <w:vAlign w:val="center"/>
          </w:tcPr>
          <w:p w14:paraId="5194F785">
            <w:pPr>
              <w:keepNext w:val="0"/>
              <w:keepLines w:val="0"/>
              <w:pageBreakBefore w:val="0"/>
              <w:widowControl/>
              <w:kinsoku/>
              <w:wordWrap/>
              <w:overflowPunct/>
              <w:topLinePunct w:val="0"/>
              <w:autoSpaceDE/>
              <w:autoSpaceDN/>
              <w:bidi w:val="0"/>
              <w:snapToGrid/>
              <w:spacing w:line="264" w:lineRule="auto"/>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5</w:t>
            </w:r>
          </w:p>
        </w:tc>
        <w:tc>
          <w:tcPr>
            <w:tcW w:w="1666" w:type="dxa"/>
            <w:tcBorders>
              <w:tl2br w:val="nil"/>
              <w:tr2bl w:val="nil"/>
            </w:tcBorders>
            <w:vAlign w:val="center"/>
          </w:tcPr>
          <w:p w14:paraId="17AE1C61">
            <w:pPr>
              <w:keepNext w:val="0"/>
              <w:keepLines w:val="0"/>
              <w:pageBreakBefore w:val="0"/>
              <w:widowControl/>
              <w:kinsoku/>
              <w:wordWrap/>
              <w:overflowPunct/>
              <w:topLinePunct w:val="0"/>
              <w:autoSpaceDE/>
              <w:autoSpaceDN/>
              <w:bidi w:val="0"/>
              <w:snapToGrid/>
              <w:spacing w:line="264" w:lineRule="auto"/>
              <w:jc w:val="center"/>
              <w:textAlignment w:val="auto"/>
              <w:rPr>
                <w:rFonts w:hint="default"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技术保障</w:t>
            </w:r>
          </w:p>
        </w:tc>
        <w:tc>
          <w:tcPr>
            <w:tcW w:w="6109" w:type="dxa"/>
            <w:tcBorders>
              <w:tl2br w:val="nil"/>
              <w:tr2bl w:val="nil"/>
            </w:tcBorders>
            <w:vAlign w:val="center"/>
          </w:tcPr>
          <w:p w14:paraId="1C914BDF">
            <w:pPr>
              <w:keepNext w:val="0"/>
              <w:keepLines w:val="0"/>
              <w:pageBreakBefore w:val="0"/>
              <w:widowControl/>
              <w:kinsoku/>
              <w:wordWrap/>
              <w:overflowPunct/>
              <w:topLinePunct w:val="0"/>
              <w:autoSpaceDE/>
              <w:autoSpaceDN/>
              <w:bidi w:val="0"/>
              <w:snapToGrid/>
              <w:spacing w:line="264" w:lineRule="auto"/>
              <w:textAlignment w:val="auto"/>
              <w:rPr>
                <w:rFonts w:hint="default"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在采购人进行整体项目试运行和正式运行（含联机实验）的过程中，投标人须派专门的售后技术工程师到达设备现场进行协助实验，确保设备顺利运行（保修期内免费协助）。</w:t>
            </w:r>
          </w:p>
        </w:tc>
      </w:tr>
      <w:tr w14:paraId="3B9CF7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24" w:hRule="atLeast"/>
          <w:jc w:val="center"/>
        </w:trPr>
        <w:tc>
          <w:tcPr>
            <w:tcW w:w="1296" w:type="dxa"/>
            <w:tcBorders>
              <w:tl2br w:val="nil"/>
              <w:tr2bl w:val="nil"/>
            </w:tcBorders>
            <w:vAlign w:val="center"/>
          </w:tcPr>
          <w:p w14:paraId="307D6E5F">
            <w:pPr>
              <w:keepNext w:val="0"/>
              <w:keepLines w:val="0"/>
              <w:pageBreakBefore w:val="0"/>
              <w:widowControl/>
              <w:kinsoku/>
              <w:wordWrap/>
              <w:overflowPunct/>
              <w:topLinePunct w:val="0"/>
              <w:autoSpaceDE/>
              <w:autoSpaceDN/>
              <w:bidi w:val="0"/>
              <w:snapToGrid/>
              <w:spacing w:line="264" w:lineRule="auto"/>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6</w:t>
            </w:r>
          </w:p>
        </w:tc>
        <w:tc>
          <w:tcPr>
            <w:tcW w:w="1666" w:type="dxa"/>
            <w:tcBorders>
              <w:tl2br w:val="nil"/>
              <w:tr2bl w:val="nil"/>
            </w:tcBorders>
            <w:vAlign w:val="center"/>
          </w:tcPr>
          <w:p w14:paraId="56FFECE1">
            <w:pPr>
              <w:keepNext w:val="0"/>
              <w:keepLines w:val="0"/>
              <w:pageBreakBefore w:val="0"/>
              <w:widowControl/>
              <w:kinsoku/>
              <w:wordWrap/>
              <w:overflowPunct/>
              <w:topLinePunct w:val="0"/>
              <w:autoSpaceDE/>
              <w:autoSpaceDN/>
              <w:bidi w:val="0"/>
              <w:snapToGrid/>
              <w:spacing w:line="264" w:lineRule="auto"/>
              <w:jc w:val="center"/>
              <w:textAlignment w:val="auto"/>
              <w:rPr>
                <w:rFonts w:hint="default"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质量保障</w:t>
            </w:r>
          </w:p>
        </w:tc>
        <w:tc>
          <w:tcPr>
            <w:tcW w:w="6109" w:type="dxa"/>
            <w:tcBorders>
              <w:tl2br w:val="nil"/>
              <w:tr2bl w:val="nil"/>
            </w:tcBorders>
            <w:vAlign w:val="center"/>
          </w:tcPr>
          <w:p w14:paraId="332F60AF">
            <w:pPr>
              <w:keepNext w:val="0"/>
              <w:keepLines w:val="0"/>
              <w:pageBreakBefore w:val="0"/>
              <w:widowControl/>
              <w:kinsoku/>
              <w:wordWrap/>
              <w:overflowPunct/>
              <w:topLinePunct w:val="0"/>
              <w:autoSpaceDE/>
              <w:autoSpaceDN/>
              <w:bidi w:val="0"/>
              <w:snapToGrid/>
              <w:spacing w:line="264" w:lineRule="auto"/>
              <w:textAlignment w:val="auto"/>
              <w:rPr>
                <w:rFonts w:hint="eastAsia" w:ascii="Times New Roman" w:hAnsi="Times New Roman" w:eastAsia="宋体" w:cs="Times New Roman"/>
                <w:bCs/>
                <w:sz w:val="21"/>
                <w:szCs w:val="21"/>
                <w:highlight w:val="none"/>
                <w:lang w:eastAsia="zh-CN"/>
              </w:rPr>
            </w:pPr>
            <w:r>
              <w:rPr>
                <w:rFonts w:hint="eastAsia" w:ascii="Times New Roman" w:hAnsi="Times New Roman" w:eastAsia="宋体" w:cs="Times New Roman"/>
                <w:bCs/>
                <w:sz w:val="21"/>
                <w:szCs w:val="21"/>
                <w:highlight w:val="none"/>
              </w:rPr>
              <w:t>交付验收后，保修期内根据采购人需要或者定期对设备进行关键重要部件的工作性能检查（投标人在保修期内提供免费服务，并免费更换损坏元器件）。</w:t>
            </w:r>
          </w:p>
        </w:tc>
      </w:tr>
      <w:tr w14:paraId="029EA0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1296" w:type="dxa"/>
            <w:tcBorders>
              <w:tl2br w:val="nil"/>
              <w:tr2bl w:val="nil"/>
            </w:tcBorders>
            <w:vAlign w:val="center"/>
          </w:tcPr>
          <w:p w14:paraId="7E7BCC8B">
            <w:pPr>
              <w:keepNext w:val="0"/>
              <w:keepLines w:val="0"/>
              <w:pageBreakBefore w:val="0"/>
              <w:widowControl/>
              <w:kinsoku/>
              <w:wordWrap/>
              <w:overflowPunct/>
              <w:topLinePunct w:val="0"/>
              <w:autoSpaceDE/>
              <w:autoSpaceDN/>
              <w:bidi w:val="0"/>
              <w:snapToGrid/>
              <w:spacing w:line="264" w:lineRule="auto"/>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7</w:t>
            </w:r>
          </w:p>
        </w:tc>
        <w:tc>
          <w:tcPr>
            <w:tcW w:w="1666" w:type="dxa"/>
            <w:tcBorders>
              <w:tl2br w:val="nil"/>
              <w:tr2bl w:val="nil"/>
            </w:tcBorders>
            <w:vAlign w:val="center"/>
          </w:tcPr>
          <w:p w14:paraId="6E62E2C2">
            <w:pPr>
              <w:keepNext w:val="0"/>
              <w:keepLines w:val="0"/>
              <w:pageBreakBefore w:val="0"/>
              <w:widowControl/>
              <w:kinsoku/>
              <w:wordWrap/>
              <w:overflowPunct/>
              <w:topLinePunct w:val="0"/>
              <w:autoSpaceDE/>
              <w:autoSpaceDN/>
              <w:bidi w:val="0"/>
              <w:snapToGrid/>
              <w:spacing w:line="264" w:lineRule="auto"/>
              <w:jc w:val="center"/>
              <w:textAlignment w:val="auto"/>
              <w:rPr>
                <w:rFonts w:hint="default"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关于质量缺陷</w:t>
            </w:r>
          </w:p>
        </w:tc>
        <w:tc>
          <w:tcPr>
            <w:tcW w:w="6109" w:type="dxa"/>
            <w:tcBorders>
              <w:tl2br w:val="nil"/>
              <w:tr2bl w:val="nil"/>
            </w:tcBorders>
            <w:vAlign w:val="center"/>
          </w:tcPr>
          <w:p w14:paraId="62A22CD4">
            <w:pPr>
              <w:keepNext w:val="0"/>
              <w:keepLines w:val="0"/>
              <w:pageBreakBefore w:val="0"/>
              <w:widowControl/>
              <w:kinsoku/>
              <w:wordWrap/>
              <w:overflowPunct/>
              <w:topLinePunct w:val="0"/>
              <w:autoSpaceDE/>
              <w:autoSpaceDN/>
              <w:bidi w:val="0"/>
              <w:snapToGrid/>
              <w:spacing w:line="264" w:lineRule="auto"/>
              <w:textAlignment w:val="auto"/>
              <w:rPr>
                <w:rFonts w:hint="default"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在保修期内发现设计和服务质量缺陷的，投标人免费负责返工并及时采取补救措施。</w:t>
            </w:r>
            <w:r>
              <w:rPr>
                <w:rFonts w:hint="eastAsia" w:ascii="Times New Roman" w:hAnsi="Times New Roman" w:eastAsia="宋体" w:cs="Times New Roman"/>
                <w:bCs/>
                <w:sz w:val="21"/>
                <w:szCs w:val="21"/>
                <w:highlight w:val="none"/>
                <w:lang w:val="en-US" w:eastAsia="zh-CN"/>
              </w:rPr>
              <w:t>采购</w:t>
            </w:r>
            <w:r>
              <w:rPr>
                <w:rFonts w:hint="eastAsia" w:ascii="Times New Roman" w:hAnsi="Times New Roman" w:eastAsia="宋体" w:cs="Times New Roman"/>
                <w:bCs/>
                <w:sz w:val="21"/>
                <w:szCs w:val="21"/>
                <w:highlight w:val="none"/>
              </w:rPr>
              <w:t>人有权根据法定质量检测部门出具的检验证书向</w:t>
            </w:r>
            <w:r>
              <w:rPr>
                <w:rFonts w:hint="eastAsia" w:ascii="Times New Roman" w:hAnsi="Times New Roman" w:eastAsia="宋体" w:cs="Times New Roman"/>
                <w:bCs/>
                <w:sz w:val="21"/>
                <w:szCs w:val="21"/>
                <w:highlight w:val="none"/>
                <w:lang w:val="en-US" w:eastAsia="zh-CN"/>
              </w:rPr>
              <w:t>投标人</w:t>
            </w:r>
            <w:r>
              <w:rPr>
                <w:rFonts w:hint="eastAsia" w:ascii="Times New Roman" w:hAnsi="Times New Roman" w:eastAsia="宋体" w:cs="Times New Roman"/>
                <w:bCs/>
                <w:sz w:val="21"/>
                <w:szCs w:val="21"/>
                <w:highlight w:val="none"/>
              </w:rPr>
              <w:t>提出索赔，并增加货物质量保证期。因采购人使用、保管、保养不善等造成的不属于产品质量问题的，按成本价收取维修费。</w:t>
            </w:r>
          </w:p>
        </w:tc>
      </w:tr>
      <w:tr w14:paraId="29F87D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1296" w:type="dxa"/>
            <w:tcBorders>
              <w:tl2br w:val="nil"/>
              <w:tr2bl w:val="nil"/>
            </w:tcBorders>
            <w:vAlign w:val="center"/>
          </w:tcPr>
          <w:p w14:paraId="5A1F6D25">
            <w:pPr>
              <w:keepNext w:val="0"/>
              <w:keepLines w:val="0"/>
              <w:pageBreakBefore w:val="0"/>
              <w:widowControl/>
              <w:kinsoku/>
              <w:wordWrap/>
              <w:overflowPunct/>
              <w:topLinePunct w:val="0"/>
              <w:autoSpaceDE/>
              <w:autoSpaceDN/>
              <w:bidi w:val="0"/>
              <w:snapToGrid/>
              <w:spacing w:line="264" w:lineRule="auto"/>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8</w:t>
            </w:r>
          </w:p>
        </w:tc>
        <w:tc>
          <w:tcPr>
            <w:tcW w:w="1666" w:type="dxa"/>
            <w:tcBorders>
              <w:tl2br w:val="nil"/>
              <w:tr2bl w:val="nil"/>
            </w:tcBorders>
            <w:vAlign w:val="center"/>
          </w:tcPr>
          <w:p w14:paraId="4D998D4B">
            <w:pPr>
              <w:keepNext w:val="0"/>
              <w:keepLines w:val="0"/>
              <w:pageBreakBefore w:val="0"/>
              <w:widowControl/>
              <w:kinsoku/>
              <w:wordWrap/>
              <w:overflowPunct/>
              <w:topLinePunct w:val="0"/>
              <w:autoSpaceDE/>
              <w:autoSpaceDN/>
              <w:bidi w:val="0"/>
              <w:snapToGrid/>
              <w:spacing w:line="264" w:lineRule="auto"/>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其他</w:t>
            </w:r>
          </w:p>
        </w:tc>
        <w:tc>
          <w:tcPr>
            <w:tcW w:w="6109" w:type="dxa"/>
            <w:tcBorders>
              <w:tl2br w:val="nil"/>
              <w:tr2bl w:val="nil"/>
            </w:tcBorders>
            <w:vAlign w:val="center"/>
          </w:tcPr>
          <w:p w14:paraId="6F9101AA">
            <w:pPr>
              <w:keepNext w:val="0"/>
              <w:keepLines w:val="0"/>
              <w:pageBreakBefore w:val="0"/>
              <w:widowControl/>
              <w:kinsoku/>
              <w:wordWrap/>
              <w:overflowPunct/>
              <w:topLinePunct w:val="0"/>
              <w:autoSpaceDE/>
              <w:autoSpaceDN/>
              <w:bidi w:val="0"/>
              <w:snapToGrid/>
              <w:spacing w:line="264" w:lineRule="auto"/>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投标人应按其投标文件中的承诺，进行其他售后服务工作。</w:t>
            </w:r>
          </w:p>
        </w:tc>
      </w:tr>
      <w:tr w14:paraId="2F1F61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1296" w:type="dxa"/>
            <w:tcBorders>
              <w:tl2br w:val="nil"/>
              <w:tr2bl w:val="nil"/>
            </w:tcBorders>
            <w:vAlign w:val="center"/>
          </w:tcPr>
          <w:p w14:paraId="05F48E82">
            <w:pPr>
              <w:keepNext w:val="0"/>
              <w:keepLines w:val="0"/>
              <w:pageBreakBefore w:val="0"/>
              <w:widowControl/>
              <w:kinsoku/>
              <w:wordWrap/>
              <w:overflowPunct/>
              <w:topLinePunct w:val="0"/>
              <w:autoSpaceDE/>
              <w:autoSpaceDN/>
              <w:bidi w:val="0"/>
              <w:snapToGrid/>
              <w:spacing w:line="264" w:lineRule="auto"/>
              <w:jc w:val="center"/>
              <w:textAlignment w:val="auto"/>
              <w:rPr>
                <w:rFonts w:hint="default"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9</w:t>
            </w:r>
          </w:p>
        </w:tc>
        <w:tc>
          <w:tcPr>
            <w:tcW w:w="1666" w:type="dxa"/>
            <w:tcBorders>
              <w:tl2br w:val="nil"/>
              <w:tr2bl w:val="nil"/>
            </w:tcBorders>
            <w:vAlign w:val="center"/>
          </w:tcPr>
          <w:p w14:paraId="65C11B10">
            <w:pPr>
              <w:keepNext w:val="0"/>
              <w:keepLines w:val="0"/>
              <w:pageBreakBefore w:val="0"/>
              <w:widowControl/>
              <w:kinsoku/>
              <w:wordWrap/>
              <w:overflowPunct/>
              <w:topLinePunct w:val="0"/>
              <w:autoSpaceDE/>
              <w:autoSpaceDN/>
              <w:bidi w:val="0"/>
              <w:snapToGrid/>
              <w:spacing w:line="264" w:lineRule="auto"/>
              <w:jc w:val="center"/>
              <w:textAlignment w:val="auto"/>
              <w:rPr>
                <w:rFonts w:hint="default"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二次搬运</w:t>
            </w:r>
          </w:p>
        </w:tc>
        <w:tc>
          <w:tcPr>
            <w:tcW w:w="6109" w:type="dxa"/>
            <w:tcBorders>
              <w:tl2br w:val="nil"/>
              <w:tr2bl w:val="nil"/>
            </w:tcBorders>
            <w:vAlign w:val="center"/>
          </w:tcPr>
          <w:p w14:paraId="3A6379BD">
            <w:pPr>
              <w:keepNext w:val="0"/>
              <w:keepLines w:val="0"/>
              <w:pageBreakBefore w:val="0"/>
              <w:widowControl/>
              <w:kinsoku/>
              <w:wordWrap/>
              <w:overflowPunct/>
              <w:topLinePunct w:val="0"/>
              <w:autoSpaceDE/>
              <w:autoSpaceDN/>
              <w:bidi w:val="0"/>
              <w:snapToGrid/>
              <w:spacing w:line="264" w:lineRule="auto"/>
              <w:textAlignment w:val="auto"/>
              <w:rPr>
                <w:rFonts w:hint="default"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投标人保证为采购人免费移机一次（含拆装、运输、保险等全部费用及国家规定的各项税费），抵达对应场地后，须安装调试，并确保移机后设备技术指标达到移机前水平。</w:t>
            </w:r>
          </w:p>
        </w:tc>
      </w:tr>
      <w:tr w14:paraId="02E81C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9071" w:type="dxa"/>
            <w:gridSpan w:val="3"/>
            <w:tcBorders>
              <w:tl2br w:val="nil"/>
              <w:tr2bl w:val="nil"/>
            </w:tcBorders>
            <w:vAlign w:val="center"/>
          </w:tcPr>
          <w:p w14:paraId="5F11E62A">
            <w:pPr>
              <w:keepNext w:val="0"/>
              <w:keepLines w:val="0"/>
              <w:pageBreakBefore w:val="0"/>
              <w:widowControl/>
              <w:kinsoku/>
              <w:wordWrap/>
              <w:overflowPunct/>
              <w:topLinePunct w:val="0"/>
              <w:autoSpaceDE/>
              <w:autoSpaceDN/>
              <w:bidi w:val="0"/>
              <w:snapToGrid/>
              <w:spacing w:line="264" w:lineRule="auto"/>
              <w:jc w:val="left"/>
              <w:textAlignment w:val="auto"/>
              <w:rPr>
                <w:rFonts w:ascii="Times New Roman" w:hAnsi="Times New Roman" w:cs="Times New Roman"/>
                <w:b/>
                <w:sz w:val="21"/>
                <w:szCs w:val="21"/>
              </w:rPr>
            </w:pPr>
            <w:r>
              <w:rPr>
                <w:rFonts w:hint="eastAsia" w:ascii="Times New Roman" w:hAnsi="Times New Roman" w:cs="Times New Roman"/>
                <w:b/>
                <w:sz w:val="21"/>
                <w:szCs w:val="21"/>
              </w:rPr>
              <w:t>（二）免费保修期外售后服务要求</w:t>
            </w:r>
          </w:p>
        </w:tc>
      </w:tr>
      <w:tr w14:paraId="6F63BB1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96" w:type="dxa"/>
            <w:tcBorders>
              <w:tl2br w:val="nil"/>
              <w:tr2bl w:val="nil"/>
            </w:tcBorders>
            <w:vAlign w:val="center"/>
          </w:tcPr>
          <w:p w14:paraId="3A960328">
            <w:pPr>
              <w:keepNext w:val="0"/>
              <w:keepLines w:val="0"/>
              <w:pageBreakBefore w:val="0"/>
              <w:widowControl/>
              <w:kinsoku/>
              <w:wordWrap/>
              <w:overflowPunct/>
              <w:topLinePunct w:val="0"/>
              <w:autoSpaceDE/>
              <w:autoSpaceDN/>
              <w:bidi w:val="0"/>
              <w:snapToGrid/>
              <w:spacing w:line="264" w:lineRule="auto"/>
              <w:jc w:val="center"/>
              <w:textAlignment w:val="auto"/>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1</w:t>
            </w:r>
          </w:p>
        </w:tc>
        <w:tc>
          <w:tcPr>
            <w:tcW w:w="1666" w:type="dxa"/>
            <w:tcBorders>
              <w:tl2br w:val="nil"/>
              <w:tr2bl w:val="nil"/>
            </w:tcBorders>
            <w:vAlign w:val="center"/>
          </w:tcPr>
          <w:p w14:paraId="6E23FE3F">
            <w:pPr>
              <w:keepNext w:val="0"/>
              <w:keepLines w:val="0"/>
              <w:pageBreakBefore w:val="0"/>
              <w:widowControl/>
              <w:kinsoku/>
              <w:wordWrap/>
              <w:overflowPunct/>
              <w:topLinePunct w:val="0"/>
              <w:autoSpaceDE/>
              <w:autoSpaceDN/>
              <w:bidi w:val="0"/>
              <w:snapToGrid/>
              <w:spacing w:line="264" w:lineRule="auto"/>
              <w:jc w:val="center"/>
              <w:textAlignment w:val="auto"/>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保修期外的售后服务</w:t>
            </w:r>
          </w:p>
        </w:tc>
        <w:tc>
          <w:tcPr>
            <w:tcW w:w="6109" w:type="dxa"/>
            <w:tcBorders>
              <w:tl2br w:val="nil"/>
              <w:tr2bl w:val="nil"/>
            </w:tcBorders>
            <w:vAlign w:val="center"/>
          </w:tcPr>
          <w:p w14:paraId="23D929F0">
            <w:pPr>
              <w:keepNext w:val="0"/>
              <w:keepLines w:val="0"/>
              <w:pageBreakBefore w:val="0"/>
              <w:widowControl/>
              <w:kinsoku/>
              <w:wordWrap/>
              <w:overflowPunct/>
              <w:topLinePunct w:val="0"/>
              <w:autoSpaceDE/>
              <w:autoSpaceDN/>
              <w:bidi w:val="0"/>
              <w:snapToGrid/>
              <w:spacing w:line="264" w:lineRule="auto"/>
              <w:textAlignment w:val="auto"/>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投标人保证免费保修期外应继续为采购人提供相应的售后服务，协助排除故障、修复或更换零部件。</w:t>
            </w:r>
          </w:p>
        </w:tc>
      </w:tr>
      <w:tr w14:paraId="694F9A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96" w:type="dxa"/>
            <w:tcBorders>
              <w:tl2br w:val="nil"/>
              <w:tr2bl w:val="nil"/>
            </w:tcBorders>
            <w:vAlign w:val="center"/>
          </w:tcPr>
          <w:p w14:paraId="778DF76A">
            <w:pPr>
              <w:keepNext w:val="0"/>
              <w:keepLines w:val="0"/>
              <w:pageBreakBefore w:val="0"/>
              <w:widowControl/>
              <w:kinsoku/>
              <w:wordWrap/>
              <w:overflowPunct/>
              <w:topLinePunct w:val="0"/>
              <w:autoSpaceDE/>
              <w:autoSpaceDN/>
              <w:bidi w:val="0"/>
              <w:snapToGrid/>
              <w:spacing w:line="264" w:lineRule="auto"/>
              <w:jc w:val="center"/>
              <w:textAlignment w:val="auto"/>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2</w:t>
            </w:r>
          </w:p>
        </w:tc>
        <w:tc>
          <w:tcPr>
            <w:tcW w:w="1666" w:type="dxa"/>
            <w:tcBorders>
              <w:tl2br w:val="nil"/>
              <w:tr2bl w:val="nil"/>
            </w:tcBorders>
            <w:vAlign w:val="center"/>
          </w:tcPr>
          <w:p w14:paraId="1C598570">
            <w:pPr>
              <w:keepNext w:val="0"/>
              <w:keepLines w:val="0"/>
              <w:pageBreakBefore w:val="0"/>
              <w:widowControl/>
              <w:kinsoku/>
              <w:wordWrap/>
              <w:overflowPunct/>
              <w:topLinePunct w:val="0"/>
              <w:autoSpaceDE/>
              <w:autoSpaceDN/>
              <w:bidi w:val="0"/>
              <w:snapToGrid/>
              <w:spacing w:line="264" w:lineRule="auto"/>
              <w:jc w:val="center"/>
              <w:textAlignment w:val="auto"/>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维修响应及故障解决时间</w:t>
            </w:r>
          </w:p>
        </w:tc>
        <w:tc>
          <w:tcPr>
            <w:tcW w:w="6109" w:type="dxa"/>
            <w:tcBorders>
              <w:tl2br w:val="nil"/>
              <w:tr2bl w:val="nil"/>
            </w:tcBorders>
            <w:vAlign w:val="center"/>
          </w:tcPr>
          <w:p w14:paraId="3160CAC4">
            <w:pPr>
              <w:keepNext w:val="0"/>
              <w:keepLines w:val="0"/>
              <w:pageBreakBefore w:val="0"/>
              <w:widowControl/>
              <w:kinsoku/>
              <w:wordWrap/>
              <w:overflowPunct/>
              <w:topLinePunct w:val="0"/>
              <w:autoSpaceDE/>
              <w:autoSpaceDN/>
              <w:bidi w:val="0"/>
              <w:snapToGrid/>
              <w:spacing w:line="264" w:lineRule="auto"/>
              <w:textAlignment w:val="auto"/>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在免费保修期外，一旦发生质量问题，投标人保证在接到采购人通知的 </w:t>
            </w:r>
            <w:r>
              <w:rPr>
                <w:rFonts w:hint="eastAsia" w:ascii="Times New Roman" w:hAnsi="Times New Roman" w:eastAsia="宋体" w:cs="Times New Roman"/>
                <w:bCs/>
                <w:sz w:val="21"/>
                <w:szCs w:val="21"/>
                <w:highlight w:val="none"/>
                <w:lang w:val="en-US" w:eastAsia="zh-CN"/>
              </w:rPr>
              <w:t>8</w:t>
            </w:r>
            <w:r>
              <w:rPr>
                <w:rFonts w:hint="eastAsia" w:ascii="Times New Roman" w:hAnsi="Times New Roman" w:eastAsia="宋体" w:cs="Times New Roman"/>
                <w:bCs/>
                <w:sz w:val="21"/>
                <w:szCs w:val="21"/>
                <w:highlight w:val="none"/>
              </w:rPr>
              <w:t xml:space="preserve"> 小时内响应，如不能远程解决问题，需 </w:t>
            </w:r>
            <w:r>
              <w:rPr>
                <w:rFonts w:hint="eastAsia" w:ascii="Times New Roman" w:hAnsi="Times New Roman" w:eastAsia="宋体" w:cs="Times New Roman"/>
                <w:bCs/>
                <w:sz w:val="21"/>
                <w:szCs w:val="21"/>
                <w:highlight w:val="none"/>
                <w:lang w:val="en-US" w:eastAsia="zh-CN"/>
              </w:rPr>
              <w:t>48</w:t>
            </w:r>
            <w:r>
              <w:rPr>
                <w:rFonts w:hint="eastAsia" w:ascii="Times New Roman" w:hAnsi="Times New Roman" w:eastAsia="宋体" w:cs="Times New Roman"/>
                <w:bCs/>
                <w:sz w:val="21"/>
                <w:szCs w:val="21"/>
                <w:highlight w:val="none"/>
              </w:rPr>
              <w:t xml:space="preserve"> 小时内赶到现场进行修理或更换。</w:t>
            </w:r>
          </w:p>
        </w:tc>
      </w:tr>
      <w:tr w14:paraId="3A685F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96" w:type="dxa"/>
            <w:tcBorders>
              <w:tl2br w:val="nil"/>
              <w:tr2bl w:val="nil"/>
            </w:tcBorders>
            <w:vAlign w:val="center"/>
          </w:tcPr>
          <w:p w14:paraId="2DD6685A">
            <w:pPr>
              <w:keepNext w:val="0"/>
              <w:keepLines w:val="0"/>
              <w:pageBreakBefore w:val="0"/>
              <w:widowControl/>
              <w:kinsoku/>
              <w:wordWrap/>
              <w:overflowPunct/>
              <w:topLinePunct w:val="0"/>
              <w:autoSpaceDE/>
              <w:autoSpaceDN/>
              <w:bidi w:val="0"/>
              <w:snapToGrid/>
              <w:spacing w:line="264" w:lineRule="auto"/>
              <w:jc w:val="center"/>
              <w:textAlignment w:val="auto"/>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3</w:t>
            </w:r>
          </w:p>
        </w:tc>
        <w:tc>
          <w:tcPr>
            <w:tcW w:w="1666" w:type="dxa"/>
            <w:tcBorders>
              <w:tl2br w:val="nil"/>
              <w:tr2bl w:val="nil"/>
            </w:tcBorders>
            <w:vAlign w:val="center"/>
          </w:tcPr>
          <w:p w14:paraId="156E06EF">
            <w:pPr>
              <w:keepNext w:val="0"/>
              <w:keepLines w:val="0"/>
              <w:pageBreakBefore w:val="0"/>
              <w:widowControl/>
              <w:kinsoku/>
              <w:wordWrap/>
              <w:overflowPunct/>
              <w:topLinePunct w:val="0"/>
              <w:autoSpaceDE/>
              <w:autoSpaceDN/>
              <w:bidi w:val="0"/>
              <w:snapToGrid/>
              <w:spacing w:line="264" w:lineRule="auto"/>
              <w:jc w:val="center"/>
              <w:textAlignment w:val="auto"/>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售后配件和人工费用</w:t>
            </w:r>
          </w:p>
        </w:tc>
        <w:tc>
          <w:tcPr>
            <w:tcW w:w="6109" w:type="dxa"/>
            <w:tcBorders>
              <w:tl2br w:val="nil"/>
              <w:tr2bl w:val="nil"/>
            </w:tcBorders>
            <w:vAlign w:val="center"/>
          </w:tcPr>
          <w:p w14:paraId="390CC82E">
            <w:pPr>
              <w:keepNext w:val="0"/>
              <w:keepLines w:val="0"/>
              <w:pageBreakBefore w:val="0"/>
              <w:widowControl/>
              <w:kinsoku/>
              <w:wordWrap/>
              <w:overflowPunct/>
              <w:topLinePunct w:val="0"/>
              <w:autoSpaceDE/>
              <w:autoSpaceDN/>
              <w:bidi w:val="0"/>
              <w:snapToGrid/>
              <w:spacing w:line="264" w:lineRule="auto"/>
              <w:textAlignment w:val="auto"/>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在免费保修期外每次维修前，投标人需按成本价为售后配件和人工服务进行报价，并在</w:t>
            </w:r>
            <w:r>
              <w:rPr>
                <w:rFonts w:hint="eastAsia" w:ascii="Times New Roman" w:hAnsi="Times New Roman" w:eastAsia="宋体" w:cs="Times New Roman"/>
                <w:bCs/>
                <w:sz w:val="21"/>
                <w:szCs w:val="21"/>
                <w:highlight w:val="none"/>
                <w:lang w:val="en-US" w:eastAsia="zh-CN"/>
              </w:rPr>
              <w:t>采购人</w:t>
            </w:r>
            <w:r>
              <w:rPr>
                <w:rFonts w:hint="eastAsia" w:ascii="Times New Roman" w:hAnsi="Times New Roman" w:eastAsia="宋体" w:cs="Times New Roman"/>
                <w:bCs/>
                <w:sz w:val="21"/>
                <w:szCs w:val="21"/>
                <w:highlight w:val="none"/>
              </w:rPr>
              <w:t>购买完成后尽快开具费用发票。更换的</w:t>
            </w:r>
            <w:r>
              <w:rPr>
                <w:rFonts w:hint="eastAsia" w:ascii="Times New Roman" w:hAnsi="Times New Roman" w:eastAsia="宋体" w:cs="Times New Roman"/>
                <w:bCs/>
                <w:sz w:val="21"/>
                <w:szCs w:val="21"/>
                <w:highlight w:val="none"/>
                <w:lang w:val="en-US" w:eastAsia="zh-CN"/>
              </w:rPr>
              <w:t>零</w:t>
            </w:r>
            <w:r>
              <w:rPr>
                <w:rFonts w:hint="eastAsia" w:ascii="Times New Roman" w:hAnsi="Times New Roman" w:eastAsia="宋体" w:cs="Times New Roman"/>
                <w:bCs/>
                <w:sz w:val="21"/>
                <w:szCs w:val="21"/>
                <w:highlight w:val="none"/>
              </w:rPr>
              <w:t>配件应与文档交付清单中零部件明细表一致（包括规格和生产厂家）。</w:t>
            </w:r>
          </w:p>
        </w:tc>
      </w:tr>
      <w:tr w14:paraId="21B648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9071" w:type="dxa"/>
            <w:gridSpan w:val="3"/>
            <w:tcBorders>
              <w:tl2br w:val="nil"/>
              <w:tr2bl w:val="nil"/>
            </w:tcBorders>
            <w:vAlign w:val="center"/>
          </w:tcPr>
          <w:p w14:paraId="0ADF3B0C">
            <w:pPr>
              <w:keepNext w:val="0"/>
              <w:keepLines w:val="0"/>
              <w:pageBreakBefore w:val="0"/>
              <w:widowControl/>
              <w:kinsoku/>
              <w:wordWrap/>
              <w:overflowPunct/>
              <w:topLinePunct w:val="0"/>
              <w:autoSpaceDE/>
              <w:autoSpaceDN/>
              <w:bidi w:val="0"/>
              <w:snapToGrid/>
              <w:spacing w:line="264" w:lineRule="auto"/>
              <w:jc w:val="left"/>
              <w:textAlignment w:val="auto"/>
              <w:rPr>
                <w:rFonts w:ascii="Times New Roman" w:hAnsi="Times New Roman" w:cs="Times New Roman"/>
                <w:b/>
                <w:sz w:val="21"/>
                <w:szCs w:val="21"/>
              </w:rPr>
            </w:pPr>
            <w:r>
              <w:rPr>
                <w:rFonts w:hint="eastAsia" w:ascii="宋体" w:hAnsi="宋体"/>
                <w:bCs/>
                <w:sz w:val="21"/>
                <w:szCs w:val="21"/>
              </w:rPr>
              <w:t>★</w:t>
            </w:r>
            <w:r>
              <w:rPr>
                <w:rFonts w:ascii="Times New Roman" w:hAnsi="Times New Roman" w:cs="Times New Roman"/>
                <w:b/>
                <w:sz w:val="21"/>
                <w:szCs w:val="21"/>
              </w:rPr>
              <w:t>（三）其他商务要求</w:t>
            </w:r>
          </w:p>
        </w:tc>
      </w:tr>
      <w:tr w14:paraId="3C0295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296" w:type="dxa"/>
            <w:vMerge w:val="restart"/>
            <w:tcBorders>
              <w:tl2br w:val="nil"/>
              <w:tr2bl w:val="nil"/>
            </w:tcBorders>
            <w:vAlign w:val="center"/>
          </w:tcPr>
          <w:p w14:paraId="5EAFABEE">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rPr>
            </w:pPr>
            <w:r>
              <w:rPr>
                <w:rFonts w:ascii="Times New Roman" w:hAnsi="Times New Roman" w:cs="Times New Roman"/>
                <w:bCs/>
                <w:sz w:val="21"/>
                <w:szCs w:val="21"/>
              </w:rPr>
              <w:t>1</w:t>
            </w:r>
          </w:p>
        </w:tc>
        <w:tc>
          <w:tcPr>
            <w:tcW w:w="1666" w:type="dxa"/>
            <w:vMerge w:val="restart"/>
            <w:tcBorders>
              <w:tl2br w:val="nil"/>
              <w:tr2bl w:val="nil"/>
            </w:tcBorders>
            <w:vAlign w:val="center"/>
          </w:tcPr>
          <w:p w14:paraId="7BEF131C">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sz w:val="21"/>
                <w:szCs w:val="21"/>
              </w:rPr>
            </w:pPr>
            <w:r>
              <w:rPr>
                <w:rFonts w:ascii="Times New Roman" w:hAnsi="Times New Roman" w:cs="Times New Roman"/>
                <w:sz w:val="21"/>
                <w:szCs w:val="21"/>
              </w:rPr>
              <w:t>关于交货</w:t>
            </w:r>
          </w:p>
        </w:tc>
        <w:tc>
          <w:tcPr>
            <w:tcW w:w="6109" w:type="dxa"/>
            <w:tcBorders>
              <w:tl2br w:val="nil"/>
              <w:tr2bl w:val="nil"/>
            </w:tcBorders>
          </w:tcPr>
          <w:p w14:paraId="22B4F8FD">
            <w:pPr>
              <w:keepNext w:val="0"/>
              <w:keepLines w:val="0"/>
              <w:pageBreakBefore w:val="0"/>
              <w:widowControl/>
              <w:kinsoku/>
              <w:wordWrap/>
              <w:overflowPunct/>
              <w:topLinePunct w:val="0"/>
              <w:autoSpaceDE/>
              <w:autoSpaceDN/>
              <w:bidi w:val="0"/>
              <w:snapToGrid/>
              <w:spacing w:line="264" w:lineRule="auto"/>
              <w:textAlignment w:val="auto"/>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1.1交货地点：采购人指定地点。</w:t>
            </w:r>
          </w:p>
        </w:tc>
      </w:tr>
      <w:tr w14:paraId="53A4FF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96" w:type="dxa"/>
            <w:vMerge w:val="continue"/>
            <w:tcBorders>
              <w:tl2br w:val="nil"/>
              <w:tr2bl w:val="nil"/>
            </w:tcBorders>
            <w:vAlign w:val="center"/>
          </w:tcPr>
          <w:p w14:paraId="47CC969F">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rPr>
            </w:pPr>
          </w:p>
        </w:tc>
        <w:tc>
          <w:tcPr>
            <w:tcW w:w="1666" w:type="dxa"/>
            <w:vMerge w:val="continue"/>
            <w:tcBorders>
              <w:tl2br w:val="nil"/>
              <w:tr2bl w:val="nil"/>
            </w:tcBorders>
            <w:vAlign w:val="center"/>
          </w:tcPr>
          <w:p w14:paraId="6D2D259C">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sz w:val="21"/>
                <w:szCs w:val="21"/>
              </w:rPr>
            </w:pPr>
          </w:p>
        </w:tc>
        <w:tc>
          <w:tcPr>
            <w:tcW w:w="6109" w:type="dxa"/>
            <w:tcBorders>
              <w:tl2br w:val="nil"/>
              <w:tr2bl w:val="nil"/>
            </w:tcBorders>
          </w:tcPr>
          <w:p w14:paraId="4AA1B2DF">
            <w:pPr>
              <w:keepNext w:val="0"/>
              <w:keepLines w:val="0"/>
              <w:pageBreakBefore w:val="0"/>
              <w:widowControl/>
              <w:kinsoku/>
              <w:wordWrap/>
              <w:overflowPunct/>
              <w:topLinePunct w:val="0"/>
              <w:autoSpaceDE/>
              <w:autoSpaceDN/>
              <w:bidi w:val="0"/>
              <w:snapToGrid/>
              <w:spacing w:line="264" w:lineRule="auto"/>
              <w:textAlignment w:val="auto"/>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1.2（1）投标人必须承担设备运输、安装调试、验收检测、测试费等一切费用，并承担所产生风险的全部责任，其中包含运至最终目的地所需要的包装，包装箱具有防潮、防晒、防锈、防腐蚀、防震、防粗暴装卸及防止其它损坏的必要保护措施，适于整体吊装及海运、铁路或公路等长途运输，货物到达后保证各个部件及各项功能完好无损，适于采购人短期露天存放。投标人承担由于其包装或其防护措施不妥而引起货物锈蚀、损坏和丢失等任何损失的责任或费用。</w:t>
            </w:r>
          </w:p>
          <w:p w14:paraId="09192DCA">
            <w:pPr>
              <w:keepNext w:val="0"/>
              <w:keepLines w:val="0"/>
              <w:pageBreakBefore w:val="0"/>
              <w:widowControl/>
              <w:kinsoku/>
              <w:wordWrap/>
              <w:overflowPunct/>
              <w:topLinePunct w:val="0"/>
              <w:autoSpaceDE/>
              <w:autoSpaceDN/>
              <w:bidi w:val="0"/>
              <w:snapToGrid/>
              <w:spacing w:line="264" w:lineRule="auto"/>
              <w:textAlignment w:val="auto"/>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（2）投标人同时需要配合采购人完成土建工程相关需求，提交货物与土建工程的接口文件</w:t>
            </w:r>
            <w:r>
              <w:rPr>
                <w:rFonts w:hint="eastAsia" w:ascii="Times New Roman" w:hAnsi="Times New Roman" w:eastAsia="宋体" w:cs="Times New Roman"/>
                <w:bCs/>
                <w:sz w:val="21"/>
                <w:szCs w:val="21"/>
                <w:highlight w:val="none"/>
                <w:lang w:eastAsia="zh-CN"/>
              </w:rPr>
              <w:t>、</w:t>
            </w:r>
            <w:r>
              <w:rPr>
                <w:rFonts w:hint="eastAsia" w:ascii="Times New Roman" w:hAnsi="Times New Roman" w:eastAsia="宋体" w:cs="Times New Roman"/>
                <w:bCs/>
                <w:sz w:val="21"/>
                <w:szCs w:val="21"/>
                <w:highlight w:val="none"/>
                <w:lang w:val="en-US" w:eastAsia="zh-CN"/>
              </w:rPr>
              <w:t>图纸</w:t>
            </w:r>
            <w:r>
              <w:rPr>
                <w:rFonts w:hint="eastAsia" w:ascii="Times New Roman" w:hAnsi="Times New Roman" w:eastAsia="宋体" w:cs="Times New Roman"/>
                <w:bCs/>
                <w:sz w:val="21"/>
                <w:szCs w:val="21"/>
                <w:highlight w:val="none"/>
              </w:rPr>
              <w:t>等材料；在土建工程实施之前，配合采购人办理环境影响评价等相关手续，并提交相关需求资料；在货物进场安装、调试的过程中，配合采购人办理辐射安全许可等相关手续，并提交相关需求资料。</w:t>
            </w:r>
          </w:p>
        </w:tc>
      </w:tr>
      <w:tr w14:paraId="08C9EE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96" w:type="dxa"/>
            <w:vMerge w:val="continue"/>
            <w:tcBorders>
              <w:tl2br w:val="nil"/>
              <w:tr2bl w:val="nil"/>
            </w:tcBorders>
            <w:vAlign w:val="center"/>
          </w:tcPr>
          <w:p w14:paraId="0AADAF05">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rPr>
            </w:pPr>
          </w:p>
        </w:tc>
        <w:tc>
          <w:tcPr>
            <w:tcW w:w="1666" w:type="dxa"/>
            <w:vMerge w:val="continue"/>
            <w:tcBorders>
              <w:tl2br w:val="nil"/>
              <w:tr2bl w:val="nil"/>
            </w:tcBorders>
            <w:vAlign w:val="center"/>
          </w:tcPr>
          <w:p w14:paraId="441FF8E2">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sz w:val="21"/>
                <w:szCs w:val="21"/>
              </w:rPr>
            </w:pPr>
          </w:p>
        </w:tc>
        <w:tc>
          <w:tcPr>
            <w:tcW w:w="6109" w:type="dxa"/>
            <w:tcBorders>
              <w:tl2br w:val="nil"/>
              <w:tr2bl w:val="nil"/>
            </w:tcBorders>
          </w:tcPr>
          <w:p w14:paraId="79DDAB13">
            <w:pPr>
              <w:keepNext w:val="0"/>
              <w:keepLines w:val="0"/>
              <w:pageBreakBefore w:val="0"/>
              <w:widowControl/>
              <w:kinsoku/>
              <w:wordWrap/>
              <w:overflowPunct/>
              <w:topLinePunct w:val="0"/>
              <w:autoSpaceDE/>
              <w:autoSpaceDN/>
              <w:bidi w:val="0"/>
              <w:snapToGrid/>
              <w:spacing w:line="264" w:lineRule="auto"/>
              <w:jc w:val="left"/>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1.3</w:t>
            </w:r>
            <w:r>
              <w:rPr>
                <w:rFonts w:hint="eastAsia" w:ascii="Times New Roman" w:hAnsi="Times New Roman" w:cs="Times New Roman"/>
                <w:bCs/>
                <w:sz w:val="21"/>
                <w:szCs w:val="21"/>
                <w:highlight w:val="none"/>
              </w:rPr>
              <w:t>投标人应按时交付下述清单中的全部文件。</w:t>
            </w:r>
          </w:p>
          <w:tbl>
            <w:tblPr>
              <w:tblStyle w:val="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4"/>
              <w:gridCol w:w="4745"/>
            </w:tblGrid>
            <w:tr w14:paraId="6C671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40C44CCD">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eastAsia="宋体" w:cs="Times New Roman"/>
                      <w:b/>
                      <w:bCs/>
                      <w:sz w:val="21"/>
                      <w:szCs w:val="21"/>
                      <w:highlight w:val="none"/>
                    </w:rPr>
                  </w:pPr>
                  <w:r>
                    <w:rPr>
                      <w:rFonts w:hint="eastAsia" w:ascii="Times New Roman" w:hAnsi="Times New Roman" w:cs="Times New Roman"/>
                      <w:b/>
                      <w:bCs/>
                      <w:sz w:val="21"/>
                      <w:szCs w:val="21"/>
                      <w:highlight w:val="none"/>
                    </w:rPr>
                    <w:t>序号</w:t>
                  </w:r>
                </w:p>
              </w:tc>
              <w:tc>
                <w:tcPr>
                  <w:tcW w:w="4745" w:type="dxa"/>
                  <w:tcBorders>
                    <w:top w:val="single" w:color="000000" w:sz="4" w:space="0"/>
                    <w:left w:val="single" w:color="000000" w:sz="4" w:space="0"/>
                    <w:bottom w:val="single" w:color="000000" w:sz="4" w:space="0"/>
                    <w:right w:val="single" w:color="000000" w:sz="4" w:space="0"/>
                  </w:tcBorders>
                  <w:vAlign w:val="center"/>
                </w:tcPr>
                <w:p w14:paraId="45C33222">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b/>
                      <w:bCs/>
                      <w:sz w:val="21"/>
                      <w:szCs w:val="21"/>
                      <w:highlight w:val="none"/>
                    </w:rPr>
                  </w:pPr>
                  <w:r>
                    <w:rPr>
                      <w:rFonts w:hint="eastAsia" w:ascii="Times New Roman" w:hAnsi="Times New Roman" w:cs="Times New Roman"/>
                      <w:b/>
                      <w:bCs/>
                      <w:sz w:val="21"/>
                      <w:szCs w:val="21"/>
                      <w:highlight w:val="none"/>
                    </w:rPr>
                    <w:t>文件资料名称</w:t>
                  </w:r>
                </w:p>
              </w:tc>
            </w:tr>
            <w:tr w14:paraId="605A3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4AFC121C">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b/>
                      <w:bCs/>
                      <w:sz w:val="21"/>
                      <w:szCs w:val="21"/>
                      <w:highlight w:val="none"/>
                    </w:rPr>
                  </w:pPr>
                  <w:r>
                    <w:rPr>
                      <w:rFonts w:hint="eastAsia" w:ascii="Times New Roman" w:hAnsi="Times New Roman" w:cs="Times New Roman"/>
                      <w:b/>
                      <w:bCs/>
                      <w:sz w:val="21"/>
                      <w:szCs w:val="21"/>
                      <w:highlight w:val="none"/>
                    </w:rPr>
                    <w:t>一</w:t>
                  </w:r>
                </w:p>
              </w:tc>
              <w:tc>
                <w:tcPr>
                  <w:tcW w:w="4745" w:type="dxa"/>
                  <w:tcBorders>
                    <w:top w:val="single" w:color="000000" w:sz="4" w:space="0"/>
                    <w:left w:val="single" w:color="000000" w:sz="4" w:space="0"/>
                    <w:bottom w:val="single" w:color="000000" w:sz="4" w:space="0"/>
                    <w:right w:val="single" w:color="000000" w:sz="4" w:space="0"/>
                  </w:tcBorders>
                  <w:vAlign w:val="center"/>
                </w:tcPr>
                <w:p w14:paraId="434F9D81">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b/>
                      <w:bCs/>
                      <w:sz w:val="21"/>
                      <w:szCs w:val="21"/>
                      <w:highlight w:val="none"/>
                    </w:rPr>
                  </w:pPr>
                  <w:r>
                    <w:rPr>
                      <w:rFonts w:hint="eastAsia" w:ascii="Times New Roman" w:hAnsi="Times New Roman" w:cs="Times New Roman"/>
                      <w:b/>
                      <w:bCs/>
                      <w:sz w:val="21"/>
                      <w:szCs w:val="21"/>
                      <w:highlight w:val="none"/>
                    </w:rPr>
                    <w:t>合同签订后提交（合同签订</w:t>
                  </w:r>
                  <w:r>
                    <w:rPr>
                      <w:rFonts w:ascii="Times New Roman" w:hAnsi="Times New Roman" w:cs="Times New Roman"/>
                      <w:b/>
                      <w:bCs/>
                      <w:sz w:val="21"/>
                      <w:szCs w:val="21"/>
                      <w:highlight w:val="none"/>
                    </w:rPr>
                    <w:t>30</w:t>
                  </w:r>
                  <w:r>
                    <w:rPr>
                      <w:rFonts w:hint="eastAsia" w:ascii="Times New Roman" w:hAnsi="Times New Roman" w:cs="Times New Roman"/>
                      <w:b/>
                      <w:bCs/>
                      <w:sz w:val="21"/>
                      <w:szCs w:val="21"/>
                      <w:highlight w:val="none"/>
                    </w:rPr>
                    <w:t>天内）</w:t>
                  </w:r>
                </w:p>
              </w:tc>
            </w:tr>
            <w:tr w14:paraId="3A5D1D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7FCFE94B">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ascii="Times New Roman" w:hAnsi="Times New Roman" w:cs="Times New Roman"/>
                      <w:sz w:val="21"/>
                      <w:szCs w:val="21"/>
                      <w:highlight w:val="none"/>
                    </w:rPr>
                    <w:t>1</w:t>
                  </w:r>
                </w:p>
              </w:tc>
              <w:tc>
                <w:tcPr>
                  <w:tcW w:w="4745" w:type="dxa"/>
                  <w:tcBorders>
                    <w:top w:val="single" w:color="000000" w:sz="4" w:space="0"/>
                    <w:left w:val="single" w:color="000000" w:sz="4" w:space="0"/>
                    <w:bottom w:val="single" w:color="000000" w:sz="4" w:space="0"/>
                    <w:right w:val="single" w:color="000000" w:sz="4" w:space="0"/>
                  </w:tcBorders>
                  <w:vAlign w:val="center"/>
                </w:tcPr>
                <w:p w14:paraId="6635D5EF">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hint="eastAsia" w:ascii="Times New Roman" w:hAnsi="Times New Roman" w:cs="Times New Roman"/>
                      <w:sz w:val="21"/>
                      <w:szCs w:val="21"/>
                      <w:highlight w:val="none"/>
                    </w:rPr>
                    <w:t>加工制造实施方案</w:t>
                  </w:r>
                </w:p>
              </w:tc>
            </w:tr>
            <w:tr w14:paraId="3D61F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21302C6E">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ascii="Times New Roman" w:hAnsi="Times New Roman" w:cs="Times New Roman"/>
                      <w:sz w:val="21"/>
                      <w:szCs w:val="21"/>
                      <w:highlight w:val="none"/>
                    </w:rPr>
                    <w:t>2</w:t>
                  </w:r>
                </w:p>
              </w:tc>
              <w:tc>
                <w:tcPr>
                  <w:tcW w:w="4745" w:type="dxa"/>
                  <w:tcBorders>
                    <w:top w:val="single" w:color="000000" w:sz="4" w:space="0"/>
                    <w:left w:val="single" w:color="000000" w:sz="4" w:space="0"/>
                    <w:bottom w:val="single" w:color="000000" w:sz="4" w:space="0"/>
                    <w:right w:val="single" w:color="000000" w:sz="4" w:space="0"/>
                  </w:tcBorders>
                  <w:vAlign w:val="center"/>
                </w:tcPr>
                <w:p w14:paraId="50252DFC">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hint="eastAsia" w:ascii="Times New Roman" w:hAnsi="Times New Roman" w:cs="Times New Roman"/>
                      <w:sz w:val="21"/>
                      <w:szCs w:val="21"/>
                      <w:highlight w:val="none"/>
                    </w:rPr>
                    <w:t>质量计划</w:t>
                  </w:r>
                </w:p>
              </w:tc>
            </w:tr>
            <w:tr w14:paraId="0A836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71FF6817">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hint="eastAsia" w:ascii="Times New Roman" w:hAnsi="Times New Roman" w:cs="Times New Roman"/>
                      <w:b/>
                      <w:bCs/>
                      <w:sz w:val="21"/>
                      <w:szCs w:val="21"/>
                      <w:highlight w:val="none"/>
                    </w:rPr>
                    <w:t>二</w:t>
                  </w:r>
                </w:p>
              </w:tc>
              <w:tc>
                <w:tcPr>
                  <w:tcW w:w="4745" w:type="dxa"/>
                  <w:tcBorders>
                    <w:top w:val="single" w:color="000000" w:sz="4" w:space="0"/>
                    <w:left w:val="single" w:color="000000" w:sz="4" w:space="0"/>
                    <w:bottom w:val="single" w:color="000000" w:sz="4" w:space="0"/>
                    <w:right w:val="single" w:color="000000" w:sz="4" w:space="0"/>
                  </w:tcBorders>
                  <w:vAlign w:val="center"/>
                </w:tcPr>
                <w:p w14:paraId="6E493BAE">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hint="eastAsia" w:ascii="Times New Roman" w:hAnsi="Times New Roman" w:cs="Times New Roman"/>
                      <w:b/>
                      <w:bCs/>
                      <w:sz w:val="21"/>
                      <w:szCs w:val="21"/>
                      <w:highlight w:val="none"/>
                    </w:rPr>
                    <w:t>详细设计完成后提交（合同签订</w:t>
                  </w:r>
                  <w:r>
                    <w:rPr>
                      <w:rFonts w:ascii="Times New Roman" w:hAnsi="Times New Roman" w:cs="Times New Roman"/>
                      <w:b/>
                      <w:bCs/>
                      <w:sz w:val="21"/>
                      <w:szCs w:val="21"/>
                      <w:highlight w:val="none"/>
                    </w:rPr>
                    <w:t>90</w:t>
                  </w:r>
                  <w:r>
                    <w:rPr>
                      <w:rFonts w:hint="eastAsia" w:ascii="Times New Roman" w:hAnsi="Times New Roman" w:cs="Times New Roman"/>
                      <w:b/>
                      <w:bCs/>
                      <w:sz w:val="21"/>
                      <w:szCs w:val="21"/>
                      <w:highlight w:val="none"/>
                    </w:rPr>
                    <w:t>天内）</w:t>
                  </w:r>
                </w:p>
              </w:tc>
            </w:tr>
            <w:tr w14:paraId="7A584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6F660E53">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b/>
                      <w:bCs/>
                      <w:sz w:val="21"/>
                      <w:szCs w:val="21"/>
                      <w:highlight w:val="none"/>
                    </w:rPr>
                  </w:pPr>
                  <w:r>
                    <w:rPr>
                      <w:rFonts w:ascii="Times New Roman" w:hAnsi="Times New Roman" w:cs="Times New Roman"/>
                      <w:sz w:val="21"/>
                      <w:szCs w:val="21"/>
                      <w:highlight w:val="none"/>
                    </w:rPr>
                    <w:t>3</w:t>
                  </w:r>
                </w:p>
              </w:tc>
              <w:tc>
                <w:tcPr>
                  <w:tcW w:w="4745" w:type="dxa"/>
                  <w:tcBorders>
                    <w:top w:val="single" w:color="000000" w:sz="4" w:space="0"/>
                    <w:left w:val="single" w:color="000000" w:sz="4" w:space="0"/>
                    <w:bottom w:val="single" w:color="000000" w:sz="4" w:space="0"/>
                    <w:right w:val="single" w:color="000000" w:sz="4" w:space="0"/>
                  </w:tcBorders>
                  <w:vAlign w:val="center"/>
                </w:tcPr>
                <w:p w14:paraId="39407F16">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b/>
                      <w:bCs/>
                      <w:sz w:val="21"/>
                      <w:szCs w:val="21"/>
                      <w:highlight w:val="none"/>
                    </w:rPr>
                  </w:pPr>
                  <w:r>
                    <w:rPr>
                      <w:rFonts w:hint="eastAsia" w:ascii="Times New Roman" w:hAnsi="Times New Roman" w:cs="Times New Roman"/>
                      <w:sz w:val="21"/>
                      <w:szCs w:val="21"/>
                      <w:highlight w:val="none"/>
                    </w:rPr>
                    <w:t>详细设计报告（含详细设计图纸蓝图）</w:t>
                  </w:r>
                </w:p>
              </w:tc>
            </w:tr>
            <w:tr w14:paraId="589D6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28EBD9AC">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ascii="Times New Roman" w:hAnsi="Times New Roman" w:cs="Times New Roman"/>
                      <w:sz w:val="21"/>
                      <w:szCs w:val="21"/>
                      <w:highlight w:val="none"/>
                    </w:rPr>
                    <w:t>4</w:t>
                  </w:r>
                </w:p>
              </w:tc>
              <w:tc>
                <w:tcPr>
                  <w:tcW w:w="4745" w:type="dxa"/>
                  <w:tcBorders>
                    <w:top w:val="single" w:color="000000" w:sz="4" w:space="0"/>
                    <w:left w:val="single" w:color="000000" w:sz="4" w:space="0"/>
                    <w:bottom w:val="single" w:color="000000" w:sz="4" w:space="0"/>
                    <w:right w:val="single" w:color="000000" w:sz="4" w:space="0"/>
                  </w:tcBorders>
                  <w:vAlign w:val="center"/>
                </w:tcPr>
                <w:p w14:paraId="7B0A63A3">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hint="eastAsia" w:ascii="Times New Roman" w:hAnsi="Times New Roman" w:cs="Times New Roman"/>
                      <w:sz w:val="21"/>
                      <w:szCs w:val="21"/>
                      <w:highlight w:val="none"/>
                    </w:rPr>
                    <w:t>零部件明细表</w:t>
                  </w:r>
                </w:p>
              </w:tc>
            </w:tr>
            <w:tr w14:paraId="2538C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28AC53FF">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ascii="Times New Roman" w:hAnsi="Times New Roman" w:cs="Times New Roman"/>
                      <w:sz w:val="21"/>
                      <w:szCs w:val="21"/>
                      <w:highlight w:val="none"/>
                    </w:rPr>
                    <w:t>5</w:t>
                  </w:r>
                </w:p>
              </w:tc>
              <w:tc>
                <w:tcPr>
                  <w:tcW w:w="4745" w:type="dxa"/>
                  <w:tcBorders>
                    <w:top w:val="single" w:color="000000" w:sz="4" w:space="0"/>
                    <w:left w:val="single" w:color="000000" w:sz="4" w:space="0"/>
                    <w:bottom w:val="single" w:color="000000" w:sz="4" w:space="0"/>
                    <w:right w:val="single" w:color="000000" w:sz="4" w:space="0"/>
                  </w:tcBorders>
                  <w:vAlign w:val="center"/>
                </w:tcPr>
                <w:p w14:paraId="761F2E1B">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hint="eastAsia" w:ascii="Times New Roman" w:hAnsi="Times New Roman" w:cs="Times New Roman"/>
                      <w:sz w:val="21"/>
                      <w:szCs w:val="21"/>
                      <w:highlight w:val="none"/>
                    </w:rPr>
                    <w:t>安装调试大纲</w:t>
                  </w:r>
                </w:p>
              </w:tc>
            </w:tr>
            <w:tr w14:paraId="6D1FF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0DF07969">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ascii="Times New Roman" w:hAnsi="Times New Roman" w:cs="Times New Roman"/>
                      <w:sz w:val="21"/>
                      <w:szCs w:val="21"/>
                      <w:highlight w:val="none"/>
                    </w:rPr>
                    <w:t>6</w:t>
                  </w:r>
                </w:p>
              </w:tc>
              <w:tc>
                <w:tcPr>
                  <w:tcW w:w="4745" w:type="dxa"/>
                  <w:tcBorders>
                    <w:top w:val="single" w:color="000000" w:sz="4" w:space="0"/>
                    <w:left w:val="single" w:color="000000" w:sz="4" w:space="0"/>
                    <w:bottom w:val="single" w:color="000000" w:sz="4" w:space="0"/>
                    <w:right w:val="single" w:color="000000" w:sz="4" w:space="0"/>
                  </w:tcBorders>
                  <w:vAlign w:val="center"/>
                </w:tcPr>
                <w:p w14:paraId="5D6E5782">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hint="eastAsia" w:ascii="Times New Roman" w:hAnsi="Times New Roman" w:cs="Times New Roman"/>
                      <w:sz w:val="21"/>
                      <w:szCs w:val="21"/>
                      <w:highlight w:val="none"/>
                    </w:rPr>
                    <w:t>验收大纲</w:t>
                  </w:r>
                </w:p>
              </w:tc>
            </w:tr>
            <w:tr w14:paraId="1562F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7D498DD8">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ascii="Times New Roman" w:hAnsi="Times New Roman" w:cs="Times New Roman"/>
                      <w:sz w:val="21"/>
                      <w:szCs w:val="21"/>
                      <w:highlight w:val="none"/>
                    </w:rPr>
                    <w:t>7</w:t>
                  </w:r>
                </w:p>
              </w:tc>
              <w:tc>
                <w:tcPr>
                  <w:tcW w:w="4745" w:type="dxa"/>
                  <w:tcBorders>
                    <w:top w:val="single" w:color="000000" w:sz="4" w:space="0"/>
                    <w:left w:val="single" w:color="000000" w:sz="4" w:space="0"/>
                    <w:bottom w:val="single" w:color="000000" w:sz="4" w:space="0"/>
                    <w:right w:val="single" w:color="000000" w:sz="4" w:space="0"/>
                  </w:tcBorders>
                  <w:vAlign w:val="center"/>
                </w:tcPr>
                <w:p w14:paraId="09D39760">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hint="eastAsia" w:ascii="Times New Roman" w:hAnsi="Times New Roman" w:cs="Times New Roman"/>
                      <w:sz w:val="21"/>
                      <w:szCs w:val="21"/>
                      <w:highlight w:val="none"/>
                    </w:rPr>
                    <w:t>关键重要件特性分析报告</w:t>
                  </w:r>
                </w:p>
              </w:tc>
            </w:tr>
            <w:tr w14:paraId="1C6248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102DD73B">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b/>
                      <w:bCs/>
                      <w:sz w:val="21"/>
                      <w:szCs w:val="21"/>
                      <w:highlight w:val="none"/>
                    </w:rPr>
                  </w:pPr>
                  <w:r>
                    <w:rPr>
                      <w:rFonts w:ascii="Times New Roman" w:hAnsi="Times New Roman" w:cs="Times New Roman"/>
                      <w:sz w:val="21"/>
                      <w:szCs w:val="21"/>
                      <w:highlight w:val="none"/>
                    </w:rPr>
                    <w:t>8</w:t>
                  </w:r>
                </w:p>
              </w:tc>
              <w:tc>
                <w:tcPr>
                  <w:tcW w:w="4745" w:type="dxa"/>
                  <w:tcBorders>
                    <w:top w:val="single" w:color="000000" w:sz="4" w:space="0"/>
                    <w:left w:val="single" w:color="000000" w:sz="4" w:space="0"/>
                    <w:bottom w:val="single" w:color="000000" w:sz="4" w:space="0"/>
                    <w:right w:val="single" w:color="000000" w:sz="4" w:space="0"/>
                  </w:tcBorders>
                  <w:vAlign w:val="center"/>
                </w:tcPr>
                <w:p w14:paraId="49A6BB0A">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b/>
                      <w:bCs/>
                      <w:sz w:val="21"/>
                      <w:szCs w:val="21"/>
                      <w:highlight w:val="none"/>
                    </w:rPr>
                  </w:pPr>
                  <w:r>
                    <w:rPr>
                      <w:rFonts w:hint="eastAsia" w:ascii="Times New Roman" w:hAnsi="Times New Roman" w:cs="Times New Roman"/>
                      <w:sz w:val="21"/>
                      <w:szCs w:val="21"/>
                      <w:highlight w:val="none"/>
                    </w:rPr>
                    <w:t>制造技术条件报告</w:t>
                  </w:r>
                </w:p>
              </w:tc>
            </w:tr>
            <w:tr w14:paraId="24EFB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01917AFD">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ascii="Times New Roman" w:hAnsi="Times New Roman" w:cs="Times New Roman"/>
                      <w:sz w:val="21"/>
                      <w:szCs w:val="21"/>
                      <w:highlight w:val="none"/>
                    </w:rPr>
                    <w:t>9</w:t>
                  </w:r>
                </w:p>
              </w:tc>
              <w:tc>
                <w:tcPr>
                  <w:tcW w:w="4745" w:type="dxa"/>
                  <w:tcBorders>
                    <w:top w:val="single" w:color="000000" w:sz="4" w:space="0"/>
                    <w:left w:val="single" w:color="000000" w:sz="4" w:space="0"/>
                    <w:bottom w:val="single" w:color="000000" w:sz="4" w:space="0"/>
                    <w:right w:val="single" w:color="000000" w:sz="4" w:space="0"/>
                  </w:tcBorders>
                  <w:vAlign w:val="center"/>
                </w:tcPr>
                <w:p w14:paraId="4527DA55">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hint="eastAsia" w:ascii="Times New Roman" w:hAnsi="Times New Roman" w:cs="Times New Roman"/>
                      <w:sz w:val="21"/>
                      <w:szCs w:val="21"/>
                      <w:highlight w:val="none"/>
                    </w:rPr>
                    <w:t>经济性特性分析报告</w:t>
                  </w:r>
                </w:p>
              </w:tc>
            </w:tr>
            <w:tr w14:paraId="2EA87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1C7E68CB">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b/>
                      <w:bCs/>
                      <w:sz w:val="21"/>
                      <w:szCs w:val="21"/>
                      <w:highlight w:val="none"/>
                    </w:rPr>
                  </w:pPr>
                  <w:r>
                    <w:rPr>
                      <w:rFonts w:hint="eastAsia" w:ascii="Times New Roman" w:hAnsi="Times New Roman" w:cs="Times New Roman"/>
                      <w:b/>
                      <w:bCs/>
                      <w:sz w:val="21"/>
                      <w:szCs w:val="21"/>
                      <w:highlight w:val="none"/>
                    </w:rPr>
                    <w:t>三</w:t>
                  </w:r>
                </w:p>
              </w:tc>
              <w:tc>
                <w:tcPr>
                  <w:tcW w:w="4745" w:type="dxa"/>
                  <w:tcBorders>
                    <w:top w:val="single" w:color="000000" w:sz="4" w:space="0"/>
                    <w:left w:val="single" w:color="000000" w:sz="4" w:space="0"/>
                    <w:bottom w:val="single" w:color="000000" w:sz="4" w:space="0"/>
                    <w:right w:val="single" w:color="000000" w:sz="4" w:space="0"/>
                  </w:tcBorders>
                  <w:vAlign w:val="center"/>
                </w:tcPr>
                <w:p w14:paraId="388703C5">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b/>
                      <w:bCs/>
                      <w:sz w:val="21"/>
                      <w:szCs w:val="21"/>
                      <w:highlight w:val="none"/>
                    </w:rPr>
                  </w:pPr>
                  <w:r>
                    <w:rPr>
                      <w:rFonts w:hint="eastAsia" w:ascii="Times New Roman" w:hAnsi="Times New Roman" w:cs="Times New Roman"/>
                      <w:b/>
                      <w:bCs/>
                      <w:sz w:val="21"/>
                      <w:szCs w:val="21"/>
                      <w:highlight w:val="none"/>
                    </w:rPr>
                    <w:t>研制生产过程中提交</w:t>
                  </w:r>
                </w:p>
              </w:tc>
            </w:tr>
            <w:tr w14:paraId="467F8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0FC7C5F9">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ascii="Times New Roman" w:hAnsi="Times New Roman" w:cs="Times New Roman"/>
                      <w:sz w:val="21"/>
                      <w:szCs w:val="21"/>
                      <w:highlight w:val="none"/>
                    </w:rPr>
                    <w:t>10</w:t>
                  </w:r>
                </w:p>
              </w:tc>
              <w:tc>
                <w:tcPr>
                  <w:tcW w:w="4745" w:type="dxa"/>
                  <w:tcBorders>
                    <w:top w:val="single" w:color="000000" w:sz="4" w:space="0"/>
                    <w:left w:val="single" w:color="000000" w:sz="4" w:space="0"/>
                    <w:bottom w:val="single" w:color="000000" w:sz="4" w:space="0"/>
                    <w:right w:val="single" w:color="000000" w:sz="4" w:space="0"/>
                  </w:tcBorders>
                  <w:vAlign w:val="center"/>
                </w:tcPr>
                <w:p w14:paraId="7E02A4F7">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hint="eastAsia" w:ascii="Times New Roman" w:hAnsi="Times New Roman" w:cs="Times New Roman"/>
                      <w:sz w:val="21"/>
                      <w:szCs w:val="21"/>
                      <w:highlight w:val="none"/>
                    </w:rPr>
                    <w:t>加工制造过程系列文件（节点文件、阶段测试报告、总结、变更记录等）</w:t>
                  </w:r>
                </w:p>
              </w:tc>
            </w:tr>
            <w:tr w14:paraId="12301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25FD7421">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b/>
                      <w:bCs/>
                      <w:sz w:val="21"/>
                      <w:szCs w:val="21"/>
                      <w:highlight w:val="none"/>
                    </w:rPr>
                  </w:pPr>
                  <w:r>
                    <w:rPr>
                      <w:rFonts w:hint="eastAsia" w:ascii="Times New Roman" w:hAnsi="Times New Roman" w:cs="Times New Roman"/>
                      <w:b/>
                      <w:bCs/>
                      <w:sz w:val="21"/>
                      <w:szCs w:val="21"/>
                      <w:highlight w:val="none"/>
                    </w:rPr>
                    <w:t>四</w:t>
                  </w:r>
                </w:p>
              </w:tc>
              <w:tc>
                <w:tcPr>
                  <w:tcW w:w="4745" w:type="dxa"/>
                  <w:tcBorders>
                    <w:top w:val="single" w:color="000000" w:sz="4" w:space="0"/>
                    <w:left w:val="single" w:color="000000" w:sz="4" w:space="0"/>
                    <w:bottom w:val="single" w:color="000000" w:sz="4" w:space="0"/>
                    <w:right w:val="single" w:color="000000" w:sz="4" w:space="0"/>
                  </w:tcBorders>
                  <w:vAlign w:val="center"/>
                </w:tcPr>
                <w:p w14:paraId="075CE7AA">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b/>
                      <w:bCs/>
                      <w:sz w:val="21"/>
                      <w:szCs w:val="21"/>
                      <w:highlight w:val="none"/>
                    </w:rPr>
                  </w:pPr>
                  <w:r>
                    <w:rPr>
                      <w:rFonts w:hint="eastAsia" w:ascii="Times New Roman" w:hAnsi="Times New Roman" w:cs="Times New Roman"/>
                      <w:b/>
                      <w:bCs/>
                      <w:sz w:val="21"/>
                      <w:szCs w:val="21"/>
                      <w:highlight w:val="none"/>
                    </w:rPr>
                    <w:t>出厂验收后、现场联调前提交</w:t>
                  </w:r>
                </w:p>
              </w:tc>
            </w:tr>
            <w:tr w14:paraId="79B6B3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5A0D483E">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b/>
                      <w:bCs/>
                      <w:sz w:val="21"/>
                      <w:szCs w:val="21"/>
                      <w:highlight w:val="none"/>
                    </w:rPr>
                  </w:pPr>
                  <w:r>
                    <w:rPr>
                      <w:rFonts w:ascii="Times New Roman" w:hAnsi="Times New Roman" w:cs="Times New Roman"/>
                      <w:sz w:val="21"/>
                      <w:szCs w:val="21"/>
                      <w:highlight w:val="none"/>
                    </w:rPr>
                    <w:t>11</w:t>
                  </w:r>
                </w:p>
              </w:tc>
              <w:tc>
                <w:tcPr>
                  <w:tcW w:w="4745" w:type="dxa"/>
                  <w:tcBorders>
                    <w:top w:val="single" w:color="000000" w:sz="4" w:space="0"/>
                    <w:left w:val="single" w:color="000000" w:sz="4" w:space="0"/>
                    <w:bottom w:val="single" w:color="000000" w:sz="4" w:space="0"/>
                    <w:right w:val="single" w:color="000000" w:sz="4" w:space="0"/>
                  </w:tcBorders>
                  <w:vAlign w:val="center"/>
                </w:tcPr>
                <w:p w14:paraId="4A9964A4">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b/>
                      <w:bCs/>
                      <w:sz w:val="21"/>
                      <w:szCs w:val="21"/>
                      <w:highlight w:val="none"/>
                    </w:rPr>
                  </w:pPr>
                  <w:r>
                    <w:rPr>
                      <w:rFonts w:hint="eastAsia" w:ascii="Times New Roman" w:hAnsi="Times New Roman" w:cs="Times New Roman"/>
                      <w:sz w:val="21"/>
                      <w:szCs w:val="21"/>
                      <w:highlight w:val="none"/>
                    </w:rPr>
                    <w:t>现场安装调试实施方案（现场安装调试方案、发货计划、安装调试计划等）</w:t>
                  </w:r>
                </w:p>
              </w:tc>
            </w:tr>
            <w:tr w14:paraId="0AE88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71132F77">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b/>
                      <w:bCs/>
                      <w:sz w:val="21"/>
                      <w:szCs w:val="21"/>
                      <w:highlight w:val="none"/>
                    </w:rPr>
                  </w:pPr>
                  <w:r>
                    <w:rPr>
                      <w:rFonts w:hint="eastAsia" w:ascii="Times New Roman" w:hAnsi="Times New Roman" w:cs="Times New Roman"/>
                      <w:b/>
                      <w:bCs/>
                      <w:sz w:val="21"/>
                      <w:szCs w:val="21"/>
                      <w:highlight w:val="none"/>
                    </w:rPr>
                    <w:t>五</w:t>
                  </w:r>
                </w:p>
              </w:tc>
              <w:tc>
                <w:tcPr>
                  <w:tcW w:w="4745" w:type="dxa"/>
                  <w:tcBorders>
                    <w:top w:val="single" w:color="000000" w:sz="4" w:space="0"/>
                    <w:left w:val="single" w:color="000000" w:sz="4" w:space="0"/>
                    <w:bottom w:val="single" w:color="000000" w:sz="4" w:space="0"/>
                    <w:right w:val="single" w:color="000000" w:sz="4" w:space="0"/>
                  </w:tcBorders>
                  <w:vAlign w:val="center"/>
                </w:tcPr>
                <w:p w14:paraId="0810E331">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b/>
                      <w:bCs/>
                      <w:sz w:val="21"/>
                      <w:szCs w:val="21"/>
                      <w:highlight w:val="none"/>
                    </w:rPr>
                  </w:pPr>
                  <w:r>
                    <w:rPr>
                      <w:rFonts w:hint="eastAsia" w:ascii="Times New Roman" w:hAnsi="Times New Roman" w:cs="Times New Roman"/>
                      <w:b/>
                      <w:bCs/>
                      <w:sz w:val="21"/>
                      <w:szCs w:val="21"/>
                      <w:highlight w:val="none"/>
                    </w:rPr>
                    <w:t>最终验收前提交</w:t>
                  </w:r>
                </w:p>
              </w:tc>
            </w:tr>
            <w:tr w14:paraId="64582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1547EA8E">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ascii="Times New Roman" w:hAnsi="Times New Roman" w:cs="Times New Roman"/>
                      <w:sz w:val="21"/>
                      <w:szCs w:val="21"/>
                      <w:highlight w:val="none"/>
                    </w:rPr>
                    <w:t>12</w:t>
                  </w:r>
                </w:p>
              </w:tc>
              <w:tc>
                <w:tcPr>
                  <w:tcW w:w="4745" w:type="dxa"/>
                  <w:tcBorders>
                    <w:top w:val="single" w:color="000000" w:sz="4" w:space="0"/>
                    <w:left w:val="single" w:color="000000" w:sz="4" w:space="0"/>
                    <w:bottom w:val="single" w:color="000000" w:sz="4" w:space="0"/>
                    <w:right w:val="single" w:color="000000" w:sz="4" w:space="0"/>
                  </w:tcBorders>
                  <w:vAlign w:val="center"/>
                </w:tcPr>
                <w:p w14:paraId="02FDF978">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hint="eastAsia" w:ascii="Times New Roman" w:hAnsi="Times New Roman" w:cs="Times New Roman"/>
                      <w:sz w:val="21"/>
                      <w:szCs w:val="21"/>
                      <w:highlight w:val="none"/>
                    </w:rPr>
                    <w:t>设备出厂测试报告或合格证明文件</w:t>
                  </w:r>
                </w:p>
              </w:tc>
            </w:tr>
            <w:tr w14:paraId="31CB6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24D133B0">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ascii="Times New Roman" w:hAnsi="Times New Roman" w:cs="Times New Roman"/>
                      <w:sz w:val="21"/>
                      <w:szCs w:val="21"/>
                      <w:highlight w:val="none"/>
                    </w:rPr>
                    <w:t>13</w:t>
                  </w:r>
                </w:p>
              </w:tc>
              <w:tc>
                <w:tcPr>
                  <w:tcW w:w="4745" w:type="dxa"/>
                  <w:tcBorders>
                    <w:top w:val="single" w:color="000000" w:sz="4" w:space="0"/>
                    <w:left w:val="single" w:color="000000" w:sz="4" w:space="0"/>
                    <w:bottom w:val="single" w:color="000000" w:sz="4" w:space="0"/>
                    <w:right w:val="single" w:color="000000" w:sz="4" w:space="0"/>
                  </w:tcBorders>
                  <w:vAlign w:val="center"/>
                </w:tcPr>
                <w:p w14:paraId="08B8BA30">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hint="eastAsia" w:ascii="Times New Roman" w:hAnsi="Times New Roman" w:cs="Times New Roman"/>
                      <w:sz w:val="21"/>
                      <w:szCs w:val="21"/>
                      <w:highlight w:val="none"/>
                    </w:rPr>
                    <w:t>设备</w:t>
                  </w:r>
                  <w:r>
                    <w:rPr>
                      <w:rFonts w:ascii="Times New Roman" w:hAnsi="Times New Roman" w:cs="Times New Roman"/>
                      <w:sz w:val="21"/>
                      <w:szCs w:val="21"/>
                      <w:highlight w:val="none"/>
                    </w:rPr>
                    <w:t>/</w:t>
                  </w:r>
                  <w:r>
                    <w:rPr>
                      <w:rFonts w:hint="eastAsia" w:ascii="Times New Roman" w:hAnsi="Times New Roman" w:cs="Times New Roman"/>
                      <w:sz w:val="21"/>
                      <w:szCs w:val="21"/>
                      <w:highlight w:val="none"/>
                    </w:rPr>
                    <w:t>软件使用说明书（含具体操作流程、安全规范）</w:t>
                  </w:r>
                </w:p>
              </w:tc>
            </w:tr>
            <w:tr w14:paraId="71CFB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647B6DBD">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ascii="Times New Roman" w:hAnsi="Times New Roman" w:cs="Times New Roman"/>
                      <w:sz w:val="21"/>
                      <w:szCs w:val="21"/>
                      <w:highlight w:val="none"/>
                    </w:rPr>
                    <w:t>14</w:t>
                  </w:r>
                </w:p>
              </w:tc>
              <w:tc>
                <w:tcPr>
                  <w:tcW w:w="4745" w:type="dxa"/>
                  <w:tcBorders>
                    <w:top w:val="single" w:color="000000" w:sz="4" w:space="0"/>
                    <w:left w:val="single" w:color="000000" w:sz="4" w:space="0"/>
                    <w:bottom w:val="single" w:color="000000" w:sz="4" w:space="0"/>
                    <w:right w:val="single" w:color="000000" w:sz="4" w:space="0"/>
                  </w:tcBorders>
                  <w:vAlign w:val="center"/>
                </w:tcPr>
                <w:p w14:paraId="6E2DE5A4">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hint="eastAsia" w:ascii="Times New Roman" w:hAnsi="Times New Roman" w:cs="Times New Roman"/>
                      <w:sz w:val="21"/>
                      <w:szCs w:val="21"/>
                      <w:highlight w:val="none"/>
                    </w:rPr>
                    <w:t>设备维护手册</w:t>
                  </w:r>
                </w:p>
              </w:tc>
            </w:tr>
            <w:tr w14:paraId="77FB3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4913918B">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ascii="Times New Roman" w:hAnsi="Times New Roman" w:cs="Times New Roman"/>
                      <w:sz w:val="21"/>
                      <w:szCs w:val="21"/>
                      <w:highlight w:val="none"/>
                    </w:rPr>
                    <w:t>15</w:t>
                  </w:r>
                </w:p>
              </w:tc>
              <w:tc>
                <w:tcPr>
                  <w:tcW w:w="4745" w:type="dxa"/>
                  <w:tcBorders>
                    <w:top w:val="single" w:color="000000" w:sz="4" w:space="0"/>
                    <w:left w:val="single" w:color="000000" w:sz="4" w:space="0"/>
                    <w:bottom w:val="single" w:color="000000" w:sz="4" w:space="0"/>
                    <w:right w:val="single" w:color="000000" w:sz="4" w:space="0"/>
                  </w:tcBorders>
                  <w:vAlign w:val="center"/>
                </w:tcPr>
                <w:p w14:paraId="0EC35E09">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hint="eastAsia" w:ascii="Times New Roman" w:hAnsi="Times New Roman" w:cs="Times New Roman"/>
                      <w:sz w:val="21"/>
                      <w:szCs w:val="21"/>
                      <w:highlight w:val="none"/>
                    </w:rPr>
                    <w:t>安装调试运行记录</w:t>
                  </w:r>
                </w:p>
              </w:tc>
            </w:tr>
            <w:tr w14:paraId="5BF2A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7CB6A575">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ascii="Times New Roman" w:hAnsi="Times New Roman" w:cs="Times New Roman"/>
                      <w:sz w:val="21"/>
                      <w:szCs w:val="21"/>
                      <w:highlight w:val="none"/>
                    </w:rPr>
                    <w:t>16</w:t>
                  </w:r>
                </w:p>
              </w:tc>
              <w:tc>
                <w:tcPr>
                  <w:tcW w:w="4745" w:type="dxa"/>
                  <w:tcBorders>
                    <w:top w:val="single" w:color="000000" w:sz="4" w:space="0"/>
                    <w:left w:val="single" w:color="000000" w:sz="4" w:space="0"/>
                    <w:bottom w:val="single" w:color="000000" w:sz="4" w:space="0"/>
                    <w:right w:val="single" w:color="000000" w:sz="4" w:space="0"/>
                  </w:tcBorders>
                  <w:vAlign w:val="center"/>
                </w:tcPr>
                <w:p w14:paraId="05F67BA9">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hint="eastAsia" w:ascii="Times New Roman" w:hAnsi="Times New Roman" w:cs="Times New Roman"/>
                      <w:sz w:val="21"/>
                      <w:szCs w:val="21"/>
                      <w:highlight w:val="none"/>
                    </w:rPr>
                    <w:t>安装调试技术总结报告</w:t>
                  </w:r>
                </w:p>
              </w:tc>
            </w:tr>
            <w:tr w14:paraId="6247A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06695E05">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ascii="Times New Roman" w:hAnsi="Times New Roman" w:cs="Times New Roman"/>
                      <w:sz w:val="21"/>
                      <w:szCs w:val="21"/>
                      <w:highlight w:val="none"/>
                    </w:rPr>
                    <w:t>17</w:t>
                  </w:r>
                </w:p>
              </w:tc>
              <w:tc>
                <w:tcPr>
                  <w:tcW w:w="4745" w:type="dxa"/>
                  <w:tcBorders>
                    <w:top w:val="single" w:color="000000" w:sz="4" w:space="0"/>
                    <w:left w:val="single" w:color="000000" w:sz="4" w:space="0"/>
                    <w:bottom w:val="single" w:color="000000" w:sz="4" w:space="0"/>
                    <w:right w:val="single" w:color="000000" w:sz="4" w:space="0"/>
                  </w:tcBorders>
                  <w:vAlign w:val="center"/>
                </w:tcPr>
                <w:p w14:paraId="1348934D">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hint="eastAsia" w:ascii="Times New Roman" w:hAnsi="Times New Roman" w:cs="Times New Roman"/>
                      <w:sz w:val="21"/>
                      <w:szCs w:val="21"/>
                      <w:highlight w:val="none"/>
                    </w:rPr>
                    <w:t>保养记录</w:t>
                  </w:r>
                </w:p>
              </w:tc>
            </w:tr>
            <w:tr w14:paraId="58E35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72F53081">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ascii="Times New Roman" w:hAnsi="Times New Roman" w:cs="Times New Roman"/>
                      <w:sz w:val="21"/>
                      <w:szCs w:val="21"/>
                      <w:highlight w:val="none"/>
                    </w:rPr>
                    <w:t>18</w:t>
                  </w:r>
                </w:p>
              </w:tc>
              <w:tc>
                <w:tcPr>
                  <w:tcW w:w="4745" w:type="dxa"/>
                  <w:tcBorders>
                    <w:top w:val="single" w:color="000000" w:sz="4" w:space="0"/>
                    <w:left w:val="single" w:color="000000" w:sz="4" w:space="0"/>
                    <w:bottom w:val="single" w:color="000000" w:sz="4" w:space="0"/>
                    <w:right w:val="single" w:color="000000" w:sz="4" w:space="0"/>
                  </w:tcBorders>
                  <w:vAlign w:val="center"/>
                </w:tcPr>
                <w:p w14:paraId="4352C1D8">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hint="eastAsia" w:ascii="Times New Roman" w:hAnsi="Times New Roman" w:cs="Times New Roman"/>
                      <w:sz w:val="21"/>
                      <w:szCs w:val="21"/>
                      <w:highlight w:val="none"/>
                    </w:rPr>
                    <w:t>仪器设备履历书</w:t>
                  </w:r>
                  <w:r>
                    <w:rPr>
                      <w:rFonts w:ascii="Times New Roman" w:hAnsi="Times New Roman" w:cs="Times New Roman"/>
                      <w:sz w:val="21"/>
                      <w:szCs w:val="21"/>
                      <w:highlight w:val="none"/>
                    </w:rPr>
                    <w:t>(</w:t>
                  </w:r>
                  <w:r>
                    <w:rPr>
                      <w:rFonts w:hint="eastAsia" w:ascii="Times New Roman" w:hAnsi="Times New Roman" w:cs="Times New Roman"/>
                      <w:sz w:val="21"/>
                      <w:szCs w:val="21"/>
                      <w:highlight w:val="none"/>
                    </w:rPr>
                    <w:t>使用、检修、故障、事故记录</w:t>
                  </w:r>
                  <w:r>
                    <w:rPr>
                      <w:rFonts w:ascii="Times New Roman" w:hAnsi="Times New Roman" w:cs="Times New Roman"/>
                      <w:sz w:val="21"/>
                      <w:szCs w:val="21"/>
                      <w:highlight w:val="none"/>
                    </w:rPr>
                    <w:t>)</w:t>
                  </w:r>
                </w:p>
              </w:tc>
            </w:tr>
            <w:tr w14:paraId="09CCDB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242A0AED">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ascii="Times New Roman" w:hAnsi="Times New Roman" w:cs="Times New Roman"/>
                      <w:sz w:val="21"/>
                      <w:szCs w:val="21"/>
                      <w:highlight w:val="none"/>
                    </w:rPr>
                    <w:t>19</w:t>
                  </w:r>
                </w:p>
              </w:tc>
              <w:tc>
                <w:tcPr>
                  <w:tcW w:w="4745" w:type="dxa"/>
                  <w:tcBorders>
                    <w:top w:val="single" w:color="000000" w:sz="4" w:space="0"/>
                    <w:left w:val="single" w:color="000000" w:sz="4" w:space="0"/>
                    <w:bottom w:val="single" w:color="000000" w:sz="4" w:space="0"/>
                    <w:right w:val="single" w:color="000000" w:sz="4" w:space="0"/>
                  </w:tcBorders>
                  <w:vAlign w:val="center"/>
                </w:tcPr>
                <w:p w14:paraId="7BF1E436">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hint="eastAsia" w:ascii="Times New Roman" w:hAnsi="Times New Roman" w:cs="Times New Roman"/>
                      <w:sz w:val="21"/>
                      <w:szCs w:val="21"/>
                      <w:highlight w:val="none"/>
                    </w:rPr>
                    <w:t>出入库单</w:t>
                  </w:r>
                </w:p>
              </w:tc>
            </w:tr>
            <w:tr w14:paraId="10688B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1315A4C5">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ascii="Times New Roman" w:hAnsi="Times New Roman" w:cs="Times New Roman"/>
                      <w:sz w:val="21"/>
                      <w:szCs w:val="21"/>
                      <w:highlight w:val="none"/>
                    </w:rPr>
                    <w:t>20</w:t>
                  </w:r>
                </w:p>
              </w:tc>
              <w:tc>
                <w:tcPr>
                  <w:tcW w:w="4745" w:type="dxa"/>
                  <w:tcBorders>
                    <w:top w:val="single" w:color="000000" w:sz="4" w:space="0"/>
                    <w:left w:val="single" w:color="000000" w:sz="4" w:space="0"/>
                    <w:bottom w:val="single" w:color="000000" w:sz="4" w:space="0"/>
                    <w:right w:val="single" w:color="000000" w:sz="4" w:space="0"/>
                  </w:tcBorders>
                  <w:vAlign w:val="center"/>
                </w:tcPr>
                <w:p w14:paraId="405ED044">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hint="eastAsia" w:ascii="Times New Roman" w:hAnsi="Times New Roman" w:cs="Times New Roman"/>
                      <w:sz w:val="21"/>
                      <w:szCs w:val="21"/>
                      <w:highlight w:val="none"/>
                    </w:rPr>
                    <w:t>全套竣工图纸（蓝图）</w:t>
                  </w:r>
                </w:p>
              </w:tc>
            </w:tr>
            <w:tr w14:paraId="1E1D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15AD72D0">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ascii="Times New Roman" w:hAnsi="Times New Roman" w:cs="Times New Roman"/>
                      <w:sz w:val="21"/>
                      <w:szCs w:val="21"/>
                      <w:highlight w:val="none"/>
                    </w:rPr>
                    <w:t>21</w:t>
                  </w:r>
                </w:p>
              </w:tc>
              <w:tc>
                <w:tcPr>
                  <w:tcW w:w="4745" w:type="dxa"/>
                  <w:tcBorders>
                    <w:top w:val="single" w:color="000000" w:sz="4" w:space="0"/>
                    <w:left w:val="single" w:color="000000" w:sz="4" w:space="0"/>
                    <w:bottom w:val="single" w:color="000000" w:sz="4" w:space="0"/>
                    <w:right w:val="single" w:color="000000" w:sz="4" w:space="0"/>
                  </w:tcBorders>
                  <w:vAlign w:val="center"/>
                </w:tcPr>
                <w:p w14:paraId="3A1A4D89">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hint="eastAsia" w:ascii="Times New Roman" w:hAnsi="Times New Roman" w:cs="Times New Roman"/>
                      <w:sz w:val="21"/>
                      <w:szCs w:val="21"/>
                      <w:highlight w:val="none"/>
                    </w:rPr>
                    <w:t>控制软件可执行程序、源代码、软件使用许可协议</w:t>
                  </w:r>
                </w:p>
              </w:tc>
            </w:tr>
            <w:tr w14:paraId="471F7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655B192A">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ascii="Times New Roman" w:hAnsi="Times New Roman" w:cs="Times New Roman"/>
                      <w:sz w:val="21"/>
                      <w:szCs w:val="21"/>
                      <w:highlight w:val="none"/>
                    </w:rPr>
                    <w:t>22</w:t>
                  </w:r>
                </w:p>
              </w:tc>
              <w:tc>
                <w:tcPr>
                  <w:tcW w:w="4745" w:type="dxa"/>
                  <w:tcBorders>
                    <w:top w:val="single" w:color="000000" w:sz="4" w:space="0"/>
                    <w:left w:val="single" w:color="000000" w:sz="4" w:space="0"/>
                    <w:bottom w:val="single" w:color="000000" w:sz="4" w:space="0"/>
                    <w:right w:val="single" w:color="000000" w:sz="4" w:space="0"/>
                  </w:tcBorders>
                  <w:vAlign w:val="center"/>
                </w:tcPr>
                <w:p w14:paraId="72E144F5">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hint="eastAsia" w:ascii="Times New Roman" w:hAnsi="Times New Roman" w:cs="Times New Roman"/>
                      <w:sz w:val="21"/>
                      <w:szCs w:val="21"/>
                      <w:highlight w:val="none"/>
                    </w:rPr>
                    <w:t>产品及文件交付清单</w:t>
                  </w:r>
                </w:p>
              </w:tc>
            </w:tr>
            <w:tr w14:paraId="5F953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1C1899BA">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ascii="Times New Roman" w:hAnsi="Times New Roman" w:cs="Times New Roman"/>
                      <w:sz w:val="21"/>
                      <w:szCs w:val="21"/>
                      <w:highlight w:val="none"/>
                    </w:rPr>
                    <w:t>23</w:t>
                  </w:r>
                </w:p>
              </w:tc>
              <w:tc>
                <w:tcPr>
                  <w:tcW w:w="4745" w:type="dxa"/>
                  <w:tcBorders>
                    <w:top w:val="single" w:color="000000" w:sz="4" w:space="0"/>
                    <w:left w:val="single" w:color="000000" w:sz="4" w:space="0"/>
                    <w:bottom w:val="single" w:color="000000" w:sz="4" w:space="0"/>
                    <w:right w:val="single" w:color="000000" w:sz="4" w:space="0"/>
                  </w:tcBorders>
                  <w:vAlign w:val="center"/>
                </w:tcPr>
                <w:p w14:paraId="76CE335B">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hint="eastAsia" w:ascii="Times New Roman" w:hAnsi="Times New Roman" w:cs="Times New Roman"/>
                      <w:sz w:val="21"/>
                      <w:szCs w:val="21"/>
                      <w:highlight w:val="none"/>
                    </w:rPr>
                    <w:t>电气元器件明细表</w:t>
                  </w:r>
                </w:p>
              </w:tc>
            </w:tr>
            <w:tr w14:paraId="0F654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79BF4FDC">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ascii="Times New Roman" w:hAnsi="Times New Roman" w:cs="Times New Roman"/>
                      <w:sz w:val="21"/>
                      <w:szCs w:val="21"/>
                      <w:highlight w:val="none"/>
                    </w:rPr>
                    <w:t>24</w:t>
                  </w:r>
                </w:p>
              </w:tc>
              <w:tc>
                <w:tcPr>
                  <w:tcW w:w="4745" w:type="dxa"/>
                  <w:tcBorders>
                    <w:top w:val="single" w:color="000000" w:sz="4" w:space="0"/>
                    <w:left w:val="single" w:color="000000" w:sz="4" w:space="0"/>
                    <w:bottom w:val="single" w:color="000000" w:sz="4" w:space="0"/>
                    <w:right w:val="single" w:color="000000" w:sz="4" w:space="0"/>
                  </w:tcBorders>
                  <w:vAlign w:val="center"/>
                </w:tcPr>
                <w:p w14:paraId="3B679253">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hint="eastAsia" w:ascii="Times New Roman" w:hAnsi="Times New Roman" w:cs="Times New Roman"/>
                      <w:sz w:val="21"/>
                      <w:szCs w:val="21"/>
                      <w:highlight w:val="none"/>
                    </w:rPr>
                    <w:t>电气接线图</w:t>
                  </w:r>
                </w:p>
              </w:tc>
            </w:tr>
            <w:tr w14:paraId="37DA6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3B659F31">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ascii="Times New Roman" w:hAnsi="Times New Roman" w:cs="Times New Roman"/>
                      <w:sz w:val="21"/>
                      <w:szCs w:val="21"/>
                      <w:highlight w:val="none"/>
                    </w:rPr>
                    <w:t>25</w:t>
                  </w:r>
                </w:p>
              </w:tc>
              <w:tc>
                <w:tcPr>
                  <w:tcW w:w="4745" w:type="dxa"/>
                  <w:tcBorders>
                    <w:top w:val="single" w:color="000000" w:sz="4" w:space="0"/>
                    <w:left w:val="single" w:color="000000" w:sz="4" w:space="0"/>
                    <w:bottom w:val="single" w:color="000000" w:sz="4" w:space="0"/>
                    <w:right w:val="single" w:color="000000" w:sz="4" w:space="0"/>
                  </w:tcBorders>
                  <w:vAlign w:val="center"/>
                </w:tcPr>
                <w:p w14:paraId="4498E01C">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hint="eastAsia" w:ascii="Times New Roman" w:hAnsi="Times New Roman" w:cs="Times New Roman"/>
                      <w:sz w:val="21"/>
                      <w:szCs w:val="21"/>
                      <w:highlight w:val="none"/>
                    </w:rPr>
                    <w:t>操作人员培训记录</w:t>
                  </w:r>
                </w:p>
              </w:tc>
            </w:tr>
            <w:tr w14:paraId="59FB8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14:paraId="51885F99">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ascii="Times New Roman" w:hAnsi="Times New Roman" w:cs="Times New Roman"/>
                      <w:sz w:val="21"/>
                      <w:szCs w:val="21"/>
                      <w:highlight w:val="none"/>
                    </w:rPr>
                    <w:t>26</w:t>
                  </w:r>
                </w:p>
              </w:tc>
              <w:tc>
                <w:tcPr>
                  <w:tcW w:w="4745" w:type="dxa"/>
                  <w:tcBorders>
                    <w:top w:val="single" w:color="000000" w:sz="4" w:space="0"/>
                    <w:left w:val="single" w:color="000000" w:sz="4" w:space="0"/>
                    <w:bottom w:val="single" w:color="000000" w:sz="4" w:space="0"/>
                    <w:right w:val="single" w:color="000000" w:sz="4" w:space="0"/>
                  </w:tcBorders>
                  <w:vAlign w:val="center"/>
                </w:tcPr>
                <w:p w14:paraId="77C84B3E">
                  <w:pPr>
                    <w:keepNext w:val="0"/>
                    <w:keepLines w:val="0"/>
                    <w:pageBreakBefore w:val="0"/>
                    <w:widowControl/>
                    <w:kinsoku/>
                    <w:wordWrap/>
                    <w:overflowPunct/>
                    <w:topLinePunct w:val="0"/>
                    <w:autoSpaceDE/>
                    <w:autoSpaceDN/>
                    <w:bidi w:val="0"/>
                    <w:adjustRightInd w:val="0"/>
                    <w:snapToGrid/>
                    <w:spacing w:line="264" w:lineRule="auto"/>
                    <w:ind w:left="0" w:firstLine="0"/>
                    <w:jc w:val="both"/>
                    <w:textAlignment w:val="auto"/>
                    <w:rPr>
                      <w:rFonts w:ascii="Times New Roman" w:hAnsi="Times New Roman" w:cs="Times New Roman"/>
                      <w:sz w:val="21"/>
                      <w:szCs w:val="21"/>
                      <w:highlight w:val="none"/>
                    </w:rPr>
                  </w:pPr>
                  <w:r>
                    <w:rPr>
                      <w:rFonts w:hint="eastAsia" w:ascii="Times New Roman" w:hAnsi="Times New Roman" w:cs="Times New Roman"/>
                      <w:sz w:val="21"/>
                      <w:szCs w:val="21"/>
                      <w:highlight w:val="none"/>
                    </w:rPr>
                    <w:t>项目研制总结报告</w:t>
                  </w:r>
                </w:p>
              </w:tc>
            </w:tr>
          </w:tbl>
          <w:p w14:paraId="199BCB10">
            <w:pPr>
              <w:pStyle w:val="27"/>
              <w:keepNext w:val="0"/>
              <w:keepLines w:val="0"/>
              <w:pageBreakBefore w:val="0"/>
              <w:widowControl/>
              <w:kinsoku/>
              <w:wordWrap/>
              <w:overflowPunct/>
              <w:topLinePunct w:val="0"/>
              <w:autoSpaceDE/>
              <w:autoSpaceDN/>
              <w:bidi w:val="0"/>
              <w:snapToGrid/>
              <w:spacing w:line="264" w:lineRule="auto"/>
              <w:textAlignment w:val="auto"/>
              <w:rPr>
                <w:sz w:val="21"/>
                <w:szCs w:val="21"/>
                <w:highlight w:val="green"/>
              </w:rPr>
            </w:pPr>
          </w:p>
        </w:tc>
      </w:tr>
      <w:tr w14:paraId="7A20B0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96" w:type="dxa"/>
            <w:vMerge w:val="continue"/>
            <w:tcBorders>
              <w:tl2br w:val="nil"/>
              <w:tr2bl w:val="nil"/>
            </w:tcBorders>
            <w:vAlign w:val="center"/>
          </w:tcPr>
          <w:p w14:paraId="37131416">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rPr>
            </w:pPr>
          </w:p>
        </w:tc>
        <w:tc>
          <w:tcPr>
            <w:tcW w:w="1666" w:type="dxa"/>
            <w:vMerge w:val="continue"/>
            <w:tcBorders>
              <w:tl2br w:val="nil"/>
              <w:tr2bl w:val="nil"/>
            </w:tcBorders>
            <w:vAlign w:val="center"/>
          </w:tcPr>
          <w:p w14:paraId="564CC875">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sz w:val="21"/>
                <w:szCs w:val="21"/>
              </w:rPr>
            </w:pPr>
          </w:p>
        </w:tc>
        <w:tc>
          <w:tcPr>
            <w:tcW w:w="6109" w:type="dxa"/>
            <w:tcBorders>
              <w:tl2br w:val="nil"/>
              <w:tr2bl w:val="nil"/>
            </w:tcBorders>
          </w:tcPr>
          <w:p w14:paraId="4253712B">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rPr>
            </w:pPr>
            <w:r>
              <w:rPr>
                <w:rFonts w:ascii="Times New Roman" w:hAnsi="Times New Roman" w:cs="Times New Roman"/>
                <w:bCs/>
                <w:sz w:val="21"/>
                <w:szCs w:val="21"/>
              </w:rPr>
              <w:t>1.4签订合同后 1</w:t>
            </w:r>
            <w:r>
              <w:rPr>
                <w:rFonts w:hint="eastAsia" w:cs="Times New Roman"/>
                <w:bCs/>
                <w:sz w:val="21"/>
                <w:szCs w:val="21"/>
                <w:lang w:val="en-US" w:eastAsia="zh-CN"/>
              </w:rPr>
              <w:t>06</w:t>
            </w:r>
            <w:r>
              <w:rPr>
                <w:rFonts w:ascii="Times New Roman" w:hAnsi="Times New Roman" w:cs="Times New Roman"/>
                <w:bCs/>
                <w:sz w:val="21"/>
                <w:szCs w:val="21"/>
              </w:rPr>
              <w:t>0 天（日历日）内交货。</w:t>
            </w:r>
          </w:p>
        </w:tc>
      </w:tr>
      <w:tr w14:paraId="755E061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96" w:type="dxa"/>
            <w:vMerge w:val="restart"/>
            <w:tcBorders>
              <w:tl2br w:val="nil"/>
              <w:tr2bl w:val="nil"/>
            </w:tcBorders>
            <w:vAlign w:val="center"/>
          </w:tcPr>
          <w:p w14:paraId="617FD371">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2</w:t>
            </w:r>
          </w:p>
        </w:tc>
        <w:tc>
          <w:tcPr>
            <w:tcW w:w="1666" w:type="dxa"/>
            <w:vMerge w:val="restart"/>
            <w:tcBorders>
              <w:tl2br w:val="nil"/>
              <w:tr2bl w:val="nil"/>
            </w:tcBorders>
            <w:vAlign w:val="center"/>
          </w:tcPr>
          <w:p w14:paraId="7593D88B">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hint="eastAsia" w:ascii="Times New Roman" w:hAnsi="Times New Roman" w:cs="Times New Roman"/>
                <w:bCs/>
                <w:sz w:val="21"/>
                <w:szCs w:val="21"/>
                <w:highlight w:val="none"/>
              </w:rPr>
              <w:t>安装调试及验收</w:t>
            </w:r>
          </w:p>
        </w:tc>
        <w:tc>
          <w:tcPr>
            <w:tcW w:w="6109" w:type="dxa"/>
            <w:tcBorders>
              <w:tl2br w:val="nil"/>
              <w:tr2bl w:val="nil"/>
            </w:tcBorders>
          </w:tcPr>
          <w:p w14:paraId="17D9EACE">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2.1</w:t>
            </w:r>
            <w:r>
              <w:rPr>
                <w:rFonts w:hint="eastAsia" w:ascii="Times New Roman" w:hAnsi="Times New Roman" w:cs="Times New Roman"/>
                <w:bCs/>
                <w:sz w:val="21"/>
                <w:szCs w:val="21"/>
                <w:highlight w:val="none"/>
              </w:rPr>
              <w:t>投标人应派有经验的技术人员到现场进行安装、调试，直到设备正常使用。</w:t>
            </w:r>
          </w:p>
        </w:tc>
      </w:tr>
      <w:tr w14:paraId="035B60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96" w:type="dxa"/>
            <w:vMerge w:val="continue"/>
            <w:tcBorders>
              <w:tl2br w:val="nil"/>
              <w:tr2bl w:val="nil"/>
            </w:tcBorders>
            <w:vAlign w:val="center"/>
          </w:tcPr>
          <w:p w14:paraId="039095DF">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1666" w:type="dxa"/>
            <w:vMerge w:val="continue"/>
            <w:tcBorders>
              <w:tl2br w:val="nil"/>
              <w:tr2bl w:val="nil"/>
            </w:tcBorders>
            <w:vAlign w:val="center"/>
          </w:tcPr>
          <w:p w14:paraId="69557D9C">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6109" w:type="dxa"/>
            <w:tcBorders>
              <w:tl2br w:val="nil"/>
              <w:tr2bl w:val="nil"/>
            </w:tcBorders>
          </w:tcPr>
          <w:p w14:paraId="33B8C9E7">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2.2</w:t>
            </w:r>
            <w:r>
              <w:rPr>
                <w:rFonts w:hint="eastAsia" w:ascii="Times New Roman" w:hAnsi="Times New Roman" w:cs="Times New Roman"/>
                <w:bCs/>
                <w:sz w:val="21"/>
                <w:szCs w:val="21"/>
                <w:highlight w:val="none"/>
              </w:rPr>
              <w:t>由采购人按合同和招标、投标文件约定的要求和标准及中华人民共和国现行的验收规范和评定标准进行交货验收。</w:t>
            </w:r>
          </w:p>
        </w:tc>
      </w:tr>
      <w:tr w14:paraId="3FD919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96" w:type="dxa"/>
            <w:vMerge w:val="continue"/>
            <w:tcBorders>
              <w:tl2br w:val="nil"/>
              <w:tr2bl w:val="nil"/>
            </w:tcBorders>
            <w:vAlign w:val="center"/>
          </w:tcPr>
          <w:p w14:paraId="19EF4DE8">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1666" w:type="dxa"/>
            <w:vMerge w:val="continue"/>
            <w:tcBorders>
              <w:tl2br w:val="nil"/>
              <w:tr2bl w:val="nil"/>
            </w:tcBorders>
            <w:vAlign w:val="center"/>
          </w:tcPr>
          <w:p w14:paraId="3EBD4B32">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6109" w:type="dxa"/>
            <w:tcBorders>
              <w:tl2br w:val="nil"/>
              <w:tr2bl w:val="nil"/>
            </w:tcBorders>
          </w:tcPr>
          <w:p w14:paraId="5B40340D">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2.3 </w:t>
            </w:r>
            <w:r>
              <w:rPr>
                <w:rFonts w:hint="eastAsia" w:ascii="Times New Roman" w:hAnsi="Times New Roman" w:cs="Times New Roman"/>
                <w:bCs/>
                <w:sz w:val="21"/>
                <w:szCs w:val="21"/>
                <w:highlight w:val="none"/>
              </w:rPr>
              <w:t>投标人货物经过双方检验认可后，签署验收报告，产品保修期自验收合格之日起算，由投标人提供产品保修文件。</w:t>
            </w:r>
          </w:p>
        </w:tc>
      </w:tr>
      <w:tr w14:paraId="4DF7FB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96" w:type="dxa"/>
            <w:vMerge w:val="continue"/>
            <w:tcBorders>
              <w:tl2br w:val="nil"/>
              <w:tr2bl w:val="nil"/>
            </w:tcBorders>
            <w:vAlign w:val="center"/>
          </w:tcPr>
          <w:p w14:paraId="289FC7B9">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1666" w:type="dxa"/>
            <w:vMerge w:val="continue"/>
            <w:tcBorders>
              <w:tl2br w:val="nil"/>
              <w:tr2bl w:val="nil"/>
            </w:tcBorders>
            <w:vAlign w:val="center"/>
          </w:tcPr>
          <w:p w14:paraId="6F26C188">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6109" w:type="dxa"/>
            <w:tcBorders>
              <w:tl2br w:val="nil"/>
              <w:tr2bl w:val="nil"/>
            </w:tcBorders>
          </w:tcPr>
          <w:p w14:paraId="2E17A9DC">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2.4</w:t>
            </w:r>
            <w:r>
              <w:rPr>
                <w:rFonts w:hint="eastAsia" w:ascii="Times New Roman" w:hAnsi="Times New Roman" w:cs="Times New Roman"/>
                <w:bCs/>
                <w:sz w:val="21"/>
                <w:szCs w:val="21"/>
                <w:highlight w:val="none"/>
              </w:rPr>
              <w:t>当满足以下条件时，采购人才向中标人签发货物验收报告：</w:t>
            </w:r>
          </w:p>
          <w:p w14:paraId="59202402">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hint="eastAsia" w:ascii="Times New Roman" w:hAnsi="Times New Roman" w:cs="Times New Roman"/>
                <w:bCs/>
                <w:sz w:val="21"/>
                <w:szCs w:val="21"/>
                <w:highlight w:val="none"/>
              </w:rPr>
              <w:t>（</w:t>
            </w:r>
            <w:r>
              <w:rPr>
                <w:rFonts w:ascii="Times New Roman" w:hAnsi="Times New Roman" w:cs="Times New Roman"/>
                <w:bCs/>
                <w:sz w:val="21"/>
                <w:szCs w:val="21"/>
                <w:highlight w:val="none"/>
              </w:rPr>
              <w:t>1</w:t>
            </w:r>
            <w:r>
              <w:rPr>
                <w:rFonts w:hint="eastAsia" w:ascii="Times New Roman" w:hAnsi="Times New Roman" w:cs="Times New Roman"/>
                <w:bCs/>
                <w:sz w:val="21"/>
                <w:szCs w:val="21"/>
                <w:highlight w:val="none"/>
              </w:rPr>
              <w:t>）设备全新</w:t>
            </w:r>
            <w:r>
              <w:rPr>
                <w:rFonts w:ascii="Times New Roman" w:hAnsi="Times New Roman" w:cs="Times New Roman"/>
                <w:bCs/>
                <w:sz w:val="21"/>
                <w:szCs w:val="21"/>
                <w:highlight w:val="none"/>
              </w:rPr>
              <w:t>,</w:t>
            </w:r>
            <w:r>
              <w:rPr>
                <w:rFonts w:hint="eastAsia" w:ascii="Times New Roman" w:hAnsi="Times New Roman" w:cs="Times New Roman"/>
                <w:bCs/>
                <w:sz w:val="21"/>
                <w:szCs w:val="21"/>
                <w:highlight w:val="none"/>
              </w:rPr>
              <w:t>外观无伤痕变形或明显修饰痕迹。</w:t>
            </w:r>
          </w:p>
          <w:p w14:paraId="62DF116C">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hint="eastAsia" w:ascii="Times New Roman" w:hAnsi="Times New Roman" w:cs="Times New Roman"/>
                <w:bCs/>
                <w:sz w:val="21"/>
                <w:szCs w:val="21"/>
                <w:highlight w:val="none"/>
              </w:rPr>
              <w:t>（</w:t>
            </w:r>
            <w:r>
              <w:rPr>
                <w:rFonts w:ascii="Times New Roman" w:hAnsi="Times New Roman" w:cs="Times New Roman"/>
                <w:bCs/>
                <w:sz w:val="21"/>
                <w:szCs w:val="21"/>
                <w:highlight w:val="none"/>
              </w:rPr>
              <w:t>2</w:t>
            </w:r>
            <w:r>
              <w:rPr>
                <w:rFonts w:hint="eastAsia" w:ascii="Times New Roman" w:hAnsi="Times New Roman" w:cs="Times New Roman"/>
                <w:bCs/>
                <w:sz w:val="21"/>
                <w:szCs w:val="21"/>
                <w:highlight w:val="none"/>
              </w:rPr>
              <w:t>）货物符合招标文件技术规格书要求和性能要求，如有国标，必须符合有关规定；如无国标，则按照行业标准；如无国标及行业标准，则按双方约定执行（通过组织双方认可的专家人员测试验收后，出具书面验收合格文件）。投标文件提供的技术数据经实测证实是真实的。检验及免费保修期内达到的性能指标与技术要求一致，达到或优于相应标准。合同执行期间，如相关国家标准、行业标准更新或发布新版本，中标人应主动告知采购人，如按最新有效版本执行，设备技术指标不得低于合同约定指标。货物的检验结果、保修期及质量保证期内达到的性能指标，均须达到或优于前述技术附件和本合同规定的适用标准中的要求。</w:t>
            </w:r>
          </w:p>
          <w:p w14:paraId="197D6A7B">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hint="eastAsia" w:ascii="Times New Roman" w:hAnsi="Times New Roman" w:cs="Times New Roman"/>
                <w:bCs/>
                <w:sz w:val="21"/>
                <w:szCs w:val="21"/>
                <w:highlight w:val="none"/>
              </w:rPr>
              <w:t>（</w:t>
            </w:r>
            <w:r>
              <w:rPr>
                <w:rFonts w:ascii="Times New Roman" w:hAnsi="Times New Roman" w:cs="Times New Roman"/>
                <w:bCs/>
                <w:sz w:val="21"/>
                <w:szCs w:val="21"/>
                <w:highlight w:val="none"/>
              </w:rPr>
              <w:t>3</w:t>
            </w:r>
            <w:r>
              <w:rPr>
                <w:rFonts w:hint="eastAsia" w:ascii="Times New Roman" w:hAnsi="Times New Roman" w:cs="Times New Roman"/>
                <w:bCs/>
                <w:sz w:val="21"/>
                <w:szCs w:val="21"/>
                <w:highlight w:val="none"/>
              </w:rPr>
              <w:t>）投标人提供的各种文件载明的内容必须真实，其技术数据采购人有权要求投标人无偿提供采购人认可的第三方按照双方同意的试验方法进行检测。检测结果必须证明投标人提供的技术数据是真实的，否则视为不合格。</w:t>
            </w:r>
          </w:p>
          <w:p w14:paraId="0B6B9001">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hint="eastAsia" w:ascii="Times New Roman" w:hAnsi="Times New Roman" w:cs="Times New Roman"/>
                <w:bCs/>
                <w:sz w:val="21"/>
                <w:szCs w:val="21"/>
                <w:highlight w:val="none"/>
              </w:rPr>
              <w:t>（</w:t>
            </w:r>
            <w:r>
              <w:rPr>
                <w:rFonts w:ascii="Times New Roman" w:hAnsi="Times New Roman" w:cs="Times New Roman"/>
                <w:bCs/>
                <w:sz w:val="21"/>
                <w:szCs w:val="21"/>
                <w:highlight w:val="none"/>
              </w:rPr>
              <w:t>4</w:t>
            </w:r>
            <w:r>
              <w:rPr>
                <w:rFonts w:hint="eastAsia" w:ascii="Times New Roman" w:hAnsi="Times New Roman" w:cs="Times New Roman"/>
                <w:bCs/>
                <w:sz w:val="21"/>
                <w:szCs w:val="21"/>
                <w:highlight w:val="none"/>
              </w:rPr>
              <w:t>）重要节点需通过组织双方认可的专家人员测试验收后，出具书面验收合格文件，才算验收合格。</w:t>
            </w:r>
          </w:p>
          <w:p w14:paraId="6D398C66">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hint="eastAsia" w:ascii="Times New Roman" w:hAnsi="Times New Roman" w:cs="Times New Roman"/>
                <w:bCs/>
                <w:sz w:val="21"/>
                <w:szCs w:val="21"/>
                <w:highlight w:val="none"/>
              </w:rPr>
              <w:t>（</w:t>
            </w:r>
            <w:r>
              <w:rPr>
                <w:rFonts w:ascii="Times New Roman" w:hAnsi="Times New Roman" w:cs="Times New Roman"/>
                <w:bCs/>
                <w:sz w:val="21"/>
                <w:szCs w:val="21"/>
                <w:highlight w:val="none"/>
              </w:rPr>
              <w:t>5</w:t>
            </w:r>
            <w:r>
              <w:rPr>
                <w:rFonts w:hint="eastAsia" w:ascii="Times New Roman" w:hAnsi="Times New Roman" w:cs="Times New Roman"/>
                <w:bCs/>
                <w:sz w:val="21"/>
                <w:szCs w:val="21"/>
                <w:highlight w:val="none"/>
              </w:rPr>
              <w:t>）在货物入场发货前，需前往进行现场踏查和实时沟通，并做出详细的入场方案，必要时应对货物的打包规格尺寸进行最小化规划，方便入场。</w:t>
            </w:r>
          </w:p>
          <w:p w14:paraId="72163827">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hint="eastAsia" w:ascii="Times New Roman" w:hAnsi="Times New Roman" w:cs="Times New Roman"/>
                <w:bCs/>
                <w:sz w:val="21"/>
                <w:szCs w:val="21"/>
                <w:highlight w:val="none"/>
              </w:rPr>
              <w:t>（</w:t>
            </w:r>
            <w:r>
              <w:rPr>
                <w:rFonts w:ascii="Times New Roman" w:hAnsi="Times New Roman" w:cs="Times New Roman"/>
                <w:bCs/>
                <w:sz w:val="21"/>
                <w:szCs w:val="21"/>
                <w:highlight w:val="none"/>
              </w:rPr>
              <w:t>6</w:t>
            </w:r>
            <w:r>
              <w:rPr>
                <w:rFonts w:hint="eastAsia" w:ascii="Times New Roman" w:hAnsi="Times New Roman" w:cs="Times New Roman"/>
                <w:bCs/>
                <w:sz w:val="21"/>
                <w:szCs w:val="21"/>
                <w:highlight w:val="none"/>
              </w:rPr>
              <w:t>）保证货物安装调试过程应进行详细记录，重要节点应通知招标人共同见证检查，安装调试合格后，需提交安装调试记录给甲方归档，所有技术指标达到技术规范书要求，货物具备产品合格证，重要部件合格证明，加工制造过程中节点管控、测试检查等文件，技术文件资料、备件等已按规定数量移交完毕，双方共同签署验收报告。</w:t>
            </w:r>
          </w:p>
          <w:p w14:paraId="259E3F52">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hint="eastAsia" w:ascii="Times New Roman" w:hAnsi="Times New Roman" w:cs="Times New Roman"/>
                <w:bCs/>
                <w:sz w:val="21"/>
                <w:szCs w:val="21"/>
                <w:highlight w:val="none"/>
              </w:rPr>
              <w:t>（</w:t>
            </w:r>
            <w:r>
              <w:rPr>
                <w:rFonts w:ascii="Times New Roman" w:hAnsi="Times New Roman" w:cs="Times New Roman"/>
                <w:bCs/>
                <w:sz w:val="21"/>
                <w:szCs w:val="21"/>
                <w:highlight w:val="none"/>
              </w:rPr>
              <w:t>7</w:t>
            </w:r>
            <w:r>
              <w:rPr>
                <w:rFonts w:hint="eastAsia" w:ascii="Times New Roman" w:hAnsi="Times New Roman" w:cs="Times New Roman"/>
                <w:bCs/>
                <w:sz w:val="21"/>
                <w:szCs w:val="21"/>
                <w:highlight w:val="none"/>
              </w:rPr>
              <w:t>）投标人应按照招标人各阶段验收要求积极配合招标人完成检查验收工作，包括但不限于：研制过程验证资料的检查收集、现场检查验证、重要部件工艺技术测验</w:t>
            </w:r>
            <w:r>
              <w:rPr>
                <w:rFonts w:hint="eastAsia" w:ascii="Times New Roman" w:hAnsi="Times New Roman" w:cs="Times New Roman"/>
                <w:bCs/>
                <w:sz w:val="21"/>
                <w:szCs w:val="21"/>
                <w:highlight w:val="none"/>
                <w:lang w:val="en-US" w:eastAsia="zh-CN"/>
              </w:rPr>
              <w:t>等</w:t>
            </w:r>
            <w:r>
              <w:rPr>
                <w:rFonts w:hint="eastAsia" w:ascii="Times New Roman" w:hAnsi="Times New Roman" w:cs="Times New Roman"/>
                <w:bCs/>
                <w:sz w:val="21"/>
                <w:szCs w:val="21"/>
                <w:highlight w:val="none"/>
              </w:rPr>
              <w:t>。</w:t>
            </w:r>
          </w:p>
        </w:tc>
      </w:tr>
      <w:tr w14:paraId="70FAD6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96" w:type="dxa"/>
            <w:vMerge w:val="restart"/>
            <w:tcBorders>
              <w:tl2br w:val="nil"/>
              <w:tr2bl w:val="nil"/>
            </w:tcBorders>
            <w:vAlign w:val="center"/>
          </w:tcPr>
          <w:p w14:paraId="18BE3513">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3</w:t>
            </w:r>
          </w:p>
        </w:tc>
        <w:tc>
          <w:tcPr>
            <w:tcW w:w="1666" w:type="dxa"/>
            <w:vMerge w:val="restart"/>
            <w:tcBorders>
              <w:tl2br w:val="nil"/>
              <w:tr2bl w:val="nil"/>
            </w:tcBorders>
            <w:vAlign w:val="center"/>
          </w:tcPr>
          <w:p w14:paraId="67EFD563">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关于违约</w:t>
            </w:r>
          </w:p>
        </w:tc>
        <w:tc>
          <w:tcPr>
            <w:tcW w:w="6109" w:type="dxa"/>
            <w:tcBorders>
              <w:tl2br w:val="nil"/>
              <w:tr2bl w:val="nil"/>
            </w:tcBorders>
          </w:tcPr>
          <w:p w14:paraId="2DB82BE7">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3.1投标人应充分掌握项目全过程风险，建立风险研判机制和切实可行的风险处置预案，并及时报送采购人止损。因投标人原因造成损失的，应由投标人承担相应责任。</w:t>
            </w:r>
          </w:p>
        </w:tc>
      </w:tr>
      <w:tr w14:paraId="126E38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96" w:type="dxa"/>
            <w:vMerge w:val="continue"/>
            <w:tcBorders>
              <w:tl2br w:val="nil"/>
              <w:tr2bl w:val="nil"/>
            </w:tcBorders>
            <w:vAlign w:val="center"/>
          </w:tcPr>
          <w:p w14:paraId="53CB5119">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1666" w:type="dxa"/>
            <w:vMerge w:val="continue"/>
            <w:tcBorders>
              <w:tl2br w:val="nil"/>
              <w:tr2bl w:val="nil"/>
            </w:tcBorders>
            <w:vAlign w:val="center"/>
          </w:tcPr>
          <w:p w14:paraId="39F319A1">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6109" w:type="dxa"/>
            <w:tcBorders>
              <w:tl2br w:val="nil"/>
              <w:tr2bl w:val="nil"/>
            </w:tcBorders>
          </w:tcPr>
          <w:p w14:paraId="64F1D867">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3.2在无不可抗力影响的前提下，投标人应按时完成合同内容并确保所有工作均符合行业标准及本合同规定的质量标准。若因投标人导致设备工期延误或无法完成，进而影响投标人按时完成合同约定建设内容，投标人应在知晓此类情况后，立即通知采购人，详细说明延误或无法完成的原因、预计影响程度及已采取或拟采取的补救措施，并承担由此造成的采购人的相应损失：</w:t>
            </w:r>
          </w:p>
          <w:p w14:paraId="2D07DC3C">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a. 投标人不能交货，则按合同总价的【10%】支付违约金给采购人。同时，采购人有权单方面解除合同，投标人应当退还采购人已支付的合同款。如上述违约金金额仍不足以补偿采购人因投标人违约造成的损失，采购人有权进一步向投标人提出索赔。</w:t>
            </w:r>
          </w:p>
          <w:p w14:paraId="2198A418">
            <w:pPr>
              <w:keepNext w:val="0"/>
              <w:keepLines w:val="0"/>
              <w:pageBreakBefore w:val="0"/>
              <w:widowControl/>
              <w:kinsoku/>
              <w:wordWrap/>
              <w:overflowPunct/>
              <w:topLinePunct w:val="0"/>
              <w:autoSpaceDE/>
              <w:autoSpaceDN/>
              <w:bidi w:val="0"/>
              <w:snapToGrid/>
              <w:spacing w:line="264" w:lineRule="auto"/>
              <w:textAlignment w:val="auto"/>
              <w:rPr>
                <w:rFonts w:hint="eastAsia" w:ascii="Times New Roman" w:hAnsi="Times New Roman" w:cs="Times New Roman" w:eastAsiaTheme="minorEastAsia"/>
                <w:bCs/>
                <w:color w:val="000000" w:themeColor="text1"/>
                <w:sz w:val="21"/>
                <w:szCs w:val="21"/>
                <w:highlight w:val="none"/>
                <w:lang w:eastAsia="zh-CN"/>
                <w14:textFill>
                  <w14:solidFill>
                    <w14:schemeClr w14:val="tx1"/>
                  </w14:solidFill>
                </w14:textFill>
              </w:rPr>
            </w:pPr>
            <w:r>
              <w:rPr>
                <w:rFonts w:ascii="Times New Roman" w:hAnsi="Times New Roman" w:cs="Times New Roman"/>
                <w:bCs/>
                <w:sz w:val="21"/>
                <w:szCs w:val="21"/>
                <w:highlight w:val="none"/>
              </w:rPr>
              <w:t xml:space="preserve">b. </w:t>
            </w:r>
            <w:r>
              <w:rPr>
                <w:rFonts w:hint="eastAsia" w:ascii="Times New Roman" w:hAnsi="Times New Roman" w:cs="Times New Roman"/>
                <w:bCs/>
                <w:sz w:val="21"/>
                <w:szCs w:val="21"/>
                <w:highlight w:val="none"/>
              </w:rPr>
              <w:t>投标人应充分掌握逾期风险，</w:t>
            </w:r>
            <w:r>
              <w:rPr>
                <w:rFonts w:ascii="Times New Roman" w:hAnsi="Times New Roman" w:cs="Times New Roman"/>
                <w:bCs/>
                <w:sz w:val="21"/>
                <w:szCs w:val="21"/>
                <w:highlight w:val="none"/>
              </w:rPr>
              <w:t>投标人未按期完成合同所有系统及设备的到货、安装、调试及验收的，构成设备交货或验收逾期，每逾期一日，采购人有权每日按合同总价的万分之五向投标人计收违约金</w:t>
            </w:r>
            <w:r>
              <w:rPr>
                <w:rFonts w:hint="eastAsia" w:ascii="Times New Roman" w:hAnsi="Times New Roman" w:cs="Times New Roman"/>
                <w:bCs/>
                <w:sz w:val="21"/>
                <w:szCs w:val="21"/>
                <w:highlight w:val="none"/>
                <w:lang w:eastAsia="zh-CN"/>
              </w:rPr>
              <w:t>，</w:t>
            </w:r>
            <w:r>
              <w:rPr>
                <w:rFonts w:hint="eastAsia" w:ascii="Times New Roman" w:hAnsi="Times New Roman" w:cs="Times New Roman"/>
                <w:bCs/>
                <w:sz w:val="21"/>
                <w:szCs w:val="21"/>
                <w:highlight w:val="none"/>
              </w:rPr>
              <w:t>违约金最高不超过合同总价的【5】%</w:t>
            </w:r>
            <w:r>
              <w:rPr>
                <w:rFonts w:hint="eastAsia" w:ascii="Times New Roman" w:hAnsi="Times New Roman" w:cs="Times New Roman"/>
                <w:bCs/>
                <w:sz w:val="21"/>
                <w:szCs w:val="21"/>
                <w:highlight w:val="none"/>
                <w:lang w:eastAsia="zh-CN"/>
              </w:rPr>
              <w:t>。</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若因</w:t>
            </w:r>
            <w:r>
              <w:rPr>
                <w:rFonts w:hint="eastAsia" w:asciiTheme="minorEastAsia" w:hAnsiTheme="minorEastAsia" w:cstheme="minorEastAsia"/>
                <w:bCs/>
                <w:color w:val="000000" w:themeColor="text1"/>
                <w:sz w:val="21"/>
                <w:szCs w:val="21"/>
                <w:lang w:val="en-US" w:eastAsia="zh-CN"/>
                <w14:textFill>
                  <w14:solidFill>
                    <w14:schemeClr w14:val="tx1"/>
                  </w14:solidFill>
                </w14:textFill>
              </w:rPr>
              <w:t>投</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标人原因未按照本文件“具体技术要求”中“</w:t>
            </w:r>
            <w:r>
              <w:rPr>
                <w:rFonts w:hint="eastAsia" w:asciiTheme="minorEastAsia" w:hAnsiTheme="minorEastAsia" w:cstheme="minorEastAsia"/>
                <w:bCs/>
                <w:color w:val="000000" w:themeColor="text1"/>
                <w:sz w:val="21"/>
                <w:szCs w:val="21"/>
                <w:lang w:val="en-US" w:eastAsia="zh-CN"/>
                <w14:textFill>
                  <w14:solidFill>
                    <w14:schemeClr w14:val="tx1"/>
                  </w14:solidFill>
                </w14:textFill>
              </w:rPr>
              <w:t>3.6、3.7、3.8</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”条款要求完成</w:t>
            </w:r>
            <w:r>
              <w:rPr>
                <w:rFonts w:hint="eastAsia" w:asciiTheme="minorEastAsia" w:hAnsiTheme="minorEastAsia" w:cstheme="minorEastAsia"/>
                <w:bCs/>
                <w:color w:val="000000" w:themeColor="text1"/>
                <w:sz w:val="21"/>
                <w:szCs w:val="21"/>
                <w:lang w:eastAsia="zh-CN"/>
                <w14:textFill>
                  <w14:solidFill>
                    <w14:schemeClr w14:val="tx1"/>
                  </w14:solidFill>
                </w14:textFill>
              </w:rPr>
              <w:t>“</w:t>
            </w:r>
            <w:r>
              <w:rPr>
                <w:rFonts w:hint="eastAsia" w:asciiTheme="minorEastAsia" w:hAnsiTheme="minorEastAsia" w:cstheme="minorEastAsia"/>
                <w:bCs/>
                <w:color w:val="000000" w:themeColor="text1"/>
                <w:sz w:val="21"/>
                <w:szCs w:val="21"/>
                <w14:textFill>
                  <w14:solidFill>
                    <w14:schemeClr w14:val="tx1"/>
                  </w14:solidFill>
                </w14:textFill>
              </w:rPr>
              <w:t>为束流线和辐照终端两级降能</w:t>
            </w:r>
            <w:r>
              <w:rPr>
                <w:rFonts w:hint="eastAsia" w:asciiTheme="minorEastAsia" w:hAnsiTheme="minorEastAsia" w:cstheme="minorEastAsia"/>
                <w:bCs/>
                <w:color w:val="000000" w:themeColor="text1"/>
                <w:sz w:val="21"/>
                <w:szCs w:val="21"/>
                <w:lang w:eastAsia="zh-CN"/>
                <w14:textFill>
                  <w14:solidFill>
                    <w14:schemeClr w14:val="tx1"/>
                  </w14:solidFill>
                </w14:textFill>
              </w:rPr>
              <w:t>、</w:t>
            </w:r>
            <w:r>
              <w:rPr>
                <w:rFonts w:hint="eastAsia" w:asciiTheme="minorEastAsia" w:hAnsiTheme="minorEastAsia" w:cstheme="minorEastAsia"/>
                <w:bCs/>
                <w:color w:val="000000" w:themeColor="text1"/>
                <w:sz w:val="21"/>
                <w:szCs w:val="21"/>
                <w14:textFill>
                  <w14:solidFill>
                    <w14:schemeClr w14:val="tx1"/>
                  </w14:solidFill>
                </w14:textFill>
              </w:rPr>
              <w:t>多级降束</w:t>
            </w:r>
            <w:r>
              <w:rPr>
                <w:rFonts w:hint="eastAsia" w:asciiTheme="minorEastAsia" w:hAnsiTheme="minorEastAsia" w:cstheme="minorEastAsia"/>
                <w:bCs/>
                <w:color w:val="000000" w:themeColor="text1"/>
                <w:sz w:val="21"/>
                <w:szCs w:val="21"/>
                <w:lang w:eastAsia="zh-CN"/>
                <w14:textFill>
                  <w14:solidFill>
                    <w14:schemeClr w14:val="tx1"/>
                  </w14:solidFill>
                </w14:textFill>
              </w:rPr>
              <w:t>、</w:t>
            </w:r>
            <w:r>
              <w:rPr>
                <w:rFonts w:hint="eastAsia" w:asciiTheme="minorEastAsia" w:hAnsiTheme="minorEastAsia" w:cstheme="minorEastAsia"/>
                <w:bCs/>
                <w:color w:val="000000" w:themeColor="text1"/>
                <w:sz w:val="21"/>
                <w:szCs w:val="21"/>
                <w14:textFill>
                  <w14:solidFill>
                    <w14:schemeClr w14:val="tx1"/>
                  </w14:solidFill>
                </w14:textFill>
              </w:rPr>
              <w:t>扩束提供设计方案及联机调试</w:t>
            </w:r>
            <w:r>
              <w:rPr>
                <w:rFonts w:hint="eastAsia" w:asciiTheme="minorEastAsia" w:hAnsiTheme="minorEastAsia" w:cstheme="minorEastAsia"/>
                <w:bCs/>
                <w:color w:val="000000" w:themeColor="text1"/>
                <w:sz w:val="21"/>
                <w:szCs w:val="21"/>
                <w:lang w:val="en-US" w:eastAsia="zh-CN"/>
                <w14:textFill>
                  <w14:solidFill>
                    <w14:schemeClr w14:val="tx1"/>
                  </w14:solidFill>
                </w14:textFill>
              </w:rPr>
              <w:t>”以及</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未按照本文件“具体技术要求”中</w:t>
            </w:r>
            <w:r>
              <w:rPr>
                <w:rFonts w:hint="eastAsia" w:asciiTheme="minorEastAsia" w:hAnsiTheme="minorEastAsia" w:cstheme="minorEastAsia"/>
                <w:bCs/>
                <w:color w:val="000000" w:themeColor="text1"/>
                <w:sz w:val="21"/>
                <w:szCs w:val="21"/>
                <w:lang w:val="en-US" w:eastAsia="zh-CN"/>
                <w14:textFill>
                  <w14:solidFill>
                    <w14:schemeClr w14:val="tx1"/>
                  </w14:solidFill>
                </w14:textFill>
              </w:rPr>
              <w:t>“5.7”条款要求完成“控制系统</w:t>
            </w:r>
            <w:r>
              <w:rPr>
                <w:rFonts w:hint="eastAsia" w:asciiTheme="minorEastAsia" w:hAnsiTheme="minorEastAsia" w:cstheme="minorEastAsia"/>
                <w:bCs/>
                <w:color w:val="000000" w:themeColor="text1"/>
                <w:sz w:val="21"/>
                <w:szCs w:val="21"/>
                <w14:textFill>
                  <w14:solidFill>
                    <w14:schemeClr w14:val="tx1"/>
                  </w14:solidFill>
                </w14:textFill>
              </w:rPr>
              <w:t>具备与加速器联调、安全联锁的联机能力</w:t>
            </w:r>
            <w:r>
              <w:rPr>
                <w:rFonts w:hint="eastAsia" w:asciiTheme="minorEastAsia" w:hAnsiTheme="minorEastAsia" w:cstheme="minorEastAsia"/>
                <w:bCs/>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构成逾期的，每逾期一日，采购人每日按合同暂定总金额万分之三向中标人计收违约金</w:t>
            </w:r>
            <w:r>
              <w:rPr>
                <w:rFonts w:hint="eastAsia"/>
                <w:color w:val="000000" w:themeColor="text1"/>
                <w:sz w:val="21"/>
                <w:szCs w:val="21"/>
                <w:lang w:eastAsia="zh-CN"/>
                <w14:textFill>
                  <w14:solidFill>
                    <w14:schemeClr w14:val="tx1"/>
                  </w14:solidFill>
                </w14:textFill>
              </w:rPr>
              <w:t>。</w:t>
            </w:r>
          </w:p>
          <w:p w14:paraId="77DBEC54">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c. 投标人因自身原因导致设备</w:t>
            </w:r>
            <w:r>
              <w:rPr>
                <w:rFonts w:hint="eastAsia" w:ascii="Times New Roman" w:hAnsi="Times New Roman" w:cs="Times New Roman"/>
                <w:bCs/>
                <w:sz w:val="21"/>
                <w:szCs w:val="21"/>
                <w:highlight w:val="none"/>
              </w:rPr>
              <w:t>到货、验收、安装、独立调试、联机调试、</w:t>
            </w:r>
            <w:r>
              <w:rPr>
                <w:rFonts w:ascii="Times New Roman" w:hAnsi="Times New Roman" w:cs="Times New Roman"/>
                <w:bCs/>
                <w:sz w:val="21"/>
                <w:szCs w:val="21"/>
                <w:highlight w:val="none"/>
              </w:rPr>
              <w:t>交货或验收逾期的，逾期超过【30】个日历日，采购人有权向投标人发出书面催告，经催告后【30】个日历日，投标人仍未恢复履行的，采购人有权书面通知投标人解除本合同，合同剩余款项不予支付，</w:t>
            </w:r>
            <w:r>
              <w:rPr>
                <w:rFonts w:hint="eastAsia" w:ascii="Times New Roman" w:hAnsi="Times New Roman" w:cs="Times New Roman"/>
                <w:bCs/>
                <w:sz w:val="21"/>
                <w:szCs w:val="21"/>
                <w:highlight w:val="none"/>
              </w:rPr>
              <w:t>投标人按合同总价的【10】%支付解约违约金给采购人，</w:t>
            </w:r>
            <w:r>
              <w:rPr>
                <w:rFonts w:ascii="Times New Roman" w:hAnsi="Times New Roman" w:cs="Times New Roman"/>
                <w:bCs/>
                <w:sz w:val="21"/>
                <w:szCs w:val="21"/>
                <w:highlight w:val="none"/>
              </w:rPr>
              <w:t>投标人</w:t>
            </w:r>
            <w:r>
              <w:rPr>
                <w:rFonts w:hint="eastAsia" w:ascii="Times New Roman" w:hAnsi="Times New Roman" w:cs="Times New Roman"/>
                <w:bCs/>
                <w:sz w:val="21"/>
                <w:szCs w:val="21"/>
                <w:highlight w:val="none"/>
              </w:rPr>
              <w:t>还</w:t>
            </w:r>
            <w:r>
              <w:rPr>
                <w:rFonts w:ascii="Times New Roman" w:hAnsi="Times New Roman" w:cs="Times New Roman"/>
                <w:bCs/>
                <w:sz w:val="21"/>
                <w:szCs w:val="21"/>
                <w:highlight w:val="none"/>
              </w:rPr>
              <w:t>应赔偿采购人因此导致的相应损失。本合同自采购人书面解除通知送达投标人之日终止。</w:t>
            </w:r>
          </w:p>
          <w:p w14:paraId="526C886B">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d. 投标人应保证提交档案的准确性、真实性、完整性、及时性，如因投标人提交档案的原因造成档案验收、设施项目验收延迟或上级主管部门对采购人项目验收无法通过或延迟的，每延期一天，</w:t>
            </w:r>
            <w:r>
              <w:rPr>
                <w:rFonts w:hint="eastAsia" w:ascii="Times New Roman" w:hAnsi="Times New Roman" w:cs="Times New Roman"/>
                <w:bCs/>
                <w:sz w:val="21"/>
                <w:szCs w:val="21"/>
                <w:highlight w:val="none"/>
                <w:lang w:val="en-US" w:eastAsia="zh-CN"/>
              </w:rPr>
              <w:t>投标人</w:t>
            </w:r>
            <w:r>
              <w:rPr>
                <w:rFonts w:ascii="Times New Roman" w:hAnsi="Times New Roman" w:cs="Times New Roman"/>
                <w:bCs/>
                <w:sz w:val="21"/>
                <w:szCs w:val="21"/>
                <w:highlight w:val="none"/>
              </w:rPr>
              <w:t>应按合同总价的万分之五支付逾期违约金，违约金不足以弥补采购人因此产生的全部经济损失（含直接损失和间接损失）</w:t>
            </w:r>
            <w:r>
              <w:rPr>
                <w:rFonts w:hint="eastAsia" w:ascii="Times New Roman" w:hAnsi="Times New Roman" w:cs="Times New Roman"/>
                <w:bCs/>
                <w:sz w:val="21"/>
                <w:szCs w:val="21"/>
                <w:highlight w:val="none"/>
                <w:lang w:eastAsia="zh-CN"/>
              </w:rPr>
              <w:t>时，采购</w:t>
            </w:r>
            <w:r>
              <w:rPr>
                <w:rFonts w:hint="eastAsia" w:ascii="Times New Roman" w:hAnsi="Times New Roman" w:cs="Times New Roman"/>
                <w:bCs/>
                <w:sz w:val="21"/>
                <w:szCs w:val="21"/>
                <w:highlight w:val="none"/>
                <w:lang w:val="en-US" w:eastAsia="zh-CN"/>
              </w:rPr>
              <w:t>人</w:t>
            </w:r>
            <w:r>
              <w:rPr>
                <w:rFonts w:ascii="Times New Roman" w:hAnsi="Times New Roman" w:cs="Times New Roman"/>
                <w:bCs/>
                <w:sz w:val="21"/>
                <w:szCs w:val="21"/>
                <w:highlight w:val="none"/>
              </w:rPr>
              <w:t>可进一步追索；如因</w:t>
            </w:r>
            <w:r>
              <w:rPr>
                <w:rFonts w:hint="eastAsia" w:ascii="Times New Roman" w:hAnsi="Times New Roman" w:cs="Times New Roman"/>
                <w:bCs/>
                <w:sz w:val="21"/>
                <w:szCs w:val="21"/>
                <w:highlight w:val="none"/>
                <w:lang w:val="en-US" w:eastAsia="zh-CN"/>
              </w:rPr>
              <w:t>投标人</w:t>
            </w:r>
            <w:r>
              <w:rPr>
                <w:rFonts w:ascii="Times New Roman" w:hAnsi="Times New Roman" w:cs="Times New Roman"/>
                <w:bCs/>
                <w:sz w:val="21"/>
                <w:szCs w:val="21"/>
                <w:highlight w:val="none"/>
              </w:rPr>
              <w:t>提交档案的原因造成档案验收、设施项目验收未通过，或者造成上级主管部门对</w:t>
            </w:r>
            <w:r>
              <w:rPr>
                <w:rFonts w:hint="eastAsia" w:ascii="Times New Roman" w:hAnsi="Times New Roman" w:cs="Times New Roman"/>
                <w:bCs/>
                <w:sz w:val="21"/>
                <w:szCs w:val="21"/>
                <w:highlight w:val="none"/>
                <w:lang w:val="en-US" w:eastAsia="zh-CN"/>
              </w:rPr>
              <w:t>采购人</w:t>
            </w:r>
            <w:r>
              <w:rPr>
                <w:rFonts w:ascii="Times New Roman" w:hAnsi="Times New Roman" w:cs="Times New Roman"/>
                <w:bCs/>
                <w:sz w:val="21"/>
                <w:szCs w:val="21"/>
                <w:highlight w:val="none"/>
              </w:rPr>
              <w:t>项目验收未通过的，或者造成其他造成严重后果的，采购人有权解除本合同，合同剩余款项不予支付，乙方按合同总价的【10%】支付解约违约金给甲方，且应赔偿甲方因此导致的相应损失。</w:t>
            </w:r>
          </w:p>
          <w:p w14:paraId="3E2AFE65">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e. 本合同履行过程中，若投标人有违反与本合同相关的国家、省、市各级法律法规、规章制度、办法条例、行业规范及深圳大设施相关规定的，由投标人承担责任并负责整改。</w:t>
            </w:r>
          </w:p>
        </w:tc>
      </w:tr>
      <w:tr w14:paraId="5A3F6A1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96" w:type="dxa"/>
            <w:vMerge w:val="continue"/>
            <w:tcBorders>
              <w:tl2br w:val="nil"/>
              <w:tr2bl w:val="nil"/>
            </w:tcBorders>
            <w:vAlign w:val="center"/>
          </w:tcPr>
          <w:p w14:paraId="5F4BC4EA">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1666" w:type="dxa"/>
            <w:vMerge w:val="continue"/>
            <w:tcBorders>
              <w:tl2br w:val="nil"/>
              <w:tr2bl w:val="nil"/>
            </w:tcBorders>
            <w:vAlign w:val="center"/>
          </w:tcPr>
          <w:p w14:paraId="78CE248A">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6109" w:type="dxa"/>
            <w:tcBorders>
              <w:tl2br w:val="nil"/>
              <w:tr2bl w:val="nil"/>
            </w:tcBorders>
          </w:tcPr>
          <w:p w14:paraId="175CB2AE">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3.3若投标人未按本合同的约定提供保修等售后服务，采购人有权自行委托第三方提供采购人所需要的技术支持和售后服务，所发生的一切费用均由投标人承担，如因此造成采购人损失的，投标人应承担赔偿责任。投标人在履行售后服务过程中，因整改造成采购人损失的，应承担修复和赔偿责任。</w:t>
            </w:r>
          </w:p>
        </w:tc>
      </w:tr>
      <w:tr w14:paraId="0F8D0A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96" w:type="dxa"/>
            <w:vMerge w:val="continue"/>
            <w:tcBorders>
              <w:tl2br w:val="nil"/>
              <w:tr2bl w:val="nil"/>
            </w:tcBorders>
            <w:vAlign w:val="center"/>
          </w:tcPr>
          <w:p w14:paraId="7B2C15E9">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1666" w:type="dxa"/>
            <w:vMerge w:val="continue"/>
            <w:tcBorders>
              <w:tl2br w:val="nil"/>
              <w:tr2bl w:val="nil"/>
            </w:tcBorders>
            <w:vAlign w:val="center"/>
          </w:tcPr>
          <w:p w14:paraId="6551882C">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6109" w:type="dxa"/>
            <w:tcBorders>
              <w:tl2br w:val="nil"/>
              <w:tr2bl w:val="nil"/>
            </w:tcBorders>
          </w:tcPr>
          <w:p w14:paraId="03E1FBFF">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3.4违约方未能履行本协议给守约方造成任何经济损失</w:t>
            </w:r>
            <w:r>
              <w:rPr>
                <w:rFonts w:hint="eastAsia" w:ascii="Times New Roman" w:hAnsi="Times New Roman" w:cs="Times New Roman"/>
                <w:bCs/>
                <w:sz w:val="21"/>
                <w:szCs w:val="21"/>
                <w:highlight w:val="none"/>
              </w:rPr>
              <w:t>或</w:t>
            </w:r>
            <w:r>
              <w:rPr>
                <w:rFonts w:ascii="Times New Roman" w:hAnsi="Times New Roman" w:cs="Times New Roman"/>
                <w:bCs/>
                <w:sz w:val="21"/>
                <w:szCs w:val="21"/>
                <w:highlight w:val="none"/>
              </w:rPr>
              <w:t>使守约方遭受第三方追索或受到行政机关处罚的，违约方应当赔偿守约方全部损失，包括但不限于实际损失、因维权或追索而产生的全部开支、律师费、诉讼费、保全费、担保费、差旅费以及其他相关费用等。</w:t>
            </w:r>
          </w:p>
        </w:tc>
      </w:tr>
      <w:tr w14:paraId="221257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96" w:type="dxa"/>
            <w:vMerge w:val="continue"/>
            <w:tcBorders>
              <w:tl2br w:val="nil"/>
              <w:tr2bl w:val="nil"/>
            </w:tcBorders>
            <w:vAlign w:val="center"/>
          </w:tcPr>
          <w:p w14:paraId="65D34D09">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1666" w:type="dxa"/>
            <w:vMerge w:val="continue"/>
            <w:tcBorders>
              <w:tl2br w:val="nil"/>
              <w:tr2bl w:val="nil"/>
            </w:tcBorders>
            <w:vAlign w:val="center"/>
          </w:tcPr>
          <w:p w14:paraId="763F3ADE">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6109" w:type="dxa"/>
            <w:tcBorders>
              <w:tl2br w:val="nil"/>
              <w:tr2bl w:val="nil"/>
            </w:tcBorders>
          </w:tcPr>
          <w:p w14:paraId="0EBAC849">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3.5投标人在项目验收前未将全部产品合格证、说明书、使用手册、关键节点交付文件、测试和验收报告等交付采购人的，采购人有权不予验收（由此导致的工期延误属</w:t>
            </w:r>
            <w:r>
              <w:rPr>
                <w:rFonts w:hint="eastAsia" w:ascii="Times New Roman" w:hAnsi="Times New Roman" w:cs="Times New Roman"/>
                <w:bCs/>
                <w:sz w:val="21"/>
                <w:szCs w:val="21"/>
                <w:highlight w:val="none"/>
                <w:lang w:val="en-US" w:eastAsia="zh-CN"/>
              </w:rPr>
              <w:t>投标人</w:t>
            </w:r>
            <w:r>
              <w:rPr>
                <w:rFonts w:ascii="Times New Roman" w:hAnsi="Times New Roman" w:cs="Times New Roman"/>
                <w:bCs/>
                <w:sz w:val="21"/>
                <w:szCs w:val="21"/>
                <w:highlight w:val="none"/>
              </w:rPr>
              <w:t>违约），并有权要求投标人赔偿采购人因此导致的相关损失。技术资料属于设备交付内容之一，</w:t>
            </w:r>
            <w:r>
              <w:rPr>
                <w:rFonts w:hint="eastAsia" w:ascii="Times New Roman" w:hAnsi="Times New Roman" w:cs="Times New Roman"/>
                <w:bCs/>
                <w:sz w:val="21"/>
                <w:szCs w:val="21"/>
                <w:highlight w:val="none"/>
              </w:rPr>
              <w:t>如</w:t>
            </w:r>
            <w:r>
              <w:rPr>
                <w:rFonts w:ascii="Times New Roman" w:hAnsi="Times New Roman" w:cs="Times New Roman"/>
                <w:bCs/>
                <w:sz w:val="21"/>
                <w:szCs w:val="21"/>
                <w:highlight w:val="none"/>
              </w:rPr>
              <w:t>未完整交付的视为设备未完成交付</w:t>
            </w:r>
            <w:r>
              <w:rPr>
                <w:rFonts w:hint="eastAsia" w:ascii="Times New Roman" w:hAnsi="Times New Roman" w:cs="Times New Roman"/>
                <w:bCs/>
                <w:sz w:val="21"/>
                <w:szCs w:val="21"/>
                <w:highlight w:val="none"/>
              </w:rPr>
              <w:t>，</w:t>
            </w:r>
            <w:r>
              <w:rPr>
                <w:rFonts w:ascii="Times New Roman" w:hAnsi="Times New Roman" w:cs="Times New Roman"/>
                <w:bCs/>
                <w:sz w:val="21"/>
                <w:szCs w:val="21"/>
                <w:highlight w:val="none"/>
              </w:rPr>
              <w:t>研制类设备，具体交付资料可根据项目实际情况调整，但应经</w:t>
            </w:r>
            <w:r>
              <w:rPr>
                <w:rFonts w:hint="eastAsia" w:ascii="Times New Roman" w:hAnsi="Times New Roman" w:cs="Times New Roman"/>
                <w:bCs/>
                <w:sz w:val="21"/>
                <w:szCs w:val="21"/>
                <w:highlight w:val="none"/>
                <w:lang w:val="en-US" w:eastAsia="zh-CN"/>
              </w:rPr>
              <w:t>采购人</w:t>
            </w:r>
            <w:r>
              <w:rPr>
                <w:rFonts w:ascii="Times New Roman" w:hAnsi="Times New Roman" w:cs="Times New Roman"/>
                <w:bCs/>
                <w:sz w:val="21"/>
                <w:szCs w:val="21"/>
                <w:highlight w:val="none"/>
              </w:rPr>
              <w:t>书面确认后方可变更。如因研发进展确需调整资料内容的，应经</w:t>
            </w:r>
            <w:r>
              <w:rPr>
                <w:rFonts w:hint="eastAsia" w:ascii="Times New Roman" w:hAnsi="Times New Roman" w:cs="Times New Roman"/>
                <w:bCs/>
                <w:sz w:val="21"/>
                <w:szCs w:val="21"/>
                <w:highlight w:val="none"/>
                <w:lang w:val="en-US" w:eastAsia="zh-CN"/>
              </w:rPr>
              <w:t>采购人</w:t>
            </w:r>
            <w:r>
              <w:rPr>
                <w:rFonts w:ascii="Times New Roman" w:hAnsi="Times New Roman" w:cs="Times New Roman"/>
                <w:bCs/>
                <w:sz w:val="21"/>
                <w:szCs w:val="21"/>
                <w:highlight w:val="none"/>
              </w:rPr>
              <w:t>书面同意后方可调整，但不得缺少影响设备使用、维护及验收所必需的技术资料。</w:t>
            </w:r>
          </w:p>
        </w:tc>
      </w:tr>
      <w:tr w14:paraId="01A445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96" w:type="dxa"/>
            <w:vMerge w:val="continue"/>
            <w:tcBorders>
              <w:tl2br w:val="nil"/>
              <w:tr2bl w:val="nil"/>
            </w:tcBorders>
            <w:vAlign w:val="center"/>
          </w:tcPr>
          <w:p w14:paraId="07461CFC">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1666" w:type="dxa"/>
            <w:vMerge w:val="continue"/>
            <w:tcBorders>
              <w:tl2br w:val="nil"/>
              <w:tr2bl w:val="nil"/>
            </w:tcBorders>
            <w:vAlign w:val="center"/>
          </w:tcPr>
          <w:p w14:paraId="27D29BD5">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6109" w:type="dxa"/>
            <w:tcBorders>
              <w:tl2br w:val="nil"/>
              <w:tr2bl w:val="nil"/>
            </w:tcBorders>
          </w:tcPr>
          <w:p w14:paraId="1A60E360">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3.6投标人所交设备质量不能符合其投标承诺的技术要求</w:t>
            </w:r>
            <w:r>
              <w:rPr>
                <w:rFonts w:hint="eastAsia" w:ascii="Times New Roman" w:hAnsi="Times New Roman" w:cs="Times New Roman"/>
                <w:bCs/>
                <w:sz w:val="21"/>
                <w:szCs w:val="21"/>
                <w:highlight w:val="none"/>
              </w:rPr>
              <w:t>或</w:t>
            </w:r>
            <w:r>
              <w:rPr>
                <w:rFonts w:ascii="Times New Roman" w:hAnsi="Times New Roman" w:cs="Times New Roman"/>
                <w:bCs/>
                <w:sz w:val="21"/>
                <w:szCs w:val="21"/>
                <w:highlight w:val="none"/>
              </w:rPr>
              <w:t>质量保证要求的</w:t>
            </w:r>
            <w:r>
              <w:rPr>
                <w:rFonts w:hint="eastAsia" w:ascii="Times New Roman" w:hAnsi="Times New Roman" w:cs="Times New Roman"/>
                <w:bCs/>
                <w:sz w:val="21"/>
                <w:szCs w:val="21"/>
                <w:highlight w:val="none"/>
              </w:rPr>
              <w:t>，</w:t>
            </w:r>
            <w:r>
              <w:rPr>
                <w:rFonts w:ascii="Times New Roman" w:hAnsi="Times New Roman" w:cs="Times New Roman"/>
                <w:bCs/>
                <w:sz w:val="21"/>
                <w:szCs w:val="21"/>
                <w:highlight w:val="none"/>
              </w:rPr>
              <w:t>或在投标阶段为了中标而盲目虚假承诺、低价恶性竞争</w:t>
            </w:r>
            <w:r>
              <w:rPr>
                <w:rFonts w:hint="eastAsia" w:ascii="Times New Roman" w:hAnsi="Times New Roman" w:cs="Times New Roman"/>
                <w:bCs/>
                <w:sz w:val="21"/>
                <w:szCs w:val="21"/>
                <w:highlight w:val="none"/>
              </w:rPr>
              <w:t>的</w:t>
            </w:r>
            <w:r>
              <w:rPr>
                <w:rFonts w:ascii="Times New Roman" w:hAnsi="Times New Roman" w:cs="Times New Roman"/>
                <w:bCs/>
                <w:sz w:val="21"/>
                <w:szCs w:val="21"/>
                <w:highlight w:val="none"/>
              </w:rPr>
              <w:t>，</w:t>
            </w:r>
            <w:r>
              <w:rPr>
                <w:rFonts w:hint="eastAsia" w:ascii="Times New Roman" w:hAnsi="Times New Roman" w:cs="Times New Roman"/>
                <w:bCs/>
                <w:sz w:val="21"/>
                <w:szCs w:val="21"/>
                <w:highlight w:val="none"/>
              </w:rPr>
              <w:t>或</w:t>
            </w:r>
            <w:r>
              <w:rPr>
                <w:rFonts w:ascii="Times New Roman" w:hAnsi="Times New Roman" w:cs="Times New Roman"/>
                <w:bCs/>
                <w:sz w:val="21"/>
                <w:szCs w:val="21"/>
                <w:highlight w:val="none"/>
              </w:rPr>
              <w:t>在履约</w:t>
            </w:r>
            <w:r>
              <w:rPr>
                <w:rFonts w:hint="eastAsia" w:ascii="Times New Roman" w:hAnsi="Times New Roman" w:cs="Times New Roman"/>
                <w:bCs/>
                <w:sz w:val="21"/>
                <w:szCs w:val="21"/>
                <w:highlight w:val="none"/>
                <w:lang w:eastAsia="zh-CN"/>
              </w:rPr>
              <w:t>阶段</w:t>
            </w:r>
            <w:r>
              <w:rPr>
                <w:rFonts w:ascii="Times New Roman" w:hAnsi="Times New Roman" w:cs="Times New Roman"/>
                <w:bCs/>
                <w:sz w:val="21"/>
                <w:szCs w:val="21"/>
                <w:highlight w:val="none"/>
              </w:rPr>
              <w:t>通过偷工减料、以次充好而获取利润的，采购人有权拒绝接收，并要求投标人在双方确定的合理期限内完成整改，交付并申请验收。整改工作不得延误合同核心关键节点任务的期限要求，若产生赶工费用，由投标人承担且投标人应额外赔偿采购人因此产生的全部经济损失（含直接损失和间接损失）。逾期完成整改、交付或申请验收的，或者验收不通过的，</w:t>
            </w:r>
            <w:r>
              <w:rPr>
                <w:rFonts w:hint="eastAsia" w:ascii="Times New Roman" w:hAnsi="Times New Roman" w:cs="Times New Roman"/>
                <w:bCs/>
                <w:sz w:val="21"/>
                <w:szCs w:val="21"/>
                <w:highlight w:val="none"/>
                <w:lang w:val="en-US" w:eastAsia="zh-CN"/>
              </w:rPr>
              <w:t>采购人</w:t>
            </w:r>
            <w:r>
              <w:rPr>
                <w:rFonts w:ascii="Times New Roman" w:hAnsi="Times New Roman" w:cs="Times New Roman"/>
                <w:bCs/>
                <w:sz w:val="21"/>
                <w:szCs w:val="21"/>
                <w:highlight w:val="none"/>
              </w:rPr>
              <w:t>有权解除合同，要求</w:t>
            </w:r>
            <w:r>
              <w:rPr>
                <w:rFonts w:hint="eastAsia" w:ascii="Times New Roman" w:hAnsi="Times New Roman" w:cs="Times New Roman"/>
                <w:bCs/>
                <w:sz w:val="21"/>
                <w:szCs w:val="21"/>
                <w:highlight w:val="none"/>
                <w:lang w:val="en-US" w:eastAsia="zh-CN"/>
              </w:rPr>
              <w:t>投标人</w:t>
            </w:r>
            <w:r>
              <w:rPr>
                <w:rFonts w:ascii="Times New Roman" w:hAnsi="Times New Roman" w:cs="Times New Roman"/>
                <w:bCs/>
                <w:sz w:val="21"/>
                <w:szCs w:val="21"/>
                <w:highlight w:val="none"/>
              </w:rPr>
              <w:t>退还</w:t>
            </w:r>
            <w:r>
              <w:rPr>
                <w:rFonts w:hint="eastAsia" w:ascii="Times New Roman" w:hAnsi="Times New Roman" w:cs="Times New Roman"/>
                <w:bCs/>
                <w:sz w:val="21"/>
                <w:szCs w:val="21"/>
                <w:highlight w:val="none"/>
                <w:lang w:val="en-US" w:eastAsia="zh-CN"/>
              </w:rPr>
              <w:t>采购人</w:t>
            </w:r>
            <w:r>
              <w:rPr>
                <w:rFonts w:ascii="Times New Roman" w:hAnsi="Times New Roman" w:cs="Times New Roman"/>
                <w:bCs/>
                <w:sz w:val="21"/>
                <w:szCs w:val="21"/>
                <w:highlight w:val="none"/>
              </w:rPr>
              <w:t>已支付的合同款项，合同剩余款项</w:t>
            </w:r>
            <w:r>
              <w:rPr>
                <w:rFonts w:hint="eastAsia" w:ascii="Times New Roman" w:hAnsi="Times New Roman" w:cs="Times New Roman"/>
                <w:bCs/>
                <w:sz w:val="21"/>
                <w:szCs w:val="21"/>
                <w:highlight w:val="none"/>
                <w:lang w:val="en-US" w:eastAsia="zh-CN"/>
              </w:rPr>
              <w:t>采购人</w:t>
            </w:r>
            <w:r>
              <w:rPr>
                <w:rFonts w:ascii="Times New Roman" w:hAnsi="Times New Roman" w:cs="Times New Roman"/>
                <w:bCs/>
                <w:sz w:val="21"/>
                <w:szCs w:val="21"/>
                <w:highlight w:val="none"/>
              </w:rPr>
              <w:t>不予支付，</w:t>
            </w:r>
            <w:r>
              <w:rPr>
                <w:rFonts w:hint="eastAsia" w:ascii="Times New Roman" w:hAnsi="Times New Roman" w:cs="Times New Roman"/>
                <w:bCs/>
                <w:sz w:val="21"/>
                <w:szCs w:val="21"/>
                <w:highlight w:val="none"/>
                <w:lang w:val="en-US" w:eastAsia="zh-CN"/>
              </w:rPr>
              <w:t>投标人</w:t>
            </w:r>
            <w:r>
              <w:rPr>
                <w:rFonts w:ascii="Times New Roman" w:hAnsi="Times New Roman" w:cs="Times New Roman"/>
                <w:bCs/>
                <w:sz w:val="21"/>
                <w:szCs w:val="21"/>
                <w:highlight w:val="none"/>
              </w:rPr>
              <w:t>按合同总价的【10%】支付解约违约金给</w:t>
            </w:r>
            <w:r>
              <w:rPr>
                <w:rFonts w:hint="eastAsia" w:ascii="Times New Roman" w:hAnsi="Times New Roman" w:cs="Times New Roman"/>
                <w:bCs/>
                <w:sz w:val="21"/>
                <w:szCs w:val="21"/>
                <w:highlight w:val="none"/>
                <w:lang w:val="en-US" w:eastAsia="zh-CN"/>
              </w:rPr>
              <w:t>采购人</w:t>
            </w:r>
            <w:r>
              <w:rPr>
                <w:rFonts w:ascii="Times New Roman" w:hAnsi="Times New Roman" w:cs="Times New Roman"/>
                <w:bCs/>
                <w:sz w:val="21"/>
                <w:szCs w:val="21"/>
                <w:highlight w:val="none"/>
              </w:rPr>
              <w:t>，且应赔偿</w:t>
            </w:r>
            <w:r>
              <w:rPr>
                <w:rFonts w:hint="eastAsia" w:ascii="Times New Roman" w:hAnsi="Times New Roman" w:cs="Times New Roman"/>
                <w:bCs/>
                <w:sz w:val="21"/>
                <w:szCs w:val="21"/>
                <w:highlight w:val="none"/>
                <w:lang w:val="en-US" w:eastAsia="zh-CN"/>
              </w:rPr>
              <w:t>采购人</w:t>
            </w:r>
            <w:r>
              <w:rPr>
                <w:rFonts w:ascii="Times New Roman" w:hAnsi="Times New Roman" w:cs="Times New Roman"/>
                <w:bCs/>
                <w:sz w:val="21"/>
                <w:szCs w:val="21"/>
                <w:highlight w:val="none"/>
              </w:rPr>
              <w:t>因此导致的相应损失。</w:t>
            </w:r>
          </w:p>
        </w:tc>
      </w:tr>
      <w:tr w14:paraId="392367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96" w:type="dxa"/>
            <w:vMerge w:val="continue"/>
            <w:tcBorders>
              <w:tl2br w:val="nil"/>
              <w:tr2bl w:val="nil"/>
            </w:tcBorders>
            <w:vAlign w:val="center"/>
          </w:tcPr>
          <w:p w14:paraId="75FE8A2E">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1666" w:type="dxa"/>
            <w:vMerge w:val="continue"/>
            <w:tcBorders>
              <w:tl2br w:val="nil"/>
              <w:tr2bl w:val="nil"/>
            </w:tcBorders>
            <w:vAlign w:val="center"/>
          </w:tcPr>
          <w:p w14:paraId="67866B9A">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6109" w:type="dxa"/>
            <w:tcBorders>
              <w:tl2br w:val="nil"/>
              <w:tr2bl w:val="nil"/>
            </w:tcBorders>
          </w:tcPr>
          <w:p w14:paraId="42C479CC">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3.7投标人提供的货物不符合质量标准或存在货物质量缺陷，采购人有权根据法定质量检测部门出具的检验证书向投标人提出索赔。如在质量保证期或者保修期内，投标人对缺陷货物负有责任而采购人提出索赔，</w:t>
            </w:r>
            <w:r>
              <w:rPr>
                <w:rFonts w:hint="eastAsia" w:ascii="Times New Roman" w:hAnsi="Times New Roman" w:cs="Times New Roman"/>
                <w:bCs/>
                <w:sz w:val="21"/>
                <w:szCs w:val="21"/>
                <w:highlight w:val="none"/>
                <w:lang w:val="en-US" w:eastAsia="zh-CN"/>
              </w:rPr>
              <w:t>投标人</w:t>
            </w:r>
            <w:r>
              <w:rPr>
                <w:rFonts w:ascii="Times New Roman" w:hAnsi="Times New Roman" w:cs="Times New Roman"/>
                <w:bCs/>
                <w:sz w:val="21"/>
                <w:szCs w:val="21"/>
                <w:highlight w:val="none"/>
              </w:rPr>
              <w:t>除应承担</w:t>
            </w:r>
            <w:r>
              <w:rPr>
                <w:rFonts w:hint="eastAsia" w:ascii="Times New Roman" w:hAnsi="Times New Roman" w:cs="Times New Roman"/>
                <w:bCs/>
                <w:sz w:val="21"/>
                <w:szCs w:val="21"/>
                <w:highlight w:val="none"/>
                <w:lang w:val="en-US" w:eastAsia="zh-CN"/>
              </w:rPr>
              <w:t>采购人</w:t>
            </w:r>
            <w:r>
              <w:rPr>
                <w:rFonts w:ascii="Times New Roman" w:hAnsi="Times New Roman" w:cs="Times New Roman"/>
                <w:bCs/>
                <w:sz w:val="21"/>
                <w:szCs w:val="21"/>
                <w:highlight w:val="none"/>
              </w:rPr>
              <w:t>产生的全部损失外，投标人应按照采购人同意的下列一种或多种方式解决索赔事宜：</w:t>
            </w:r>
          </w:p>
          <w:p w14:paraId="06816932">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a、投标人同意退货并将货款退还给采购人，由此发生的一切费用和损失由投标人承担。</w:t>
            </w:r>
          </w:p>
          <w:p w14:paraId="2DAD4DBA">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b、根据货物的质量状况以及采购人所遭受的损失，经过双方商定降低货物的价格。</w:t>
            </w:r>
          </w:p>
          <w:p w14:paraId="192A950E">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c、投标人应在接到采购人通知后七天内负责采用符合合同规定的规格、质量和性能要求的新零件、部件和设备来替换有缺陷的部分或修补缺陷部分，其费用由投标人负担。同时，投标人应在约定的保修期基础上相应延长修补和/或替换件的保修期</w:t>
            </w:r>
            <w:r>
              <w:rPr>
                <w:rFonts w:hint="eastAsia" w:ascii="Times New Roman" w:hAnsi="Times New Roman" w:cs="Times New Roman"/>
                <w:bCs/>
                <w:sz w:val="21"/>
                <w:szCs w:val="21"/>
                <w:highlight w:val="none"/>
              </w:rPr>
              <w:t>或质量保证期</w:t>
            </w:r>
            <w:r>
              <w:rPr>
                <w:rFonts w:ascii="Times New Roman" w:hAnsi="Times New Roman" w:cs="Times New Roman"/>
                <w:bCs/>
                <w:sz w:val="21"/>
                <w:szCs w:val="21"/>
                <w:highlight w:val="none"/>
              </w:rPr>
              <w:t>。</w:t>
            </w:r>
          </w:p>
        </w:tc>
      </w:tr>
      <w:tr w14:paraId="45B387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96" w:type="dxa"/>
            <w:vMerge w:val="continue"/>
            <w:tcBorders>
              <w:tl2br w:val="nil"/>
              <w:tr2bl w:val="nil"/>
            </w:tcBorders>
            <w:vAlign w:val="center"/>
          </w:tcPr>
          <w:p w14:paraId="11AD39C7">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1666" w:type="dxa"/>
            <w:vMerge w:val="continue"/>
            <w:tcBorders>
              <w:tl2br w:val="nil"/>
              <w:tr2bl w:val="nil"/>
            </w:tcBorders>
            <w:vAlign w:val="center"/>
          </w:tcPr>
          <w:p w14:paraId="55FF1047">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6109" w:type="dxa"/>
            <w:tcBorders>
              <w:tl2br w:val="nil"/>
              <w:tr2bl w:val="nil"/>
            </w:tcBorders>
          </w:tcPr>
          <w:p w14:paraId="3A0DD072">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3.8本合同项下，投标人应向采购人支付的全部款项，包括但不限于违约金、赔偿金、补偿金等，采购人均可从投标人的剩余货款中直接扣除（扣除顺序由采购人自行决定）。</w:t>
            </w:r>
          </w:p>
        </w:tc>
      </w:tr>
      <w:tr w14:paraId="66D178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96" w:type="dxa"/>
            <w:vMerge w:val="restart"/>
            <w:tcBorders>
              <w:tl2br w:val="nil"/>
              <w:tr2bl w:val="nil"/>
            </w:tcBorders>
            <w:vAlign w:val="center"/>
          </w:tcPr>
          <w:p w14:paraId="1FF715C4">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4</w:t>
            </w:r>
          </w:p>
        </w:tc>
        <w:tc>
          <w:tcPr>
            <w:tcW w:w="1666" w:type="dxa"/>
            <w:vMerge w:val="restart"/>
            <w:tcBorders>
              <w:tl2br w:val="nil"/>
              <w:tr2bl w:val="nil"/>
            </w:tcBorders>
            <w:vAlign w:val="center"/>
          </w:tcPr>
          <w:p w14:paraId="650AC2F6">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关于付款</w:t>
            </w:r>
          </w:p>
        </w:tc>
        <w:tc>
          <w:tcPr>
            <w:tcW w:w="6109" w:type="dxa"/>
            <w:tcBorders>
              <w:tl2br w:val="nil"/>
              <w:tr2bl w:val="nil"/>
            </w:tcBorders>
          </w:tcPr>
          <w:p w14:paraId="68E65180">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4.1支付合同款项时，一律不向投标人以外的任何第三方办理付款手续。开户行和</w:t>
            </w:r>
            <w:r>
              <w:rPr>
                <w:rFonts w:hint="eastAsia" w:ascii="Times New Roman" w:hAnsi="Times New Roman" w:cs="Times New Roman"/>
                <w:bCs/>
                <w:sz w:val="21"/>
                <w:szCs w:val="21"/>
                <w:highlight w:val="none"/>
                <w:lang w:eastAsia="zh-CN"/>
              </w:rPr>
              <w:t>账号以</w:t>
            </w:r>
            <w:r>
              <w:rPr>
                <w:rFonts w:ascii="Times New Roman" w:hAnsi="Times New Roman" w:cs="Times New Roman"/>
                <w:bCs/>
                <w:sz w:val="21"/>
                <w:szCs w:val="21"/>
                <w:highlight w:val="none"/>
              </w:rPr>
              <w:t>合同签订的为准，如果中标人要求变更，则中标人必须提供加盖了单位公章、法定代表人签字的证明文件，报经采购人审查同意。</w:t>
            </w:r>
          </w:p>
        </w:tc>
      </w:tr>
      <w:tr w14:paraId="42E3A0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96" w:type="dxa"/>
            <w:vMerge w:val="continue"/>
            <w:tcBorders>
              <w:tl2br w:val="nil"/>
              <w:tr2bl w:val="nil"/>
            </w:tcBorders>
            <w:vAlign w:val="center"/>
          </w:tcPr>
          <w:p w14:paraId="6737C972">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1666" w:type="dxa"/>
            <w:vMerge w:val="continue"/>
            <w:tcBorders>
              <w:tl2br w:val="nil"/>
              <w:tr2bl w:val="nil"/>
            </w:tcBorders>
            <w:vAlign w:val="center"/>
          </w:tcPr>
          <w:p w14:paraId="537E0570">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6109" w:type="dxa"/>
            <w:tcBorders>
              <w:tl2br w:val="nil"/>
              <w:tr2bl w:val="nil"/>
            </w:tcBorders>
          </w:tcPr>
          <w:p w14:paraId="3FFBCEC0">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4.2付款方式：</w:t>
            </w:r>
          </w:p>
          <w:p w14:paraId="1B2987FE">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以人民币结算；</w:t>
            </w:r>
          </w:p>
          <w:p w14:paraId="37B28A5C">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（1）合同正式生效，投标人提交等额完税增值税专用发票后  10个工作日内，采购人向投标人支付合同总价【</w:t>
            </w:r>
            <w:r>
              <w:rPr>
                <w:rFonts w:hint="eastAsia" w:ascii="Times New Roman" w:hAnsi="Times New Roman" w:cs="Times New Roman"/>
                <w:bCs/>
                <w:sz w:val="21"/>
                <w:szCs w:val="21"/>
                <w:highlight w:val="none"/>
                <w:lang w:val="en-US" w:eastAsia="zh-CN"/>
              </w:rPr>
              <w:t>3</w:t>
            </w:r>
            <w:r>
              <w:rPr>
                <w:rFonts w:ascii="Times New Roman" w:hAnsi="Times New Roman" w:cs="Times New Roman"/>
                <w:bCs/>
                <w:sz w:val="21"/>
                <w:szCs w:val="21"/>
                <w:highlight w:val="none"/>
              </w:rPr>
              <w:t>0%】的款项；</w:t>
            </w:r>
          </w:p>
          <w:p w14:paraId="5772C9AE">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（2）投标人完成详细设计方案，通过专家评审后，提交详细设计报告及图纸、零部件明细表、安装调试大纲、设备与土建工程接口文件等文件进行归档，并提交付款申请单及相应等额完税增值税专用发票后 10 个工作日内，采购人向投标人支付合同总价【20%】的款项；</w:t>
            </w:r>
          </w:p>
          <w:p w14:paraId="69B00561">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（3）</w:t>
            </w:r>
            <w:r>
              <w:rPr>
                <w:rFonts w:hint="eastAsia" w:ascii="Times New Roman" w:hAnsi="Times New Roman" w:cs="Times New Roman"/>
                <w:bCs/>
                <w:sz w:val="21"/>
                <w:szCs w:val="21"/>
                <w:highlight w:val="none"/>
                <w:lang w:val="en-US" w:eastAsia="zh-CN"/>
              </w:rPr>
              <w:t>投</w:t>
            </w:r>
            <w:r>
              <w:rPr>
                <w:rFonts w:hint="eastAsia" w:ascii="Times New Roman" w:hAnsi="Times New Roman" w:cs="Times New Roman"/>
                <w:bCs/>
                <w:sz w:val="21"/>
                <w:szCs w:val="21"/>
                <w:highlight w:val="none"/>
              </w:rPr>
              <w:t>标人完成</w:t>
            </w:r>
            <w:r>
              <w:rPr>
                <w:rFonts w:hint="eastAsia" w:ascii="Times New Roman" w:hAnsi="Times New Roman" w:cs="Times New Roman"/>
                <w:bCs/>
                <w:sz w:val="21"/>
                <w:szCs w:val="21"/>
                <w:highlight w:val="none"/>
                <w:lang w:val="en-US" w:eastAsia="zh-CN"/>
              </w:rPr>
              <w:t>低温质子</w:t>
            </w:r>
            <w:r>
              <w:rPr>
                <w:rFonts w:hint="eastAsia" w:ascii="Times New Roman" w:hAnsi="Times New Roman" w:cs="Times New Roman"/>
                <w:bCs/>
                <w:sz w:val="21"/>
                <w:szCs w:val="21"/>
                <w:highlight w:val="none"/>
              </w:rPr>
              <w:t>辐照终端的加工，采购人现场确认后，</w:t>
            </w:r>
            <w:r>
              <w:rPr>
                <w:rFonts w:hint="eastAsia" w:ascii="Times New Roman" w:hAnsi="Times New Roman" w:cs="Times New Roman"/>
                <w:bCs/>
                <w:sz w:val="21"/>
                <w:szCs w:val="21"/>
                <w:highlight w:val="none"/>
                <w:lang w:val="en-US" w:eastAsia="zh-CN"/>
              </w:rPr>
              <w:t>投</w:t>
            </w:r>
            <w:r>
              <w:rPr>
                <w:rFonts w:hint="eastAsia" w:ascii="Times New Roman" w:hAnsi="Times New Roman" w:cs="Times New Roman"/>
                <w:bCs/>
                <w:sz w:val="21"/>
                <w:szCs w:val="21"/>
                <w:highlight w:val="none"/>
              </w:rPr>
              <w:t>标人向采购人提交项目实施过程中要求的质量控制点节点检查文件并存档后，提交付款申请单及相应增值税专用发票后10个工作日内，采购人向中标人支付合同总价【</w:t>
            </w:r>
            <w:r>
              <w:rPr>
                <w:rFonts w:hint="eastAsia" w:ascii="Times New Roman" w:hAnsi="Times New Roman" w:cs="Times New Roman"/>
                <w:bCs/>
                <w:sz w:val="21"/>
                <w:szCs w:val="21"/>
                <w:highlight w:val="none"/>
                <w:lang w:eastAsia="zh-CN"/>
              </w:rPr>
              <w:t>2</w:t>
            </w:r>
            <w:r>
              <w:rPr>
                <w:rFonts w:hint="eastAsia" w:ascii="Times New Roman" w:hAnsi="Times New Roman" w:cs="Times New Roman"/>
                <w:bCs/>
                <w:sz w:val="21"/>
                <w:szCs w:val="21"/>
                <w:highlight w:val="none"/>
              </w:rPr>
              <w:t>0%】的款项；</w:t>
            </w:r>
          </w:p>
          <w:p w14:paraId="723493CE">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（4）</w:t>
            </w:r>
            <w:r>
              <w:rPr>
                <w:rFonts w:hint="eastAsia" w:ascii="Times New Roman" w:hAnsi="Times New Roman" w:cs="Times New Roman"/>
                <w:bCs/>
                <w:sz w:val="21"/>
                <w:szCs w:val="21"/>
                <w:highlight w:val="none"/>
                <w:lang w:val="en-US" w:eastAsia="zh-CN"/>
              </w:rPr>
              <w:t>投标</w:t>
            </w:r>
            <w:r>
              <w:rPr>
                <w:rFonts w:hint="eastAsia" w:ascii="Times New Roman" w:hAnsi="Times New Roman" w:cs="Times New Roman"/>
                <w:bCs/>
                <w:sz w:val="21"/>
                <w:szCs w:val="21"/>
                <w:highlight w:val="none"/>
              </w:rPr>
              <w:t>人将全部货物送到采购人指定地点、完成最终场地安装及调试，各项指标（不包括联机指标）达到合同指标要求，并通过专家预验收，完成项目实施过程中要求的质量控制点管控工作的检查及存档，提交付款申请单及相应增值税专用发票后10个工作日内，采购人向中标人支付合同总价【20%】款项；</w:t>
            </w:r>
          </w:p>
          <w:p w14:paraId="7E444373">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（5）</w:t>
            </w:r>
            <w:r>
              <w:rPr>
                <w:rFonts w:hint="eastAsia" w:ascii="Times New Roman" w:hAnsi="Times New Roman" w:cs="Times New Roman"/>
                <w:bCs/>
                <w:sz w:val="21"/>
                <w:szCs w:val="21"/>
                <w:highlight w:val="none"/>
              </w:rPr>
              <w:t>完成货物联机调试及整体项目验收及相关质量控制点资料的归档，中标人提交付款申请单及相应增值税专用发票，并配合采购人完成相关结算手续后，采购人向中标人支付合同总价【10%】的款项。</w:t>
            </w:r>
          </w:p>
        </w:tc>
      </w:tr>
      <w:tr w14:paraId="0D62D2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50" w:hRule="atLeast"/>
          <w:jc w:val="center"/>
        </w:trPr>
        <w:tc>
          <w:tcPr>
            <w:tcW w:w="1296" w:type="dxa"/>
            <w:vMerge w:val="continue"/>
            <w:tcBorders>
              <w:tl2br w:val="nil"/>
              <w:tr2bl w:val="nil"/>
            </w:tcBorders>
            <w:vAlign w:val="center"/>
          </w:tcPr>
          <w:p w14:paraId="5F94C21B">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1666" w:type="dxa"/>
            <w:vMerge w:val="continue"/>
            <w:tcBorders>
              <w:tl2br w:val="nil"/>
              <w:tr2bl w:val="nil"/>
            </w:tcBorders>
            <w:vAlign w:val="center"/>
          </w:tcPr>
          <w:p w14:paraId="68E781D0">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6109" w:type="dxa"/>
            <w:tcBorders>
              <w:tl2br w:val="nil"/>
              <w:tr2bl w:val="nil"/>
            </w:tcBorders>
          </w:tcPr>
          <w:p w14:paraId="146BFA02">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4.3因财政资金拨款未到位而导致采购人未在约定期限内支付合同费用的，投标人不得要求采购人承担逾期付款的违约责任。每次付款前，</w:t>
            </w:r>
            <w:r>
              <w:rPr>
                <w:rFonts w:hint="eastAsia" w:ascii="Times New Roman" w:hAnsi="Times New Roman" w:cs="Times New Roman"/>
                <w:bCs/>
                <w:sz w:val="21"/>
                <w:szCs w:val="21"/>
                <w:highlight w:val="none"/>
                <w:lang w:eastAsia="zh-CN"/>
              </w:rPr>
              <w:t>投标人</w:t>
            </w:r>
            <w:r>
              <w:rPr>
                <w:rFonts w:ascii="Times New Roman" w:hAnsi="Times New Roman" w:cs="Times New Roman"/>
                <w:bCs/>
                <w:sz w:val="21"/>
                <w:szCs w:val="21"/>
                <w:highlight w:val="none"/>
              </w:rPr>
              <w:t>需先提供相应额度的正规发票给采购人，以便办理支付手续。</w:t>
            </w:r>
          </w:p>
        </w:tc>
      </w:tr>
      <w:tr w14:paraId="36EA81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96" w:type="dxa"/>
            <w:tcBorders>
              <w:tl2br w:val="nil"/>
              <w:tr2bl w:val="nil"/>
            </w:tcBorders>
            <w:vAlign w:val="center"/>
          </w:tcPr>
          <w:p w14:paraId="6CDAC54F">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5</w:t>
            </w:r>
          </w:p>
        </w:tc>
        <w:tc>
          <w:tcPr>
            <w:tcW w:w="1666" w:type="dxa"/>
            <w:tcBorders>
              <w:tl2br w:val="nil"/>
              <w:tr2bl w:val="nil"/>
            </w:tcBorders>
            <w:vAlign w:val="center"/>
          </w:tcPr>
          <w:p w14:paraId="5F1E818D">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报价要求</w:t>
            </w:r>
          </w:p>
        </w:tc>
        <w:tc>
          <w:tcPr>
            <w:tcW w:w="6109" w:type="dxa"/>
            <w:tcBorders>
              <w:tl2br w:val="nil"/>
              <w:tr2bl w:val="nil"/>
            </w:tcBorders>
          </w:tcPr>
          <w:p w14:paraId="7144B965">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hint="eastAsia" w:ascii="Times New Roman" w:hAnsi="Times New Roman" w:cs="Times New Roman"/>
                <w:bCs/>
                <w:sz w:val="21"/>
                <w:szCs w:val="21"/>
                <w:highlight w:val="none"/>
                <w:lang w:val="en-US" w:eastAsia="zh-CN"/>
              </w:rPr>
              <w:t>5.1</w:t>
            </w:r>
            <w:r>
              <w:rPr>
                <w:rFonts w:hint="eastAsia" w:ascii="Times New Roman" w:hAnsi="Times New Roman" w:cs="Times New Roman"/>
                <w:bCs/>
                <w:sz w:val="21"/>
                <w:szCs w:val="21"/>
                <w:highlight w:val="none"/>
              </w:rPr>
              <w:t>投标总价为包干价，必须是完成该项目的一切费用总和，包括设备费、设计制造费、检验检测费、包装运输费、装卸费、保险费、技术培训费、设备安装费、调试费（含设备调试期间产生的水、电等能源耗费）</w:t>
            </w:r>
            <w:r>
              <w:rPr>
                <w:rFonts w:hint="eastAsia" w:ascii="Times New Roman" w:hAnsi="Times New Roman" w:cs="Times New Roman"/>
                <w:bCs/>
                <w:sz w:val="21"/>
                <w:szCs w:val="21"/>
                <w:highlight w:val="none"/>
                <w:lang w:val="en-US" w:eastAsia="zh-CN"/>
              </w:rPr>
              <w:t>、</w:t>
            </w:r>
            <w:r>
              <w:rPr>
                <w:rFonts w:hint="eastAsia" w:ascii="Times New Roman" w:hAnsi="Times New Roman" w:cs="Times New Roman"/>
                <w:bCs/>
                <w:sz w:val="21"/>
                <w:szCs w:val="21"/>
                <w:highlight w:val="none"/>
              </w:rPr>
              <w:t>售后服务费、中标服务费、国家规定的各项税费等全部费用及增值税；</w:t>
            </w:r>
            <w:r>
              <w:rPr>
                <w:rFonts w:ascii="Times New Roman" w:hAnsi="Times New Roman" w:cs="Times New Roman"/>
                <w:bCs/>
                <w:sz w:val="21"/>
                <w:szCs w:val="21"/>
                <w:highlight w:val="none"/>
              </w:rPr>
              <w:t xml:space="preserve"> </w:t>
            </w:r>
            <w:r>
              <w:rPr>
                <w:rFonts w:hint="eastAsia" w:ascii="Times New Roman" w:hAnsi="Times New Roman" w:cs="Times New Roman"/>
                <w:bCs/>
                <w:sz w:val="21"/>
                <w:szCs w:val="21"/>
                <w:highlight w:val="none"/>
              </w:rPr>
              <w:t>投标人所报的合同总价和各项单价价格在合同实施期间应保持不变并不因劳务、材料、机械等成本的价格变动而做任何调整。</w:t>
            </w:r>
            <w:r>
              <w:rPr>
                <w:rFonts w:hint="eastAsia" w:ascii="Times New Roman" w:hAnsi="Times New Roman" w:cs="Times New Roman"/>
                <w:bCs/>
                <w:sz w:val="21"/>
                <w:szCs w:val="21"/>
                <w:highlight w:val="none"/>
                <w:lang w:val="en-US" w:eastAsia="zh-CN"/>
              </w:rPr>
              <w:t>采购人</w:t>
            </w:r>
            <w:r>
              <w:rPr>
                <w:rFonts w:hint="eastAsia" w:ascii="Times New Roman" w:hAnsi="Times New Roman" w:cs="Times New Roman"/>
                <w:bCs/>
                <w:sz w:val="21"/>
                <w:szCs w:val="21"/>
                <w:highlight w:val="none"/>
              </w:rPr>
              <w:t>无需向</w:t>
            </w:r>
            <w:r>
              <w:rPr>
                <w:rFonts w:hint="eastAsia" w:ascii="Times New Roman" w:hAnsi="Times New Roman" w:cs="Times New Roman"/>
                <w:bCs/>
                <w:sz w:val="21"/>
                <w:szCs w:val="21"/>
                <w:highlight w:val="none"/>
                <w:lang w:val="en-US" w:eastAsia="zh-CN"/>
              </w:rPr>
              <w:t>投标人</w:t>
            </w:r>
            <w:r>
              <w:rPr>
                <w:rFonts w:hint="eastAsia" w:ascii="Times New Roman" w:hAnsi="Times New Roman" w:cs="Times New Roman"/>
                <w:bCs/>
                <w:sz w:val="21"/>
                <w:szCs w:val="21"/>
                <w:highlight w:val="none"/>
              </w:rPr>
              <w:t>另行支付该合同总价之外的任何费用。</w:t>
            </w:r>
          </w:p>
        </w:tc>
      </w:tr>
      <w:tr w14:paraId="672F0D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0" w:hRule="atLeast"/>
          <w:jc w:val="center"/>
        </w:trPr>
        <w:tc>
          <w:tcPr>
            <w:tcW w:w="1296" w:type="dxa"/>
            <w:vMerge w:val="restart"/>
            <w:tcBorders>
              <w:tl2br w:val="nil"/>
              <w:tr2bl w:val="nil"/>
            </w:tcBorders>
            <w:vAlign w:val="center"/>
          </w:tcPr>
          <w:p w14:paraId="3A212D54">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6</w:t>
            </w:r>
          </w:p>
        </w:tc>
        <w:tc>
          <w:tcPr>
            <w:tcW w:w="1666" w:type="dxa"/>
            <w:vMerge w:val="restart"/>
            <w:tcBorders>
              <w:tl2br w:val="nil"/>
              <w:tr2bl w:val="nil"/>
            </w:tcBorders>
            <w:vAlign w:val="center"/>
          </w:tcPr>
          <w:p w14:paraId="25D4D246">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质量标准和保证</w:t>
            </w:r>
          </w:p>
        </w:tc>
        <w:tc>
          <w:tcPr>
            <w:tcW w:w="6109" w:type="dxa"/>
            <w:tcBorders>
              <w:tl2br w:val="nil"/>
              <w:tr2bl w:val="nil"/>
            </w:tcBorders>
          </w:tcPr>
          <w:p w14:paraId="70938A57">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6.1</w:t>
            </w:r>
            <w:r>
              <w:rPr>
                <w:rFonts w:hint="eastAsia" w:ascii="Times New Roman" w:hAnsi="Times New Roman" w:cs="Times New Roman"/>
                <w:bCs/>
                <w:sz w:val="21"/>
                <w:szCs w:val="21"/>
                <w:highlight w:val="none"/>
              </w:rPr>
              <w:t>投标人需按照合同规定提供全部产品及完整的技术资料。</w:t>
            </w:r>
          </w:p>
        </w:tc>
      </w:tr>
      <w:tr w14:paraId="569CB3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0" w:hRule="atLeast"/>
          <w:jc w:val="center"/>
        </w:trPr>
        <w:tc>
          <w:tcPr>
            <w:tcW w:w="1296" w:type="dxa"/>
            <w:vMerge w:val="continue"/>
            <w:tcBorders>
              <w:tl2br w:val="nil"/>
              <w:tr2bl w:val="nil"/>
            </w:tcBorders>
            <w:vAlign w:val="center"/>
          </w:tcPr>
          <w:p w14:paraId="4FFE99D2">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1666" w:type="dxa"/>
            <w:vMerge w:val="continue"/>
            <w:tcBorders>
              <w:tl2br w:val="nil"/>
              <w:tr2bl w:val="nil"/>
            </w:tcBorders>
            <w:vAlign w:val="center"/>
          </w:tcPr>
          <w:p w14:paraId="755FE58D">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6109" w:type="dxa"/>
            <w:tcBorders>
              <w:tl2br w:val="nil"/>
              <w:tr2bl w:val="nil"/>
            </w:tcBorders>
          </w:tcPr>
          <w:p w14:paraId="7AF6515F">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6.2</w:t>
            </w:r>
            <w:r>
              <w:rPr>
                <w:rFonts w:hint="eastAsia" w:ascii="Times New Roman" w:hAnsi="Times New Roman" w:cs="Times New Roman"/>
                <w:bCs/>
                <w:sz w:val="21"/>
                <w:szCs w:val="21"/>
                <w:highlight w:val="none"/>
              </w:rPr>
              <w:t>货物应符合合同技术指标的全部要求。</w:t>
            </w:r>
          </w:p>
        </w:tc>
      </w:tr>
      <w:tr w14:paraId="4744832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0" w:hRule="atLeast"/>
          <w:jc w:val="center"/>
        </w:trPr>
        <w:tc>
          <w:tcPr>
            <w:tcW w:w="1296" w:type="dxa"/>
            <w:vMerge w:val="continue"/>
            <w:tcBorders>
              <w:tl2br w:val="nil"/>
              <w:tr2bl w:val="nil"/>
            </w:tcBorders>
            <w:vAlign w:val="center"/>
          </w:tcPr>
          <w:p w14:paraId="55F49CEE">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1666" w:type="dxa"/>
            <w:vMerge w:val="continue"/>
            <w:tcBorders>
              <w:tl2br w:val="nil"/>
              <w:tr2bl w:val="nil"/>
            </w:tcBorders>
            <w:vAlign w:val="center"/>
          </w:tcPr>
          <w:p w14:paraId="2435486E">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6109" w:type="dxa"/>
            <w:tcBorders>
              <w:tl2br w:val="nil"/>
              <w:tr2bl w:val="nil"/>
            </w:tcBorders>
          </w:tcPr>
          <w:p w14:paraId="2B286201">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6.3</w:t>
            </w:r>
            <w:r>
              <w:rPr>
                <w:rFonts w:hint="eastAsia" w:ascii="Times New Roman" w:hAnsi="Times New Roman" w:cs="Times New Roman"/>
                <w:bCs/>
                <w:sz w:val="21"/>
                <w:szCs w:val="21"/>
                <w:highlight w:val="none"/>
              </w:rPr>
              <w:t>投标人在约定的时间内未能弥补缺陷，采购人可采取必要的补救措施，但其风险和费用将由中标人承担，采购人根据合同规定对中标人行使的其他权利不受影响。</w:t>
            </w:r>
          </w:p>
        </w:tc>
      </w:tr>
      <w:tr w14:paraId="582FF5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0" w:hRule="atLeast"/>
          <w:jc w:val="center"/>
        </w:trPr>
        <w:tc>
          <w:tcPr>
            <w:tcW w:w="1296" w:type="dxa"/>
            <w:vMerge w:val="continue"/>
            <w:tcBorders>
              <w:tl2br w:val="nil"/>
              <w:tr2bl w:val="nil"/>
            </w:tcBorders>
            <w:vAlign w:val="center"/>
          </w:tcPr>
          <w:p w14:paraId="76F9A1CD">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1666" w:type="dxa"/>
            <w:vMerge w:val="continue"/>
            <w:tcBorders>
              <w:tl2br w:val="nil"/>
              <w:tr2bl w:val="nil"/>
            </w:tcBorders>
            <w:vAlign w:val="center"/>
          </w:tcPr>
          <w:p w14:paraId="61C119E0">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6109" w:type="dxa"/>
            <w:tcBorders>
              <w:tl2br w:val="nil"/>
              <w:tr2bl w:val="nil"/>
            </w:tcBorders>
          </w:tcPr>
          <w:p w14:paraId="480A8F80">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6.4</w:t>
            </w:r>
            <w:r>
              <w:rPr>
                <w:rFonts w:hint="eastAsia" w:ascii="Times New Roman" w:hAnsi="Times New Roman" w:cs="Times New Roman"/>
                <w:bCs/>
                <w:sz w:val="21"/>
                <w:szCs w:val="21"/>
                <w:highlight w:val="none"/>
              </w:rPr>
              <w:t>交付的货物应符合技术规格所述标准。如果没有提及适用标准，则应符合现行国家标准。这些标准必须是有关单位或机构发布的最新有效版本。没有国家标准的，按照通常标准或者符合合同目的的特定标准确定。合同执行期间，如相关国家标准、行业标准更新或发布新版本，中标人应主动告知采购人，如按最新有效版本执行，设备技术指标不得低于合同约定指标。</w:t>
            </w:r>
          </w:p>
        </w:tc>
      </w:tr>
      <w:tr w14:paraId="54FD74F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0" w:hRule="atLeast"/>
          <w:jc w:val="center"/>
        </w:trPr>
        <w:tc>
          <w:tcPr>
            <w:tcW w:w="1296" w:type="dxa"/>
            <w:vMerge w:val="continue"/>
            <w:tcBorders>
              <w:tl2br w:val="nil"/>
              <w:tr2bl w:val="nil"/>
            </w:tcBorders>
            <w:vAlign w:val="center"/>
          </w:tcPr>
          <w:p w14:paraId="1BCC71D7">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1666" w:type="dxa"/>
            <w:vMerge w:val="continue"/>
            <w:tcBorders>
              <w:tl2br w:val="nil"/>
              <w:tr2bl w:val="nil"/>
            </w:tcBorders>
            <w:vAlign w:val="center"/>
          </w:tcPr>
          <w:p w14:paraId="0D38180E">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6109" w:type="dxa"/>
            <w:tcBorders>
              <w:tl2br w:val="nil"/>
              <w:tr2bl w:val="nil"/>
            </w:tcBorders>
          </w:tcPr>
          <w:p w14:paraId="3BFF877C">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6.5</w:t>
            </w:r>
            <w:r>
              <w:rPr>
                <w:rFonts w:hint="eastAsia" w:ascii="Times New Roman" w:hAnsi="Times New Roman" w:cs="Times New Roman"/>
                <w:bCs/>
                <w:sz w:val="21"/>
                <w:szCs w:val="21"/>
                <w:highlight w:val="none"/>
              </w:rPr>
              <w:t>中标人所出售的货物还应符合国家有关安全、环保、卫生等强制性规定。</w:t>
            </w:r>
          </w:p>
        </w:tc>
      </w:tr>
      <w:tr w14:paraId="5ADE82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0" w:hRule="atLeast"/>
          <w:jc w:val="center"/>
        </w:trPr>
        <w:tc>
          <w:tcPr>
            <w:tcW w:w="1296" w:type="dxa"/>
            <w:vMerge w:val="continue"/>
            <w:tcBorders>
              <w:tl2br w:val="nil"/>
              <w:tr2bl w:val="nil"/>
            </w:tcBorders>
            <w:vAlign w:val="center"/>
          </w:tcPr>
          <w:p w14:paraId="74BF7055">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bookmarkStart w:id="29" w:name="_Hlk230699765"/>
          </w:p>
        </w:tc>
        <w:tc>
          <w:tcPr>
            <w:tcW w:w="1666" w:type="dxa"/>
            <w:vMerge w:val="continue"/>
            <w:tcBorders>
              <w:tl2br w:val="nil"/>
              <w:tr2bl w:val="nil"/>
            </w:tcBorders>
            <w:vAlign w:val="center"/>
          </w:tcPr>
          <w:p w14:paraId="6F4550D5">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6109" w:type="dxa"/>
            <w:tcBorders>
              <w:tl2br w:val="nil"/>
              <w:tr2bl w:val="nil"/>
            </w:tcBorders>
          </w:tcPr>
          <w:p w14:paraId="513AE135">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6.6</w:t>
            </w:r>
            <w:r>
              <w:rPr>
                <w:rFonts w:hint="eastAsia" w:ascii="Times New Roman" w:hAnsi="Times New Roman" w:cs="Times New Roman"/>
                <w:bCs/>
                <w:sz w:val="21"/>
                <w:szCs w:val="21"/>
                <w:highlight w:val="none"/>
              </w:rPr>
              <w:t>货物工艺设备机械和结构设计使用寿命不小于</w:t>
            </w:r>
            <w:r>
              <w:rPr>
                <w:rFonts w:ascii="Times New Roman" w:hAnsi="Times New Roman" w:cs="Times New Roman"/>
                <w:bCs/>
                <w:sz w:val="21"/>
                <w:szCs w:val="21"/>
                <w:highlight w:val="none"/>
              </w:rPr>
              <w:t>20</w:t>
            </w:r>
            <w:r>
              <w:rPr>
                <w:rFonts w:hint="eastAsia" w:ascii="Times New Roman" w:hAnsi="Times New Roman" w:cs="Times New Roman"/>
                <w:bCs/>
                <w:sz w:val="21"/>
                <w:szCs w:val="21"/>
                <w:highlight w:val="none"/>
              </w:rPr>
              <w:t>年，电器元器件设计使用寿命不小于</w:t>
            </w:r>
            <w:r>
              <w:rPr>
                <w:rFonts w:ascii="Times New Roman" w:hAnsi="Times New Roman" w:cs="Times New Roman"/>
                <w:bCs/>
                <w:sz w:val="21"/>
                <w:szCs w:val="21"/>
                <w:highlight w:val="none"/>
              </w:rPr>
              <w:t>10</w:t>
            </w:r>
            <w:r>
              <w:rPr>
                <w:rFonts w:hint="eastAsia" w:ascii="Times New Roman" w:hAnsi="Times New Roman" w:cs="Times New Roman"/>
                <w:bCs/>
                <w:sz w:val="21"/>
                <w:szCs w:val="21"/>
                <w:highlight w:val="none"/>
              </w:rPr>
              <w:t>年，运行期内应保证关键、特殊配件的可靠供应。</w:t>
            </w:r>
            <w:r>
              <w:rPr>
                <w:rFonts w:hint="eastAsia" w:ascii="Times New Roman" w:hAnsi="Times New Roman" w:cs="Times New Roman"/>
                <w:bCs/>
                <w:sz w:val="21"/>
                <w:szCs w:val="21"/>
                <w:highlight w:val="none"/>
                <w:lang w:val="en-US" w:eastAsia="zh-CN"/>
              </w:rPr>
              <w:t>提供</w:t>
            </w:r>
            <w:r>
              <w:rPr>
                <w:rFonts w:hint="eastAsia" w:ascii="Times New Roman" w:hAnsi="Times New Roman" w:cs="Times New Roman"/>
                <w:bCs/>
                <w:sz w:val="21"/>
                <w:szCs w:val="21"/>
                <w:highlight w:val="none"/>
              </w:rPr>
              <w:t>终身质保</w:t>
            </w:r>
            <w:r>
              <w:rPr>
                <w:rFonts w:hint="eastAsia" w:ascii="Times New Roman" w:hAnsi="Times New Roman" w:cs="Times New Roman"/>
                <w:bCs/>
                <w:sz w:val="21"/>
                <w:szCs w:val="21"/>
                <w:highlight w:val="none"/>
                <w:lang w:val="en-US" w:eastAsia="zh-CN"/>
              </w:rPr>
              <w:t>服务</w:t>
            </w:r>
            <w:r>
              <w:rPr>
                <w:rFonts w:hint="eastAsia" w:ascii="Times New Roman" w:hAnsi="Times New Roman" w:cs="Times New Roman"/>
                <w:bCs/>
                <w:sz w:val="21"/>
                <w:szCs w:val="21"/>
                <w:highlight w:val="none"/>
                <w:lang w:eastAsia="zh-CN"/>
              </w:rPr>
              <w:t>，</w:t>
            </w:r>
            <w:r>
              <w:rPr>
                <w:rFonts w:hint="eastAsia" w:ascii="Times New Roman" w:hAnsi="Times New Roman" w:cs="Times New Roman"/>
                <w:bCs/>
                <w:sz w:val="21"/>
                <w:szCs w:val="21"/>
                <w:highlight w:val="none"/>
                <w:lang w:val="en-US" w:eastAsia="zh-CN"/>
              </w:rPr>
              <w:t>确保</w:t>
            </w:r>
            <w:r>
              <w:rPr>
                <w:rFonts w:hint="eastAsia" w:ascii="Times New Roman" w:hAnsi="Times New Roman" w:cs="Times New Roman"/>
                <w:bCs/>
                <w:sz w:val="21"/>
                <w:szCs w:val="21"/>
                <w:highlight w:val="none"/>
              </w:rPr>
              <w:t>可靠运行</w:t>
            </w:r>
            <w:r>
              <w:rPr>
                <w:rFonts w:hint="eastAsia" w:ascii="Times New Roman" w:hAnsi="Times New Roman" w:cs="Times New Roman"/>
                <w:bCs/>
                <w:sz w:val="21"/>
                <w:szCs w:val="21"/>
                <w:highlight w:val="none"/>
                <w:lang w:val="en-US" w:eastAsia="zh-CN"/>
              </w:rPr>
              <w:t>3</w:t>
            </w:r>
            <w:r>
              <w:rPr>
                <w:rFonts w:ascii="Times New Roman" w:hAnsi="Times New Roman" w:cs="Times New Roman"/>
                <w:bCs/>
                <w:sz w:val="21"/>
                <w:szCs w:val="21"/>
                <w:highlight w:val="none"/>
              </w:rPr>
              <w:t>0</w:t>
            </w:r>
            <w:r>
              <w:rPr>
                <w:rFonts w:hint="eastAsia" w:ascii="Times New Roman" w:hAnsi="Times New Roman" w:cs="Times New Roman"/>
                <w:bCs/>
                <w:sz w:val="21"/>
                <w:szCs w:val="21"/>
                <w:highlight w:val="none"/>
              </w:rPr>
              <w:t>年。</w:t>
            </w:r>
          </w:p>
        </w:tc>
      </w:tr>
      <w:bookmarkEnd w:id="29"/>
      <w:tr w14:paraId="158969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0" w:hRule="atLeast"/>
          <w:jc w:val="center"/>
        </w:trPr>
        <w:tc>
          <w:tcPr>
            <w:tcW w:w="1296" w:type="dxa"/>
            <w:vMerge w:val="continue"/>
            <w:tcBorders>
              <w:tl2br w:val="nil"/>
              <w:tr2bl w:val="nil"/>
            </w:tcBorders>
            <w:vAlign w:val="center"/>
          </w:tcPr>
          <w:p w14:paraId="30032240">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1666" w:type="dxa"/>
            <w:vMerge w:val="continue"/>
            <w:tcBorders>
              <w:tl2br w:val="nil"/>
              <w:tr2bl w:val="nil"/>
            </w:tcBorders>
            <w:vAlign w:val="center"/>
          </w:tcPr>
          <w:p w14:paraId="0345B657">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6109" w:type="dxa"/>
            <w:tcBorders>
              <w:tl2br w:val="nil"/>
              <w:tr2bl w:val="nil"/>
            </w:tcBorders>
          </w:tcPr>
          <w:p w14:paraId="2470C6DA">
            <w:pPr>
              <w:keepNext w:val="0"/>
              <w:keepLines w:val="0"/>
              <w:pageBreakBefore w:val="0"/>
              <w:widowControl/>
              <w:kinsoku/>
              <w:wordWrap/>
              <w:overflowPunct/>
              <w:topLinePunct w:val="0"/>
              <w:autoSpaceDE/>
              <w:autoSpaceDN/>
              <w:bidi w:val="0"/>
              <w:snapToGrid/>
              <w:spacing w:line="264" w:lineRule="auto"/>
              <w:textAlignment w:val="auto"/>
              <w:rPr>
                <w:rFonts w:hint="eastAsia" w:ascii="Times New Roman" w:hAnsi="Times New Roman" w:cs="Times New Roman"/>
                <w:bCs/>
                <w:sz w:val="21"/>
                <w:szCs w:val="21"/>
                <w:highlight w:val="none"/>
              </w:rPr>
            </w:pPr>
            <w:r>
              <w:rPr>
                <w:rFonts w:hint="eastAsia" w:ascii="Times New Roman" w:hAnsi="Times New Roman" w:cs="Times New Roman"/>
                <w:bCs/>
                <w:sz w:val="21"/>
                <w:szCs w:val="21"/>
                <w:highlight w:val="none"/>
              </w:rPr>
              <w:t>6.7</w:t>
            </w:r>
            <w:bookmarkStart w:id="30" w:name="_Hlk230703908"/>
            <w:r>
              <w:rPr>
                <w:rFonts w:hint="eastAsia" w:ascii="Times New Roman" w:hAnsi="Times New Roman" w:cs="Times New Roman"/>
                <w:bCs/>
                <w:sz w:val="21"/>
                <w:szCs w:val="21"/>
                <w:highlight w:val="none"/>
              </w:rPr>
              <w:t>质量保证期内，货物出现质量问题，投标人必须免费维修</w:t>
            </w:r>
            <w:r>
              <w:rPr>
                <w:rFonts w:hint="eastAsia" w:ascii="Times New Roman" w:hAnsi="Times New Roman" w:cs="Times New Roman"/>
                <w:bCs/>
                <w:sz w:val="21"/>
                <w:szCs w:val="21"/>
                <w:highlight w:val="none"/>
                <w:lang w:val="en-US" w:eastAsia="zh-CN"/>
              </w:rPr>
              <w:t>或</w:t>
            </w:r>
            <w:r>
              <w:rPr>
                <w:rFonts w:hint="eastAsia" w:ascii="Times New Roman" w:hAnsi="Times New Roman" w:cs="Times New Roman"/>
                <w:bCs/>
                <w:sz w:val="21"/>
                <w:szCs w:val="21"/>
                <w:highlight w:val="none"/>
              </w:rPr>
              <w:t>更换，并提供具有相应CMA，CNAS资质的第三方检验检测机构出具的依据标准实时进行的检测报告，且所有结果符合要求的有效检测报告。如该货物质量问题引发的设备其他问题投标方需一并承担责任。</w:t>
            </w:r>
            <w:bookmarkEnd w:id="30"/>
          </w:p>
        </w:tc>
      </w:tr>
      <w:tr w14:paraId="3FB79FA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0" w:hRule="atLeast"/>
          <w:jc w:val="center"/>
        </w:trPr>
        <w:tc>
          <w:tcPr>
            <w:tcW w:w="1296" w:type="dxa"/>
            <w:vMerge w:val="continue"/>
            <w:tcBorders>
              <w:tl2br w:val="nil"/>
              <w:tr2bl w:val="nil"/>
            </w:tcBorders>
            <w:vAlign w:val="center"/>
          </w:tcPr>
          <w:p w14:paraId="1A7C13AD">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1666" w:type="dxa"/>
            <w:vMerge w:val="continue"/>
            <w:tcBorders>
              <w:tl2br w:val="nil"/>
              <w:tr2bl w:val="nil"/>
            </w:tcBorders>
            <w:vAlign w:val="center"/>
          </w:tcPr>
          <w:p w14:paraId="250B8A53">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6109" w:type="dxa"/>
            <w:tcBorders>
              <w:tl2br w:val="nil"/>
              <w:tr2bl w:val="nil"/>
            </w:tcBorders>
          </w:tcPr>
          <w:p w14:paraId="46C647A7">
            <w:pPr>
              <w:keepNext w:val="0"/>
              <w:keepLines w:val="0"/>
              <w:pageBreakBefore w:val="0"/>
              <w:widowControl/>
              <w:kinsoku/>
              <w:wordWrap/>
              <w:overflowPunct/>
              <w:topLinePunct w:val="0"/>
              <w:autoSpaceDE/>
              <w:autoSpaceDN/>
              <w:bidi w:val="0"/>
              <w:snapToGrid/>
              <w:spacing w:line="264" w:lineRule="auto"/>
              <w:textAlignment w:val="auto"/>
              <w:rPr>
                <w:rFonts w:hint="eastAsia" w:ascii="Times New Roman" w:hAnsi="Times New Roman" w:cs="Times New Roman"/>
                <w:bCs/>
                <w:sz w:val="21"/>
                <w:szCs w:val="21"/>
                <w:highlight w:val="none"/>
              </w:rPr>
            </w:pPr>
            <w:r>
              <w:rPr>
                <w:rFonts w:hint="eastAsia" w:ascii="Times New Roman" w:hAnsi="Times New Roman" w:cs="Times New Roman"/>
                <w:bCs/>
                <w:sz w:val="21"/>
                <w:szCs w:val="21"/>
                <w:highlight w:val="none"/>
              </w:rPr>
              <w:t>6.8</w:t>
            </w:r>
            <w:r>
              <w:rPr>
                <w:rFonts w:hint="eastAsia" w:ascii="Times New Roman" w:hAnsi="Times New Roman" w:cs="Times New Roman"/>
                <w:bCs/>
                <w:sz w:val="21"/>
                <w:szCs w:val="21"/>
                <w:highlight w:val="none"/>
                <w:lang w:val="en-US" w:eastAsia="zh-CN"/>
              </w:rPr>
              <w:t>投</w:t>
            </w:r>
            <w:r>
              <w:rPr>
                <w:rFonts w:hint="eastAsia" w:ascii="Times New Roman" w:hAnsi="Times New Roman" w:cs="Times New Roman"/>
                <w:bCs/>
                <w:sz w:val="21"/>
                <w:szCs w:val="21"/>
                <w:highlight w:val="none"/>
              </w:rPr>
              <w:t>标人提供的产品须通过认证的质量管理体系管控要求。</w:t>
            </w:r>
          </w:p>
        </w:tc>
      </w:tr>
      <w:tr w14:paraId="17E7BA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96" w:type="dxa"/>
            <w:tcBorders>
              <w:tl2br w:val="nil"/>
              <w:tr2bl w:val="nil"/>
            </w:tcBorders>
            <w:vAlign w:val="center"/>
          </w:tcPr>
          <w:p w14:paraId="1820F484">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7</w:t>
            </w:r>
          </w:p>
        </w:tc>
        <w:tc>
          <w:tcPr>
            <w:tcW w:w="1666" w:type="dxa"/>
            <w:tcBorders>
              <w:tl2br w:val="nil"/>
              <w:tr2bl w:val="nil"/>
            </w:tcBorders>
            <w:vAlign w:val="center"/>
          </w:tcPr>
          <w:p w14:paraId="435128B8">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保密义务</w:t>
            </w:r>
          </w:p>
        </w:tc>
        <w:tc>
          <w:tcPr>
            <w:tcW w:w="6109" w:type="dxa"/>
            <w:tcBorders>
              <w:tl2br w:val="nil"/>
              <w:tr2bl w:val="nil"/>
            </w:tcBorders>
          </w:tcPr>
          <w:p w14:paraId="1B940099">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hint="eastAsia" w:ascii="Times New Roman" w:hAnsi="Times New Roman" w:cs="Times New Roman"/>
                <w:bCs/>
                <w:sz w:val="21"/>
                <w:szCs w:val="21"/>
                <w:highlight w:val="none"/>
                <w:lang w:val="en-US" w:eastAsia="zh-CN"/>
              </w:rPr>
              <w:t>7.1</w:t>
            </w:r>
            <w:r>
              <w:rPr>
                <w:rFonts w:ascii="Times New Roman" w:hAnsi="Times New Roman" w:cs="Times New Roman"/>
                <w:bCs/>
                <w:sz w:val="21"/>
                <w:szCs w:val="21"/>
                <w:highlight w:val="none"/>
              </w:rPr>
              <w:t>采购人、</w:t>
            </w:r>
            <w:r>
              <w:rPr>
                <w:rFonts w:hint="eastAsia" w:ascii="Times New Roman" w:hAnsi="Times New Roman" w:cs="Times New Roman"/>
                <w:bCs/>
                <w:sz w:val="21"/>
                <w:szCs w:val="21"/>
                <w:highlight w:val="none"/>
              </w:rPr>
              <w:t>投</w:t>
            </w:r>
            <w:r>
              <w:rPr>
                <w:rFonts w:ascii="Times New Roman" w:hAnsi="Times New Roman" w:cs="Times New Roman"/>
                <w:bCs/>
                <w:sz w:val="21"/>
                <w:szCs w:val="21"/>
                <w:highlight w:val="none"/>
              </w:rPr>
              <w:t>标人双方在采购和履行合同过程中所获悉的所有信息都属于保密的内容，采购</w:t>
            </w:r>
            <w:r>
              <w:rPr>
                <w:rFonts w:hint="eastAsia" w:ascii="Times New Roman" w:hAnsi="Times New Roman" w:cs="Times New Roman"/>
                <w:bCs/>
                <w:sz w:val="21"/>
                <w:szCs w:val="21"/>
                <w:highlight w:val="none"/>
                <w:lang w:eastAsia="zh-CN"/>
              </w:rPr>
              <w:t>人</w:t>
            </w:r>
            <w:r>
              <w:rPr>
                <w:rFonts w:hint="eastAsia" w:ascii="Times New Roman" w:hAnsi="Times New Roman" w:cs="Times New Roman"/>
                <w:bCs/>
                <w:sz w:val="21"/>
                <w:szCs w:val="21"/>
                <w:highlight w:val="none"/>
              </w:rPr>
              <w:t>投</w:t>
            </w:r>
            <w:r>
              <w:rPr>
                <w:rFonts w:ascii="Times New Roman" w:hAnsi="Times New Roman" w:cs="Times New Roman"/>
                <w:bCs/>
                <w:sz w:val="21"/>
                <w:szCs w:val="21"/>
                <w:highlight w:val="none"/>
              </w:rPr>
              <w:t>标人双方均有保密义务。</w:t>
            </w:r>
          </w:p>
        </w:tc>
      </w:tr>
      <w:tr w14:paraId="001508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296" w:type="dxa"/>
            <w:vMerge w:val="restart"/>
            <w:tcBorders>
              <w:tl2br w:val="nil"/>
              <w:tr2bl w:val="nil"/>
            </w:tcBorders>
            <w:vAlign w:val="center"/>
          </w:tcPr>
          <w:p w14:paraId="427B8D24">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8</w:t>
            </w:r>
          </w:p>
        </w:tc>
        <w:tc>
          <w:tcPr>
            <w:tcW w:w="1666" w:type="dxa"/>
            <w:vMerge w:val="restart"/>
            <w:tcBorders>
              <w:tl2br w:val="nil"/>
              <w:tr2bl w:val="nil"/>
            </w:tcBorders>
            <w:vAlign w:val="center"/>
          </w:tcPr>
          <w:p w14:paraId="18E275E6">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合同的变更</w:t>
            </w:r>
          </w:p>
        </w:tc>
        <w:tc>
          <w:tcPr>
            <w:tcW w:w="6109" w:type="dxa"/>
            <w:tcBorders>
              <w:tl2br w:val="nil"/>
              <w:tr2bl w:val="nil"/>
            </w:tcBorders>
            <w:vAlign w:val="center"/>
          </w:tcPr>
          <w:p w14:paraId="42D1A789">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8.1政府采购合同未约定或者约定不明的事项，采购人可以与供应商协商签订补充协议。补充协议不得变更采购合同的实质性内容。</w:t>
            </w:r>
          </w:p>
        </w:tc>
      </w:tr>
      <w:tr w14:paraId="6E5CCD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296" w:type="dxa"/>
            <w:vMerge w:val="continue"/>
            <w:tcBorders>
              <w:tl2br w:val="nil"/>
              <w:tr2bl w:val="nil"/>
            </w:tcBorders>
            <w:vAlign w:val="center"/>
          </w:tcPr>
          <w:p w14:paraId="7DDEB543">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1666" w:type="dxa"/>
            <w:vMerge w:val="continue"/>
            <w:tcBorders>
              <w:tl2br w:val="nil"/>
              <w:tr2bl w:val="nil"/>
            </w:tcBorders>
            <w:vAlign w:val="center"/>
          </w:tcPr>
          <w:p w14:paraId="63DCB42A">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6109" w:type="dxa"/>
            <w:tcBorders>
              <w:tl2br w:val="nil"/>
              <w:tr2bl w:val="nil"/>
            </w:tcBorders>
            <w:vAlign w:val="center"/>
          </w:tcPr>
          <w:p w14:paraId="24F88D98">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8.2除了双方签署书面协议，并成为合同不可分割的一部分之外，本合同条件不得有任何变更。</w:t>
            </w:r>
          </w:p>
        </w:tc>
      </w:tr>
      <w:tr w14:paraId="2469F6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1296" w:type="dxa"/>
            <w:vMerge w:val="restart"/>
            <w:tcBorders>
              <w:tl2br w:val="nil"/>
              <w:tr2bl w:val="nil"/>
            </w:tcBorders>
            <w:vAlign w:val="center"/>
          </w:tcPr>
          <w:p w14:paraId="3351927D">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9</w:t>
            </w:r>
          </w:p>
        </w:tc>
        <w:tc>
          <w:tcPr>
            <w:tcW w:w="1666" w:type="dxa"/>
            <w:vMerge w:val="restart"/>
            <w:tcBorders>
              <w:tl2br w:val="nil"/>
              <w:tr2bl w:val="nil"/>
            </w:tcBorders>
            <w:vAlign w:val="center"/>
          </w:tcPr>
          <w:p w14:paraId="5B6D93DC">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合同的转让和分包</w:t>
            </w:r>
          </w:p>
        </w:tc>
        <w:tc>
          <w:tcPr>
            <w:tcW w:w="6109" w:type="dxa"/>
            <w:tcBorders>
              <w:tl2br w:val="nil"/>
              <w:tr2bl w:val="nil"/>
            </w:tcBorders>
            <w:vAlign w:val="center"/>
          </w:tcPr>
          <w:p w14:paraId="15CE3F95">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hint="eastAsia" w:ascii="Times New Roman" w:hAnsi="Times New Roman" w:cs="Times New Roman"/>
                <w:bCs/>
                <w:sz w:val="21"/>
                <w:szCs w:val="21"/>
                <w:highlight w:val="none"/>
                <w:lang w:val="en-US" w:eastAsia="zh-CN"/>
              </w:rPr>
              <w:t>9.1</w:t>
            </w:r>
            <w:r>
              <w:rPr>
                <w:rFonts w:ascii="Times New Roman" w:hAnsi="Times New Roman" w:cs="Times New Roman"/>
                <w:bCs/>
                <w:sz w:val="21"/>
                <w:szCs w:val="21"/>
                <w:highlight w:val="none"/>
              </w:rPr>
              <w:t>中标人不得以任何形式部分或全部转让其应履行的合同义务。</w:t>
            </w:r>
          </w:p>
        </w:tc>
      </w:tr>
      <w:tr w14:paraId="53848D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1296" w:type="dxa"/>
            <w:vMerge w:val="continue"/>
            <w:tcBorders>
              <w:tl2br w:val="nil"/>
              <w:tr2bl w:val="nil"/>
            </w:tcBorders>
            <w:vAlign w:val="center"/>
          </w:tcPr>
          <w:p w14:paraId="6EA56E23">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1666" w:type="dxa"/>
            <w:vMerge w:val="continue"/>
            <w:tcBorders>
              <w:tl2br w:val="nil"/>
              <w:tr2bl w:val="nil"/>
            </w:tcBorders>
            <w:vAlign w:val="center"/>
          </w:tcPr>
          <w:p w14:paraId="4356889F">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6109" w:type="dxa"/>
            <w:tcBorders>
              <w:tl2br w:val="nil"/>
              <w:tr2bl w:val="nil"/>
            </w:tcBorders>
            <w:vAlign w:val="center"/>
          </w:tcPr>
          <w:p w14:paraId="6FE45D79">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hint="eastAsia" w:ascii="Times New Roman" w:hAnsi="Times New Roman" w:cs="Times New Roman"/>
                <w:bCs/>
                <w:sz w:val="21"/>
                <w:szCs w:val="21"/>
                <w:highlight w:val="none"/>
              </w:rPr>
              <w:t>9.2除非在投标文件中提出的分包项目和建议的分包人，中标人不得采用分包方式履行合同。</w:t>
            </w:r>
          </w:p>
        </w:tc>
      </w:tr>
      <w:tr w14:paraId="53F9AE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1296" w:type="dxa"/>
            <w:vMerge w:val="continue"/>
            <w:tcBorders>
              <w:tl2br w:val="nil"/>
              <w:tr2bl w:val="nil"/>
            </w:tcBorders>
            <w:vAlign w:val="center"/>
          </w:tcPr>
          <w:p w14:paraId="1CBE873B">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1666" w:type="dxa"/>
            <w:vMerge w:val="continue"/>
            <w:tcBorders>
              <w:tl2br w:val="nil"/>
              <w:tr2bl w:val="nil"/>
            </w:tcBorders>
            <w:vAlign w:val="center"/>
          </w:tcPr>
          <w:p w14:paraId="26B253B1">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6109" w:type="dxa"/>
            <w:tcBorders>
              <w:tl2br w:val="nil"/>
              <w:tr2bl w:val="nil"/>
            </w:tcBorders>
            <w:vAlign w:val="center"/>
          </w:tcPr>
          <w:p w14:paraId="08890D57">
            <w:pPr>
              <w:keepNext w:val="0"/>
              <w:keepLines w:val="0"/>
              <w:pageBreakBefore w:val="0"/>
              <w:widowControl/>
              <w:kinsoku/>
              <w:wordWrap/>
              <w:overflowPunct/>
              <w:topLinePunct w:val="0"/>
              <w:autoSpaceDE/>
              <w:autoSpaceDN/>
              <w:bidi w:val="0"/>
              <w:snapToGrid/>
              <w:spacing w:line="264" w:lineRule="auto"/>
              <w:textAlignment w:val="auto"/>
              <w:rPr>
                <w:rFonts w:hint="eastAsia" w:ascii="Times New Roman" w:hAnsi="Times New Roman" w:cs="Times New Roman"/>
                <w:bCs/>
                <w:sz w:val="21"/>
                <w:szCs w:val="21"/>
                <w:highlight w:val="none"/>
              </w:rPr>
            </w:pPr>
            <w:r>
              <w:rPr>
                <w:rFonts w:hint="eastAsia" w:ascii="Times New Roman" w:hAnsi="Times New Roman" w:cs="Times New Roman"/>
                <w:bCs/>
                <w:sz w:val="21"/>
                <w:szCs w:val="21"/>
                <w:highlight w:val="none"/>
              </w:rPr>
              <w:t>9.3 在合同实施过程中，除非中标人违约，采购人不得指定分包人。</w:t>
            </w:r>
          </w:p>
        </w:tc>
      </w:tr>
      <w:tr w14:paraId="2D0A4F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1296" w:type="dxa"/>
            <w:vMerge w:val="restart"/>
            <w:tcBorders>
              <w:tl2br w:val="nil"/>
              <w:tr2bl w:val="nil"/>
            </w:tcBorders>
            <w:vAlign w:val="center"/>
          </w:tcPr>
          <w:p w14:paraId="0F6E31E6">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hint="eastAsia" w:ascii="Times New Roman" w:hAnsi="Times New Roman" w:cs="Times New Roman"/>
                <w:bCs/>
                <w:sz w:val="21"/>
                <w:szCs w:val="21"/>
                <w:highlight w:val="none"/>
              </w:rPr>
              <w:t>10</w:t>
            </w:r>
          </w:p>
        </w:tc>
        <w:tc>
          <w:tcPr>
            <w:tcW w:w="1666" w:type="dxa"/>
            <w:vMerge w:val="restart"/>
            <w:tcBorders>
              <w:tl2br w:val="nil"/>
              <w:tr2bl w:val="nil"/>
            </w:tcBorders>
            <w:vAlign w:val="center"/>
          </w:tcPr>
          <w:p w14:paraId="117D036C">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hint="eastAsia" w:ascii="Times New Roman" w:hAnsi="Times New Roman" w:cs="Times New Roman"/>
                <w:bCs/>
                <w:sz w:val="21"/>
                <w:szCs w:val="21"/>
                <w:highlight w:val="none"/>
              </w:rPr>
              <w:t>解决争议的办法</w:t>
            </w:r>
          </w:p>
        </w:tc>
        <w:tc>
          <w:tcPr>
            <w:tcW w:w="6109" w:type="dxa"/>
            <w:tcBorders>
              <w:tl2br w:val="nil"/>
              <w:tr2bl w:val="nil"/>
            </w:tcBorders>
            <w:vAlign w:val="center"/>
          </w:tcPr>
          <w:p w14:paraId="52D97E2B">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hint="eastAsia" w:ascii="Times New Roman" w:hAnsi="Times New Roman" w:cs="Times New Roman"/>
                <w:bCs/>
                <w:sz w:val="21"/>
                <w:szCs w:val="21"/>
                <w:highlight w:val="none"/>
              </w:rPr>
              <w:t>10.1因本合同履行过程中所产生的纠纷和争议，合同各方应本着互谅互让、互相尊重、和平友好的原则协商解决在执行合同过程中所发生的或与合同有关的一切争端。如从协商开始30天（日历日）内仍不能解决，任一方可向采购人所在地的人民法院提起诉讼。</w:t>
            </w:r>
          </w:p>
        </w:tc>
      </w:tr>
      <w:tr w14:paraId="5E3739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 w:hRule="atLeast"/>
          <w:jc w:val="center"/>
        </w:trPr>
        <w:tc>
          <w:tcPr>
            <w:tcW w:w="1296" w:type="dxa"/>
            <w:vMerge w:val="continue"/>
            <w:tcBorders>
              <w:tl2br w:val="nil"/>
              <w:tr2bl w:val="nil"/>
            </w:tcBorders>
            <w:vAlign w:val="center"/>
          </w:tcPr>
          <w:p w14:paraId="1A046EC4">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1666" w:type="dxa"/>
            <w:vMerge w:val="continue"/>
            <w:tcBorders>
              <w:tl2br w:val="nil"/>
              <w:tr2bl w:val="nil"/>
            </w:tcBorders>
            <w:vAlign w:val="center"/>
          </w:tcPr>
          <w:p w14:paraId="371A1FC2">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6109" w:type="dxa"/>
            <w:tcBorders>
              <w:tl2br w:val="nil"/>
              <w:tr2bl w:val="nil"/>
            </w:tcBorders>
            <w:vAlign w:val="center"/>
          </w:tcPr>
          <w:p w14:paraId="0041250E">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10.</w:t>
            </w:r>
            <w:r>
              <w:rPr>
                <w:rFonts w:hint="eastAsia" w:ascii="Times New Roman" w:hAnsi="Times New Roman" w:cs="Times New Roman"/>
                <w:bCs/>
                <w:sz w:val="21"/>
                <w:szCs w:val="21"/>
                <w:highlight w:val="none"/>
              </w:rPr>
              <w:t>2</w:t>
            </w:r>
            <w:r>
              <w:rPr>
                <w:rFonts w:ascii="Times New Roman" w:hAnsi="Times New Roman" w:cs="Times New Roman"/>
                <w:bCs/>
                <w:sz w:val="21"/>
                <w:szCs w:val="21"/>
                <w:highlight w:val="none"/>
              </w:rPr>
              <w:t>在诉讼期间，除正在进行诉讼的部分外，合同的其他部分应继续执行。</w:t>
            </w:r>
          </w:p>
        </w:tc>
      </w:tr>
      <w:tr w14:paraId="2897DB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 w:hRule="atLeast"/>
          <w:jc w:val="center"/>
        </w:trPr>
        <w:tc>
          <w:tcPr>
            <w:tcW w:w="1296" w:type="dxa"/>
            <w:vMerge w:val="continue"/>
            <w:tcBorders>
              <w:tl2br w:val="nil"/>
              <w:tr2bl w:val="nil"/>
            </w:tcBorders>
            <w:vAlign w:val="center"/>
          </w:tcPr>
          <w:p w14:paraId="07B1D575">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1666" w:type="dxa"/>
            <w:vMerge w:val="continue"/>
            <w:tcBorders>
              <w:tl2br w:val="nil"/>
              <w:tr2bl w:val="nil"/>
            </w:tcBorders>
            <w:vAlign w:val="center"/>
          </w:tcPr>
          <w:p w14:paraId="4C5692CA">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6109" w:type="dxa"/>
            <w:tcBorders>
              <w:tl2br w:val="nil"/>
              <w:tr2bl w:val="nil"/>
            </w:tcBorders>
            <w:vAlign w:val="center"/>
          </w:tcPr>
          <w:p w14:paraId="304A2C72">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10.</w:t>
            </w:r>
            <w:r>
              <w:rPr>
                <w:rFonts w:hint="eastAsia" w:ascii="Times New Roman" w:hAnsi="Times New Roman" w:cs="Times New Roman"/>
                <w:bCs/>
                <w:sz w:val="21"/>
                <w:szCs w:val="21"/>
                <w:highlight w:val="none"/>
              </w:rPr>
              <w:t>3</w:t>
            </w:r>
            <w:r>
              <w:rPr>
                <w:rFonts w:ascii="Times New Roman" w:hAnsi="Times New Roman" w:cs="Times New Roman"/>
                <w:bCs/>
                <w:sz w:val="21"/>
                <w:szCs w:val="21"/>
                <w:highlight w:val="none"/>
              </w:rPr>
              <w:t>因合同货物的质量问题而发生的争议，由</w:t>
            </w:r>
            <w:r>
              <w:rPr>
                <w:rFonts w:hint="eastAsia" w:ascii="Times New Roman" w:hAnsi="Times New Roman" w:cs="Times New Roman"/>
                <w:bCs/>
                <w:sz w:val="21"/>
                <w:szCs w:val="21"/>
                <w:highlight w:val="none"/>
              </w:rPr>
              <w:t>经过采购方认可的</w:t>
            </w:r>
            <w:r>
              <w:rPr>
                <w:rFonts w:ascii="Times New Roman" w:hAnsi="Times New Roman" w:cs="Times New Roman"/>
                <w:bCs/>
                <w:sz w:val="21"/>
                <w:szCs w:val="21"/>
                <w:highlight w:val="none"/>
              </w:rPr>
              <w:t>广东省或深圳市质检部门进行质量鉴定。经检验，质量符合标准的</w:t>
            </w:r>
            <w:r>
              <w:rPr>
                <w:rFonts w:hint="eastAsia" w:ascii="Times New Roman" w:hAnsi="Times New Roman" w:cs="Times New Roman"/>
                <w:bCs/>
                <w:sz w:val="21"/>
                <w:szCs w:val="21"/>
                <w:highlight w:val="none"/>
                <w:lang w:eastAsia="zh-CN"/>
              </w:rPr>
              <w:t>，</w:t>
            </w:r>
            <w:r>
              <w:rPr>
                <w:rFonts w:ascii="Times New Roman" w:hAnsi="Times New Roman" w:cs="Times New Roman"/>
                <w:bCs/>
                <w:sz w:val="21"/>
                <w:szCs w:val="21"/>
                <w:highlight w:val="none"/>
              </w:rPr>
              <w:t>鉴定费用由采购人承担</w:t>
            </w:r>
            <w:r>
              <w:rPr>
                <w:rFonts w:hint="eastAsia" w:ascii="Times New Roman" w:hAnsi="Times New Roman" w:cs="Times New Roman"/>
                <w:bCs/>
                <w:sz w:val="21"/>
                <w:szCs w:val="21"/>
                <w:highlight w:val="none"/>
              </w:rPr>
              <w:t>；</w:t>
            </w:r>
            <w:r>
              <w:rPr>
                <w:rFonts w:ascii="Times New Roman" w:hAnsi="Times New Roman" w:cs="Times New Roman"/>
                <w:bCs/>
                <w:sz w:val="21"/>
                <w:szCs w:val="21"/>
                <w:highlight w:val="none"/>
              </w:rPr>
              <w:t>质量不符合标准的，鉴定费用由中标人承担，并且</w:t>
            </w:r>
            <w:r>
              <w:rPr>
                <w:rFonts w:hint="eastAsia" w:ascii="Times New Roman" w:hAnsi="Times New Roman" w:cs="Times New Roman"/>
                <w:bCs/>
                <w:sz w:val="21"/>
                <w:szCs w:val="21"/>
                <w:highlight w:val="none"/>
              </w:rPr>
              <w:t>投</w:t>
            </w:r>
            <w:r>
              <w:rPr>
                <w:rFonts w:ascii="Times New Roman" w:hAnsi="Times New Roman" w:cs="Times New Roman"/>
                <w:bCs/>
                <w:sz w:val="21"/>
                <w:szCs w:val="21"/>
                <w:highlight w:val="none"/>
              </w:rPr>
              <w:t>标人负责重新提供符合合同要求的货物给采购人，由此造成延期供货的，</w:t>
            </w:r>
            <w:r>
              <w:rPr>
                <w:rFonts w:hint="eastAsia" w:ascii="Times New Roman" w:hAnsi="Times New Roman" w:cs="Times New Roman"/>
                <w:bCs/>
                <w:sz w:val="21"/>
                <w:szCs w:val="21"/>
                <w:highlight w:val="none"/>
              </w:rPr>
              <w:t>投</w:t>
            </w:r>
            <w:r>
              <w:rPr>
                <w:rFonts w:ascii="Times New Roman" w:hAnsi="Times New Roman" w:cs="Times New Roman"/>
                <w:bCs/>
                <w:sz w:val="21"/>
                <w:szCs w:val="21"/>
                <w:highlight w:val="none"/>
              </w:rPr>
              <w:t>标人承担延期供货的违约责任。</w:t>
            </w:r>
          </w:p>
        </w:tc>
      </w:tr>
      <w:tr w14:paraId="2F3537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 w:hRule="atLeast"/>
          <w:jc w:val="center"/>
        </w:trPr>
        <w:tc>
          <w:tcPr>
            <w:tcW w:w="1296" w:type="dxa"/>
            <w:vMerge w:val="continue"/>
            <w:tcBorders>
              <w:tl2br w:val="nil"/>
              <w:tr2bl w:val="nil"/>
            </w:tcBorders>
            <w:vAlign w:val="center"/>
          </w:tcPr>
          <w:p w14:paraId="64D8C8ED">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1666" w:type="dxa"/>
            <w:vMerge w:val="continue"/>
            <w:tcBorders>
              <w:tl2br w:val="nil"/>
              <w:tr2bl w:val="nil"/>
            </w:tcBorders>
            <w:vAlign w:val="center"/>
          </w:tcPr>
          <w:p w14:paraId="6BA10A6E">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6109" w:type="dxa"/>
            <w:tcBorders>
              <w:tl2br w:val="nil"/>
              <w:tr2bl w:val="nil"/>
            </w:tcBorders>
            <w:vAlign w:val="center"/>
          </w:tcPr>
          <w:p w14:paraId="1C1A121A">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10.</w:t>
            </w:r>
            <w:r>
              <w:rPr>
                <w:rFonts w:hint="eastAsia" w:ascii="Times New Roman" w:hAnsi="Times New Roman" w:cs="Times New Roman"/>
                <w:bCs/>
                <w:sz w:val="21"/>
                <w:szCs w:val="21"/>
                <w:highlight w:val="none"/>
              </w:rPr>
              <w:t>4投</w:t>
            </w:r>
            <w:r>
              <w:rPr>
                <w:rFonts w:ascii="Times New Roman" w:hAnsi="Times New Roman" w:cs="Times New Roman"/>
                <w:bCs/>
                <w:sz w:val="21"/>
                <w:szCs w:val="21"/>
                <w:highlight w:val="none"/>
              </w:rPr>
              <w:t>标人提供的所有软件必须为正版或取得合理使用授权，采购人不承担知识产权纠纷带来的任何侵权责任，由此造成的损失由</w:t>
            </w:r>
            <w:r>
              <w:rPr>
                <w:rFonts w:hint="eastAsia" w:ascii="Times New Roman" w:hAnsi="Times New Roman" w:cs="Times New Roman"/>
                <w:bCs/>
                <w:sz w:val="21"/>
                <w:szCs w:val="21"/>
                <w:highlight w:val="none"/>
              </w:rPr>
              <w:t>投</w:t>
            </w:r>
            <w:r>
              <w:rPr>
                <w:rFonts w:ascii="Times New Roman" w:hAnsi="Times New Roman" w:cs="Times New Roman"/>
                <w:bCs/>
                <w:sz w:val="21"/>
                <w:szCs w:val="21"/>
                <w:highlight w:val="none"/>
              </w:rPr>
              <w:t>标人负责赔偿。</w:t>
            </w:r>
          </w:p>
        </w:tc>
      </w:tr>
      <w:tr w14:paraId="489259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96" w:type="dxa"/>
            <w:tcBorders>
              <w:tl2br w:val="nil"/>
              <w:tr2bl w:val="nil"/>
            </w:tcBorders>
            <w:vAlign w:val="center"/>
          </w:tcPr>
          <w:p w14:paraId="46920392">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11</w:t>
            </w:r>
          </w:p>
        </w:tc>
        <w:tc>
          <w:tcPr>
            <w:tcW w:w="1666" w:type="dxa"/>
            <w:tcBorders>
              <w:tl2br w:val="nil"/>
              <w:tr2bl w:val="nil"/>
            </w:tcBorders>
            <w:vAlign w:val="center"/>
          </w:tcPr>
          <w:p w14:paraId="6A9FBFBE">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合同语言</w:t>
            </w:r>
          </w:p>
        </w:tc>
        <w:tc>
          <w:tcPr>
            <w:tcW w:w="6109" w:type="dxa"/>
            <w:tcBorders>
              <w:tl2br w:val="nil"/>
              <w:tr2bl w:val="nil"/>
            </w:tcBorders>
          </w:tcPr>
          <w:p w14:paraId="0D8BD5B6">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hint="eastAsia" w:ascii="Times New Roman" w:hAnsi="Times New Roman" w:cs="Times New Roman"/>
                <w:bCs/>
                <w:sz w:val="21"/>
                <w:szCs w:val="21"/>
                <w:highlight w:val="none"/>
                <w:lang w:val="en-US" w:eastAsia="zh-CN"/>
              </w:rPr>
              <w:t>11.1</w:t>
            </w:r>
            <w:r>
              <w:rPr>
                <w:rFonts w:ascii="Times New Roman" w:hAnsi="Times New Roman" w:cs="Times New Roman"/>
                <w:bCs/>
                <w:sz w:val="21"/>
                <w:szCs w:val="21"/>
                <w:highlight w:val="none"/>
              </w:rPr>
              <w:t>本合同以及双方</w:t>
            </w:r>
            <w:r>
              <w:rPr>
                <w:rFonts w:hint="eastAsia" w:ascii="Times New Roman" w:hAnsi="Times New Roman" w:cs="Times New Roman"/>
                <w:bCs/>
                <w:sz w:val="21"/>
                <w:szCs w:val="21"/>
                <w:highlight w:val="none"/>
                <w:lang w:eastAsia="zh-CN"/>
              </w:rPr>
              <w:t>来往</w:t>
            </w:r>
            <w:r>
              <w:rPr>
                <w:rFonts w:ascii="Times New Roman" w:hAnsi="Times New Roman" w:cs="Times New Roman"/>
                <w:bCs/>
                <w:sz w:val="21"/>
                <w:szCs w:val="21"/>
                <w:highlight w:val="none"/>
              </w:rPr>
              <w:t>的与合同有关的信件、传真和其它文件应用中文书写。</w:t>
            </w:r>
          </w:p>
        </w:tc>
      </w:tr>
      <w:tr w14:paraId="436EDC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96" w:type="dxa"/>
            <w:tcBorders>
              <w:tl2br w:val="nil"/>
              <w:tr2bl w:val="nil"/>
            </w:tcBorders>
            <w:vAlign w:val="center"/>
          </w:tcPr>
          <w:p w14:paraId="6C3CB1D6">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12</w:t>
            </w:r>
          </w:p>
        </w:tc>
        <w:tc>
          <w:tcPr>
            <w:tcW w:w="1666" w:type="dxa"/>
            <w:tcBorders>
              <w:tl2br w:val="nil"/>
              <w:tr2bl w:val="nil"/>
            </w:tcBorders>
            <w:vAlign w:val="center"/>
          </w:tcPr>
          <w:p w14:paraId="6F7F5C78">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法律适用</w:t>
            </w:r>
          </w:p>
        </w:tc>
        <w:tc>
          <w:tcPr>
            <w:tcW w:w="6109" w:type="dxa"/>
            <w:tcBorders>
              <w:tl2br w:val="nil"/>
              <w:tr2bl w:val="nil"/>
            </w:tcBorders>
          </w:tcPr>
          <w:p w14:paraId="040B6002">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hint="eastAsia" w:ascii="Times New Roman" w:hAnsi="Times New Roman" w:cs="Times New Roman"/>
                <w:bCs/>
                <w:sz w:val="21"/>
                <w:szCs w:val="21"/>
                <w:highlight w:val="none"/>
                <w:lang w:val="en-US" w:eastAsia="zh-CN"/>
              </w:rPr>
              <w:t>12.1</w:t>
            </w:r>
            <w:r>
              <w:rPr>
                <w:rFonts w:ascii="Times New Roman" w:hAnsi="Times New Roman" w:cs="Times New Roman"/>
                <w:bCs/>
                <w:sz w:val="21"/>
                <w:szCs w:val="21"/>
                <w:highlight w:val="none"/>
              </w:rPr>
              <w:t>本合同适用中华人民共和国现行法律、行政法规和规章，如合同条款与法律、行政法规和规章不一致的，按照法律、行政法规和规章修改本合同。</w:t>
            </w:r>
          </w:p>
        </w:tc>
      </w:tr>
      <w:tr w14:paraId="480F3D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1296" w:type="dxa"/>
            <w:vMerge w:val="restart"/>
            <w:tcBorders>
              <w:tl2br w:val="nil"/>
              <w:tr2bl w:val="nil"/>
            </w:tcBorders>
            <w:vAlign w:val="center"/>
          </w:tcPr>
          <w:p w14:paraId="71E285F6">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13</w:t>
            </w:r>
          </w:p>
        </w:tc>
        <w:tc>
          <w:tcPr>
            <w:tcW w:w="1666" w:type="dxa"/>
            <w:vMerge w:val="restart"/>
            <w:tcBorders>
              <w:tl2br w:val="nil"/>
              <w:tr2bl w:val="nil"/>
            </w:tcBorders>
            <w:vAlign w:val="center"/>
          </w:tcPr>
          <w:p w14:paraId="1A3A1E03">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通知</w:t>
            </w:r>
          </w:p>
        </w:tc>
        <w:tc>
          <w:tcPr>
            <w:tcW w:w="6109" w:type="dxa"/>
            <w:tcBorders>
              <w:tl2br w:val="nil"/>
              <w:tr2bl w:val="nil"/>
            </w:tcBorders>
            <w:vAlign w:val="center"/>
          </w:tcPr>
          <w:p w14:paraId="429E2571">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13.1 本合同一方给另一方的通知均应采用书面形式，传真或快递送到对方的地址和办理签收手续。</w:t>
            </w:r>
          </w:p>
        </w:tc>
      </w:tr>
      <w:tr w14:paraId="5470CB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1296" w:type="dxa"/>
            <w:vMerge w:val="continue"/>
            <w:tcBorders>
              <w:tl2br w:val="nil"/>
              <w:tr2bl w:val="nil"/>
            </w:tcBorders>
            <w:vAlign w:val="center"/>
          </w:tcPr>
          <w:p w14:paraId="49A4EAC0">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1666" w:type="dxa"/>
            <w:vMerge w:val="continue"/>
            <w:tcBorders>
              <w:tl2br w:val="nil"/>
              <w:tr2bl w:val="nil"/>
            </w:tcBorders>
            <w:vAlign w:val="center"/>
          </w:tcPr>
          <w:p w14:paraId="56CEB4C5">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p>
        </w:tc>
        <w:tc>
          <w:tcPr>
            <w:tcW w:w="6109" w:type="dxa"/>
            <w:tcBorders>
              <w:tl2br w:val="nil"/>
              <w:tr2bl w:val="nil"/>
            </w:tcBorders>
            <w:vAlign w:val="center"/>
          </w:tcPr>
          <w:p w14:paraId="52F9CE6B">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13.2 通知以送到之日或通知书中规定的生效之日起生效，两者中以较迟之日为准。</w:t>
            </w:r>
          </w:p>
        </w:tc>
      </w:tr>
      <w:tr w14:paraId="33EE08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1296" w:type="dxa"/>
            <w:tcBorders>
              <w:tl2br w:val="nil"/>
              <w:tr2bl w:val="nil"/>
            </w:tcBorders>
            <w:vAlign w:val="center"/>
          </w:tcPr>
          <w:p w14:paraId="5B14D82E">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14</w:t>
            </w:r>
          </w:p>
        </w:tc>
        <w:tc>
          <w:tcPr>
            <w:tcW w:w="1666" w:type="dxa"/>
            <w:tcBorders>
              <w:tl2br w:val="nil"/>
              <w:tr2bl w:val="nil"/>
            </w:tcBorders>
            <w:vAlign w:val="center"/>
          </w:tcPr>
          <w:p w14:paraId="49B645AF">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知识产权</w:t>
            </w:r>
          </w:p>
        </w:tc>
        <w:tc>
          <w:tcPr>
            <w:tcW w:w="6109" w:type="dxa"/>
            <w:tcBorders>
              <w:tl2br w:val="nil"/>
              <w:tr2bl w:val="nil"/>
            </w:tcBorders>
          </w:tcPr>
          <w:p w14:paraId="709C36C5">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hint="eastAsia" w:ascii="Times New Roman" w:hAnsi="Times New Roman" w:cs="Times New Roman"/>
                <w:bCs/>
                <w:sz w:val="21"/>
                <w:szCs w:val="21"/>
                <w:highlight w:val="none"/>
                <w:lang w:val="en-US" w:eastAsia="zh-CN"/>
              </w:rPr>
              <w:t>14.1</w:t>
            </w:r>
            <w:r>
              <w:rPr>
                <w:rFonts w:hint="eastAsia" w:ascii="Times New Roman" w:hAnsi="Times New Roman" w:cs="Times New Roman"/>
                <w:bCs/>
                <w:sz w:val="21"/>
                <w:szCs w:val="21"/>
                <w:highlight w:val="none"/>
              </w:rPr>
              <w:t>投</w:t>
            </w:r>
            <w:r>
              <w:rPr>
                <w:rFonts w:ascii="Times New Roman" w:hAnsi="Times New Roman" w:cs="Times New Roman"/>
                <w:bCs/>
                <w:sz w:val="21"/>
                <w:szCs w:val="21"/>
                <w:highlight w:val="none"/>
              </w:rPr>
              <w:t>标人应保证采购人在使用该货物或其任何一部分时免受第三方提出侵犯其专利、商标、版权等知识产权或商品名称及其他权利的起诉及索赔。若采购人因此被第三方起诉或以其它方式追究责任，</w:t>
            </w:r>
            <w:r>
              <w:rPr>
                <w:rFonts w:hint="eastAsia" w:ascii="Times New Roman" w:hAnsi="Times New Roman" w:cs="Times New Roman"/>
                <w:bCs/>
                <w:sz w:val="21"/>
                <w:szCs w:val="21"/>
                <w:highlight w:val="none"/>
              </w:rPr>
              <w:t>投</w:t>
            </w:r>
            <w:r>
              <w:rPr>
                <w:rFonts w:ascii="Times New Roman" w:hAnsi="Times New Roman" w:cs="Times New Roman"/>
                <w:bCs/>
                <w:sz w:val="21"/>
                <w:szCs w:val="21"/>
                <w:highlight w:val="none"/>
              </w:rPr>
              <w:t>标人应赔偿因采购人被第三方索赔所引起的一切损失，包括但不限于采购人所支付的侵权损害赔偿费、律师费、诉讼费、仲裁费、办案差旅费等因应诉、沟通协调所</w:t>
            </w:r>
            <w:r>
              <w:rPr>
                <w:rFonts w:hint="eastAsia" w:ascii="Times New Roman" w:hAnsi="Times New Roman" w:cs="Times New Roman"/>
                <w:bCs/>
                <w:sz w:val="21"/>
                <w:szCs w:val="21"/>
                <w:highlight w:val="none"/>
                <w:lang w:eastAsia="zh-CN"/>
              </w:rPr>
              <w:t>发生</w:t>
            </w:r>
            <w:r>
              <w:rPr>
                <w:rFonts w:ascii="Times New Roman" w:hAnsi="Times New Roman" w:cs="Times New Roman"/>
                <w:bCs/>
                <w:sz w:val="21"/>
                <w:szCs w:val="21"/>
                <w:highlight w:val="none"/>
              </w:rPr>
              <w:t>的一切费用。</w:t>
            </w:r>
          </w:p>
        </w:tc>
      </w:tr>
      <w:tr w14:paraId="49CDC7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96" w:type="dxa"/>
            <w:tcBorders>
              <w:tl2br w:val="nil"/>
              <w:tr2bl w:val="nil"/>
            </w:tcBorders>
            <w:vAlign w:val="center"/>
          </w:tcPr>
          <w:p w14:paraId="3FDDDB6B">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15</w:t>
            </w:r>
          </w:p>
        </w:tc>
        <w:tc>
          <w:tcPr>
            <w:tcW w:w="1666" w:type="dxa"/>
            <w:tcBorders>
              <w:tl2br w:val="nil"/>
              <w:tr2bl w:val="nil"/>
            </w:tcBorders>
            <w:vAlign w:val="center"/>
          </w:tcPr>
          <w:p w14:paraId="3D3773CF">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合同解除和终止</w:t>
            </w:r>
          </w:p>
        </w:tc>
        <w:tc>
          <w:tcPr>
            <w:tcW w:w="6109" w:type="dxa"/>
            <w:tcBorders>
              <w:tl2br w:val="nil"/>
              <w:tr2bl w:val="nil"/>
            </w:tcBorders>
          </w:tcPr>
          <w:p w14:paraId="1362A12C">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hint="eastAsia" w:ascii="Times New Roman" w:hAnsi="Times New Roman" w:cs="Times New Roman"/>
                <w:bCs/>
                <w:sz w:val="21"/>
                <w:szCs w:val="21"/>
                <w:highlight w:val="none"/>
                <w:lang w:val="en-US" w:eastAsia="zh-CN"/>
              </w:rPr>
              <w:t>15.1</w:t>
            </w:r>
            <w:r>
              <w:rPr>
                <w:rFonts w:ascii="Times New Roman" w:hAnsi="Times New Roman" w:cs="Times New Roman"/>
                <w:bCs/>
                <w:sz w:val="21"/>
                <w:szCs w:val="21"/>
                <w:highlight w:val="none"/>
              </w:rPr>
              <w:t>如果中标人未能在协议规定的限期或采购人同意延长的限期内提供部分或全部货物，采购人可向中标人发出书面的违约通知书，提出终止</w:t>
            </w:r>
            <w:r>
              <w:rPr>
                <w:rFonts w:hint="eastAsia" w:ascii="Times New Roman" w:hAnsi="Times New Roman" w:cs="Times New Roman"/>
                <w:bCs/>
                <w:sz w:val="21"/>
                <w:szCs w:val="21"/>
                <w:highlight w:val="none"/>
                <w:lang w:eastAsia="zh-CN"/>
              </w:rPr>
              <w:t>部分</w:t>
            </w:r>
            <w:r>
              <w:rPr>
                <w:rFonts w:ascii="Times New Roman" w:hAnsi="Times New Roman" w:cs="Times New Roman"/>
                <w:bCs/>
                <w:sz w:val="21"/>
                <w:szCs w:val="21"/>
                <w:highlight w:val="none"/>
              </w:rPr>
              <w:t>或全部协议。采购人可在任何时候出于自身的便利向</w:t>
            </w:r>
            <w:r>
              <w:rPr>
                <w:rFonts w:hint="eastAsia" w:ascii="Times New Roman" w:hAnsi="Times New Roman" w:cs="Times New Roman"/>
                <w:bCs/>
                <w:sz w:val="21"/>
                <w:szCs w:val="21"/>
                <w:highlight w:val="none"/>
              </w:rPr>
              <w:t>投</w:t>
            </w:r>
            <w:r>
              <w:rPr>
                <w:rFonts w:ascii="Times New Roman" w:hAnsi="Times New Roman" w:cs="Times New Roman"/>
                <w:bCs/>
                <w:sz w:val="21"/>
                <w:szCs w:val="21"/>
                <w:highlight w:val="none"/>
              </w:rPr>
              <w:t>标人发出书面通知终止部分合同，采购人在合同总价中扣除该终止部分货物的价款，并不再对</w:t>
            </w:r>
            <w:r>
              <w:rPr>
                <w:rFonts w:hint="eastAsia" w:ascii="Times New Roman" w:hAnsi="Times New Roman" w:cs="Times New Roman"/>
                <w:bCs/>
                <w:sz w:val="21"/>
                <w:szCs w:val="21"/>
                <w:highlight w:val="none"/>
              </w:rPr>
              <w:t>投</w:t>
            </w:r>
            <w:r>
              <w:rPr>
                <w:rFonts w:ascii="Times New Roman" w:hAnsi="Times New Roman" w:cs="Times New Roman"/>
                <w:bCs/>
                <w:sz w:val="21"/>
                <w:szCs w:val="21"/>
                <w:highlight w:val="none"/>
              </w:rPr>
              <w:t>标人作出额外赔偿。</w:t>
            </w:r>
          </w:p>
        </w:tc>
      </w:tr>
      <w:tr w14:paraId="21B21F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96" w:type="dxa"/>
            <w:tcBorders>
              <w:tl2br w:val="nil"/>
              <w:tr2bl w:val="nil"/>
            </w:tcBorders>
            <w:vAlign w:val="center"/>
          </w:tcPr>
          <w:p w14:paraId="4476E737">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ascii="Times New Roman" w:hAnsi="Times New Roman" w:cs="Times New Roman"/>
                <w:bCs/>
                <w:sz w:val="21"/>
                <w:szCs w:val="21"/>
                <w:highlight w:val="none"/>
              </w:rPr>
              <w:t>16</w:t>
            </w:r>
          </w:p>
        </w:tc>
        <w:tc>
          <w:tcPr>
            <w:tcW w:w="1666" w:type="dxa"/>
            <w:tcBorders>
              <w:tl2br w:val="nil"/>
              <w:tr2bl w:val="nil"/>
            </w:tcBorders>
            <w:vAlign w:val="center"/>
          </w:tcPr>
          <w:p w14:paraId="2090FF13">
            <w:pPr>
              <w:keepNext w:val="0"/>
              <w:keepLines w:val="0"/>
              <w:pageBreakBefore w:val="0"/>
              <w:widowControl/>
              <w:kinsoku/>
              <w:wordWrap/>
              <w:overflowPunct/>
              <w:topLinePunct w:val="0"/>
              <w:autoSpaceDE/>
              <w:autoSpaceDN/>
              <w:bidi w:val="0"/>
              <w:snapToGrid/>
              <w:spacing w:line="264" w:lineRule="auto"/>
              <w:jc w:val="center"/>
              <w:textAlignment w:val="auto"/>
              <w:rPr>
                <w:rFonts w:ascii="Times New Roman" w:hAnsi="Times New Roman" w:cs="Times New Roman"/>
                <w:bCs/>
                <w:sz w:val="21"/>
                <w:szCs w:val="21"/>
                <w:highlight w:val="none"/>
              </w:rPr>
            </w:pPr>
            <w:r>
              <w:rPr>
                <w:rFonts w:hint="eastAsia" w:ascii="Times New Roman" w:hAnsi="Times New Roman" w:cs="Times New Roman"/>
                <w:bCs/>
                <w:sz w:val="21"/>
                <w:szCs w:val="21"/>
                <w:highlight w:val="none"/>
              </w:rPr>
              <w:t>发票类型</w:t>
            </w:r>
          </w:p>
        </w:tc>
        <w:tc>
          <w:tcPr>
            <w:tcW w:w="6109" w:type="dxa"/>
            <w:tcBorders>
              <w:tl2br w:val="nil"/>
              <w:tr2bl w:val="nil"/>
            </w:tcBorders>
          </w:tcPr>
          <w:p w14:paraId="75964A6D">
            <w:pPr>
              <w:keepNext w:val="0"/>
              <w:keepLines w:val="0"/>
              <w:pageBreakBefore w:val="0"/>
              <w:widowControl/>
              <w:kinsoku/>
              <w:wordWrap/>
              <w:overflowPunct/>
              <w:topLinePunct w:val="0"/>
              <w:autoSpaceDE/>
              <w:autoSpaceDN/>
              <w:bidi w:val="0"/>
              <w:snapToGrid/>
              <w:spacing w:line="264" w:lineRule="auto"/>
              <w:textAlignment w:val="auto"/>
              <w:rPr>
                <w:rFonts w:ascii="Times New Roman" w:hAnsi="Times New Roman" w:cs="Times New Roman"/>
                <w:bCs/>
                <w:sz w:val="21"/>
                <w:szCs w:val="21"/>
                <w:highlight w:val="none"/>
              </w:rPr>
            </w:pPr>
            <w:r>
              <w:rPr>
                <w:rFonts w:hint="eastAsia" w:ascii="Times New Roman" w:hAnsi="Times New Roman" w:cs="Times New Roman"/>
                <w:bCs/>
                <w:sz w:val="21"/>
                <w:szCs w:val="21"/>
                <w:highlight w:val="none"/>
                <w:lang w:val="en-US" w:eastAsia="zh-CN"/>
              </w:rPr>
              <w:t>16.1</w:t>
            </w:r>
            <w:r>
              <w:rPr>
                <w:rFonts w:ascii="Times New Roman" w:hAnsi="Times New Roman" w:cs="Times New Roman"/>
                <w:bCs/>
                <w:sz w:val="21"/>
                <w:szCs w:val="21"/>
                <w:highlight w:val="none"/>
              </w:rPr>
              <w:t>增值税专用发票。</w:t>
            </w:r>
          </w:p>
        </w:tc>
      </w:tr>
    </w:tbl>
    <w:p w14:paraId="277F578A">
      <w:pPr>
        <w:jc w:val="both"/>
        <w:rPr>
          <w:rFonts w:ascii="宋体" w:hAnsi="宋体" w:eastAsia="黑体"/>
          <w:sz w:val="28"/>
          <w:szCs w:val="28"/>
        </w:rPr>
      </w:pPr>
    </w:p>
    <w:p w14:paraId="5A22DC27">
      <w:pPr>
        <w:rPr>
          <w:rFonts w:ascii="宋体" w:hAnsi="宋体" w:eastAsia="黑体"/>
          <w:sz w:val="28"/>
          <w:szCs w:val="28"/>
        </w:rPr>
      </w:pPr>
      <w:r>
        <w:rPr>
          <w:rFonts w:hint="eastAsia" w:ascii="宋体" w:hAnsi="宋体" w:eastAsia="黑体"/>
          <w:sz w:val="28"/>
          <w:szCs w:val="28"/>
        </w:rPr>
        <w:br w:type="page"/>
      </w:r>
    </w:p>
    <w:p w14:paraId="0664AC3F">
      <w:pPr>
        <w:jc w:val="center"/>
        <w:outlineLvl w:val="2"/>
        <w:rPr>
          <w:szCs w:val="28"/>
        </w:rPr>
      </w:pPr>
      <w:r>
        <w:rPr>
          <w:rFonts w:hint="eastAsia" w:ascii="宋体" w:hAnsi="宋体" w:eastAsia="黑体"/>
          <w:sz w:val="28"/>
          <w:szCs w:val="28"/>
        </w:rPr>
        <w:t>五、其他重要条款</w:t>
      </w:r>
    </w:p>
    <w:p w14:paraId="5F30ABD3">
      <w:pPr>
        <w:ind w:firstLine="420" w:firstLineChars="200"/>
        <w:rPr>
          <w:rFonts w:ascii="宋体" w:hAnsi="宋体" w:eastAsia="宋体" w:cs="宋体"/>
          <w:bCs/>
          <w:sz w:val="21"/>
          <w:szCs w:val="21"/>
        </w:rPr>
      </w:pPr>
      <w:bookmarkStart w:id="31" w:name="_Hlk72257111"/>
      <w:r>
        <w:rPr>
          <w:rFonts w:hint="eastAsia" w:ascii="宋体" w:hAnsi="宋体" w:eastAsia="宋体" w:cs="宋体"/>
          <w:bCs/>
          <w:sz w:val="21"/>
          <w:szCs w:val="21"/>
        </w:rPr>
        <w:t>1.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693CADAB">
      <w:pPr>
        <w:pStyle w:val="7"/>
        <w:spacing w:before="60" w:beforeLines="25" w:after="60" w:afterLines="25"/>
        <w:ind w:firstLineChars="200"/>
        <w:rPr>
          <w:rFonts w:ascii="宋体" w:hAnsi="宋体" w:eastAsia="宋体" w:cs="宋体"/>
          <w:sz w:val="21"/>
          <w:szCs w:val="21"/>
        </w:rPr>
      </w:pPr>
      <w:r>
        <w:rPr>
          <w:rFonts w:hint="eastAsia" w:ascii="宋体" w:hAnsi="宋体" w:eastAsia="宋体" w:cs="宋体"/>
          <w:bCs/>
          <w:sz w:val="21"/>
          <w:szCs w:val="21"/>
        </w:rPr>
        <w:t>2.投标人应充分了解项目的位置、情况、道路及任何其它足以影响投标报价的情况，任何因忽视或误解项目情况而导致的索赔或服务期限延长申请将不获批准。</w:t>
      </w:r>
    </w:p>
    <w:p w14:paraId="57DF682A">
      <w:pPr>
        <w:ind w:firstLine="420" w:firstLineChars="200"/>
        <w:rPr>
          <w:rFonts w:ascii="宋体" w:hAnsi="宋体" w:eastAsia="宋体" w:cs="宋体"/>
          <w:bCs/>
          <w:sz w:val="21"/>
          <w:szCs w:val="21"/>
        </w:rPr>
      </w:pPr>
      <w:r>
        <w:rPr>
          <w:rFonts w:hint="eastAsia" w:ascii="宋体" w:hAnsi="宋体" w:eastAsia="宋体" w:cs="宋体"/>
          <w:bCs/>
          <w:sz w:val="21"/>
          <w:szCs w:val="21"/>
        </w:rPr>
        <w:t>3.投标人不得期望通过索赔等方式获取补偿，否则，除可能遭到拒绝外，还可能将被作为不良行为记录在案，并可能影响其以后参加政府采购的项目投标。各投标人在投标报价时，应充分考虑投标报价的风险。</w:t>
      </w:r>
    </w:p>
    <w:p w14:paraId="30ABF471">
      <w:pPr>
        <w:ind w:firstLine="420" w:firstLineChars="200"/>
        <w:rPr>
          <w:rFonts w:ascii="宋体" w:hAnsi="宋体" w:eastAsia="宋体" w:cs="宋体"/>
          <w:bCs/>
          <w:sz w:val="21"/>
          <w:szCs w:val="21"/>
        </w:rPr>
      </w:pPr>
      <w:r>
        <w:rPr>
          <w:rFonts w:hint="eastAsia" w:ascii="宋体" w:hAnsi="宋体" w:eastAsia="宋体" w:cs="宋体"/>
          <w:bCs/>
          <w:sz w:val="21"/>
          <w:szCs w:val="21"/>
        </w:rPr>
        <w:t>4.鼓励采购人积极运用公共信用信息，明确对信用记录良好的供应商（特别是中小微企业）免收履约保证金，确需收取履约保证金的，列明通过保函等非现金方式收取。在采购合同中明确对上述企业加大首付款或预付款比例，具体由采购人根据项目实际情况确定。</w:t>
      </w:r>
    </w:p>
    <w:p w14:paraId="4FCD5D14">
      <w:pPr>
        <w:ind w:firstLine="420" w:firstLineChars="200"/>
        <w:rPr>
          <w:bCs/>
          <w:szCs w:val="21"/>
        </w:rPr>
      </w:pPr>
      <w:r>
        <w:rPr>
          <w:rFonts w:hint="eastAsia" w:ascii="宋体" w:hAnsi="宋体" w:eastAsia="宋体" w:cs="宋体"/>
          <w:bCs/>
          <w:sz w:val="21"/>
          <w:szCs w:val="21"/>
        </w:rPr>
        <w:t>5.除政府采购合同继续履行将损害国家利益和社会公共利益外，双方当事人不得擅自变更、中止或者终止合同。</w:t>
      </w:r>
      <w:bookmarkEnd w:id="31"/>
    </w:p>
    <w:p w14:paraId="1478B3CA">
      <w:pPr>
        <w:ind w:firstLine="420" w:firstLineChars="200"/>
        <w:rPr>
          <w:rFonts w:ascii="宋体" w:hAnsi="宋体" w:cs="宋体"/>
          <w:sz w:val="21"/>
          <w:szCs w:val="21"/>
        </w:rPr>
      </w:pPr>
    </w:p>
    <w:p w14:paraId="759618F5">
      <w:pPr>
        <w:ind w:firstLine="480" w:firstLineChars="200"/>
        <w:rPr>
          <w:rFonts w:ascii="宋体" w:hAnsi="宋体" w:cs="宋体"/>
        </w:rPr>
      </w:pPr>
    </w:p>
    <w:p w14:paraId="1A486146"/>
    <w:p w14:paraId="3922DC40">
      <w:pPr>
        <w:rPr>
          <w:rFonts w:ascii="宋体" w:hAnsi="宋体" w:eastAsia="宋体" w:cs="宋体"/>
          <w:b/>
          <w:bCs/>
          <w:sz w:val="36"/>
          <w:szCs w:val="36"/>
        </w:rPr>
      </w:pPr>
      <w:r>
        <w:rPr>
          <w:rFonts w:hint="eastAsia" w:ascii="宋体" w:hAnsi="宋体" w:eastAsia="宋体" w:cs="宋体"/>
          <w:b/>
          <w:bCs/>
          <w:sz w:val="36"/>
          <w:szCs w:val="36"/>
        </w:rPr>
        <w:br w:type="page"/>
      </w:r>
    </w:p>
    <w:p w14:paraId="73F44035">
      <w:pPr>
        <w:pStyle w:val="3"/>
        <w:rPr>
          <w:b/>
          <w:bCs/>
          <w:sz w:val="36"/>
          <w:szCs w:val="36"/>
        </w:rPr>
      </w:pPr>
      <w:r>
        <w:rPr>
          <w:rFonts w:hint="eastAsia" w:ascii="宋体" w:hAnsi="宋体" w:eastAsia="宋体" w:cs="宋体"/>
          <w:b/>
          <w:bCs/>
          <w:sz w:val="36"/>
          <w:szCs w:val="36"/>
        </w:rPr>
        <w:t>第</w:t>
      </w:r>
      <w:r>
        <w:rPr>
          <w:rFonts w:hint="eastAsia"/>
          <w:b/>
          <w:bCs/>
          <w:sz w:val="36"/>
          <w:szCs w:val="36"/>
        </w:rPr>
        <w:t>四章  投标文件格式、附件</w:t>
      </w:r>
    </w:p>
    <w:p w14:paraId="7C501714">
      <w:pPr>
        <w:spacing w:line="288" w:lineRule="auto"/>
        <w:outlineLvl w:val="2"/>
        <w:rPr>
          <w:rStyle w:val="60"/>
          <w:rFonts w:ascii="宋体" w:hAnsi="宋体" w:eastAsia="宋体" w:cs="宋体"/>
          <w:b/>
          <w:bCs w:val="0"/>
          <w:color w:val="FF0000"/>
          <w:sz w:val="21"/>
          <w:szCs w:val="21"/>
        </w:rPr>
      </w:pPr>
      <w:r>
        <w:rPr>
          <w:rStyle w:val="60"/>
          <w:rFonts w:hint="eastAsia" w:ascii="宋体" w:hAnsi="宋体" w:eastAsia="宋体" w:cs="宋体"/>
          <w:b/>
          <w:bCs w:val="0"/>
          <w:color w:val="FF0000"/>
          <w:sz w:val="21"/>
          <w:szCs w:val="21"/>
        </w:rPr>
        <w:t>特别提醒：</w:t>
      </w:r>
    </w:p>
    <w:p w14:paraId="279254C6">
      <w:pPr>
        <w:spacing w:line="288"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投标文件正文将对外公开，投标文件附件不公开。投标人在编辑投标文件时，在投标文件目录中属于本节点内容的必须在本节点中填写，填写到其他节点或附件的将可能导致投标无效，一切后果由供应商自行承担。</w:t>
      </w:r>
    </w:p>
    <w:p w14:paraId="33CB092C">
      <w:pPr>
        <w:spacing w:line="288"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投标文件正文（信息公开部分）必须编制于“投标</w:t>
      </w:r>
      <w:r>
        <w:rPr>
          <w:rFonts w:hint="eastAsia" w:ascii="宋体" w:hAnsi="宋体" w:eastAsia="宋体" w:cs="宋体"/>
          <w:color w:val="0000FF"/>
          <w:sz w:val="21"/>
          <w:szCs w:val="21"/>
        </w:rPr>
        <w:t>书</w:t>
      </w:r>
      <w:r>
        <w:rPr>
          <w:rFonts w:hint="eastAsia" w:ascii="宋体" w:hAnsi="宋体" w:eastAsia="宋体" w:cs="宋体"/>
          <w:color w:val="000000"/>
          <w:sz w:val="21"/>
          <w:szCs w:val="21"/>
        </w:rPr>
        <w:t>目录”，投标文件附件（非信息公开部分）必须编制于“投标书附件”，如下图所示。</w:t>
      </w:r>
    </w:p>
    <w:p w14:paraId="0F2B9D47">
      <w:pPr>
        <w:snapToGrid w:val="0"/>
        <w:spacing w:line="288" w:lineRule="auto"/>
        <w:jc w:val="center"/>
        <w:rPr>
          <w:rFonts w:ascii="宋体" w:hAnsi="宋体" w:eastAsia="宋体" w:cs="宋体"/>
          <w:color w:val="000000"/>
          <w:sz w:val="21"/>
          <w:szCs w:val="21"/>
        </w:rPr>
      </w:pPr>
      <w:r>
        <w:rPr>
          <w:rFonts w:hint="eastAsia" w:ascii="宋体" w:hAnsi="宋体" w:eastAsia="宋体" w:cs="宋体"/>
          <w:color w:val="000000"/>
          <w:sz w:val="21"/>
          <w:szCs w:val="21"/>
        </w:rPr>
        <w:drawing>
          <wp:inline distT="0" distB="0" distL="114300" distR="114300">
            <wp:extent cx="5278755" cy="4126230"/>
            <wp:effectExtent l="0" t="0" r="9525" b="3810"/>
            <wp:docPr id="4" name="图片 4"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形用户界面, 应用程序&#10;&#10;描述已自动生成"/>
                    <pic:cNvPicPr>
                      <a:picLocks noChangeAspect="1"/>
                    </pic:cNvPicPr>
                  </pic:nvPicPr>
                  <pic:blipFill>
                    <a:blip r:embed="rId9"/>
                    <a:stretch>
                      <a:fillRect/>
                    </a:stretch>
                  </pic:blipFill>
                  <pic:spPr>
                    <a:xfrm>
                      <a:off x="0" y="0"/>
                      <a:ext cx="5278755" cy="4126230"/>
                    </a:xfrm>
                    <a:prstGeom prst="rect">
                      <a:avLst/>
                    </a:prstGeom>
                    <a:noFill/>
                    <a:ln>
                      <a:noFill/>
                    </a:ln>
                  </pic:spPr>
                </pic:pic>
              </a:graphicData>
            </a:graphic>
          </wp:inline>
        </w:drawing>
      </w:r>
    </w:p>
    <w:p w14:paraId="173D5A6D">
      <w:pPr>
        <w:spacing w:line="288"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政府采购代理机构公布投标文件正文（信息公开部分）时为计算机截取信息自动公布，</w:t>
      </w:r>
      <w:r>
        <w:rPr>
          <w:rFonts w:hint="eastAsia" w:ascii="宋体" w:hAnsi="宋体" w:eastAsia="宋体" w:cs="宋体"/>
          <w:b/>
          <w:bCs/>
          <w:color w:val="000000"/>
          <w:sz w:val="21"/>
          <w:szCs w:val="21"/>
        </w:rPr>
        <w:t>如投标人误将涉及个人隐私的信息放入投标文件正文，相关后果由投标人自负；</w:t>
      </w:r>
      <w:r>
        <w:rPr>
          <w:rFonts w:hint="eastAsia" w:ascii="宋体" w:hAnsi="宋体" w:eastAsia="宋体" w:cs="宋体"/>
          <w:color w:val="000000"/>
          <w:sz w:val="21"/>
          <w:szCs w:val="21"/>
        </w:rPr>
        <w:t>如投标人将必须放于投标文件正文（信息公开部分）的内容放入投标文件附件（非信息公开部分）以回避信息公开、证明文件与业绩等相关资料列放位置错误，由此引发的不利于投标人的后果由投标人承担。</w:t>
      </w:r>
    </w:p>
    <w:p w14:paraId="27C2D2D4">
      <w:pPr>
        <w:spacing w:line="288" w:lineRule="auto"/>
        <w:ind w:firstLine="422" w:firstLineChars="200"/>
        <w:rPr>
          <w:rFonts w:ascii="宋体" w:hAnsi="宋体" w:eastAsia="宋体" w:cs="宋体"/>
          <w:b/>
          <w:bCs/>
          <w:strike/>
          <w:color w:val="FF0000"/>
          <w:sz w:val="21"/>
          <w:szCs w:val="21"/>
        </w:rPr>
      </w:pPr>
      <w:r>
        <w:rPr>
          <w:rFonts w:hint="eastAsia" w:ascii="宋体" w:hAnsi="宋体" w:eastAsia="宋体" w:cs="宋体"/>
          <w:b/>
          <w:bCs/>
          <w:color w:val="FF0000"/>
          <w:sz w:val="21"/>
          <w:szCs w:val="21"/>
        </w:rPr>
        <w:t>备注：</w:t>
      </w:r>
    </w:p>
    <w:p w14:paraId="781ED093">
      <w:pPr>
        <w:spacing w:line="288" w:lineRule="auto"/>
        <w:ind w:firstLine="422" w:firstLineChars="200"/>
        <w:rPr>
          <w:rFonts w:ascii="宋体" w:hAnsi="宋体" w:eastAsia="宋体" w:cs="宋体"/>
          <w:b/>
          <w:bCs/>
          <w:color w:val="FF0000"/>
          <w:sz w:val="21"/>
          <w:szCs w:val="21"/>
        </w:rPr>
      </w:pPr>
      <w:r>
        <w:rPr>
          <w:rFonts w:hint="eastAsia" w:ascii="宋体" w:hAnsi="宋体" w:eastAsia="宋体" w:cs="宋体"/>
          <w:b/>
          <w:bCs/>
          <w:color w:val="FF0000"/>
          <w:sz w:val="21"/>
          <w:szCs w:val="21"/>
        </w:rPr>
        <w:t>1.本项目为网上电子投标项目，投标文件不需法人或授权委托人另行签字，无需加盖单位公章，招标文件专用条款另有规定的除外。</w:t>
      </w:r>
    </w:p>
    <w:p w14:paraId="51349522">
      <w:pPr>
        <w:spacing w:line="288" w:lineRule="auto"/>
        <w:ind w:firstLine="422" w:firstLineChars="200"/>
        <w:rPr>
          <w:rFonts w:ascii="宋体" w:hAnsi="宋体" w:eastAsia="宋体" w:cs="宋体"/>
          <w:color w:val="FF0000"/>
          <w:sz w:val="21"/>
          <w:szCs w:val="21"/>
        </w:rPr>
      </w:pPr>
      <w:r>
        <w:rPr>
          <w:rFonts w:hint="eastAsia" w:ascii="宋体" w:hAnsi="宋体" w:eastAsia="宋体" w:cs="宋体"/>
          <w:b/>
          <w:bCs/>
          <w:color w:val="FF0000"/>
          <w:sz w:val="21"/>
          <w:szCs w:val="21"/>
        </w:rPr>
        <w:t>2.关于“开标一览表”的评标说明：“开标一览表”中除“投标报价”外，其他信息不作评审依据。</w:t>
      </w:r>
    </w:p>
    <w:p w14:paraId="694A0B65">
      <w:pPr>
        <w:rPr>
          <w:rFonts w:ascii="宋体" w:hAnsi="宋体"/>
          <w:b/>
          <w:bCs/>
          <w:szCs w:val="20"/>
        </w:rPr>
      </w:pPr>
      <w:r>
        <w:rPr>
          <w:rFonts w:ascii="宋体" w:hAnsi="宋体"/>
          <w:b/>
          <w:bCs/>
          <w:szCs w:val="20"/>
        </w:rPr>
        <w:br w:type="page"/>
      </w:r>
    </w:p>
    <w:p w14:paraId="58A41DEC">
      <w:pPr>
        <w:outlineLvl w:val="2"/>
        <w:rPr>
          <w:rStyle w:val="60"/>
          <w:rFonts w:ascii="Times New Roman" w:eastAsia="宋体"/>
          <w:b/>
          <w:bCs w:val="0"/>
          <w:color w:val="FF0000"/>
          <w:sz w:val="24"/>
        </w:rPr>
      </w:pPr>
      <w:r>
        <w:rPr>
          <w:rStyle w:val="60"/>
          <w:rFonts w:hint="eastAsia" w:ascii="Times New Roman" w:eastAsia="宋体"/>
          <w:b/>
          <w:bCs w:val="0"/>
          <w:color w:val="FF0000"/>
          <w:sz w:val="24"/>
        </w:rPr>
        <w:t>投标文件组成：</w:t>
      </w:r>
    </w:p>
    <w:p w14:paraId="2B1CC6B8">
      <w:pPr>
        <w:outlineLvl w:val="2"/>
        <w:rPr>
          <w:rFonts w:ascii="宋体" w:hAnsi="宋体" w:eastAsia="宋体" w:cs="宋体"/>
          <w:bCs/>
          <w:color w:val="FF0000"/>
        </w:rPr>
      </w:pPr>
      <w:r>
        <w:rPr>
          <w:rFonts w:hint="eastAsia" w:ascii="宋体" w:hAnsi="宋体" w:eastAsia="宋体" w:cs="宋体"/>
          <w:b/>
          <w:color w:val="FF0000"/>
        </w:rPr>
        <w:t>第一部分：投标文件正文（信息公开部分）</w:t>
      </w:r>
    </w:p>
    <w:p w14:paraId="0A004E79">
      <w:pPr>
        <w:rPr>
          <w:rStyle w:val="60"/>
          <w:rFonts w:ascii="Times New Roman" w:eastAsia="宋体"/>
          <w:b/>
          <w:bCs w:val="0"/>
          <w:color w:val="FF0000"/>
          <w:sz w:val="21"/>
          <w:szCs w:val="21"/>
        </w:rPr>
      </w:pPr>
    </w:p>
    <w:p w14:paraId="48CF3253">
      <w:pPr>
        <w:pStyle w:val="5"/>
        <w:jc w:val="center"/>
        <w:rPr>
          <w:rFonts w:ascii="Times New Roman" w:hAnsi="Times New Roman"/>
          <w:b w:val="0"/>
          <w:color w:val="000000"/>
          <w:sz w:val="24"/>
        </w:rPr>
      </w:pPr>
      <w:r>
        <w:rPr>
          <w:rFonts w:ascii="Times New Roman" w:hAnsi="Times New Roman"/>
          <w:b w:val="0"/>
          <w:color w:val="000000"/>
          <w:sz w:val="24"/>
        </w:rPr>
        <w:t>一、投标函</w:t>
      </w:r>
    </w:p>
    <w:p w14:paraId="4FCA8719">
      <w:pPr>
        <w:spacing w:line="288" w:lineRule="auto"/>
        <w:rPr>
          <w:rFonts w:ascii="宋体" w:hAnsi="宋体" w:eastAsia="宋体" w:cs="宋体"/>
          <w:b/>
          <w:bCs/>
          <w:color w:val="000000"/>
          <w:sz w:val="21"/>
          <w:szCs w:val="21"/>
        </w:rPr>
      </w:pPr>
      <w:r>
        <w:rPr>
          <w:rFonts w:hint="eastAsia" w:ascii="宋体" w:hAnsi="宋体" w:eastAsia="宋体" w:cs="宋体"/>
          <w:b/>
          <w:bCs/>
          <w:color w:val="000000"/>
          <w:sz w:val="21"/>
          <w:szCs w:val="21"/>
        </w:rPr>
        <w:t>致：</w:t>
      </w:r>
      <w:r>
        <w:rPr>
          <w:rFonts w:hint="eastAsia" w:ascii="宋体" w:hAnsi="宋体" w:eastAsia="宋体" w:cs="宋体"/>
          <w:b/>
          <w:bCs/>
          <w:color w:val="000000"/>
          <w:sz w:val="21"/>
          <w:szCs w:val="21"/>
          <w:u w:val="single"/>
        </w:rPr>
        <w:t xml:space="preserve">  中国远东国际招标有限公司  </w:t>
      </w:r>
    </w:p>
    <w:p w14:paraId="27ADA7F8">
      <w:pPr>
        <w:spacing w:after="120" w:afterLines="50" w:line="288" w:lineRule="auto"/>
        <w:ind w:firstLine="420" w:firstLineChars="200"/>
        <w:rPr>
          <w:rFonts w:ascii="宋体" w:hAnsi="宋体" w:eastAsia="宋体" w:cs="宋体"/>
          <w:sz w:val="21"/>
          <w:szCs w:val="21"/>
        </w:rPr>
      </w:pPr>
      <w:r>
        <w:rPr>
          <w:rFonts w:hint="eastAsia" w:ascii="宋体" w:hAnsi="宋体" w:eastAsia="宋体" w:cs="宋体"/>
          <w:sz w:val="21"/>
          <w:szCs w:val="21"/>
        </w:rPr>
        <w:t>1.根据已收到贵</w:t>
      </w:r>
      <w:r>
        <w:rPr>
          <w:rFonts w:hint="eastAsia" w:ascii="宋体" w:hAnsi="宋体" w:cs="宋体"/>
          <w:sz w:val="21"/>
          <w:szCs w:val="21"/>
        </w:rPr>
        <w:t>单位</w:t>
      </w:r>
      <w:r>
        <w:rPr>
          <w:rFonts w:hint="eastAsia" w:ascii="宋体" w:hAnsi="宋体" w:eastAsia="宋体" w:cs="宋体"/>
          <w:sz w:val="21"/>
          <w:szCs w:val="21"/>
        </w:rPr>
        <w:t>的项目编号为</w:t>
      </w:r>
      <w:r>
        <w:rPr>
          <w:rFonts w:hint="eastAsia" w:ascii="宋体" w:hAnsi="宋体" w:eastAsia="宋体" w:cs="宋体"/>
          <w:sz w:val="21"/>
          <w:szCs w:val="21"/>
          <w:u w:val="single"/>
        </w:rPr>
        <w:t xml:space="preserve">                </w:t>
      </w:r>
      <w:r>
        <w:rPr>
          <w:rFonts w:hint="eastAsia" w:ascii="宋体" w:hAnsi="宋体" w:eastAsia="宋体" w:cs="宋体"/>
          <w:sz w:val="21"/>
          <w:szCs w:val="21"/>
        </w:rPr>
        <w:t>的</w:t>
      </w:r>
      <w:r>
        <w:rPr>
          <w:rFonts w:hint="eastAsia" w:ascii="宋体" w:hAnsi="宋体" w:eastAsia="宋体" w:cs="宋体"/>
          <w:sz w:val="21"/>
          <w:szCs w:val="21"/>
          <w:u w:val="single"/>
        </w:rPr>
        <w:t xml:space="preserve">                      </w:t>
      </w:r>
      <w:r>
        <w:rPr>
          <w:rFonts w:hint="eastAsia" w:ascii="宋体" w:hAnsi="宋体" w:eastAsia="宋体" w:cs="宋体"/>
          <w:sz w:val="21"/>
          <w:szCs w:val="21"/>
        </w:rPr>
        <w:t>项目的招标文件，遵照《深圳经济特区政府采购条例》和《深圳网上政府采购管理暂行办法》等有关规定，我单位经研究上述招标文件的专用条款及通用条款后，</w:t>
      </w:r>
      <w:r>
        <w:rPr>
          <w:rFonts w:hint="eastAsia" w:ascii="宋体" w:hAnsi="宋体" w:cs="宋体"/>
          <w:sz w:val="21"/>
          <w:szCs w:val="21"/>
        </w:rPr>
        <w:t>我单位</w:t>
      </w:r>
      <w:r>
        <w:rPr>
          <w:rFonts w:hint="eastAsia" w:ascii="宋体" w:hAnsi="宋体" w:eastAsia="宋体" w:cs="宋体"/>
          <w:sz w:val="21"/>
          <w:szCs w:val="21"/>
        </w:rPr>
        <w:t>愿以投标书编制软件中《开标一览表》中填写的投标报价并按招标文件要求承包上述项目并修补其任何缺陷。</w:t>
      </w:r>
    </w:p>
    <w:p w14:paraId="4C119F6C">
      <w:pPr>
        <w:spacing w:after="120" w:afterLines="50" w:line="288" w:lineRule="auto"/>
        <w:ind w:firstLine="420" w:firstLineChars="200"/>
        <w:rPr>
          <w:rFonts w:ascii="宋体" w:hAnsi="宋体" w:eastAsia="宋体" w:cs="宋体"/>
          <w:sz w:val="21"/>
          <w:szCs w:val="21"/>
        </w:rPr>
      </w:pPr>
      <w:r>
        <w:rPr>
          <w:rFonts w:hint="eastAsia" w:ascii="宋体" w:hAnsi="宋体" w:eastAsia="宋体" w:cs="宋体"/>
          <w:sz w:val="21"/>
          <w:szCs w:val="21"/>
        </w:rPr>
        <w:t>2.</w:t>
      </w:r>
      <w:r>
        <w:rPr>
          <w:rFonts w:hint="eastAsia" w:ascii="宋体" w:hAnsi="宋体" w:cs="宋体"/>
          <w:sz w:val="21"/>
          <w:szCs w:val="21"/>
        </w:rPr>
        <w:t>我单位</w:t>
      </w:r>
      <w:r>
        <w:rPr>
          <w:rFonts w:hint="eastAsia" w:ascii="宋体" w:hAnsi="宋体" w:eastAsia="宋体" w:cs="宋体"/>
          <w:sz w:val="21"/>
          <w:szCs w:val="21"/>
        </w:rPr>
        <w:t>已认真核实了投标文件的全部资料，所有资料均为真实资料。</w:t>
      </w:r>
      <w:r>
        <w:rPr>
          <w:rFonts w:hint="eastAsia" w:ascii="宋体" w:hAnsi="宋体" w:cs="宋体"/>
          <w:sz w:val="21"/>
          <w:szCs w:val="21"/>
        </w:rPr>
        <w:t>我单位</w:t>
      </w:r>
      <w:r>
        <w:rPr>
          <w:rFonts w:hint="eastAsia" w:ascii="宋体" w:hAnsi="宋体" w:eastAsia="宋体" w:cs="宋体"/>
          <w:sz w:val="21"/>
          <w:szCs w:val="21"/>
        </w:rPr>
        <w:t>对投标文件中全部投标资料的真实性负责，如被证实</w:t>
      </w:r>
      <w:r>
        <w:rPr>
          <w:rFonts w:hint="eastAsia" w:ascii="宋体" w:hAnsi="宋体" w:cs="宋体"/>
          <w:sz w:val="21"/>
          <w:szCs w:val="21"/>
        </w:rPr>
        <w:t>我单位</w:t>
      </w:r>
      <w:r>
        <w:rPr>
          <w:rFonts w:hint="eastAsia" w:ascii="宋体" w:hAnsi="宋体" w:eastAsia="宋体" w:cs="宋体"/>
          <w:sz w:val="21"/>
          <w:szCs w:val="21"/>
        </w:rPr>
        <w:t>的投标文件中存在虚假资料的，则视为</w:t>
      </w:r>
      <w:r>
        <w:rPr>
          <w:rFonts w:hint="eastAsia" w:ascii="宋体" w:hAnsi="宋体" w:cs="宋体"/>
          <w:sz w:val="21"/>
          <w:szCs w:val="21"/>
        </w:rPr>
        <w:t>我单位</w:t>
      </w:r>
      <w:r>
        <w:rPr>
          <w:rFonts w:hint="eastAsia" w:ascii="宋体" w:hAnsi="宋体" w:eastAsia="宋体" w:cs="宋体"/>
          <w:sz w:val="21"/>
          <w:szCs w:val="21"/>
        </w:rPr>
        <w:t>隐瞒真实情况、提供虚假资料，</w:t>
      </w:r>
      <w:r>
        <w:rPr>
          <w:rFonts w:hint="eastAsia" w:ascii="宋体" w:hAnsi="宋体" w:cs="宋体"/>
          <w:sz w:val="21"/>
          <w:szCs w:val="21"/>
        </w:rPr>
        <w:t>我单位</w:t>
      </w:r>
      <w:r>
        <w:rPr>
          <w:rFonts w:hint="eastAsia" w:ascii="宋体" w:hAnsi="宋体" w:eastAsia="宋体" w:cs="宋体"/>
          <w:sz w:val="21"/>
          <w:szCs w:val="21"/>
        </w:rPr>
        <w:t>愿意接受主管部门作出的行政处罚。</w:t>
      </w:r>
    </w:p>
    <w:p w14:paraId="5B1DD344">
      <w:pPr>
        <w:spacing w:after="120" w:afterLines="50" w:line="288" w:lineRule="auto"/>
        <w:ind w:firstLine="420" w:firstLineChars="200"/>
        <w:rPr>
          <w:rFonts w:ascii="宋体" w:hAnsi="宋体" w:eastAsia="宋体" w:cs="宋体"/>
          <w:sz w:val="21"/>
          <w:szCs w:val="21"/>
        </w:rPr>
      </w:pPr>
      <w:r>
        <w:rPr>
          <w:rFonts w:hint="eastAsia" w:ascii="宋体" w:hAnsi="宋体" w:eastAsia="宋体" w:cs="宋体"/>
          <w:sz w:val="21"/>
          <w:szCs w:val="21"/>
        </w:rPr>
        <w:t>3.如果</w:t>
      </w:r>
      <w:r>
        <w:rPr>
          <w:rFonts w:hint="eastAsia" w:ascii="宋体" w:hAnsi="宋体" w:cs="宋体"/>
          <w:sz w:val="21"/>
          <w:szCs w:val="21"/>
        </w:rPr>
        <w:t>我单位</w:t>
      </w:r>
      <w:r>
        <w:rPr>
          <w:rFonts w:hint="eastAsia" w:ascii="宋体" w:hAnsi="宋体" w:eastAsia="宋体" w:cs="宋体"/>
          <w:sz w:val="21"/>
          <w:szCs w:val="21"/>
        </w:rPr>
        <w:t>中标，</w:t>
      </w:r>
      <w:r>
        <w:rPr>
          <w:rFonts w:hint="eastAsia" w:ascii="宋体" w:hAnsi="宋体" w:cs="宋体"/>
          <w:sz w:val="21"/>
          <w:szCs w:val="21"/>
        </w:rPr>
        <w:t>我单位</w:t>
      </w:r>
      <w:r>
        <w:rPr>
          <w:rFonts w:hint="eastAsia" w:ascii="宋体" w:hAnsi="宋体" w:eastAsia="宋体" w:cs="宋体"/>
          <w:sz w:val="21"/>
          <w:szCs w:val="21"/>
        </w:rPr>
        <w:t>将按照招标文件要求提交履约担保。</w:t>
      </w:r>
    </w:p>
    <w:p w14:paraId="223EBA29">
      <w:pPr>
        <w:spacing w:after="120" w:afterLines="50" w:line="288" w:lineRule="auto"/>
        <w:ind w:firstLine="420" w:firstLineChars="200"/>
        <w:rPr>
          <w:rFonts w:ascii="宋体" w:hAnsi="宋体" w:eastAsia="宋体" w:cs="宋体"/>
          <w:sz w:val="21"/>
          <w:szCs w:val="21"/>
        </w:rPr>
      </w:pPr>
      <w:r>
        <w:rPr>
          <w:rFonts w:hint="eastAsia" w:ascii="宋体" w:hAnsi="宋体" w:eastAsia="宋体" w:cs="宋体"/>
          <w:sz w:val="21"/>
          <w:szCs w:val="21"/>
        </w:rPr>
        <w:t>4.</w:t>
      </w:r>
      <w:r>
        <w:rPr>
          <w:rFonts w:hint="eastAsia" w:ascii="宋体" w:hAnsi="宋体" w:cs="宋体"/>
          <w:sz w:val="21"/>
          <w:szCs w:val="21"/>
        </w:rPr>
        <w:t>我单位</w:t>
      </w:r>
      <w:r>
        <w:rPr>
          <w:rFonts w:hint="eastAsia" w:ascii="宋体" w:hAnsi="宋体" w:eastAsia="宋体" w:cs="宋体"/>
          <w:sz w:val="21"/>
          <w:szCs w:val="21"/>
        </w:rPr>
        <w:t>同意所递交的投标文件在“对通用条款的补充内容”中的投标有效期内有效，在此期间内</w:t>
      </w:r>
      <w:r>
        <w:rPr>
          <w:rFonts w:hint="eastAsia" w:ascii="宋体" w:hAnsi="宋体" w:cs="宋体"/>
          <w:sz w:val="21"/>
          <w:szCs w:val="21"/>
        </w:rPr>
        <w:t>我单位</w:t>
      </w:r>
      <w:r>
        <w:rPr>
          <w:rFonts w:hint="eastAsia" w:ascii="宋体" w:hAnsi="宋体" w:eastAsia="宋体" w:cs="宋体"/>
          <w:sz w:val="21"/>
          <w:szCs w:val="21"/>
        </w:rPr>
        <w:t>的投标有可能中标，</w:t>
      </w:r>
      <w:r>
        <w:rPr>
          <w:rFonts w:hint="eastAsia" w:ascii="宋体" w:hAnsi="宋体" w:cs="宋体"/>
          <w:sz w:val="21"/>
          <w:szCs w:val="21"/>
        </w:rPr>
        <w:t>我单位</w:t>
      </w:r>
      <w:r>
        <w:rPr>
          <w:rFonts w:hint="eastAsia" w:ascii="宋体" w:hAnsi="宋体" w:eastAsia="宋体" w:cs="宋体"/>
          <w:sz w:val="21"/>
          <w:szCs w:val="21"/>
        </w:rPr>
        <w:t>将受此约束。</w:t>
      </w:r>
    </w:p>
    <w:p w14:paraId="5B78844B">
      <w:pPr>
        <w:spacing w:after="120" w:afterLines="50" w:line="288" w:lineRule="auto"/>
        <w:ind w:firstLine="420" w:firstLineChars="200"/>
        <w:rPr>
          <w:rFonts w:ascii="宋体" w:hAnsi="宋体" w:eastAsia="宋体" w:cs="宋体"/>
          <w:sz w:val="21"/>
          <w:szCs w:val="21"/>
        </w:rPr>
      </w:pPr>
      <w:r>
        <w:rPr>
          <w:rFonts w:hint="eastAsia" w:ascii="宋体" w:hAnsi="宋体" w:eastAsia="宋体" w:cs="宋体"/>
          <w:sz w:val="21"/>
          <w:szCs w:val="21"/>
        </w:rPr>
        <w:t>5.除非另外达成协议并生效，贵方的中标通知书和本投标文件将构成约束我们双方的合同的重要内容。</w:t>
      </w:r>
    </w:p>
    <w:p w14:paraId="39782370">
      <w:pPr>
        <w:spacing w:after="120" w:afterLines="50" w:line="288" w:lineRule="auto"/>
        <w:ind w:firstLine="420" w:firstLineChars="200"/>
        <w:rPr>
          <w:rFonts w:ascii="宋体" w:hAnsi="宋体" w:eastAsia="宋体" w:cs="宋体"/>
          <w:sz w:val="21"/>
          <w:szCs w:val="21"/>
        </w:rPr>
      </w:pPr>
      <w:r>
        <w:rPr>
          <w:rFonts w:hint="eastAsia" w:ascii="宋体" w:hAnsi="宋体" w:eastAsia="宋体" w:cs="宋体"/>
          <w:sz w:val="21"/>
          <w:szCs w:val="21"/>
        </w:rPr>
        <w:t>6.</w:t>
      </w:r>
      <w:r>
        <w:rPr>
          <w:rFonts w:hint="eastAsia" w:ascii="宋体" w:hAnsi="宋体" w:cs="宋体"/>
          <w:sz w:val="21"/>
          <w:szCs w:val="21"/>
        </w:rPr>
        <w:t>我单位</w:t>
      </w:r>
      <w:r>
        <w:rPr>
          <w:rFonts w:hint="eastAsia" w:ascii="宋体" w:hAnsi="宋体" w:eastAsia="宋体" w:cs="宋体"/>
          <w:sz w:val="21"/>
          <w:szCs w:val="21"/>
        </w:rPr>
        <w:t>理解贵方将不受必须接受你们所收到的最低报价或其它任何投标文件的约束。</w:t>
      </w:r>
    </w:p>
    <w:p w14:paraId="50F452A2">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7.如我单位按项目要求提供样品，且未在规定时间内取回样品的，视同放弃取回，同意中国远东国际招标公司对样品进行清理。</w:t>
      </w:r>
    </w:p>
    <w:p w14:paraId="4812ED9D">
      <w:pPr>
        <w:spacing w:after="120" w:afterLines="50" w:line="288" w:lineRule="auto"/>
        <w:ind w:firstLine="420" w:firstLineChars="200"/>
        <w:rPr>
          <w:rFonts w:ascii="宋体" w:hAnsi="宋体" w:eastAsia="宋体" w:cs="宋体"/>
          <w:color w:val="000000"/>
          <w:sz w:val="21"/>
          <w:szCs w:val="21"/>
        </w:rPr>
      </w:pPr>
    </w:p>
    <w:p w14:paraId="193274EE">
      <w:pPr>
        <w:spacing w:line="288"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投标人：</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单位地址：</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p>
    <w:p w14:paraId="3FBCA095">
      <w:pPr>
        <w:spacing w:line="288" w:lineRule="auto"/>
        <w:ind w:firstLine="420" w:firstLineChars="200"/>
        <w:rPr>
          <w:rFonts w:ascii="宋体" w:hAnsi="宋体" w:eastAsia="宋体" w:cs="宋体"/>
          <w:color w:val="000000"/>
          <w:sz w:val="21"/>
          <w:szCs w:val="21"/>
          <w:u w:val="single"/>
        </w:rPr>
      </w:pPr>
      <w:r>
        <w:rPr>
          <w:rFonts w:hint="eastAsia" w:ascii="宋体" w:hAnsi="宋体" w:eastAsia="宋体" w:cs="宋体"/>
          <w:color w:val="000000"/>
          <w:sz w:val="21"/>
          <w:szCs w:val="21"/>
        </w:rPr>
        <w:t>法定代表人</w:t>
      </w:r>
      <w:r>
        <w:rPr>
          <w:rFonts w:hint="eastAsia" w:ascii="宋体" w:hAnsi="宋体" w:eastAsia="宋体" w:cs="宋体"/>
          <w:sz w:val="21"/>
          <w:szCs w:val="21"/>
        </w:rPr>
        <w:t>（负责人）</w:t>
      </w:r>
      <w:r>
        <w:rPr>
          <w:rFonts w:hint="eastAsia" w:ascii="宋体" w:hAnsi="宋体" w:eastAsia="宋体" w:cs="宋体"/>
          <w:color w:val="000000"/>
          <w:sz w:val="21"/>
          <w:szCs w:val="21"/>
        </w:rPr>
        <w:t>或其委托代理人：</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p>
    <w:p w14:paraId="426950F7">
      <w:pPr>
        <w:spacing w:line="288" w:lineRule="auto"/>
        <w:ind w:firstLine="420" w:firstLineChars="200"/>
        <w:rPr>
          <w:rFonts w:ascii="宋体" w:hAnsi="宋体" w:eastAsia="宋体" w:cs="宋体"/>
          <w:color w:val="000000"/>
          <w:sz w:val="21"/>
          <w:szCs w:val="21"/>
          <w:u w:val="single"/>
        </w:rPr>
      </w:pPr>
      <w:r>
        <w:rPr>
          <w:rFonts w:hint="eastAsia" w:ascii="宋体" w:hAnsi="宋体" w:eastAsia="宋体" w:cs="宋体"/>
          <w:color w:val="000000"/>
          <w:sz w:val="21"/>
          <w:szCs w:val="21"/>
        </w:rPr>
        <w:t>邮政编码：</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电话：</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p>
    <w:p w14:paraId="5D53EF97">
      <w:pPr>
        <w:spacing w:line="288" w:lineRule="auto"/>
        <w:ind w:firstLine="420" w:firstLineChars="200"/>
        <w:rPr>
          <w:rFonts w:ascii="宋体" w:hAnsi="宋体" w:eastAsia="宋体" w:cs="宋体"/>
          <w:color w:val="000000"/>
          <w:sz w:val="21"/>
          <w:szCs w:val="21"/>
          <w:u w:val="single"/>
        </w:rPr>
      </w:pPr>
      <w:r>
        <w:rPr>
          <w:rFonts w:hint="eastAsia" w:ascii="宋体" w:hAnsi="宋体" w:eastAsia="宋体" w:cs="宋体"/>
          <w:color w:val="000000"/>
          <w:sz w:val="21"/>
          <w:szCs w:val="21"/>
        </w:rPr>
        <w:t>传真：</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邮箱：</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p>
    <w:p w14:paraId="781B6837">
      <w:pPr>
        <w:spacing w:line="288"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开户银行名称：</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rPr>
        <w:t>开户银行</w:t>
      </w:r>
      <w:r>
        <w:rPr>
          <w:rFonts w:hint="eastAsia" w:ascii="宋体" w:hAnsi="宋体" w:cs="宋体"/>
          <w:color w:val="000000"/>
          <w:sz w:val="21"/>
          <w:szCs w:val="21"/>
        </w:rPr>
        <w:t>账</w:t>
      </w:r>
      <w:r>
        <w:rPr>
          <w:rFonts w:hint="eastAsia" w:ascii="宋体" w:hAnsi="宋体" w:eastAsia="宋体" w:cs="宋体"/>
          <w:color w:val="000000"/>
          <w:sz w:val="21"/>
          <w:szCs w:val="21"/>
        </w:rPr>
        <w:t>号：</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p>
    <w:p w14:paraId="4E7A098E">
      <w:pPr>
        <w:spacing w:line="288"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开户银行地址：</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rPr>
        <w:t>开户银行电话：</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p>
    <w:p w14:paraId="3ACD64ED">
      <w:pPr>
        <w:spacing w:line="288" w:lineRule="auto"/>
        <w:ind w:firstLine="420" w:firstLineChars="200"/>
        <w:rPr>
          <w:rFonts w:ascii="宋体" w:hAnsi="宋体" w:eastAsia="宋体" w:cs="宋体"/>
          <w:b/>
          <w:bCs/>
          <w:sz w:val="21"/>
          <w:szCs w:val="21"/>
        </w:rPr>
      </w:pPr>
      <w:r>
        <w:rPr>
          <w:rFonts w:hint="eastAsia" w:ascii="宋体" w:hAnsi="宋体" w:eastAsia="宋体" w:cs="宋体"/>
          <w:color w:val="000000"/>
          <w:sz w:val="21"/>
          <w:szCs w:val="21"/>
        </w:rPr>
        <w:t>日期：</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74A5B7DA">
      <w:pPr>
        <w:pStyle w:val="71"/>
        <w:jc w:val="center"/>
        <w:outlineLvl w:val="3"/>
        <w:rPr>
          <w:bCs w:val="0"/>
          <w:color w:val="000000"/>
        </w:rPr>
      </w:pPr>
      <w:r>
        <w:rPr>
          <w:rFonts w:hint="eastAsia"/>
        </w:rPr>
        <w:br w:type="page"/>
      </w:r>
      <w:r>
        <w:rPr>
          <w:rFonts w:hint="eastAsia" w:ascii="黑体" w:hAnsi="黑体" w:eastAsia="黑体" w:cs="黑体"/>
          <w:bCs w:val="0"/>
          <w:color w:val="000000"/>
        </w:rPr>
        <w:t>二、政府采购投标及履约承诺函</w:t>
      </w:r>
    </w:p>
    <w:p w14:paraId="148B2BA5">
      <w:pPr>
        <w:widowControl w:val="0"/>
        <w:spacing w:line="260" w:lineRule="exact"/>
        <w:rPr>
          <w:b/>
          <w:bCs/>
          <w:color w:val="000000"/>
          <w:sz w:val="21"/>
          <w:szCs w:val="21"/>
        </w:rPr>
      </w:pPr>
    </w:p>
    <w:p w14:paraId="3A161FC0">
      <w:pPr>
        <w:widowControl w:val="0"/>
        <w:spacing w:line="260" w:lineRule="exact"/>
        <w:rPr>
          <w:rFonts w:eastAsia="宋体"/>
          <w:b/>
          <w:bCs/>
          <w:color w:val="000000"/>
          <w:sz w:val="21"/>
          <w:szCs w:val="21"/>
        </w:rPr>
      </w:pPr>
      <w:r>
        <w:rPr>
          <w:rFonts w:hint="eastAsia" w:ascii="宋体" w:hAnsi="宋体" w:eastAsia="宋体" w:cs="宋体"/>
          <w:b/>
          <w:bCs/>
          <w:color w:val="000000"/>
          <w:sz w:val="21"/>
          <w:szCs w:val="21"/>
        </w:rPr>
        <w:t>致</w:t>
      </w:r>
      <w:r>
        <w:rPr>
          <w:b/>
          <w:bCs/>
          <w:color w:val="000000"/>
          <w:sz w:val="21"/>
          <w:szCs w:val="21"/>
        </w:rPr>
        <w:t>：</w:t>
      </w:r>
      <w:r>
        <w:rPr>
          <w:rFonts w:hint="eastAsia"/>
          <w:b/>
          <w:bCs/>
          <w:color w:val="000000"/>
          <w:sz w:val="21"/>
          <w:szCs w:val="21"/>
        </w:rPr>
        <w:t>中国远东国际招标有限公司</w:t>
      </w:r>
    </w:p>
    <w:p w14:paraId="7DCCD52C">
      <w:pPr>
        <w:widowControl w:val="0"/>
        <w:spacing w:line="260" w:lineRule="exact"/>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我单位承诺：</w:t>
      </w:r>
    </w:p>
    <w:p w14:paraId="361B03AD">
      <w:pPr>
        <w:widowControl w:val="0"/>
        <w:spacing w:line="260" w:lineRule="exact"/>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1.我单位</w:t>
      </w:r>
      <w:r>
        <w:rPr>
          <w:rFonts w:hint="eastAsia" w:ascii="宋体" w:hAnsi="宋体" w:cs="宋体"/>
          <w:color w:val="000000"/>
          <w:sz w:val="21"/>
          <w:szCs w:val="21"/>
        </w:rPr>
        <w:t>参与</w:t>
      </w:r>
      <w:r>
        <w:rPr>
          <w:rFonts w:hint="eastAsia" w:ascii="宋体" w:hAnsi="宋体" w:eastAsia="宋体" w:cs="宋体"/>
          <w:color w:val="000000"/>
          <w:sz w:val="21"/>
          <w:szCs w:val="21"/>
        </w:rPr>
        <w:t>本项目所投标（响应）的货物、工程或服务</w:t>
      </w:r>
      <w:r>
        <w:rPr>
          <w:rFonts w:hint="eastAsia" w:ascii="宋体" w:hAnsi="宋体" w:cs="宋体"/>
          <w:color w:val="000000"/>
          <w:sz w:val="21"/>
          <w:szCs w:val="21"/>
        </w:rPr>
        <w:t>不存在侵犯知识产权的情况。</w:t>
      </w:r>
    </w:p>
    <w:p w14:paraId="4568E614">
      <w:pPr>
        <w:widowControl w:val="0"/>
        <w:spacing w:line="260" w:lineRule="exact"/>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2.我单位具备《中华人民共和国政府采购法》第二十二条的条件。</w:t>
      </w:r>
    </w:p>
    <w:p w14:paraId="644F6C1F">
      <w:pPr>
        <w:widowControl w:val="0"/>
        <w:spacing w:line="260" w:lineRule="exact"/>
        <w:ind w:firstLine="420" w:firstLineChars="200"/>
        <w:rPr>
          <w:rFonts w:ascii="宋体" w:hAnsi="宋体" w:eastAsia="宋体" w:cs="宋体"/>
          <w:color w:val="000000"/>
          <w:sz w:val="21"/>
          <w:szCs w:val="21"/>
        </w:rPr>
      </w:pPr>
      <w:r>
        <w:rPr>
          <w:rFonts w:hint="eastAsia" w:ascii="宋体" w:hAnsi="宋体" w:cs="宋体"/>
          <w:color w:val="000000"/>
          <w:sz w:val="21"/>
          <w:szCs w:val="21"/>
        </w:rPr>
        <w:t>3.我单位参与本项目政府采购活动时不存在被有关部门禁止参与政府采购活动且在有效期内的情况。</w:t>
      </w:r>
    </w:p>
    <w:p w14:paraId="55F3DFD1">
      <w:pPr>
        <w:widowControl w:val="0"/>
        <w:spacing w:line="260" w:lineRule="exact"/>
        <w:ind w:firstLine="420" w:firstLineChars="200"/>
        <w:rPr>
          <w:rFonts w:ascii="宋体" w:hAnsi="宋体" w:eastAsia="宋体" w:cs="宋体"/>
          <w:color w:val="000000"/>
          <w:sz w:val="21"/>
          <w:szCs w:val="21"/>
        </w:rPr>
      </w:pPr>
      <w:r>
        <w:rPr>
          <w:rFonts w:hint="eastAsia" w:ascii="宋体" w:hAnsi="宋体" w:cs="宋体"/>
          <w:color w:val="000000"/>
          <w:sz w:val="21"/>
          <w:szCs w:val="21"/>
        </w:rPr>
        <w:t>4</w:t>
      </w:r>
      <w:r>
        <w:rPr>
          <w:rFonts w:hint="eastAsia" w:ascii="宋体" w:hAnsi="宋体" w:eastAsia="宋体" w:cs="宋体"/>
          <w:color w:val="000000"/>
          <w:sz w:val="21"/>
          <w:szCs w:val="21"/>
        </w:rPr>
        <w:t>.我单位至开标当日，未有在“信用中国、中国政府采购网、深圳信用网、深圳市政府采购监管网”等网站中被列入“失信被执行人、重大税收违法案件当事人名单（重大税收违法失信主体）、政府采购严重违法失信行为记录名单”的情况。</w:t>
      </w:r>
    </w:p>
    <w:p w14:paraId="07DE26C0">
      <w:pPr>
        <w:widowControl w:val="0"/>
        <w:spacing w:line="260" w:lineRule="exact"/>
        <w:ind w:firstLine="420" w:firstLineChars="200"/>
        <w:rPr>
          <w:rFonts w:ascii="宋体" w:hAnsi="宋体" w:eastAsia="宋体" w:cs="宋体"/>
          <w:color w:val="000000"/>
          <w:sz w:val="21"/>
          <w:szCs w:val="21"/>
        </w:rPr>
      </w:pPr>
      <w:r>
        <w:rPr>
          <w:rFonts w:hint="eastAsia" w:ascii="宋体" w:hAnsi="宋体" w:cs="宋体"/>
          <w:color w:val="000000"/>
          <w:sz w:val="21"/>
          <w:szCs w:val="21"/>
        </w:rPr>
        <w:t>5.</w:t>
      </w:r>
      <w:r>
        <w:rPr>
          <w:color w:val="000000"/>
          <w:sz w:val="21"/>
          <w:szCs w:val="21"/>
        </w:rPr>
        <w:t>我单位参与本项目投标前三年内</w:t>
      </w:r>
      <w:r>
        <w:rPr>
          <w:rFonts w:hint="eastAsia" w:ascii="宋体" w:hAnsi="宋体" w:cs="宋体"/>
          <w:color w:val="000000"/>
          <w:sz w:val="21"/>
          <w:szCs w:val="21"/>
        </w:rPr>
        <w:t>无行贿犯罪记录。</w:t>
      </w:r>
    </w:p>
    <w:p w14:paraId="708154B6">
      <w:pPr>
        <w:widowControl w:val="0"/>
        <w:spacing w:line="260" w:lineRule="exact"/>
        <w:ind w:firstLine="420" w:firstLineChars="200"/>
        <w:rPr>
          <w:rFonts w:ascii="宋体" w:hAnsi="宋体"/>
          <w:color w:val="000000"/>
          <w:sz w:val="21"/>
          <w:szCs w:val="21"/>
        </w:rPr>
      </w:pPr>
      <w:r>
        <w:rPr>
          <w:rFonts w:hint="eastAsia" w:ascii="宋体" w:hAnsi="宋体" w:cs="宋体"/>
          <w:color w:val="000000"/>
          <w:sz w:val="21"/>
          <w:szCs w:val="21"/>
        </w:rPr>
        <w:t>6</w:t>
      </w:r>
      <w:r>
        <w:rPr>
          <w:rFonts w:hint="eastAsia" w:ascii="宋体" w:hAnsi="宋体" w:eastAsia="宋体" w:cs="宋体"/>
          <w:color w:val="000000"/>
          <w:sz w:val="21"/>
          <w:szCs w:val="21"/>
        </w:rPr>
        <w:t>.我单位参与</w:t>
      </w:r>
      <w:r>
        <w:rPr>
          <w:rFonts w:hint="eastAsia" w:ascii="宋体" w:hAnsi="宋体" w:cs="宋体"/>
          <w:color w:val="000000"/>
          <w:sz w:val="21"/>
          <w:szCs w:val="21"/>
        </w:rPr>
        <w:t>本</w:t>
      </w:r>
      <w:r>
        <w:rPr>
          <w:rFonts w:hint="eastAsia" w:ascii="宋体" w:hAnsi="宋体" w:eastAsia="宋体" w:cs="宋体"/>
          <w:color w:val="000000"/>
          <w:sz w:val="21"/>
          <w:szCs w:val="21"/>
        </w:rPr>
        <w:t>项目投标，严格遵循政府采购相关法律</w:t>
      </w:r>
      <w:r>
        <w:rPr>
          <w:rFonts w:hint="eastAsia" w:ascii="宋体" w:hAnsi="宋体" w:cs="宋体"/>
          <w:color w:val="000000"/>
          <w:sz w:val="21"/>
          <w:szCs w:val="21"/>
        </w:rPr>
        <w:t>和</w:t>
      </w:r>
      <w:r>
        <w:rPr>
          <w:rFonts w:hint="eastAsia" w:ascii="宋体" w:hAnsi="宋体" w:eastAsia="宋体" w:cs="宋体"/>
          <w:color w:val="000000"/>
          <w:sz w:val="21"/>
          <w:szCs w:val="21"/>
        </w:rPr>
        <w:t>公平竞争的原则，</w:t>
      </w:r>
      <w:r>
        <w:rPr>
          <w:rFonts w:hint="eastAsia" w:ascii="宋体" w:hAnsi="宋体" w:cs="宋体"/>
          <w:color w:val="000000"/>
          <w:sz w:val="21"/>
          <w:szCs w:val="21"/>
        </w:rPr>
        <w:t>不造假、不围标、不串标、不陪标，</w:t>
      </w:r>
      <w:r>
        <w:rPr>
          <w:rFonts w:hint="eastAsia" w:ascii="宋体" w:hAnsi="宋体" w:eastAsia="宋体" w:cs="宋体"/>
          <w:color w:val="000000"/>
          <w:sz w:val="21"/>
          <w:szCs w:val="21"/>
        </w:rPr>
        <w:t>不损害采购人或者其他投标人的合法权益。我单位已清楚，如违反上述要求，</w:t>
      </w:r>
      <w:r>
        <w:rPr>
          <w:rFonts w:hint="eastAsia" w:ascii="宋体" w:hAnsi="宋体" w:cs="宋体"/>
          <w:color w:val="000000"/>
          <w:sz w:val="21"/>
          <w:szCs w:val="21"/>
        </w:rPr>
        <w:t>我单位自行承担</w:t>
      </w:r>
      <w:r>
        <w:rPr>
          <w:rFonts w:hint="eastAsia" w:ascii="宋体" w:hAnsi="宋体"/>
          <w:color w:val="000000"/>
          <w:sz w:val="21"/>
          <w:szCs w:val="21"/>
        </w:rPr>
        <w:t>投标被无效处理、被提请政府采购主管部门给予处罚的风险。</w:t>
      </w:r>
    </w:p>
    <w:p w14:paraId="2C9BB677">
      <w:pPr>
        <w:widowControl w:val="0"/>
        <w:spacing w:line="260" w:lineRule="exact"/>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7.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6CB3BFE1">
      <w:pPr>
        <w:widowControl w:val="0"/>
        <w:spacing w:line="260" w:lineRule="exact"/>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46D513F9">
      <w:pPr>
        <w:widowControl w:val="0"/>
        <w:spacing w:line="260" w:lineRule="exact"/>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8.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776C0D66">
      <w:pPr>
        <w:widowControl w:val="0"/>
        <w:spacing w:line="260" w:lineRule="exact"/>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9.我单位承诺中标后项目不转包，未经采购人同意不进行分包。</w:t>
      </w:r>
    </w:p>
    <w:p w14:paraId="074AE903">
      <w:pPr>
        <w:widowControl w:val="0"/>
        <w:spacing w:line="260" w:lineRule="exact"/>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10.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5FD9BB61">
      <w:pPr>
        <w:widowControl w:val="0"/>
        <w:spacing w:line="260" w:lineRule="exact"/>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11.我单位保证，若所投货物涉及《财政部生态环境部关于印发节能产品政府采购品目清单的通知》（财库〔2019〕19号）列明的政府采购强制产品，则所投该产品符合节能产品的认证要求。</w:t>
      </w:r>
    </w:p>
    <w:p w14:paraId="3EF66748">
      <w:pPr>
        <w:widowControl w:val="0"/>
        <w:spacing w:line="260" w:lineRule="exact"/>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12.我单位保证，不存在“单位负责人为同一人或者存在直接控股、管理关系的不同供应商，不得参加同一合同项下的政府采购活动；为采购项目提供整体设计、规范编制或者项目管理、监理、检测等服务的供应商，不得再参加该采购项目的其他采购活动”的情形。</w:t>
      </w:r>
    </w:p>
    <w:p w14:paraId="0DE51657">
      <w:pPr>
        <w:widowControl w:val="0"/>
        <w:spacing w:line="260" w:lineRule="exact"/>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13.我单位保证，若所投产品列入强制性产品认证目录的，则所投该产品须获得强制性产品认证证书（即CCC认证）；其中适用自我声明评价方式的产品，则所投该产品须具有“强制性认证产品符合性自我声明”；若所投产品列入工业产品生产许可证管理的产品目录的，则所投该产品生产者（制造商）须获得《全国工业产品生产许可证》。</w:t>
      </w:r>
    </w:p>
    <w:p w14:paraId="2896D1A3">
      <w:pPr>
        <w:widowControl w:val="0"/>
        <w:spacing w:line="260" w:lineRule="exact"/>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14.我单位清楚，如存在违反投标承诺行为情节严重的，将根据《深圳市财政局关于印发&lt;深圳市财政局政府采购供应商信用信息管理办法&gt;的通知》，依法被列入失信信息。</w:t>
      </w:r>
    </w:p>
    <w:p w14:paraId="3CF51F60">
      <w:pPr>
        <w:widowControl w:val="0"/>
        <w:spacing w:line="260" w:lineRule="exact"/>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15.本单位（公司）不存在《深圳市财政局政府采购供应商信用信息管理办法》(深财规〔2023〕3号）列明的严重违法失信行为。</w:t>
      </w:r>
    </w:p>
    <w:p w14:paraId="22C17274">
      <w:pPr>
        <w:widowControl w:val="0"/>
        <w:spacing w:line="260" w:lineRule="exact"/>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16.我单位已知悉并同意中标（成交）结果信息公示（公开）的内容。</w:t>
      </w:r>
    </w:p>
    <w:p w14:paraId="7250980A">
      <w:pPr>
        <w:widowControl w:val="0"/>
        <w:spacing w:line="260" w:lineRule="exact"/>
        <w:ind w:firstLine="422" w:firstLineChars="200"/>
        <w:rPr>
          <w:rFonts w:ascii="宋体" w:hAnsi="宋体" w:eastAsia="宋体" w:cs="宋体"/>
          <w:b/>
          <w:bCs/>
          <w:color w:val="000000"/>
          <w:sz w:val="21"/>
          <w:szCs w:val="21"/>
        </w:rPr>
      </w:pPr>
      <w:r>
        <w:rPr>
          <w:rFonts w:hint="eastAsia" w:ascii="宋体" w:hAnsi="宋体" w:eastAsia="宋体" w:cs="宋体"/>
          <w:b/>
          <w:bCs/>
          <w:color w:val="000000"/>
          <w:sz w:val="21"/>
          <w:szCs w:val="21"/>
        </w:rPr>
        <w:t>以上承诺，如有违反，愿依照国家相关法律处理，并承担由此给采购人带来的损失。</w:t>
      </w:r>
    </w:p>
    <w:p w14:paraId="18E5B7EA">
      <w:pPr>
        <w:widowControl w:val="0"/>
        <w:spacing w:line="260" w:lineRule="exact"/>
        <w:ind w:firstLine="4202" w:firstLineChars="2000"/>
        <w:rPr>
          <w:b/>
          <w:bCs/>
          <w:color w:val="000000"/>
          <w:sz w:val="21"/>
          <w:szCs w:val="21"/>
        </w:rPr>
      </w:pPr>
    </w:p>
    <w:p w14:paraId="3FCD3E49">
      <w:pPr>
        <w:widowControl w:val="0"/>
        <w:spacing w:line="260" w:lineRule="exact"/>
        <w:ind w:firstLine="4216" w:firstLineChars="2000"/>
        <w:rPr>
          <w:b/>
          <w:bCs/>
          <w:color w:val="000000"/>
          <w:sz w:val="21"/>
          <w:szCs w:val="21"/>
          <w:u w:val="single"/>
        </w:rPr>
      </w:pPr>
      <w:r>
        <w:rPr>
          <w:rFonts w:hint="eastAsia" w:ascii="宋体" w:hAnsi="宋体" w:eastAsia="宋体" w:cs="宋体"/>
          <w:b/>
          <w:bCs/>
          <w:color w:val="000000"/>
          <w:sz w:val="21"/>
          <w:szCs w:val="21"/>
        </w:rPr>
        <w:t>投</w:t>
      </w:r>
      <w:r>
        <w:rPr>
          <w:rFonts w:hint="eastAsia"/>
          <w:b/>
          <w:bCs/>
          <w:color w:val="000000"/>
          <w:sz w:val="21"/>
          <w:szCs w:val="21"/>
        </w:rPr>
        <w:t>标人：</w:t>
      </w:r>
      <w:r>
        <w:rPr>
          <w:rFonts w:hint="eastAsia"/>
          <w:color w:val="000000"/>
          <w:sz w:val="21"/>
          <w:szCs w:val="21"/>
          <w:u w:val="single"/>
        </w:rPr>
        <w:t xml:space="preserve">                      </w:t>
      </w:r>
    </w:p>
    <w:p w14:paraId="3FDB4BCA">
      <w:pPr>
        <w:widowControl w:val="0"/>
        <w:spacing w:line="260" w:lineRule="exact"/>
        <w:ind w:firstLine="4202" w:firstLineChars="2000"/>
        <w:rPr>
          <w:b/>
          <w:bCs/>
          <w:sz w:val="21"/>
          <w:szCs w:val="21"/>
        </w:rPr>
      </w:pPr>
      <w:r>
        <w:rPr>
          <w:rFonts w:hint="eastAsia" w:ascii="宋体" w:hAnsi="宋体"/>
          <w:b/>
          <w:bCs/>
          <w:color w:val="000000"/>
          <w:sz w:val="21"/>
          <w:szCs w:val="21"/>
        </w:rPr>
        <w:t>日  期：</w:t>
      </w:r>
      <w:r>
        <w:rPr>
          <w:rFonts w:hint="eastAsia" w:ascii="宋体" w:hAnsi="宋体"/>
          <w:b/>
          <w:bCs/>
          <w:color w:val="000000"/>
          <w:sz w:val="21"/>
          <w:szCs w:val="21"/>
          <w:u w:val="single"/>
        </w:rPr>
        <w:t xml:space="preserve">        </w:t>
      </w:r>
      <w:r>
        <w:rPr>
          <w:rFonts w:hint="eastAsia" w:ascii="宋体" w:hAnsi="宋体"/>
          <w:b/>
          <w:bCs/>
          <w:color w:val="000000"/>
          <w:sz w:val="21"/>
          <w:szCs w:val="21"/>
        </w:rPr>
        <w:t>年</w:t>
      </w:r>
      <w:r>
        <w:rPr>
          <w:rFonts w:hint="eastAsia" w:ascii="宋体" w:hAnsi="宋体"/>
          <w:b/>
          <w:bCs/>
          <w:color w:val="000000"/>
          <w:sz w:val="21"/>
          <w:szCs w:val="21"/>
          <w:u w:val="single"/>
        </w:rPr>
        <w:t xml:space="preserve">    </w:t>
      </w:r>
      <w:r>
        <w:rPr>
          <w:rFonts w:hint="eastAsia" w:ascii="宋体" w:hAnsi="宋体"/>
          <w:b/>
          <w:bCs/>
          <w:color w:val="000000"/>
          <w:sz w:val="21"/>
          <w:szCs w:val="21"/>
        </w:rPr>
        <w:t>月</w:t>
      </w:r>
      <w:r>
        <w:rPr>
          <w:rFonts w:hint="eastAsia" w:ascii="宋体" w:hAnsi="宋体"/>
          <w:b/>
          <w:bCs/>
          <w:color w:val="000000"/>
          <w:sz w:val="21"/>
          <w:szCs w:val="21"/>
          <w:u w:val="single"/>
        </w:rPr>
        <w:t xml:space="preserve">    </w:t>
      </w:r>
      <w:r>
        <w:rPr>
          <w:rFonts w:hint="eastAsia" w:ascii="宋体" w:hAnsi="宋体"/>
          <w:b/>
          <w:bCs/>
          <w:color w:val="000000"/>
          <w:sz w:val="21"/>
          <w:szCs w:val="21"/>
        </w:rPr>
        <w:t>日</w:t>
      </w:r>
    </w:p>
    <w:p w14:paraId="5AF752FB">
      <w:pPr>
        <w:pStyle w:val="5"/>
        <w:spacing w:before="120" w:after="120"/>
        <w:jc w:val="center"/>
        <w:rPr>
          <w:rFonts w:ascii="黑体"/>
          <w:b w:val="0"/>
          <w:sz w:val="24"/>
        </w:rPr>
      </w:pPr>
      <w:r>
        <w:rPr>
          <w:rFonts w:ascii="Times New Roman" w:hAnsi="Times New Roman"/>
          <w:bCs w:val="0"/>
          <w:sz w:val="24"/>
        </w:rPr>
        <w:br w:type="page"/>
      </w:r>
      <w:r>
        <w:rPr>
          <w:rFonts w:hint="eastAsia" w:ascii="黑体"/>
          <w:b w:val="0"/>
          <w:sz w:val="24"/>
        </w:rPr>
        <w:t>三、投标人情况及资格证明文件</w:t>
      </w:r>
    </w:p>
    <w:p w14:paraId="5D3755C7">
      <w:pPr>
        <w:outlineLvl w:val="4"/>
        <w:rPr>
          <w:rFonts w:ascii="黑体" w:hAnsi="宋体" w:eastAsia="黑体"/>
          <w:bCs/>
          <w:szCs w:val="32"/>
        </w:rPr>
      </w:pPr>
      <w:r>
        <w:rPr>
          <w:rFonts w:hint="eastAsia" w:ascii="黑体" w:hAnsi="宋体" w:eastAsia="黑体"/>
          <w:bCs/>
          <w:szCs w:val="32"/>
        </w:rPr>
        <w:t>（一）投标人资格证明文件</w:t>
      </w:r>
    </w:p>
    <w:p w14:paraId="2EE29108">
      <w:pPr>
        <w:spacing w:before="120" w:beforeLines="50"/>
        <w:ind w:firstLine="422" w:firstLineChars="200"/>
        <w:rPr>
          <w:rFonts w:ascii="宋体" w:hAnsi="宋体" w:eastAsia="宋体" w:cs="宋体"/>
          <w:b/>
          <w:bCs/>
          <w:color w:val="FF0000"/>
          <w:sz w:val="21"/>
          <w:szCs w:val="21"/>
        </w:rPr>
      </w:pPr>
      <w:r>
        <w:rPr>
          <w:rFonts w:hint="eastAsia" w:ascii="宋体" w:hAnsi="宋体" w:eastAsia="宋体" w:cs="宋体"/>
          <w:b/>
          <w:bCs/>
          <w:color w:val="FF0000"/>
          <w:sz w:val="21"/>
          <w:szCs w:val="21"/>
        </w:rPr>
        <w:t>（特别提示：投标人须按本招标文件第一册第一章招标公告 “申请人的资格要求”（即投标人资格要求）提供相关的资格证明资料，未提供或提供不完整、不符合要求的，将作投标无效处理。）</w:t>
      </w:r>
    </w:p>
    <w:p w14:paraId="44E29C4C">
      <w:pPr>
        <w:ind w:firstLine="480" w:firstLineChars="200"/>
        <w:rPr>
          <w:rFonts w:ascii="黑体" w:hAnsi="宋体" w:eastAsia="黑体"/>
          <w:bCs/>
          <w:szCs w:val="32"/>
        </w:rPr>
      </w:pPr>
    </w:p>
    <w:p w14:paraId="4492F8E2">
      <w:pPr>
        <w:outlineLvl w:val="4"/>
        <w:rPr>
          <w:rFonts w:ascii="黑体" w:hAnsi="宋体" w:eastAsia="黑体"/>
          <w:bCs/>
          <w:szCs w:val="32"/>
        </w:rPr>
      </w:pPr>
      <w:r>
        <w:rPr>
          <w:rFonts w:hint="eastAsia" w:ascii="黑体" w:hAnsi="宋体" w:eastAsia="黑体"/>
          <w:bCs/>
          <w:szCs w:val="32"/>
        </w:rPr>
        <w:t>（二）中小企业声明函、残疾人福利性单位声明函及监狱企业声明函</w:t>
      </w:r>
    </w:p>
    <w:p w14:paraId="5562D7CF">
      <w:pPr>
        <w:ind w:firstLine="420" w:firstLineChars="200"/>
        <w:rPr>
          <w:rFonts w:ascii="黑体" w:hAnsi="宋体" w:eastAsia="黑体"/>
          <w:bCs/>
          <w:color w:val="FF0000"/>
          <w:sz w:val="21"/>
          <w:szCs w:val="21"/>
        </w:rPr>
      </w:pPr>
      <w:r>
        <w:rPr>
          <w:rFonts w:hint="eastAsia" w:ascii="黑体" w:hAnsi="宋体" w:eastAsia="黑体"/>
          <w:bCs/>
          <w:color w:val="FF0000"/>
          <w:sz w:val="21"/>
          <w:szCs w:val="21"/>
        </w:rPr>
        <w:t>填写指引1</w:t>
      </w:r>
      <w:r>
        <w:rPr>
          <w:rFonts w:hint="eastAsia" w:ascii="黑体" w:hAnsi="宋体" w:eastAsia="黑体"/>
          <w:bCs/>
          <w:color w:val="FF0000"/>
          <w:sz w:val="21"/>
          <w:szCs w:val="21"/>
          <w:highlight w:val="yellow"/>
        </w:rPr>
        <w:t>（仅适用于“非专门面向中小企业采购项目”）</w:t>
      </w:r>
      <w:r>
        <w:rPr>
          <w:rFonts w:hint="eastAsia" w:ascii="黑体" w:hAnsi="宋体" w:eastAsia="黑体"/>
          <w:bCs/>
          <w:color w:val="FF0000"/>
          <w:sz w:val="21"/>
          <w:szCs w:val="21"/>
        </w:rPr>
        <w:t>：</w:t>
      </w:r>
    </w:p>
    <w:p w14:paraId="4BFDF4A5">
      <w:pPr>
        <w:ind w:firstLine="420" w:firstLineChars="200"/>
        <w:rPr>
          <w:rFonts w:ascii="黑体" w:hAnsi="黑体" w:eastAsia="黑体"/>
          <w:color w:val="FF0000"/>
          <w:sz w:val="21"/>
          <w:szCs w:val="21"/>
        </w:rPr>
      </w:pPr>
      <w:r>
        <w:rPr>
          <w:rFonts w:hint="eastAsia" w:ascii="黑体" w:hAnsi="宋体" w:eastAsia="黑体"/>
          <w:bCs/>
          <w:color w:val="FF0000"/>
          <w:sz w:val="21"/>
          <w:szCs w:val="21"/>
        </w:rPr>
        <w:t>1.该部分内容由投标人根据自身实际情况填写，不符合要求的投标人可以不填写或直接删除相应的声明函。</w:t>
      </w:r>
      <w:r>
        <w:rPr>
          <w:rFonts w:hint="eastAsia" w:ascii="黑体" w:hAnsi="黑体" w:eastAsia="黑体"/>
          <w:color w:val="FF0000"/>
          <w:sz w:val="21"/>
          <w:szCs w:val="21"/>
        </w:rPr>
        <w:t>投标人提供的声明函不属实的，属于提供虚假资料谋取中标，依照《中华人民共和国政府采购法》等国家有关规定追究相应责任。</w:t>
      </w:r>
    </w:p>
    <w:p w14:paraId="689F2C9D">
      <w:pPr>
        <w:ind w:firstLine="420" w:firstLineChars="200"/>
        <w:rPr>
          <w:rFonts w:ascii="黑体" w:hAnsi="黑体" w:eastAsia="黑体"/>
          <w:color w:val="FF0000"/>
          <w:sz w:val="21"/>
          <w:szCs w:val="21"/>
        </w:rPr>
      </w:pPr>
      <w:r>
        <w:rPr>
          <w:rFonts w:hint="eastAsia" w:ascii="黑体" w:hAnsi="黑体" w:eastAsia="黑体"/>
          <w:color w:val="FF0000"/>
          <w:sz w:val="21"/>
          <w:szCs w:val="21"/>
        </w:rPr>
        <w:t>2.该部分内容填写需要参考的相关文件：(</w:t>
      </w:r>
      <w:r>
        <w:rPr>
          <w:rFonts w:ascii="黑体" w:hAnsi="黑体" w:eastAsia="黑体"/>
          <w:color w:val="FF0000"/>
          <w:sz w:val="21"/>
          <w:szCs w:val="21"/>
        </w:rPr>
        <w:t>1</w:t>
      </w:r>
      <w:r>
        <w:rPr>
          <w:rFonts w:hint="eastAsia" w:ascii="黑体" w:hAnsi="黑体" w:eastAsia="黑体"/>
          <w:color w:val="FF0000"/>
          <w:sz w:val="21"/>
          <w:szCs w:val="21"/>
        </w:rPr>
        <w:t>)财政部《政府采购促进中小企业发展管理办法》（财库〔2020〕46号）；(</w:t>
      </w:r>
      <w:r>
        <w:rPr>
          <w:rFonts w:ascii="黑体" w:hAnsi="黑体" w:eastAsia="黑体"/>
          <w:color w:val="FF0000"/>
          <w:sz w:val="21"/>
          <w:szCs w:val="21"/>
        </w:rPr>
        <w:t>2</w:t>
      </w:r>
      <w:r>
        <w:rPr>
          <w:rFonts w:hint="eastAsia" w:ascii="黑体" w:hAnsi="黑体" w:eastAsia="黑体"/>
          <w:color w:val="FF0000"/>
          <w:sz w:val="21"/>
          <w:szCs w:val="21"/>
        </w:rPr>
        <w:t>)《金融业企业划型标准规定》（银发〔2015〕309 号）；（3）《工业和信息化部、国家统计局、国家发展和改革委员会、财政部关于印发中小企业划型标准规定的通知》（工信部联企业〔2011〕300 号，以下简称3</w:t>
      </w:r>
      <w:r>
        <w:rPr>
          <w:rFonts w:ascii="黑体" w:hAnsi="黑体" w:eastAsia="黑体"/>
          <w:color w:val="FF0000"/>
          <w:sz w:val="21"/>
          <w:szCs w:val="21"/>
        </w:rPr>
        <w:t>00</w:t>
      </w:r>
      <w:r>
        <w:rPr>
          <w:rFonts w:hint="eastAsia" w:ascii="黑体" w:hAnsi="黑体" w:eastAsia="黑体"/>
          <w:color w:val="FF0000"/>
          <w:sz w:val="21"/>
          <w:szCs w:val="21"/>
        </w:rPr>
        <w:t>号文）。</w:t>
      </w:r>
    </w:p>
    <w:p w14:paraId="3D7F7899">
      <w:pPr>
        <w:ind w:firstLine="420" w:firstLineChars="200"/>
        <w:rPr>
          <w:rFonts w:ascii="黑体" w:hAnsi="宋体" w:eastAsia="黑体"/>
          <w:bCs/>
          <w:color w:val="FF0000"/>
          <w:sz w:val="21"/>
          <w:szCs w:val="21"/>
        </w:rPr>
      </w:pPr>
      <w:r>
        <w:rPr>
          <w:rFonts w:hint="eastAsia" w:ascii="黑体" w:hAnsi="宋体" w:eastAsia="黑体"/>
          <w:bCs/>
          <w:color w:val="FF0000"/>
          <w:sz w:val="21"/>
          <w:szCs w:val="21"/>
        </w:rPr>
        <w:t>3.请依照提供的格式和内容填写声明函，不要随意变更格式；声明函不需要盖章或签字；</w:t>
      </w:r>
      <w:r>
        <w:rPr>
          <w:rFonts w:hint="eastAsia" w:ascii="黑体" w:hAnsi="黑体" w:eastAsia="黑体"/>
          <w:color w:val="FF0000"/>
          <w:sz w:val="21"/>
          <w:szCs w:val="21"/>
        </w:rPr>
        <w:t>满足多项优惠政策的投标人，不同时享受多项价格扣除政策。</w:t>
      </w:r>
    </w:p>
    <w:p w14:paraId="5E425F32">
      <w:pPr>
        <w:ind w:firstLine="420" w:firstLineChars="200"/>
        <w:rPr>
          <w:rFonts w:ascii="黑体" w:hAnsi="宋体" w:eastAsia="黑体"/>
          <w:bCs/>
          <w:color w:val="FF0000"/>
          <w:sz w:val="21"/>
          <w:szCs w:val="21"/>
        </w:rPr>
      </w:pPr>
      <w:r>
        <w:rPr>
          <w:rFonts w:hint="eastAsia" w:ascii="黑体" w:hAnsi="宋体" w:eastAsia="黑体"/>
          <w:bCs/>
          <w:color w:val="FF0000"/>
          <w:sz w:val="21"/>
          <w:szCs w:val="21"/>
        </w:rPr>
        <w:t>4.声明函具体填写要求：</w:t>
      </w:r>
    </w:p>
    <w:p w14:paraId="334AE44C">
      <w:pPr>
        <w:ind w:firstLine="420" w:firstLineChars="200"/>
        <w:rPr>
          <w:rFonts w:ascii="黑体" w:hAnsi="宋体" w:eastAsia="黑体"/>
          <w:bCs/>
          <w:color w:val="FF0000"/>
          <w:sz w:val="21"/>
          <w:szCs w:val="21"/>
        </w:rPr>
      </w:pPr>
      <w:r>
        <w:rPr>
          <w:rFonts w:hint="eastAsia" w:ascii="黑体" w:hAnsi="宋体" w:eastAsia="黑体"/>
          <w:bCs/>
          <w:color w:val="FF0000"/>
          <w:sz w:val="21"/>
          <w:szCs w:val="21"/>
        </w:rPr>
        <w:t>（1）声明是中小企业须填写《中小企业声明函》(货物)的以下内容：</w:t>
      </w:r>
    </w:p>
    <w:p w14:paraId="5B24F6FF">
      <w:pPr>
        <w:ind w:firstLine="420" w:firstLineChars="200"/>
        <w:rPr>
          <w:rFonts w:ascii="黑体" w:hAnsi="宋体" w:eastAsia="黑体"/>
          <w:bCs/>
          <w:color w:val="FF0000"/>
          <w:sz w:val="21"/>
          <w:szCs w:val="21"/>
        </w:rPr>
      </w:pPr>
      <w:r>
        <w:rPr>
          <w:rFonts w:hint="eastAsia" w:ascii="黑体" w:hAnsi="宋体" w:eastAsia="黑体"/>
          <w:bCs/>
          <w:color w:val="FF0000"/>
          <w:sz w:val="21"/>
          <w:szCs w:val="21"/>
        </w:rPr>
        <w:t>第一处，在“单位名称”下划线处如实填写采购人名称（中国远东国际招标有限公司不是本项目的采购人，而是组织实施机构）；</w:t>
      </w:r>
    </w:p>
    <w:p w14:paraId="3424881A">
      <w:pPr>
        <w:ind w:firstLine="420" w:firstLineChars="200"/>
        <w:rPr>
          <w:rFonts w:ascii="黑体" w:hAnsi="宋体" w:eastAsia="黑体"/>
          <w:bCs/>
          <w:color w:val="FF0000"/>
          <w:sz w:val="21"/>
          <w:szCs w:val="21"/>
        </w:rPr>
      </w:pPr>
      <w:r>
        <w:rPr>
          <w:rFonts w:hint="eastAsia" w:ascii="黑体" w:hAnsi="宋体" w:eastAsia="黑体"/>
          <w:bCs/>
          <w:color w:val="FF0000"/>
          <w:sz w:val="21"/>
          <w:szCs w:val="21"/>
        </w:rPr>
        <w:t>第二处，在“项目名称”下划线处如实填写采购项目名称。</w:t>
      </w:r>
    </w:p>
    <w:p w14:paraId="788623C2">
      <w:pPr>
        <w:ind w:firstLine="420" w:firstLineChars="200"/>
        <w:rPr>
          <w:rFonts w:ascii="黑体" w:hAnsi="宋体" w:eastAsia="黑体"/>
          <w:bCs/>
          <w:color w:val="FF0000"/>
          <w:sz w:val="21"/>
          <w:szCs w:val="21"/>
        </w:rPr>
      </w:pPr>
      <w:r>
        <w:rPr>
          <w:rFonts w:hint="eastAsia" w:ascii="黑体" w:hAnsi="宋体" w:eastAsia="黑体"/>
          <w:bCs/>
          <w:color w:val="FF0000"/>
          <w:sz w:val="21"/>
          <w:szCs w:val="21"/>
        </w:rPr>
        <w:t>第三处，在“标的名称”下划线处填写所采购货物（标的）的具体名称（以招标文件第一册第三章 用户需求书“货物需求明细”的“货物名称（标的名称）”一栏为准）；如果涉及多项货物（标的）由同一企业制造，“标的名称”下划线处可以如实填写多项货物（标的）。</w:t>
      </w:r>
    </w:p>
    <w:p w14:paraId="4D16D345">
      <w:pPr>
        <w:ind w:firstLine="420" w:firstLineChars="200"/>
        <w:rPr>
          <w:rFonts w:ascii="黑体" w:hAnsi="宋体" w:eastAsia="黑体"/>
          <w:bCs/>
          <w:color w:val="FF0000"/>
          <w:sz w:val="21"/>
          <w:szCs w:val="21"/>
        </w:rPr>
      </w:pPr>
      <w:r>
        <w:rPr>
          <w:rFonts w:hint="eastAsia" w:ascii="黑体" w:hAnsi="宋体" w:eastAsia="黑体"/>
          <w:bCs/>
          <w:color w:val="FF0000"/>
          <w:sz w:val="21"/>
          <w:szCs w:val="21"/>
        </w:rPr>
        <w:t>第四处，在“采购文件中明确的所属行业”下划线处填写采购标的对应的中小企业划分标准所属行业（所属行业可在“评标信息”查看）；</w:t>
      </w:r>
      <w:r>
        <w:rPr>
          <w:rFonts w:hint="eastAsia" w:ascii="黑体" w:hAnsi="宋体" w:eastAsia="黑体"/>
          <w:bCs/>
          <w:color w:val="4F81BD"/>
          <w:sz w:val="21"/>
          <w:szCs w:val="21"/>
          <w:u w:val="double"/>
        </w:rPr>
        <w:t>《中小企业声明函》中制造商所属行业应当与招标文件要求的行业相一致</w:t>
      </w:r>
      <w:r>
        <w:rPr>
          <w:rFonts w:hint="eastAsia" w:ascii="黑体" w:hAnsi="宋体" w:eastAsia="黑体"/>
          <w:bCs/>
          <w:color w:val="FF0000"/>
          <w:sz w:val="21"/>
          <w:szCs w:val="21"/>
        </w:rPr>
        <w:t>，供应商如有疑问，可根据《国民经济行业分类》，结合《关于印发中小企业划型标准规定的通知》（工信部联企业〔2011〕300 号）进行判断。</w:t>
      </w:r>
    </w:p>
    <w:p w14:paraId="7FB3D967">
      <w:pPr>
        <w:ind w:firstLine="420" w:firstLineChars="200"/>
        <w:rPr>
          <w:rFonts w:ascii="黑体" w:hAnsi="宋体" w:eastAsia="黑体"/>
          <w:bCs/>
          <w:color w:val="FF0000"/>
          <w:sz w:val="21"/>
          <w:szCs w:val="21"/>
        </w:rPr>
      </w:pPr>
      <w:r>
        <w:rPr>
          <w:rFonts w:hint="eastAsia" w:ascii="黑体" w:hAnsi="宋体" w:eastAsia="黑体"/>
          <w:bCs/>
          <w:color w:val="FF0000"/>
          <w:sz w:val="21"/>
          <w:szCs w:val="21"/>
        </w:rPr>
        <w:t>第五处，在“企业名称”下划线处如实填写制造商名称；在“从业人员”、“营业收入”、“资产总额”下划线处如实填写</w:t>
      </w:r>
      <w:r>
        <w:rPr>
          <w:rFonts w:hint="eastAsia" w:ascii="黑体" w:hAnsi="宋体" w:eastAsia="黑体"/>
          <w:bCs/>
          <w:color w:val="4F81BD"/>
          <w:sz w:val="21"/>
          <w:szCs w:val="21"/>
          <w:u w:val="double"/>
        </w:rPr>
        <w:t>制造商的</w:t>
      </w:r>
      <w:r>
        <w:rPr>
          <w:rFonts w:hint="eastAsia" w:ascii="黑体" w:hAnsi="宋体" w:eastAsia="黑体"/>
          <w:bCs/>
          <w:color w:val="FF0000"/>
          <w:sz w:val="21"/>
          <w:szCs w:val="21"/>
        </w:rPr>
        <w:t>从业人员、营业收入、资产总额；在“中型企业、小型企业、微型企业”下划线处如实依照300号文填写相应的企业类型；从业人员、营业收入、资产总额填报上一年度数据，无上一年度数据的新成立企业可以不填报。</w:t>
      </w:r>
    </w:p>
    <w:p w14:paraId="31A82E5E">
      <w:pPr>
        <w:ind w:firstLine="420" w:firstLineChars="200"/>
        <w:rPr>
          <w:rFonts w:ascii="黑体" w:hAnsi="宋体" w:eastAsia="黑体"/>
          <w:bCs/>
          <w:color w:val="FF0000"/>
          <w:sz w:val="21"/>
          <w:szCs w:val="21"/>
        </w:rPr>
      </w:pPr>
      <w:r>
        <w:rPr>
          <w:rFonts w:hint="eastAsia" w:ascii="黑体" w:hAnsi="宋体" w:eastAsia="黑体"/>
          <w:bCs/>
          <w:color w:val="FF0000"/>
          <w:sz w:val="21"/>
          <w:szCs w:val="21"/>
        </w:rPr>
        <w:t>（2）声明是残疾人福利性单位须填写《残疾人福利性单位声明函》（货物类）的相关内容（填写位置的字体已加粗），具体参照上述针对《中小企业声明函》的填写要求进行填写。</w:t>
      </w:r>
    </w:p>
    <w:p w14:paraId="1C079FFF">
      <w:pPr>
        <w:ind w:firstLine="420" w:firstLineChars="200"/>
        <w:rPr>
          <w:rFonts w:ascii="黑体" w:hAnsi="宋体" w:eastAsia="黑体"/>
          <w:bCs/>
          <w:color w:val="FF0000"/>
          <w:sz w:val="21"/>
          <w:szCs w:val="21"/>
        </w:rPr>
      </w:pPr>
      <w:r>
        <w:rPr>
          <w:rFonts w:hint="eastAsia" w:ascii="黑体" w:hAnsi="宋体" w:eastAsia="黑体"/>
          <w:bCs/>
          <w:color w:val="FF0000"/>
          <w:sz w:val="21"/>
          <w:szCs w:val="21"/>
        </w:rPr>
        <w:t>（3）声明是监狱企业须填写《监狱企业声明函》的相关内容（填写位置的字体已加粗），具体参照上述针对《中小企业声明函》的填写要求进行填写。</w:t>
      </w:r>
    </w:p>
    <w:p w14:paraId="6B91B6ED">
      <w:pPr>
        <w:ind w:firstLine="420" w:firstLineChars="200"/>
        <w:rPr>
          <w:rFonts w:ascii="黑体" w:hAnsi="宋体" w:eastAsia="黑体"/>
          <w:bCs/>
          <w:color w:val="FF0000"/>
          <w:sz w:val="21"/>
          <w:szCs w:val="21"/>
        </w:rPr>
      </w:pPr>
      <w:r>
        <w:rPr>
          <w:rFonts w:hint="eastAsia" w:ascii="黑体" w:hAnsi="宋体" w:eastAsia="黑体"/>
          <w:bCs/>
          <w:color w:val="FF0000"/>
          <w:sz w:val="21"/>
          <w:szCs w:val="21"/>
        </w:rPr>
        <w:t>5.事业单位、社会组织等非企业主体不享受中小企业扶持政策，但事业单位、社会组织等非企业主体提供全部由中小企业制造的货物参加货物采购项目的除外。</w:t>
      </w:r>
    </w:p>
    <w:p w14:paraId="50239244">
      <w:pPr>
        <w:ind w:firstLine="420" w:firstLineChars="200"/>
        <w:rPr>
          <w:rFonts w:ascii="黑体" w:hAnsi="宋体" w:eastAsia="黑体"/>
          <w:bCs/>
          <w:color w:val="FF0000"/>
          <w:sz w:val="21"/>
          <w:szCs w:val="21"/>
        </w:rPr>
      </w:pPr>
    </w:p>
    <w:p w14:paraId="7FAF1164">
      <w:pPr>
        <w:ind w:firstLine="420" w:firstLineChars="200"/>
        <w:rPr>
          <w:rFonts w:ascii="黑体" w:hAnsi="宋体" w:eastAsia="黑体"/>
          <w:bCs/>
          <w:color w:val="FF0000"/>
          <w:sz w:val="21"/>
          <w:szCs w:val="21"/>
        </w:rPr>
      </w:pPr>
    </w:p>
    <w:p w14:paraId="7A3B2F99">
      <w:pPr>
        <w:ind w:firstLine="420" w:firstLineChars="200"/>
        <w:rPr>
          <w:rFonts w:ascii="黑体" w:hAnsi="宋体" w:eastAsia="黑体"/>
          <w:bCs/>
          <w:color w:val="4F81BD"/>
          <w:sz w:val="21"/>
          <w:szCs w:val="21"/>
        </w:rPr>
      </w:pPr>
      <w:r>
        <w:rPr>
          <w:rFonts w:hint="eastAsia" w:ascii="黑体" w:hAnsi="宋体" w:eastAsia="黑体"/>
          <w:bCs/>
          <w:color w:val="FF0000"/>
          <w:sz w:val="21"/>
          <w:szCs w:val="21"/>
        </w:rPr>
        <w:t>6.声明函的有效性最终由评审委员会判定；如评审委员会判定声明函无效，相关供应商不享受</w:t>
      </w:r>
      <w:r>
        <w:rPr>
          <w:rFonts w:hint="eastAsia" w:ascii="黑体" w:hAnsi="黑体" w:eastAsia="黑体"/>
          <w:color w:val="FF0000"/>
          <w:sz w:val="21"/>
          <w:szCs w:val="21"/>
        </w:rPr>
        <w:t>价格扣除</w:t>
      </w:r>
      <w:r>
        <w:rPr>
          <w:rFonts w:hint="eastAsia" w:ascii="黑体" w:hAnsi="宋体" w:eastAsia="黑体"/>
          <w:bCs/>
          <w:color w:val="4F81BD"/>
          <w:sz w:val="21"/>
          <w:szCs w:val="21"/>
        </w:rPr>
        <w:t>（但不作投标无效处理）。</w:t>
      </w:r>
    </w:p>
    <w:p w14:paraId="4B9DED9A">
      <w:pPr>
        <w:pStyle w:val="8"/>
        <w:rPr>
          <w:rFonts w:ascii="黑体" w:hAnsi="宋体" w:eastAsia="黑体"/>
          <w:color w:val="4F81BD"/>
          <w:sz w:val="21"/>
          <w:szCs w:val="21"/>
        </w:rPr>
      </w:pPr>
    </w:p>
    <w:p w14:paraId="04B111E1">
      <w:pPr>
        <w:ind w:firstLine="420" w:firstLineChars="200"/>
        <w:rPr>
          <w:rFonts w:ascii="黑体" w:hAnsi="宋体" w:eastAsia="黑体"/>
          <w:bCs/>
          <w:color w:val="FF0000"/>
          <w:sz w:val="21"/>
          <w:szCs w:val="21"/>
        </w:rPr>
      </w:pPr>
      <w:r>
        <w:rPr>
          <w:rFonts w:hint="eastAsia" w:ascii="黑体" w:hAnsi="宋体" w:eastAsia="黑体"/>
          <w:bCs/>
          <w:color w:val="FF0000"/>
          <w:sz w:val="21"/>
          <w:szCs w:val="21"/>
        </w:rPr>
        <w:t>填写指引2</w:t>
      </w:r>
      <w:r>
        <w:rPr>
          <w:rFonts w:hint="eastAsia" w:ascii="黑体" w:hAnsi="宋体" w:eastAsia="黑体"/>
          <w:bCs/>
          <w:color w:val="FF0000"/>
          <w:sz w:val="21"/>
          <w:szCs w:val="21"/>
          <w:highlight w:val="yellow"/>
        </w:rPr>
        <w:t>（仅适用于“专门面向中小企业采购项目或预留份额专门面向中小企业采购项目”）</w:t>
      </w:r>
      <w:r>
        <w:rPr>
          <w:rFonts w:hint="eastAsia" w:ascii="黑体" w:hAnsi="宋体" w:eastAsia="黑体"/>
          <w:bCs/>
          <w:color w:val="FF0000"/>
          <w:sz w:val="21"/>
          <w:szCs w:val="21"/>
        </w:rPr>
        <w:t>：</w:t>
      </w:r>
    </w:p>
    <w:p w14:paraId="18078B8E">
      <w:pPr>
        <w:ind w:firstLine="420" w:firstLineChars="200"/>
        <w:rPr>
          <w:rFonts w:ascii="黑体" w:hAnsi="宋体" w:eastAsia="黑体"/>
          <w:bCs/>
          <w:color w:val="FF0000"/>
          <w:sz w:val="21"/>
          <w:szCs w:val="21"/>
        </w:rPr>
      </w:pPr>
      <w:r>
        <w:rPr>
          <w:rFonts w:hint="eastAsia" w:ascii="黑体" w:hAnsi="宋体" w:eastAsia="黑体"/>
          <w:bCs/>
          <w:color w:val="FF0000"/>
          <w:sz w:val="21"/>
          <w:szCs w:val="21"/>
        </w:rPr>
        <w:t>1.该部分内容由投标人根据自身实际情况填写，不符合要求的投标人可以不填写或直接删除相应的声明函。投标人提供的声明函不属实的，属于提供虚假资料谋取中标，依照《中华人民共和国政府采购法》等国家有关规定追究相应责任。</w:t>
      </w:r>
    </w:p>
    <w:p w14:paraId="74817D81">
      <w:pPr>
        <w:ind w:firstLine="420" w:firstLineChars="200"/>
        <w:rPr>
          <w:rFonts w:ascii="黑体" w:hAnsi="黑体" w:eastAsia="黑体"/>
          <w:color w:val="FF0000"/>
          <w:sz w:val="21"/>
          <w:szCs w:val="21"/>
        </w:rPr>
      </w:pPr>
      <w:r>
        <w:rPr>
          <w:rFonts w:hint="eastAsia" w:ascii="黑体" w:hAnsi="宋体" w:eastAsia="黑体"/>
          <w:bCs/>
          <w:color w:val="FF0000"/>
          <w:sz w:val="21"/>
          <w:szCs w:val="21"/>
        </w:rPr>
        <w:t>2.</w:t>
      </w:r>
      <w:r>
        <w:rPr>
          <w:rFonts w:hint="eastAsia" w:ascii="黑体" w:hAnsi="黑体" w:eastAsia="黑体"/>
          <w:color w:val="FF0000"/>
          <w:sz w:val="21"/>
          <w:szCs w:val="21"/>
        </w:rPr>
        <w:t>该部分内容填写需要参考的相关文件：(</w:t>
      </w:r>
      <w:r>
        <w:rPr>
          <w:rFonts w:ascii="黑体" w:hAnsi="黑体" w:eastAsia="黑体"/>
          <w:color w:val="FF0000"/>
          <w:sz w:val="21"/>
          <w:szCs w:val="21"/>
        </w:rPr>
        <w:t>1</w:t>
      </w:r>
      <w:r>
        <w:rPr>
          <w:rFonts w:hint="eastAsia" w:ascii="黑体" w:hAnsi="黑体" w:eastAsia="黑体"/>
          <w:color w:val="FF0000"/>
          <w:sz w:val="21"/>
          <w:szCs w:val="21"/>
        </w:rPr>
        <w:t>)财政部《政府采购促进中小企业发展管理办法》（财库〔2020〕46号）；(</w:t>
      </w:r>
      <w:r>
        <w:rPr>
          <w:rFonts w:ascii="黑体" w:hAnsi="黑体" w:eastAsia="黑体"/>
          <w:color w:val="FF0000"/>
          <w:sz w:val="21"/>
          <w:szCs w:val="21"/>
        </w:rPr>
        <w:t>2</w:t>
      </w:r>
      <w:r>
        <w:rPr>
          <w:rFonts w:hint="eastAsia" w:ascii="黑体" w:hAnsi="黑体" w:eastAsia="黑体"/>
          <w:color w:val="FF0000"/>
          <w:sz w:val="21"/>
          <w:szCs w:val="21"/>
        </w:rPr>
        <w:t>)《金融业企业划型标准规定》（银发〔2015〕309 号）；（3）《工业和信息化部、国家统计局、国家发展和改革委员会、财政部关于印发中小企业划型标准规定的通知》（工信部联企业〔2011〕300 号，以下简称3</w:t>
      </w:r>
      <w:r>
        <w:rPr>
          <w:rFonts w:ascii="黑体" w:hAnsi="黑体" w:eastAsia="黑体"/>
          <w:color w:val="FF0000"/>
          <w:sz w:val="21"/>
          <w:szCs w:val="21"/>
        </w:rPr>
        <w:t>00</w:t>
      </w:r>
      <w:r>
        <w:rPr>
          <w:rFonts w:hint="eastAsia" w:ascii="黑体" w:hAnsi="黑体" w:eastAsia="黑体"/>
          <w:color w:val="FF0000"/>
          <w:sz w:val="21"/>
          <w:szCs w:val="21"/>
        </w:rPr>
        <w:t>号文）。</w:t>
      </w:r>
    </w:p>
    <w:p w14:paraId="26B8C38A">
      <w:pPr>
        <w:ind w:firstLine="420" w:firstLineChars="200"/>
        <w:rPr>
          <w:rFonts w:ascii="黑体" w:hAnsi="宋体" w:eastAsia="黑体"/>
          <w:bCs/>
          <w:color w:val="FF0000"/>
          <w:sz w:val="21"/>
          <w:szCs w:val="21"/>
        </w:rPr>
      </w:pPr>
      <w:r>
        <w:rPr>
          <w:rFonts w:hint="eastAsia" w:ascii="黑体" w:hAnsi="宋体" w:eastAsia="黑体"/>
          <w:bCs/>
          <w:color w:val="FF0000"/>
          <w:sz w:val="21"/>
          <w:szCs w:val="21"/>
        </w:rPr>
        <w:t>3.请依照提供的格式和内容填写声明函，不要随意变更格式；声明函不需要盖章或签字。</w:t>
      </w:r>
    </w:p>
    <w:p w14:paraId="19323A69">
      <w:pPr>
        <w:ind w:firstLine="420" w:firstLineChars="200"/>
        <w:rPr>
          <w:rFonts w:ascii="黑体" w:hAnsi="宋体" w:eastAsia="黑体"/>
          <w:bCs/>
          <w:color w:val="FF0000"/>
          <w:sz w:val="21"/>
          <w:szCs w:val="21"/>
        </w:rPr>
      </w:pPr>
      <w:r>
        <w:rPr>
          <w:rFonts w:hint="eastAsia" w:ascii="黑体" w:hAnsi="宋体" w:eastAsia="黑体"/>
          <w:bCs/>
          <w:color w:val="FF0000"/>
          <w:sz w:val="21"/>
          <w:szCs w:val="21"/>
        </w:rPr>
        <w:t>4.声明函具体填写要求：</w:t>
      </w:r>
    </w:p>
    <w:p w14:paraId="36F7873E">
      <w:pPr>
        <w:ind w:firstLine="420" w:firstLineChars="200"/>
        <w:rPr>
          <w:rFonts w:ascii="黑体" w:hAnsi="宋体" w:eastAsia="黑体"/>
          <w:bCs/>
          <w:color w:val="FF0000"/>
          <w:sz w:val="21"/>
          <w:szCs w:val="21"/>
        </w:rPr>
      </w:pPr>
      <w:r>
        <w:rPr>
          <w:rFonts w:hint="eastAsia" w:ascii="黑体" w:hAnsi="宋体" w:eastAsia="黑体"/>
          <w:bCs/>
          <w:color w:val="FF0000"/>
          <w:sz w:val="21"/>
          <w:szCs w:val="21"/>
        </w:rPr>
        <w:t>（1）声明是中小企业须填写《中小企业声明函》(货物)的以下内容：</w:t>
      </w:r>
    </w:p>
    <w:p w14:paraId="510C18BC">
      <w:pPr>
        <w:ind w:firstLine="420" w:firstLineChars="200"/>
        <w:rPr>
          <w:rFonts w:ascii="黑体" w:hAnsi="宋体" w:eastAsia="黑体"/>
          <w:bCs/>
          <w:color w:val="FF0000"/>
          <w:sz w:val="21"/>
          <w:szCs w:val="21"/>
        </w:rPr>
      </w:pPr>
      <w:r>
        <w:rPr>
          <w:rFonts w:hint="eastAsia" w:ascii="黑体" w:hAnsi="宋体" w:eastAsia="黑体"/>
          <w:bCs/>
          <w:color w:val="FF0000"/>
          <w:sz w:val="21"/>
          <w:szCs w:val="21"/>
        </w:rPr>
        <w:t>第一处，在“单位名称”下划线处如实填写采购人名称（中国远东国际招标有限公司不是本项目的采购人，而是组织实施机构）；供应商未填写“采购人名称”或填写的“采购人名称”与招标文件的“采购人名称”不一致的，</w:t>
      </w:r>
      <w:r>
        <w:rPr>
          <w:rFonts w:hint="eastAsia" w:ascii="黑体" w:hAnsi="宋体" w:eastAsia="黑体"/>
          <w:bCs/>
          <w:color w:val="4F81BD"/>
          <w:sz w:val="21"/>
          <w:szCs w:val="21"/>
          <w:u w:val="double"/>
        </w:rPr>
        <w:t>将导致投标无效</w:t>
      </w:r>
      <w:r>
        <w:rPr>
          <w:rFonts w:hint="eastAsia" w:ascii="黑体" w:hAnsi="宋体" w:eastAsia="黑体"/>
          <w:bCs/>
          <w:color w:val="FF0000"/>
          <w:sz w:val="21"/>
          <w:szCs w:val="21"/>
        </w:rPr>
        <w:t>；</w:t>
      </w:r>
    </w:p>
    <w:p w14:paraId="581DBB83">
      <w:pPr>
        <w:ind w:firstLine="420" w:firstLineChars="200"/>
        <w:rPr>
          <w:rFonts w:ascii="黑体" w:hAnsi="宋体" w:eastAsia="黑体"/>
          <w:bCs/>
          <w:color w:val="FF0000"/>
          <w:sz w:val="21"/>
          <w:szCs w:val="21"/>
        </w:rPr>
      </w:pPr>
      <w:r>
        <w:rPr>
          <w:rFonts w:hint="eastAsia" w:ascii="黑体" w:hAnsi="宋体" w:eastAsia="黑体"/>
          <w:bCs/>
          <w:color w:val="FF0000"/>
          <w:sz w:val="21"/>
          <w:szCs w:val="21"/>
        </w:rPr>
        <w:t>第二处，在“项目名称”下划线处如实填写采购项目名称；供应商未填写“项目名称”或填写的“项目名称”与招标文件的“项目名称”不一致的，</w:t>
      </w:r>
      <w:r>
        <w:rPr>
          <w:rFonts w:hint="eastAsia" w:ascii="黑体" w:hAnsi="宋体" w:eastAsia="黑体"/>
          <w:bCs/>
          <w:color w:val="4F81BD"/>
          <w:sz w:val="21"/>
          <w:szCs w:val="21"/>
          <w:u w:val="double"/>
        </w:rPr>
        <w:t>将导致投标无效</w:t>
      </w:r>
      <w:r>
        <w:rPr>
          <w:rFonts w:hint="eastAsia" w:ascii="黑体" w:hAnsi="宋体" w:eastAsia="黑体"/>
          <w:bCs/>
          <w:color w:val="FF0000"/>
          <w:sz w:val="21"/>
          <w:szCs w:val="21"/>
        </w:rPr>
        <w:t>；</w:t>
      </w:r>
    </w:p>
    <w:p w14:paraId="07AF7AEB">
      <w:pPr>
        <w:ind w:firstLine="420" w:firstLineChars="200"/>
        <w:rPr>
          <w:rFonts w:ascii="黑体" w:hAnsi="宋体" w:eastAsia="黑体"/>
          <w:bCs/>
          <w:color w:val="FF0000"/>
          <w:sz w:val="21"/>
          <w:szCs w:val="21"/>
        </w:rPr>
      </w:pPr>
      <w:r>
        <w:rPr>
          <w:rFonts w:hint="eastAsia" w:ascii="黑体" w:hAnsi="宋体" w:eastAsia="黑体"/>
          <w:bCs/>
          <w:color w:val="FF0000"/>
          <w:sz w:val="21"/>
          <w:szCs w:val="21"/>
        </w:rPr>
        <w:t>第三处，在“标的名称”下划线处填写所采购货物（标的）的具体名称（以招标文件第一册第三章 用户需求书“货物需求明细”的“货物名称（标的名称）”一栏为准）；如果涉及多项货物（标的）由同一企业制造，“标的名称”下划线处可以如实填写多项货物（标的）；供应商未填写“标的名称”或填写的“标的名称”与招标文件第一册第三章 用户需求书“货物需求明细”的“货物名称（标的名称）”一栏不一致的，</w:t>
      </w:r>
      <w:r>
        <w:rPr>
          <w:rFonts w:hint="eastAsia" w:ascii="黑体" w:hAnsi="宋体" w:eastAsia="黑体"/>
          <w:bCs/>
          <w:color w:val="4F81BD"/>
          <w:sz w:val="21"/>
          <w:szCs w:val="21"/>
          <w:u w:val="double"/>
        </w:rPr>
        <w:t>将导致投标无效</w:t>
      </w:r>
      <w:r>
        <w:rPr>
          <w:rFonts w:hint="eastAsia" w:ascii="黑体" w:hAnsi="宋体" w:eastAsia="黑体"/>
          <w:bCs/>
          <w:color w:val="FF0000"/>
          <w:sz w:val="21"/>
          <w:szCs w:val="21"/>
        </w:rPr>
        <w:t>；</w:t>
      </w:r>
    </w:p>
    <w:p w14:paraId="720B332E">
      <w:pPr>
        <w:ind w:firstLine="420" w:firstLineChars="200"/>
        <w:rPr>
          <w:rFonts w:ascii="黑体" w:hAnsi="宋体" w:eastAsia="黑体"/>
          <w:bCs/>
          <w:color w:val="FF0000"/>
          <w:sz w:val="21"/>
          <w:szCs w:val="21"/>
        </w:rPr>
      </w:pPr>
      <w:r>
        <w:rPr>
          <w:rFonts w:hint="eastAsia" w:ascii="黑体" w:hAnsi="宋体" w:eastAsia="黑体"/>
          <w:bCs/>
          <w:color w:val="FF0000"/>
          <w:sz w:val="21"/>
          <w:szCs w:val="21"/>
        </w:rPr>
        <w:t>第四处，在“采购文件中明确的所属行业”下划线处填写采购标的对应的中小企业划分标准所属行业（所属行业可在“评标信息”查看）；</w:t>
      </w:r>
      <w:r>
        <w:rPr>
          <w:rFonts w:hint="eastAsia" w:ascii="黑体" w:hAnsi="宋体" w:eastAsia="黑体"/>
          <w:bCs/>
          <w:color w:val="4F81BD"/>
          <w:sz w:val="21"/>
          <w:szCs w:val="21"/>
          <w:u w:val="double"/>
        </w:rPr>
        <w:t>《中小企业声明函》中制造商所属行业应当与招标文件要求的行业相一致</w:t>
      </w:r>
      <w:r>
        <w:rPr>
          <w:rFonts w:hint="eastAsia" w:ascii="黑体" w:hAnsi="宋体" w:eastAsia="黑体"/>
          <w:bCs/>
          <w:color w:val="FF0000"/>
          <w:sz w:val="21"/>
          <w:szCs w:val="21"/>
        </w:rPr>
        <w:t>，供应商如有疑问，可根据《国民经济行业分类》，结合《关于印发中小企业划型标准规定的通知》（工信部联企业〔2011〕300 号）进行判断；供应商未填写“所属行业”或填写的“所属行业”与招标文件约定的“所属行业”不一致的，</w:t>
      </w:r>
      <w:r>
        <w:rPr>
          <w:rFonts w:hint="eastAsia" w:ascii="黑体" w:hAnsi="宋体" w:eastAsia="黑体"/>
          <w:bCs/>
          <w:color w:val="4F81BD"/>
          <w:sz w:val="21"/>
          <w:szCs w:val="21"/>
          <w:u w:val="double"/>
        </w:rPr>
        <w:t>将导致投标无效</w:t>
      </w:r>
      <w:r>
        <w:rPr>
          <w:rFonts w:hint="eastAsia" w:ascii="黑体" w:hAnsi="宋体" w:eastAsia="黑体"/>
          <w:bCs/>
          <w:color w:val="FF0000"/>
          <w:sz w:val="21"/>
          <w:szCs w:val="21"/>
        </w:rPr>
        <w:t>；例如，招标文件约定本项目采购标的对应的中小企业划分标准所属行业为“其他未列明的行业”，但供应商在“采购文件中明确的所属行业”下划线处填写为“工业”或“</w:t>
      </w:r>
      <w:r>
        <w:rPr>
          <w:rFonts w:hint="eastAsia" w:ascii="黑体" w:hAnsi="宋体" w:eastAsia="黑体"/>
          <w:bCs/>
          <w:color w:val="FF0000"/>
          <w:sz w:val="21"/>
          <w:szCs w:val="21"/>
          <w:highlight w:val="yellow"/>
        </w:rPr>
        <w:t>采购文件中明确的所属行业</w:t>
      </w:r>
      <w:r>
        <w:rPr>
          <w:rFonts w:hint="eastAsia" w:ascii="黑体" w:hAnsi="宋体" w:eastAsia="黑体"/>
          <w:bCs/>
          <w:color w:val="FF0000"/>
          <w:sz w:val="21"/>
          <w:szCs w:val="21"/>
        </w:rPr>
        <w:t>”，</w:t>
      </w:r>
      <w:r>
        <w:rPr>
          <w:rFonts w:hint="eastAsia" w:ascii="黑体" w:hAnsi="宋体" w:eastAsia="黑体"/>
          <w:bCs/>
          <w:color w:val="4F81BD"/>
          <w:sz w:val="21"/>
          <w:szCs w:val="21"/>
          <w:u w:val="double"/>
        </w:rPr>
        <w:t>做投标无效处理</w:t>
      </w:r>
      <w:r>
        <w:rPr>
          <w:rFonts w:hint="eastAsia" w:ascii="黑体" w:hAnsi="宋体" w:eastAsia="黑体"/>
          <w:bCs/>
          <w:color w:val="FF0000"/>
          <w:sz w:val="21"/>
          <w:szCs w:val="21"/>
        </w:rPr>
        <w:t>。</w:t>
      </w:r>
    </w:p>
    <w:p w14:paraId="32B75330">
      <w:pPr>
        <w:ind w:firstLine="420" w:firstLineChars="200"/>
        <w:rPr>
          <w:rFonts w:ascii="黑体" w:hAnsi="宋体" w:eastAsia="黑体"/>
          <w:bCs/>
          <w:color w:val="FF0000"/>
          <w:sz w:val="21"/>
          <w:szCs w:val="21"/>
        </w:rPr>
      </w:pPr>
      <w:r>
        <w:rPr>
          <w:rFonts w:hint="eastAsia" w:ascii="黑体" w:hAnsi="宋体" w:eastAsia="黑体"/>
          <w:bCs/>
          <w:color w:val="FF0000"/>
          <w:sz w:val="21"/>
          <w:szCs w:val="21"/>
        </w:rPr>
        <w:t>第五处，在“企业名称”下划线处如实填写承接企业名称；在“从业人员”、“营业收入”、“资产总额”下划线处如实填写</w:t>
      </w:r>
      <w:r>
        <w:rPr>
          <w:rFonts w:hint="eastAsia" w:ascii="黑体" w:hAnsi="宋体" w:eastAsia="黑体"/>
          <w:bCs/>
          <w:color w:val="4F81BD"/>
          <w:sz w:val="21"/>
          <w:szCs w:val="21"/>
          <w:u w:val="double"/>
        </w:rPr>
        <w:t>制造商的</w:t>
      </w:r>
      <w:r>
        <w:rPr>
          <w:rFonts w:hint="eastAsia" w:ascii="黑体" w:hAnsi="宋体" w:eastAsia="黑体"/>
          <w:bCs/>
          <w:color w:val="FF0000"/>
          <w:sz w:val="21"/>
          <w:szCs w:val="21"/>
        </w:rPr>
        <w:t>从业人员、营业收入、资产总额；在“中型企业、小型企业、微型企业”下划线处如实依照300号文填写相应的企业类型；企业类型只能填写“中型企业”、“小型企业”或“微型企业”，如投标人企业类型填写为“中小企业、小微企业”或其他表述的，视为未按要求填写，</w:t>
      </w:r>
      <w:r>
        <w:rPr>
          <w:rFonts w:hint="eastAsia" w:ascii="黑体" w:hAnsi="宋体" w:eastAsia="黑体"/>
          <w:bCs/>
          <w:color w:val="4F81BD"/>
          <w:sz w:val="21"/>
          <w:szCs w:val="21"/>
          <w:u w:val="double"/>
        </w:rPr>
        <w:t>做投标无效处理</w:t>
      </w:r>
      <w:r>
        <w:rPr>
          <w:rFonts w:hint="eastAsia" w:ascii="黑体" w:hAnsi="宋体" w:eastAsia="黑体"/>
          <w:bCs/>
          <w:color w:val="FF0000"/>
          <w:sz w:val="21"/>
          <w:szCs w:val="21"/>
        </w:rPr>
        <w:t>。从业人员、营业收入、资产总额填报上一年度数据，无上一年度数据的新成立企业可以不填报；供应商填写的中小微企业类型与实际不一致的，将导致投标无效。例如，供应商本属于中型企业，但供应商在中小企业声明函时填报为小型企业；供应商本属于微型企业，但供应商在中小企业声明函时填报为小型企业；以上两种情形均</w:t>
      </w:r>
      <w:r>
        <w:rPr>
          <w:rFonts w:hint="eastAsia" w:ascii="黑体" w:hAnsi="宋体" w:eastAsia="黑体"/>
          <w:bCs/>
          <w:color w:val="4F81BD"/>
          <w:sz w:val="21"/>
          <w:szCs w:val="21"/>
          <w:u w:val="double"/>
        </w:rPr>
        <w:t>做投标无效处理</w:t>
      </w:r>
      <w:r>
        <w:rPr>
          <w:rFonts w:hint="eastAsia" w:ascii="黑体" w:hAnsi="宋体" w:eastAsia="黑体"/>
          <w:bCs/>
          <w:color w:val="FF0000"/>
          <w:sz w:val="21"/>
          <w:szCs w:val="21"/>
        </w:rPr>
        <w:t>。</w:t>
      </w:r>
    </w:p>
    <w:p w14:paraId="3DFF2C6F">
      <w:pPr>
        <w:ind w:firstLine="420" w:firstLineChars="200"/>
        <w:rPr>
          <w:rFonts w:ascii="黑体" w:hAnsi="宋体" w:eastAsia="黑体"/>
          <w:bCs/>
          <w:color w:val="FF0000"/>
          <w:sz w:val="21"/>
          <w:szCs w:val="21"/>
        </w:rPr>
      </w:pPr>
      <w:r>
        <w:rPr>
          <w:rFonts w:hint="eastAsia" w:ascii="黑体" w:hAnsi="宋体" w:eastAsia="黑体"/>
          <w:bCs/>
          <w:color w:val="FF0000"/>
          <w:sz w:val="21"/>
          <w:szCs w:val="21"/>
        </w:rPr>
        <w:t>（2）声明是残疾人福利性单位须填写《残疾人福利性单位声明函》（货物类）的相关内容（填写位置的字体已加粗），具体参照上述针对《中小企业声明函》的填写要求进行填写。</w:t>
      </w:r>
    </w:p>
    <w:p w14:paraId="0158698E">
      <w:pPr>
        <w:ind w:firstLine="420" w:firstLineChars="200"/>
        <w:rPr>
          <w:rFonts w:ascii="黑体" w:hAnsi="宋体" w:eastAsia="黑体"/>
          <w:bCs/>
          <w:color w:val="FF0000"/>
          <w:sz w:val="21"/>
          <w:szCs w:val="21"/>
        </w:rPr>
      </w:pPr>
      <w:r>
        <w:rPr>
          <w:rFonts w:hint="eastAsia" w:ascii="黑体" w:hAnsi="宋体" w:eastAsia="黑体"/>
          <w:bCs/>
          <w:color w:val="FF0000"/>
          <w:sz w:val="21"/>
          <w:szCs w:val="21"/>
        </w:rPr>
        <w:t>（3）声明是监狱企业须填写《监狱企业声明函》的相关内容（填写位置的字体已加粗），具体参照上述针对《中小企业声明函》的填写要求进行填写。</w:t>
      </w:r>
    </w:p>
    <w:p w14:paraId="37D62E26">
      <w:pPr>
        <w:ind w:firstLine="420" w:firstLineChars="200"/>
        <w:rPr>
          <w:rFonts w:ascii="黑体" w:hAnsi="宋体" w:eastAsia="黑体"/>
          <w:bCs/>
          <w:color w:val="FF0000"/>
          <w:sz w:val="21"/>
          <w:szCs w:val="21"/>
        </w:rPr>
      </w:pPr>
      <w:r>
        <w:rPr>
          <w:rFonts w:hint="eastAsia" w:ascii="黑体" w:hAnsi="宋体" w:eastAsia="黑体"/>
          <w:bCs/>
          <w:color w:val="FF0000"/>
          <w:sz w:val="21"/>
          <w:szCs w:val="21"/>
        </w:rPr>
        <w:t>5.事业单位、社会组织等非企业主体不享受中小企业扶持政策，但事业单位、社会组织等非企业主体提供全部由中小企业制造的货物参加货物采购项目的除外。</w:t>
      </w:r>
    </w:p>
    <w:p w14:paraId="2EB53F2C">
      <w:pPr>
        <w:ind w:firstLine="420" w:firstLineChars="200"/>
        <w:rPr>
          <w:rFonts w:ascii="黑体" w:hAnsi="宋体" w:eastAsia="黑体"/>
          <w:bCs/>
          <w:color w:val="FF0000"/>
          <w:sz w:val="21"/>
          <w:szCs w:val="21"/>
        </w:rPr>
      </w:pPr>
      <w:r>
        <w:rPr>
          <w:rFonts w:hint="eastAsia" w:ascii="黑体" w:hAnsi="宋体" w:eastAsia="黑体"/>
          <w:bCs/>
          <w:color w:val="FF0000"/>
          <w:sz w:val="21"/>
          <w:szCs w:val="21"/>
        </w:rPr>
        <w:t>6.本项目属于专门面向中小微企业采购，要求提供声明函作为依据，未提供声明函或声明内容不满足要求的，</w:t>
      </w:r>
      <w:r>
        <w:rPr>
          <w:rFonts w:hint="eastAsia" w:ascii="黑体" w:hAnsi="宋体" w:eastAsia="黑体"/>
          <w:bCs/>
          <w:color w:val="4F81BD"/>
          <w:sz w:val="21"/>
          <w:szCs w:val="21"/>
          <w:u w:val="double"/>
        </w:rPr>
        <w:t>做资格审查不通过处理、投标无效处理</w:t>
      </w:r>
      <w:r>
        <w:rPr>
          <w:rFonts w:hint="eastAsia" w:ascii="黑体" w:hAnsi="宋体" w:eastAsia="黑体"/>
          <w:bCs/>
          <w:color w:val="FF0000"/>
          <w:sz w:val="21"/>
          <w:szCs w:val="21"/>
        </w:rPr>
        <w:t>。</w:t>
      </w:r>
    </w:p>
    <w:p w14:paraId="7A455857">
      <w:pPr>
        <w:ind w:firstLine="420" w:firstLineChars="200"/>
        <w:rPr>
          <w:rFonts w:ascii="黑体" w:hAnsi="宋体" w:eastAsia="黑体"/>
          <w:bCs/>
          <w:color w:val="FF0000"/>
          <w:sz w:val="21"/>
          <w:szCs w:val="21"/>
        </w:rPr>
      </w:pPr>
    </w:p>
    <w:p w14:paraId="515B0E3F">
      <w:pPr>
        <w:pStyle w:val="8"/>
      </w:pPr>
    </w:p>
    <w:p w14:paraId="2D3E5E7B">
      <w:pPr>
        <w:pStyle w:val="6"/>
        <w:spacing w:before="120" w:beforeLines="50" w:after="120" w:afterLines="50" w:line="320" w:lineRule="auto"/>
        <w:jc w:val="center"/>
        <w:rPr>
          <w:rFonts w:ascii="宋体" w:hAnsi="宋体" w:eastAsia="宋体" w:cs="宋体"/>
          <w:kern w:val="2"/>
          <w:szCs w:val="24"/>
        </w:rPr>
      </w:pPr>
      <w:r>
        <w:br w:type="page"/>
      </w:r>
      <w:r>
        <w:rPr>
          <w:rFonts w:hint="eastAsia" w:ascii="宋体" w:hAnsi="宋体" w:eastAsia="宋体" w:cs="宋体"/>
          <w:kern w:val="2"/>
          <w:szCs w:val="24"/>
        </w:rPr>
        <w:t>1.中小企业声明函（货物）</w:t>
      </w:r>
    </w:p>
    <w:p w14:paraId="4CBB551F">
      <w:pPr>
        <w:spacing w:line="360" w:lineRule="auto"/>
        <w:ind w:firstLine="420" w:firstLineChars="200"/>
        <w:textAlignment w:val="baseline"/>
        <w:rPr>
          <w:rFonts w:ascii="宋体" w:hAnsi="宋体" w:eastAsia="宋体" w:cs="宋体"/>
          <w:sz w:val="21"/>
          <w:szCs w:val="21"/>
        </w:rPr>
      </w:pPr>
      <w:r>
        <w:rPr>
          <w:rFonts w:hint="eastAsia" w:ascii="宋体" w:hAnsi="宋体" w:eastAsia="宋体" w:cs="宋体"/>
          <w:sz w:val="21"/>
          <w:szCs w:val="21"/>
        </w:rPr>
        <w:t>本公司（联合体）郑重声明，根据《政府采购促进中小企业发展管理办法》（财库﹝2020﹞46 号）的规定，本公司（联合体）参加</w:t>
      </w:r>
      <w:r>
        <w:rPr>
          <w:rFonts w:hint="eastAsia" w:ascii="宋体" w:hAnsi="宋体" w:eastAsia="宋体" w:cs="宋体"/>
          <w:sz w:val="21"/>
          <w:szCs w:val="21"/>
          <w:u w:val="single"/>
        </w:rPr>
        <w:t xml:space="preserve"> </w:t>
      </w:r>
      <w:r>
        <w:rPr>
          <w:rFonts w:hint="eastAsia" w:ascii="宋体" w:hAnsi="宋体" w:eastAsia="宋体" w:cs="宋体"/>
          <w:b/>
          <w:bCs/>
          <w:sz w:val="21"/>
          <w:szCs w:val="21"/>
          <w:u w:val="single"/>
        </w:rPr>
        <w:t xml:space="preserve">（哈尔滨工业大学（深圳）） </w:t>
      </w:r>
      <w:r>
        <w:rPr>
          <w:rFonts w:hint="eastAsia" w:ascii="宋体" w:hAnsi="宋体" w:eastAsia="宋体" w:cs="宋体"/>
          <w:sz w:val="21"/>
          <w:szCs w:val="21"/>
        </w:rPr>
        <w:t>的</w:t>
      </w:r>
      <w:r>
        <w:rPr>
          <w:rFonts w:hint="eastAsia" w:ascii="宋体" w:hAnsi="宋体" w:eastAsia="宋体" w:cs="宋体"/>
          <w:sz w:val="21"/>
          <w:szCs w:val="21"/>
          <w:u w:val="single"/>
        </w:rPr>
        <w:t xml:space="preserve"> </w:t>
      </w:r>
      <w:r>
        <w:rPr>
          <w:rFonts w:hint="eastAsia" w:ascii="宋体" w:hAnsi="宋体" w:eastAsia="宋体" w:cs="宋体"/>
          <w:b/>
          <w:bCs/>
          <w:sz w:val="21"/>
          <w:szCs w:val="21"/>
          <w:u w:val="single"/>
        </w:rPr>
        <w:t>（</w:t>
      </w:r>
      <w:r>
        <w:rPr>
          <w:rFonts w:hint="eastAsia" w:ascii="宋体" w:hAnsi="宋体" w:eastAsia="宋体" w:cs="宋体"/>
          <w:b/>
          <w:bCs/>
          <w:sz w:val="21"/>
          <w:szCs w:val="21"/>
          <w:u w:val="single"/>
          <w:lang w:eastAsia="zh-CN"/>
        </w:rPr>
        <w:t>低温质子辐照终端</w:t>
      </w:r>
      <w:r>
        <w:rPr>
          <w:rFonts w:hint="eastAsia" w:ascii="宋体" w:hAnsi="宋体" w:eastAsia="宋体" w:cs="宋体"/>
          <w:b/>
          <w:bCs/>
          <w:sz w:val="21"/>
          <w:szCs w:val="21"/>
          <w:u w:val="single"/>
        </w:rPr>
        <w:t xml:space="preserve">） </w:t>
      </w:r>
      <w:r>
        <w:rPr>
          <w:rFonts w:hint="eastAsia" w:ascii="宋体" w:hAnsi="宋体" w:eastAsia="宋体" w:cs="宋体"/>
          <w:sz w:val="21"/>
          <w:szCs w:val="21"/>
        </w:rPr>
        <w:t>采购活动，提供的货物全部由符合政策要求的中小企业制造。相关企业（含联合体中的中小企业、签订分包意向协议的中小企业）的具体情况如下：</w:t>
      </w:r>
    </w:p>
    <w:p w14:paraId="49BD6831">
      <w:pPr>
        <w:spacing w:line="360" w:lineRule="auto"/>
        <w:ind w:firstLine="420" w:firstLineChars="200"/>
        <w:textAlignment w:val="baseline"/>
        <w:rPr>
          <w:rFonts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b/>
          <w:bCs/>
          <w:sz w:val="21"/>
          <w:szCs w:val="21"/>
          <w:u w:val="single"/>
        </w:rPr>
        <w:t>（标的名称）</w:t>
      </w:r>
      <w:r>
        <w:rPr>
          <w:rFonts w:hint="eastAsia" w:ascii="宋体" w:hAnsi="宋体" w:eastAsia="宋体" w:cs="宋体"/>
          <w:sz w:val="21"/>
          <w:szCs w:val="21"/>
        </w:rPr>
        <w:t>， 属于</w:t>
      </w:r>
      <w:r>
        <w:rPr>
          <w:rFonts w:hint="eastAsia" w:ascii="宋体" w:hAnsi="宋体" w:eastAsia="宋体" w:cs="宋体"/>
          <w:sz w:val="21"/>
          <w:szCs w:val="21"/>
          <w:u w:val="single"/>
        </w:rPr>
        <w:t xml:space="preserve"> </w:t>
      </w:r>
      <w:r>
        <w:rPr>
          <w:rFonts w:hint="eastAsia" w:ascii="宋体" w:hAnsi="宋体" w:eastAsia="宋体" w:cs="宋体"/>
          <w:b/>
          <w:bCs/>
          <w:sz w:val="21"/>
          <w:szCs w:val="21"/>
          <w:u w:val="single"/>
        </w:rPr>
        <w:t xml:space="preserve">（采购文件明确的所属行业） </w:t>
      </w:r>
      <w:r>
        <w:rPr>
          <w:rFonts w:hint="eastAsia" w:ascii="宋体" w:hAnsi="宋体" w:eastAsia="宋体" w:cs="宋体"/>
          <w:sz w:val="21"/>
          <w:szCs w:val="21"/>
        </w:rPr>
        <w:t>；制造商为</w:t>
      </w:r>
      <w:r>
        <w:rPr>
          <w:rFonts w:hint="eastAsia" w:ascii="宋体" w:hAnsi="宋体" w:eastAsia="宋体" w:cs="宋体"/>
          <w:sz w:val="21"/>
          <w:szCs w:val="21"/>
          <w:u w:val="single"/>
        </w:rPr>
        <w:t xml:space="preserve"> </w:t>
      </w:r>
      <w:r>
        <w:rPr>
          <w:rFonts w:hint="eastAsia" w:ascii="宋体" w:hAnsi="宋体" w:eastAsia="宋体" w:cs="宋体"/>
          <w:b/>
          <w:bCs/>
          <w:sz w:val="21"/>
          <w:szCs w:val="21"/>
          <w:u w:val="single"/>
        </w:rPr>
        <w:t xml:space="preserve">（企业名称） </w:t>
      </w:r>
      <w:r>
        <w:rPr>
          <w:rFonts w:hint="eastAsia" w:ascii="宋体" w:hAnsi="宋体" w:eastAsia="宋体" w:cs="宋体"/>
          <w:sz w:val="21"/>
          <w:szCs w:val="21"/>
        </w:rPr>
        <w:t>，从业人员</w:t>
      </w:r>
      <w:r>
        <w:rPr>
          <w:rFonts w:hint="eastAsia" w:ascii="宋体" w:hAnsi="宋体" w:eastAsia="宋体" w:cs="宋体"/>
          <w:sz w:val="21"/>
          <w:szCs w:val="21"/>
          <w:u w:val="single"/>
        </w:rPr>
        <w:tab/>
      </w:r>
      <w:r>
        <w:rPr>
          <w:rFonts w:hint="eastAsia" w:ascii="宋体" w:hAnsi="宋体" w:eastAsia="宋体" w:cs="宋体"/>
          <w:sz w:val="21"/>
          <w:szCs w:val="21"/>
        </w:rPr>
        <w:t>人，营业收入为</w:t>
      </w:r>
      <w:r>
        <w:rPr>
          <w:rFonts w:hint="eastAsia" w:ascii="宋体" w:hAnsi="宋体" w:eastAsia="宋体" w:cs="宋体"/>
          <w:sz w:val="21"/>
          <w:szCs w:val="21"/>
          <w:u w:val="single"/>
        </w:rPr>
        <w:tab/>
      </w:r>
      <w:r>
        <w:rPr>
          <w:rFonts w:hint="eastAsia" w:ascii="宋体" w:hAnsi="宋体" w:eastAsia="宋体" w:cs="宋体"/>
          <w:sz w:val="21"/>
          <w:szCs w:val="21"/>
        </w:rPr>
        <w:t>万元，资产总额为</w:t>
      </w:r>
      <w:r>
        <w:rPr>
          <w:rFonts w:hint="eastAsia" w:ascii="宋体" w:hAnsi="宋体" w:eastAsia="宋体" w:cs="宋体"/>
          <w:sz w:val="21"/>
          <w:szCs w:val="21"/>
          <w:u w:val="single"/>
        </w:rPr>
        <w:tab/>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 xml:space="preserve"> </w:t>
      </w:r>
      <w:r>
        <w:rPr>
          <w:rFonts w:hint="eastAsia" w:ascii="宋体" w:hAnsi="宋体" w:eastAsia="宋体" w:cs="宋体"/>
          <w:b/>
          <w:bCs/>
          <w:sz w:val="21"/>
          <w:szCs w:val="21"/>
          <w:u w:val="single"/>
        </w:rPr>
        <w:t>（中型企业、小型企业、微型企业）</w:t>
      </w:r>
      <w:r>
        <w:rPr>
          <w:rFonts w:hint="eastAsia" w:ascii="宋体" w:hAnsi="宋体" w:eastAsia="宋体" w:cs="宋体"/>
          <w:sz w:val="21"/>
          <w:szCs w:val="21"/>
        </w:rPr>
        <w:t>；</w:t>
      </w:r>
    </w:p>
    <w:p w14:paraId="02530927">
      <w:pPr>
        <w:spacing w:line="360" w:lineRule="auto"/>
        <w:ind w:firstLine="420" w:firstLineChars="200"/>
        <w:textAlignment w:val="baseline"/>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b/>
          <w:bCs/>
          <w:sz w:val="21"/>
          <w:szCs w:val="21"/>
          <w:u w:val="single"/>
        </w:rPr>
        <w:t>（标的名称）</w:t>
      </w:r>
      <w:r>
        <w:rPr>
          <w:rFonts w:hint="eastAsia" w:ascii="宋体" w:hAnsi="宋体" w:eastAsia="宋体" w:cs="宋体"/>
          <w:sz w:val="21"/>
          <w:szCs w:val="21"/>
        </w:rPr>
        <w:t>， 属于</w:t>
      </w:r>
      <w:r>
        <w:rPr>
          <w:rFonts w:hint="eastAsia" w:ascii="宋体" w:hAnsi="宋体" w:eastAsia="宋体" w:cs="宋体"/>
          <w:sz w:val="21"/>
          <w:szCs w:val="21"/>
          <w:u w:val="single"/>
        </w:rPr>
        <w:t xml:space="preserve"> </w:t>
      </w:r>
      <w:r>
        <w:rPr>
          <w:rFonts w:hint="eastAsia" w:ascii="宋体" w:hAnsi="宋体" w:eastAsia="宋体" w:cs="宋体"/>
          <w:b/>
          <w:bCs/>
          <w:sz w:val="21"/>
          <w:szCs w:val="21"/>
          <w:u w:val="single"/>
        </w:rPr>
        <w:t xml:space="preserve">（采购文件明确的所属行业） </w:t>
      </w:r>
      <w:r>
        <w:rPr>
          <w:rFonts w:hint="eastAsia" w:ascii="宋体" w:hAnsi="宋体" w:eastAsia="宋体" w:cs="宋体"/>
          <w:sz w:val="21"/>
          <w:szCs w:val="21"/>
        </w:rPr>
        <w:t>；制造商为</w:t>
      </w:r>
      <w:r>
        <w:rPr>
          <w:rFonts w:hint="eastAsia" w:ascii="宋体" w:hAnsi="宋体" w:eastAsia="宋体" w:cs="宋体"/>
          <w:sz w:val="21"/>
          <w:szCs w:val="21"/>
          <w:u w:val="single"/>
        </w:rPr>
        <w:t xml:space="preserve"> </w:t>
      </w:r>
      <w:r>
        <w:rPr>
          <w:rFonts w:hint="eastAsia" w:ascii="宋体" w:hAnsi="宋体" w:eastAsia="宋体" w:cs="宋体"/>
          <w:b/>
          <w:bCs/>
          <w:sz w:val="21"/>
          <w:szCs w:val="21"/>
          <w:u w:val="single"/>
        </w:rPr>
        <w:t xml:space="preserve">（企业名称） </w:t>
      </w:r>
      <w:r>
        <w:rPr>
          <w:rFonts w:hint="eastAsia" w:ascii="宋体" w:hAnsi="宋体" w:eastAsia="宋体" w:cs="宋体"/>
          <w:sz w:val="21"/>
          <w:szCs w:val="21"/>
        </w:rPr>
        <w:t>，从业人员</w:t>
      </w:r>
      <w:r>
        <w:rPr>
          <w:rFonts w:hint="eastAsia" w:ascii="宋体" w:hAnsi="宋体" w:eastAsia="宋体" w:cs="宋体"/>
          <w:sz w:val="21"/>
          <w:szCs w:val="21"/>
          <w:u w:val="single"/>
        </w:rPr>
        <w:tab/>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ab/>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ab/>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 xml:space="preserve"> </w:t>
      </w:r>
      <w:r>
        <w:rPr>
          <w:rFonts w:hint="eastAsia" w:ascii="宋体" w:hAnsi="宋体" w:eastAsia="宋体" w:cs="宋体"/>
          <w:b/>
          <w:bCs/>
          <w:sz w:val="21"/>
          <w:szCs w:val="21"/>
          <w:u w:val="single"/>
        </w:rPr>
        <w:t>（中型企业、小型企业、微型企业）</w:t>
      </w:r>
      <w:r>
        <w:rPr>
          <w:rFonts w:hint="eastAsia" w:ascii="宋体" w:hAnsi="宋体" w:eastAsia="宋体" w:cs="宋体"/>
          <w:sz w:val="21"/>
          <w:szCs w:val="21"/>
        </w:rPr>
        <w:t>；</w:t>
      </w:r>
    </w:p>
    <w:p w14:paraId="4692DF7B">
      <w:pPr>
        <w:spacing w:line="360" w:lineRule="auto"/>
        <w:ind w:firstLine="420" w:firstLineChars="200"/>
        <w:textAlignment w:val="baseline"/>
        <w:rPr>
          <w:rFonts w:ascii="宋体" w:hAnsi="宋体" w:eastAsia="宋体" w:cs="宋体"/>
          <w:sz w:val="21"/>
          <w:szCs w:val="21"/>
        </w:rPr>
      </w:pPr>
      <w:r>
        <w:rPr>
          <w:rFonts w:hint="eastAsia" w:ascii="宋体" w:hAnsi="宋体" w:eastAsia="宋体" w:cs="宋体"/>
          <w:sz w:val="21"/>
          <w:szCs w:val="21"/>
        </w:rPr>
        <w:t>……</w:t>
      </w:r>
    </w:p>
    <w:p w14:paraId="0B944203">
      <w:pPr>
        <w:spacing w:line="360" w:lineRule="auto"/>
        <w:ind w:firstLine="420" w:firstLineChars="200"/>
        <w:textAlignment w:val="baseline"/>
        <w:rPr>
          <w:rFonts w:ascii="宋体" w:hAnsi="宋体" w:eastAsia="宋体" w:cs="宋体"/>
          <w:sz w:val="21"/>
          <w:szCs w:val="21"/>
        </w:rPr>
      </w:pPr>
      <w:r>
        <w:rPr>
          <w:rFonts w:hint="eastAsia" w:ascii="宋体" w:hAnsi="宋体" w:eastAsia="宋体" w:cs="宋体"/>
          <w:sz w:val="21"/>
          <w:szCs w:val="21"/>
        </w:rPr>
        <w:t>以上企业，不属于大企业的分支机构，不存在控股股东为大企业的情形，也不存在与大企业的负责人为同一人的情形。</w:t>
      </w:r>
    </w:p>
    <w:p w14:paraId="51B52CC7">
      <w:pPr>
        <w:spacing w:line="360" w:lineRule="auto"/>
        <w:ind w:firstLine="420" w:firstLineChars="200"/>
        <w:textAlignment w:val="baseline"/>
        <w:rPr>
          <w:rFonts w:ascii="宋体" w:hAnsi="宋体" w:eastAsia="宋体" w:cs="宋体"/>
          <w:sz w:val="21"/>
          <w:szCs w:val="21"/>
        </w:rPr>
      </w:pPr>
      <w:r>
        <w:rPr>
          <w:rFonts w:hint="eastAsia" w:ascii="宋体" w:hAnsi="宋体" w:eastAsia="宋体" w:cs="宋体"/>
          <w:sz w:val="21"/>
          <w:szCs w:val="21"/>
        </w:rPr>
        <w:t>本企业对上述声明内容的真实性负责。如有虚假，将依法承担相应责任。</w:t>
      </w:r>
    </w:p>
    <w:p w14:paraId="2E83B745">
      <w:pPr>
        <w:spacing w:line="360" w:lineRule="auto"/>
        <w:ind w:right="2400" w:rightChars="1000" w:firstLine="420" w:firstLineChars="200"/>
        <w:jc w:val="right"/>
        <w:textAlignment w:val="baseline"/>
        <w:rPr>
          <w:rFonts w:ascii="宋体" w:hAnsi="宋体" w:eastAsia="宋体" w:cs="宋体"/>
          <w:color w:val="000000"/>
          <w:sz w:val="21"/>
          <w:szCs w:val="21"/>
        </w:rPr>
      </w:pPr>
    </w:p>
    <w:p w14:paraId="0E1A97E7">
      <w:pPr>
        <w:spacing w:line="360" w:lineRule="auto"/>
        <w:ind w:right="2400" w:rightChars="1000" w:firstLine="422" w:firstLineChars="200"/>
        <w:jc w:val="right"/>
        <w:textAlignment w:val="baseline"/>
        <w:rPr>
          <w:rFonts w:ascii="宋体" w:hAnsi="宋体" w:eastAsia="宋体" w:cs="宋体"/>
          <w:b/>
          <w:bCs/>
          <w:color w:val="000000"/>
          <w:sz w:val="21"/>
          <w:szCs w:val="21"/>
        </w:rPr>
      </w:pPr>
      <w:r>
        <w:rPr>
          <w:rFonts w:hint="eastAsia" w:ascii="宋体" w:hAnsi="宋体" w:eastAsia="宋体" w:cs="宋体"/>
          <w:b/>
          <w:bCs/>
          <w:color w:val="000000"/>
          <w:sz w:val="21"/>
          <w:szCs w:val="21"/>
        </w:rPr>
        <w:t>企业名称：</w:t>
      </w:r>
    </w:p>
    <w:p w14:paraId="2D42377C">
      <w:pPr>
        <w:spacing w:line="360" w:lineRule="auto"/>
        <w:ind w:right="2400" w:rightChars="1000" w:firstLine="422" w:firstLineChars="200"/>
        <w:jc w:val="right"/>
        <w:textAlignment w:val="baseline"/>
        <w:rPr>
          <w:rFonts w:ascii="宋体" w:hAnsi="宋体" w:eastAsia="宋体" w:cs="宋体"/>
          <w:b/>
          <w:bCs/>
          <w:color w:val="000000"/>
          <w:sz w:val="21"/>
          <w:szCs w:val="21"/>
        </w:rPr>
      </w:pPr>
      <w:r>
        <w:rPr>
          <w:rFonts w:hint="eastAsia" w:ascii="宋体" w:hAnsi="宋体" w:eastAsia="宋体" w:cs="宋体"/>
          <w:b/>
          <w:bCs/>
          <w:color w:val="000000"/>
          <w:sz w:val="21"/>
          <w:szCs w:val="21"/>
        </w:rPr>
        <w:t>日期：</w:t>
      </w:r>
    </w:p>
    <w:p w14:paraId="60575D39">
      <w:pPr>
        <w:spacing w:before="120" w:beforeLines="50" w:after="120" w:afterLines="50" w:line="360" w:lineRule="auto"/>
        <w:jc w:val="center"/>
        <w:outlineLvl w:val="5"/>
        <w:rPr>
          <w:rFonts w:ascii="宋体" w:hAnsi="宋体" w:eastAsia="宋体" w:cs="宋体"/>
          <w:b/>
          <w:kern w:val="2"/>
        </w:rPr>
      </w:pPr>
      <w:r>
        <w:rPr>
          <w:rFonts w:hint="eastAsia" w:ascii="宋体" w:hAnsi="宋体" w:eastAsia="宋体" w:cs="宋体"/>
          <w:b/>
          <w:kern w:val="2"/>
        </w:rPr>
        <w:t>2.残疾人福利性单位声明函（货物类）</w:t>
      </w:r>
    </w:p>
    <w:p w14:paraId="12A030FF">
      <w:pPr>
        <w:rPr>
          <w:b/>
          <w:bCs/>
        </w:rPr>
      </w:pPr>
    </w:p>
    <w:p w14:paraId="26845F96">
      <w:pPr>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本投标人郑重声明，根据《财政部民政部中国残疾人联合会关于促进残疾人就业政府采购政策的通知》（财库〔2017〕141 号）的规定，本单位为符合条件的残疾人福利性单位，且本单位参加</w:t>
      </w:r>
      <w:r>
        <w:rPr>
          <w:rFonts w:hint="eastAsia" w:ascii="宋体" w:hAnsi="宋体" w:eastAsia="宋体" w:cs="宋体"/>
          <w:b/>
          <w:bCs/>
          <w:sz w:val="21"/>
          <w:szCs w:val="21"/>
          <w:u w:val="single"/>
        </w:rPr>
        <w:t>（单位名称）</w:t>
      </w:r>
      <w:r>
        <w:rPr>
          <w:rFonts w:hint="eastAsia" w:ascii="宋体" w:hAnsi="宋体" w:eastAsia="宋体" w:cs="宋体"/>
          <w:sz w:val="21"/>
          <w:szCs w:val="21"/>
          <w:u w:val="single"/>
        </w:rPr>
        <w:t>单位</w:t>
      </w:r>
      <w:r>
        <w:rPr>
          <w:rFonts w:hint="eastAsia" w:ascii="宋体" w:hAnsi="宋体" w:eastAsia="宋体" w:cs="宋体"/>
          <w:sz w:val="21"/>
          <w:szCs w:val="21"/>
        </w:rPr>
        <w:t>的</w:t>
      </w:r>
      <w:r>
        <w:rPr>
          <w:rFonts w:hint="eastAsia" w:ascii="宋体" w:hAnsi="宋体" w:eastAsia="宋体" w:cs="宋体"/>
          <w:b/>
          <w:bCs/>
          <w:sz w:val="21"/>
          <w:szCs w:val="21"/>
          <w:u w:val="single"/>
        </w:rPr>
        <w:t>（项目名称）</w:t>
      </w:r>
      <w:r>
        <w:rPr>
          <w:rFonts w:hint="eastAsia" w:ascii="宋体" w:hAnsi="宋体" w:eastAsia="宋体" w:cs="宋体"/>
          <w:sz w:val="21"/>
          <w:szCs w:val="21"/>
          <w:u w:val="single"/>
        </w:rPr>
        <w:t>项目</w:t>
      </w:r>
      <w:r>
        <w:rPr>
          <w:rFonts w:hint="eastAsia" w:ascii="宋体" w:hAnsi="宋体" w:eastAsia="宋体" w:cs="宋体"/>
          <w:sz w:val="21"/>
          <w:szCs w:val="21"/>
        </w:rPr>
        <w:t>采购活动提供本单位制造的货物，或者提供其他残疾人福利性单位制造的货物（不包括使用非残疾人福利性单位注册商标的货物）。</w:t>
      </w:r>
    </w:p>
    <w:p w14:paraId="3F53B2C4">
      <w:pPr>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本单位对上述声明的真实性负责。如有虚假，将依法承担相应责任。</w:t>
      </w:r>
    </w:p>
    <w:p w14:paraId="08FDE8AA">
      <w:pPr>
        <w:ind w:firstLine="480" w:firstLineChars="200"/>
        <w:rPr>
          <w:rFonts w:ascii="宋体" w:hAnsi="宋体"/>
          <w:szCs w:val="21"/>
        </w:rPr>
      </w:pPr>
    </w:p>
    <w:p w14:paraId="0FD384F9">
      <w:pPr>
        <w:ind w:firstLine="480" w:firstLineChars="200"/>
        <w:rPr>
          <w:rFonts w:ascii="宋体" w:hAnsi="宋体"/>
          <w:szCs w:val="21"/>
        </w:rPr>
      </w:pPr>
    </w:p>
    <w:p w14:paraId="40A0F550">
      <w:pPr>
        <w:spacing w:line="360" w:lineRule="auto"/>
        <w:ind w:right="2400" w:rightChars="1000" w:firstLine="422" w:firstLineChars="200"/>
        <w:jc w:val="right"/>
        <w:textAlignment w:val="baseline"/>
        <w:rPr>
          <w:rFonts w:ascii="宋体" w:hAnsi="宋体" w:eastAsia="宋体" w:cs="宋体"/>
          <w:b/>
          <w:bCs/>
          <w:color w:val="000000"/>
          <w:sz w:val="21"/>
          <w:szCs w:val="21"/>
        </w:rPr>
      </w:pPr>
      <w:r>
        <w:rPr>
          <w:rFonts w:hint="eastAsia" w:ascii="宋体" w:hAnsi="宋体" w:eastAsia="宋体" w:cs="宋体"/>
          <w:b/>
          <w:bCs/>
          <w:color w:val="000000"/>
          <w:sz w:val="21"/>
          <w:szCs w:val="21"/>
        </w:rPr>
        <w:t>企业名称：</w:t>
      </w:r>
    </w:p>
    <w:p w14:paraId="79EFC205">
      <w:pPr>
        <w:spacing w:line="360" w:lineRule="auto"/>
        <w:ind w:right="2400" w:rightChars="1000" w:firstLine="422" w:firstLineChars="200"/>
        <w:jc w:val="right"/>
        <w:textAlignment w:val="baseline"/>
        <w:rPr>
          <w:rFonts w:ascii="宋体" w:hAnsi="宋体" w:eastAsia="宋体" w:cs="宋体"/>
          <w:b/>
          <w:bCs/>
          <w:color w:val="000000"/>
          <w:sz w:val="21"/>
          <w:szCs w:val="21"/>
        </w:rPr>
      </w:pPr>
      <w:r>
        <w:rPr>
          <w:rFonts w:hint="eastAsia" w:ascii="宋体" w:hAnsi="宋体" w:eastAsia="宋体" w:cs="宋体"/>
          <w:b/>
          <w:bCs/>
          <w:color w:val="000000"/>
          <w:sz w:val="21"/>
          <w:szCs w:val="21"/>
        </w:rPr>
        <w:t>日期：</w:t>
      </w:r>
    </w:p>
    <w:p w14:paraId="7DF33059">
      <w:pPr>
        <w:spacing w:before="120" w:beforeLines="50" w:after="120" w:afterLines="50" w:line="360" w:lineRule="auto"/>
        <w:jc w:val="center"/>
        <w:outlineLvl w:val="5"/>
        <w:rPr>
          <w:rFonts w:ascii="宋体" w:hAnsi="宋体" w:eastAsia="宋体" w:cs="宋体"/>
          <w:b/>
          <w:kern w:val="2"/>
        </w:rPr>
      </w:pPr>
      <w:r>
        <w:rPr>
          <w:rFonts w:hint="eastAsia" w:ascii="宋体" w:hAnsi="宋体" w:eastAsia="宋体" w:cs="宋体"/>
          <w:b/>
          <w:kern w:val="2"/>
        </w:rPr>
        <w:br w:type="page"/>
      </w:r>
      <w:r>
        <w:rPr>
          <w:rFonts w:hint="eastAsia" w:ascii="宋体" w:hAnsi="宋体" w:eastAsia="宋体" w:cs="宋体"/>
          <w:b/>
          <w:kern w:val="2"/>
        </w:rPr>
        <w:t>3.监狱企业声明函【货物类，监狱企业如需享受优惠政策，还须另行提供省级以上监狱管理局、戒毒管理局（含新疆生产建设兵团）出具的监狱企业证明文件】</w:t>
      </w:r>
    </w:p>
    <w:p w14:paraId="7592D451">
      <w:pPr>
        <w:spacing w:line="360" w:lineRule="auto"/>
        <w:ind w:firstLine="420" w:firstLineChars="200"/>
        <w:rPr>
          <w:rFonts w:ascii="宋体" w:hAnsi="宋体"/>
          <w:sz w:val="21"/>
          <w:szCs w:val="21"/>
        </w:rPr>
      </w:pPr>
    </w:p>
    <w:p w14:paraId="1CE82FB9">
      <w:pPr>
        <w:spacing w:line="360" w:lineRule="auto"/>
        <w:ind w:firstLine="420" w:firstLineChars="200"/>
        <w:rPr>
          <w:rFonts w:ascii="宋体" w:hAnsi="宋体"/>
          <w:sz w:val="21"/>
          <w:szCs w:val="21"/>
        </w:rPr>
      </w:pPr>
      <w:r>
        <w:rPr>
          <w:rFonts w:hint="eastAsia" w:ascii="宋体" w:hAnsi="宋体"/>
          <w:sz w:val="21"/>
          <w:szCs w:val="21"/>
        </w:rPr>
        <w:t>本投标人郑重声明，根据《财政部司法部关于政府采购支持监狱企业发展有关问题的通知》（财库〔</w:t>
      </w:r>
      <w:r>
        <w:rPr>
          <w:rFonts w:ascii="宋体" w:hAnsi="宋体"/>
          <w:sz w:val="21"/>
          <w:szCs w:val="21"/>
        </w:rPr>
        <w:t>2014</w:t>
      </w:r>
      <w:r>
        <w:rPr>
          <w:rFonts w:hint="eastAsia" w:ascii="宋体" w:hAnsi="宋体"/>
          <w:sz w:val="21"/>
          <w:szCs w:val="21"/>
        </w:rPr>
        <w:t>〕</w:t>
      </w:r>
      <w:r>
        <w:rPr>
          <w:rFonts w:ascii="宋体" w:hAnsi="宋体"/>
          <w:sz w:val="21"/>
          <w:szCs w:val="21"/>
        </w:rPr>
        <w:t>68</w:t>
      </w:r>
      <w:r>
        <w:rPr>
          <w:rFonts w:hint="eastAsia" w:ascii="宋体" w:hAnsi="宋体"/>
          <w:sz w:val="21"/>
          <w:szCs w:val="21"/>
        </w:rPr>
        <w:t>号）的规定，本投标人</w:t>
      </w:r>
      <w:r>
        <w:rPr>
          <w:rFonts w:ascii="宋体" w:hAnsi="宋体"/>
          <w:sz w:val="21"/>
          <w:szCs w:val="21"/>
        </w:rPr>
        <w:t>参加</w:t>
      </w:r>
      <w:r>
        <w:rPr>
          <w:rFonts w:ascii="宋体" w:hAnsi="宋体"/>
          <w:b/>
          <w:bCs/>
          <w:sz w:val="21"/>
          <w:szCs w:val="21"/>
          <w:u w:val="single"/>
        </w:rPr>
        <w:t>（</w:t>
      </w:r>
      <w:r>
        <w:rPr>
          <w:rFonts w:hint="eastAsia" w:ascii="宋体" w:hAnsi="宋体"/>
          <w:b/>
          <w:bCs/>
          <w:sz w:val="21"/>
          <w:szCs w:val="21"/>
          <w:u w:val="single"/>
        </w:rPr>
        <w:t>单位名称</w:t>
      </w:r>
      <w:r>
        <w:rPr>
          <w:rFonts w:ascii="宋体" w:hAnsi="宋体"/>
          <w:b/>
          <w:bCs/>
          <w:sz w:val="21"/>
          <w:szCs w:val="21"/>
          <w:u w:val="single"/>
        </w:rPr>
        <w:t>）</w:t>
      </w:r>
      <w:r>
        <w:rPr>
          <w:rFonts w:ascii="宋体" w:hAnsi="宋体"/>
          <w:sz w:val="21"/>
          <w:szCs w:val="21"/>
        </w:rPr>
        <w:t>的</w:t>
      </w:r>
      <w:r>
        <w:rPr>
          <w:rFonts w:ascii="宋体" w:hAnsi="宋体"/>
          <w:b/>
          <w:bCs/>
          <w:sz w:val="21"/>
          <w:szCs w:val="21"/>
          <w:u w:val="single"/>
        </w:rPr>
        <w:t>（项目名称）</w:t>
      </w:r>
      <w:r>
        <w:rPr>
          <w:rFonts w:ascii="宋体" w:hAnsi="宋体"/>
          <w:sz w:val="21"/>
          <w:szCs w:val="21"/>
        </w:rPr>
        <w:t>采购活动，</w:t>
      </w:r>
      <w:r>
        <w:rPr>
          <w:rFonts w:hint="eastAsia" w:ascii="宋体" w:hAnsi="宋体"/>
          <w:sz w:val="21"/>
          <w:szCs w:val="21"/>
        </w:rPr>
        <w:t>本投标人提供的货物全部由符合政策要求的监狱企业</w:t>
      </w:r>
      <w:r>
        <w:rPr>
          <w:rFonts w:hint="eastAsia" w:ascii="宋体" w:hAnsi="宋体" w:eastAsia="宋体"/>
          <w:sz w:val="21"/>
          <w:szCs w:val="21"/>
        </w:rPr>
        <w:t>制造</w:t>
      </w:r>
      <w:r>
        <w:rPr>
          <w:rFonts w:hint="eastAsia" w:ascii="宋体" w:hAnsi="宋体"/>
          <w:sz w:val="21"/>
          <w:szCs w:val="21"/>
        </w:rPr>
        <w:t>。相关监狱企业的具体情况如下：</w:t>
      </w:r>
    </w:p>
    <w:p w14:paraId="127B8F45">
      <w:pPr>
        <w:spacing w:line="360" w:lineRule="auto"/>
        <w:ind w:firstLine="420" w:firstLineChars="200"/>
        <w:rPr>
          <w:rFonts w:ascii="宋体" w:hAnsi="宋体"/>
          <w:sz w:val="21"/>
          <w:szCs w:val="21"/>
        </w:rPr>
      </w:pPr>
      <w:r>
        <w:rPr>
          <w:rFonts w:ascii="宋体" w:hAnsi="宋体"/>
          <w:sz w:val="21"/>
          <w:szCs w:val="21"/>
        </w:rPr>
        <w:t>1.</w:t>
      </w:r>
      <w:r>
        <w:rPr>
          <w:rFonts w:ascii="宋体" w:hAnsi="宋体"/>
          <w:b/>
          <w:bCs/>
          <w:sz w:val="21"/>
          <w:szCs w:val="21"/>
          <w:u w:val="single"/>
        </w:rPr>
        <w:t xml:space="preserve"> （标的名称）</w:t>
      </w:r>
      <w:r>
        <w:rPr>
          <w:rFonts w:ascii="宋体" w:hAnsi="宋体"/>
          <w:sz w:val="21"/>
          <w:szCs w:val="21"/>
        </w:rPr>
        <w:t xml:space="preserve"> </w:t>
      </w:r>
      <w:r>
        <w:rPr>
          <w:rFonts w:hint="eastAsia" w:ascii="宋体" w:hAnsi="宋体"/>
          <w:sz w:val="21"/>
          <w:szCs w:val="21"/>
        </w:rPr>
        <w:t>，</w:t>
      </w:r>
      <w:r>
        <w:rPr>
          <w:rFonts w:hint="eastAsia" w:ascii="宋体" w:hAnsi="宋体" w:eastAsia="宋体"/>
          <w:sz w:val="21"/>
          <w:szCs w:val="21"/>
        </w:rPr>
        <w:t>制造商</w:t>
      </w:r>
      <w:r>
        <w:rPr>
          <w:rFonts w:ascii="宋体" w:hAnsi="宋体"/>
          <w:sz w:val="21"/>
          <w:szCs w:val="21"/>
        </w:rPr>
        <w:t>为</w:t>
      </w:r>
      <w:r>
        <w:rPr>
          <w:rFonts w:ascii="宋体" w:hAnsi="宋体"/>
          <w:b/>
          <w:bCs/>
          <w:sz w:val="21"/>
          <w:szCs w:val="21"/>
          <w:u w:val="single"/>
        </w:rPr>
        <w:t>（</w:t>
      </w:r>
      <w:r>
        <w:rPr>
          <w:rFonts w:hint="eastAsia" w:ascii="宋体" w:hAnsi="宋体"/>
          <w:b/>
          <w:bCs/>
          <w:sz w:val="21"/>
          <w:szCs w:val="21"/>
          <w:u w:val="single"/>
        </w:rPr>
        <w:t>企业</w:t>
      </w:r>
      <w:r>
        <w:rPr>
          <w:rFonts w:ascii="宋体" w:hAnsi="宋体"/>
          <w:b/>
          <w:bCs/>
          <w:sz w:val="21"/>
          <w:szCs w:val="21"/>
          <w:u w:val="single"/>
        </w:rPr>
        <w:t>名称）</w:t>
      </w:r>
      <w:r>
        <w:rPr>
          <w:rFonts w:ascii="宋体" w:hAnsi="宋体"/>
          <w:sz w:val="21"/>
          <w:szCs w:val="21"/>
        </w:rPr>
        <w:t>，属于</w:t>
      </w:r>
      <w:r>
        <w:rPr>
          <w:rFonts w:hint="eastAsia" w:ascii="宋体" w:hAnsi="宋体"/>
          <w:b/>
          <w:bCs/>
          <w:sz w:val="21"/>
          <w:szCs w:val="21"/>
          <w:u w:val="single"/>
        </w:rPr>
        <w:t>监狱企业</w:t>
      </w:r>
      <w:r>
        <w:rPr>
          <w:rFonts w:ascii="宋体" w:hAnsi="宋体"/>
          <w:sz w:val="21"/>
          <w:szCs w:val="21"/>
        </w:rPr>
        <w:t>；</w:t>
      </w:r>
    </w:p>
    <w:p w14:paraId="29341359">
      <w:pPr>
        <w:spacing w:line="360" w:lineRule="auto"/>
        <w:ind w:firstLine="420" w:firstLineChars="200"/>
        <w:rPr>
          <w:rFonts w:ascii="宋体" w:hAnsi="宋体"/>
          <w:sz w:val="21"/>
          <w:szCs w:val="21"/>
        </w:rPr>
      </w:pPr>
      <w:r>
        <w:rPr>
          <w:rFonts w:ascii="宋体" w:hAnsi="宋体"/>
          <w:sz w:val="21"/>
          <w:szCs w:val="21"/>
        </w:rPr>
        <w:t>2.</w:t>
      </w:r>
      <w:r>
        <w:rPr>
          <w:rFonts w:ascii="宋体" w:hAnsi="宋体"/>
          <w:b/>
          <w:bCs/>
          <w:sz w:val="21"/>
          <w:szCs w:val="21"/>
          <w:u w:val="single"/>
        </w:rPr>
        <w:t xml:space="preserve"> （标的名称）</w:t>
      </w:r>
      <w:r>
        <w:rPr>
          <w:rFonts w:ascii="宋体" w:hAnsi="宋体"/>
          <w:sz w:val="21"/>
          <w:szCs w:val="21"/>
        </w:rPr>
        <w:t xml:space="preserve"> </w:t>
      </w:r>
      <w:r>
        <w:rPr>
          <w:rFonts w:hint="eastAsia" w:ascii="宋体" w:hAnsi="宋体"/>
          <w:sz w:val="21"/>
          <w:szCs w:val="21"/>
        </w:rPr>
        <w:t>，</w:t>
      </w:r>
      <w:r>
        <w:rPr>
          <w:rFonts w:hint="eastAsia" w:ascii="宋体" w:hAnsi="宋体" w:eastAsia="宋体"/>
          <w:sz w:val="21"/>
          <w:szCs w:val="21"/>
        </w:rPr>
        <w:t>制造商</w:t>
      </w:r>
      <w:r>
        <w:rPr>
          <w:rFonts w:ascii="宋体" w:hAnsi="宋体"/>
          <w:sz w:val="21"/>
          <w:szCs w:val="21"/>
        </w:rPr>
        <w:t>为</w:t>
      </w:r>
      <w:r>
        <w:rPr>
          <w:rFonts w:ascii="宋体" w:hAnsi="宋体"/>
          <w:b/>
          <w:bCs/>
          <w:sz w:val="21"/>
          <w:szCs w:val="21"/>
          <w:u w:val="single"/>
        </w:rPr>
        <w:t>（</w:t>
      </w:r>
      <w:r>
        <w:rPr>
          <w:rFonts w:hint="eastAsia" w:ascii="宋体" w:hAnsi="宋体"/>
          <w:b/>
          <w:bCs/>
          <w:sz w:val="21"/>
          <w:szCs w:val="21"/>
          <w:u w:val="single"/>
        </w:rPr>
        <w:t>企业</w:t>
      </w:r>
      <w:r>
        <w:rPr>
          <w:rFonts w:ascii="宋体" w:hAnsi="宋体"/>
          <w:b/>
          <w:bCs/>
          <w:sz w:val="21"/>
          <w:szCs w:val="21"/>
          <w:u w:val="single"/>
        </w:rPr>
        <w:t>名称）</w:t>
      </w:r>
      <w:r>
        <w:rPr>
          <w:rFonts w:ascii="宋体" w:hAnsi="宋体"/>
          <w:sz w:val="21"/>
          <w:szCs w:val="21"/>
        </w:rPr>
        <w:t>，属于</w:t>
      </w:r>
      <w:r>
        <w:rPr>
          <w:rFonts w:hint="eastAsia" w:ascii="宋体" w:hAnsi="宋体"/>
          <w:b/>
          <w:bCs/>
          <w:sz w:val="21"/>
          <w:szCs w:val="21"/>
          <w:u w:val="single"/>
        </w:rPr>
        <w:t>监狱企业</w:t>
      </w:r>
      <w:r>
        <w:rPr>
          <w:rFonts w:hint="eastAsia" w:ascii="宋体" w:hAnsi="宋体"/>
          <w:sz w:val="21"/>
          <w:szCs w:val="21"/>
        </w:rPr>
        <w:t>。</w:t>
      </w:r>
    </w:p>
    <w:p w14:paraId="4DD70989">
      <w:pPr>
        <w:spacing w:line="360" w:lineRule="auto"/>
        <w:ind w:firstLine="420" w:firstLineChars="200"/>
        <w:rPr>
          <w:rFonts w:ascii="宋体" w:hAnsi="宋体"/>
          <w:sz w:val="21"/>
          <w:szCs w:val="21"/>
        </w:rPr>
      </w:pPr>
      <w:r>
        <w:rPr>
          <w:rFonts w:ascii="宋体" w:hAnsi="宋体"/>
          <w:sz w:val="21"/>
          <w:szCs w:val="21"/>
        </w:rPr>
        <w:t xml:space="preserve">…… </w:t>
      </w:r>
    </w:p>
    <w:p w14:paraId="4D959C31">
      <w:pPr>
        <w:spacing w:line="360" w:lineRule="auto"/>
        <w:ind w:firstLine="420" w:firstLineChars="200"/>
        <w:rPr>
          <w:rFonts w:ascii="宋体" w:hAnsi="宋体"/>
          <w:sz w:val="21"/>
          <w:szCs w:val="21"/>
        </w:rPr>
      </w:pPr>
      <w:r>
        <w:rPr>
          <w:rFonts w:ascii="宋体" w:hAnsi="宋体"/>
          <w:sz w:val="21"/>
          <w:szCs w:val="21"/>
        </w:rPr>
        <w:t>本</w:t>
      </w:r>
      <w:r>
        <w:rPr>
          <w:rFonts w:hint="eastAsia" w:ascii="宋体" w:hAnsi="宋体"/>
          <w:sz w:val="21"/>
          <w:szCs w:val="21"/>
        </w:rPr>
        <w:t>投标人</w:t>
      </w:r>
      <w:r>
        <w:rPr>
          <w:rFonts w:ascii="宋体" w:hAnsi="宋体"/>
          <w:sz w:val="21"/>
          <w:szCs w:val="21"/>
        </w:rPr>
        <w:t>对上述声明内容的真实性负责。如有虚假，将依法承担相应责任。</w:t>
      </w:r>
    </w:p>
    <w:p w14:paraId="7F95F251">
      <w:pPr>
        <w:spacing w:line="360" w:lineRule="auto"/>
        <w:ind w:firstLine="420" w:firstLineChars="200"/>
        <w:rPr>
          <w:rFonts w:ascii="宋体" w:hAnsi="宋体"/>
          <w:sz w:val="21"/>
          <w:szCs w:val="21"/>
        </w:rPr>
      </w:pPr>
      <w:r>
        <w:rPr>
          <w:rFonts w:hint="eastAsia" w:ascii="宋体" w:hAnsi="宋体"/>
          <w:sz w:val="21"/>
          <w:szCs w:val="21"/>
        </w:rPr>
        <w:t>附：省级以上监狱管理局、戒毒管理局（含新疆生产建设兵团）出具的监狱企业证明文件。</w:t>
      </w:r>
    </w:p>
    <w:p w14:paraId="367E0A8F">
      <w:pPr>
        <w:spacing w:line="360" w:lineRule="auto"/>
        <w:ind w:firstLine="420" w:firstLineChars="200"/>
        <w:rPr>
          <w:rFonts w:ascii="宋体" w:hAnsi="宋体"/>
          <w:sz w:val="21"/>
          <w:szCs w:val="21"/>
        </w:rPr>
      </w:pPr>
    </w:p>
    <w:p w14:paraId="1C67D09D">
      <w:pPr>
        <w:wordWrap w:val="0"/>
        <w:spacing w:line="360" w:lineRule="auto"/>
        <w:ind w:firstLine="420" w:firstLineChars="200"/>
        <w:jc w:val="right"/>
        <w:rPr>
          <w:rFonts w:ascii="宋体" w:hAnsi="宋体"/>
          <w:b/>
          <w:bCs/>
          <w:sz w:val="21"/>
          <w:szCs w:val="21"/>
        </w:rPr>
      </w:pPr>
      <w:r>
        <w:rPr>
          <w:rFonts w:hint="eastAsia" w:ascii="宋体" w:hAnsi="宋体"/>
          <w:b/>
          <w:bCs/>
          <w:sz w:val="21"/>
          <w:szCs w:val="21"/>
        </w:rPr>
        <w:t xml:space="preserve">企业名称：            </w:t>
      </w:r>
    </w:p>
    <w:p w14:paraId="55BAE782">
      <w:pPr>
        <w:wordWrap w:val="0"/>
        <w:spacing w:line="360" w:lineRule="auto"/>
        <w:ind w:firstLine="420" w:firstLineChars="200"/>
        <w:jc w:val="right"/>
        <w:rPr>
          <w:rFonts w:ascii="宋体" w:hAnsi="宋体"/>
          <w:szCs w:val="21"/>
        </w:rPr>
      </w:pPr>
      <w:r>
        <w:rPr>
          <w:rFonts w:hint="eastAsia" w:ascii="宋体" w:hAnsi="宋体"/>
          <w:b/>
          <w:bCs/>
          <w:sz w:val="21"/>
          <w:szCs w:val="21"/>
        </w:rPr>
        <w:t xml:space="preserve">日  期：    </w:t>
      </w:r>
      <w:r>
        <w:rPr>
          <w:rFonts w:hint="eastAsia" w:ascii="宋体" w:hAnsi="宋体"/>
          <w:sz w:val="21"/>
          <w:szCs w:val="21"/>
        </w:rPr>
        <w:t xml:space="preserve">      </w:t>
      </w:r>
      <w:r>
        <w:rPr>
          <w:rFonts w:hint="eastAsia" w:ascii="宋体" w:hAnsi="宋体"/>
          <w:szCs w:val="21"/>
        </w:rPr>
        <w:t xml:space="preserve">  </w:t>
      </w:r>
    </w:p>
    <w:p w14:paraId="7E504336">
      <w:pPr>
        <w:jc w:val="center"/>
        <w:rPr>
          <w:rFonts w:ascii="黑体" w:hAnsi="宋体" w:eastAsia="黑体"/>
          <w:bCs/>
          <w:szCs w:val="32"/>
        </w:rPr>
      </w:pPr>
    </w:p>
    <w:p w14:paraId="40B1BD85">
      <w:pPr>
        <w:rPr>
          <w:rFonts w:hint="eastAsia" w:ascii="黑体" w:hAnsi="宋体" w:eastAsia="黑体"/>
          <w:bCs/>
          <w:kern w:val="0"/>
          <w:sz w:val="24"/>
          <w:szCs w:val="32"/>
          <w:lang w:val="en-US" w:eastAsia="zh-CN"/>
        </w:rPr>
      </w:pPr>
      <w:r>
        <w:rPr>
          <w:rFonts w:hint="eastAsia" w:ascii="黑体" w:hAnsi="宋体" w:eastAsia="黑体"/>
          <w:bCs/>
          <w:kern w:val="0"/>
          <w:sz w:val="24"/>
          <w:szCs w:val="32"/>
          <w:lang w:val="en-US" w:eastAsia="zh-CN"/>
        </w:rPr>
        <w:br w:type="page"/>
      </w:r>
    </w:p>
    <w:p w14:paraId="1DD28076">
      <w:pPr>
        <w:jc w:val="center"/>
        <w:outlineLvl w:val="4"/>
        <w:rPr>
          <w:rFonts w:hint="eastAsia" w:ascii="黑体" w:hAnsi="宋体" w:eastAsia="黑体"/>
          <w:bCs/>
          <w:kern w:val="0"/>
          <w:sz w:val="24"/>
          <w:szCs w:val="32"/>
          <w:highlight w:val="none"/>
        </w:rPr>
      </w:pPr>
      <w:r>
        <w:rPr>
          <w:rFonts w:hint="eastAsia" w:ascii="黑体" w:hAnsi="宋体" w:eastAsia="黑体"/>
          <w:bCs/>
          <w:kern w:val="0"/>
          <w:sz w:val="24"/>
          <w:szCs w:val="32"/>
          <w:lang w:val="en-US" w:eastAsia="zh-CN"/>
        </w:rPr>
        <w:t>（三）</w:t>
      </w:r>
      <w:r>
        <w:rPr>
          <w:rFonts w:hint="eastAsia" w:ascii="黑体" w:hAnsi="宋体" w:eastAsia="黑体"/>
          <w:bCs/>
          <w:kern w:val="0"/>
          <w:sz w:val="24"/>
          <w:szCs w:val="32"/>
          <w:highlight w:val="none"/>
        </w:rPr>
        <w:t>本国产品声明函</w:t>
      </w:r>
    </w:p>
    <w:p w14:paraId="4A9FF131">
      <w:pPr>
        <w:ind w:firstLine="480" w:firstLineChars="200"/>
        <w:rPr>
          <w:rFonts w:ascii="黑体" w:hAnsi="黑体" w:eastAsia="黑体"/>
          <w:szCs w:val="21"/>
          <w:highlight w:val="none"/>
        </w:rPr>
      </w:pPr>
      <w:r>
        <w:rPr>
          <w:rFonts w:hint="eastAsia" w:ascii="黑体" w:hAnsi="黑体" w:eastAsia="黑体"/>
          <w:szCs w:val="21"/>
          <w:highlight w:val="none"/>
        </w:rPr>
        <w:t>填写指引：</w:t>
      </w:r>
    </w:p>
    <w:p w14:paraId="562268FE">
      <w:pPr>
        <w:ind w:firstLine="480" w:firstLineChars="200"/>
        <w:rPr>
          <w:rFonts w:ascii="黑体" w:hAnsi="黑体" w:eastAsia="黑体"/>
          <w:szCs w:val="21"/>
          <w:highlight w:val="none"/>
        </w:rPr>
      </w:pPr>
      <w:r>
        <w:rPr>
          <w:rFonts w:hint="eastAsia" w:ascii="黑体" w:hAnsi="黑体" w:eastAsia="黑体"/>
          <w:szCs w:val="21"/>
          <w:highlight w:val="none"/>
        </w:rPr>
        <w:t>1、该部分内容由供应商根据自身实际情况填写，不符合要求的供应商可以不填写或直接删除相应的声明函。供应商提供的声明函不属实的，属于提供虚假资料谋取中标，依照《中华人民共和国政府采购法》等国家有关规定追究相应责任。</w:t>
      </w:r>
    </w:p>
    <w:p w14:paraId="42BDD4CF">
      <w:pPr>
        <w:ind w:firstLine="480" w:firstLineChars="200"/>
        <w:rPr>
          <w:rFonts w:ascii="黑体" w:hAnsi="黑体" w:eastAsia="黑体"/>
          <w:szCs w:val="21"/>
          <w:highlight w:val="none"/>
        </w:rPr>
      </w:pPr>
      <w:r>
        <w:rPr>
          <w:rFonts w:hint="eastAsia" w:ascii="黑体" w:hAnsi="黑体" w:eastAsia="黑体"/>
          <w:szCs w:val="21"/>
          <w:highlight w:val="none"/>
        </w:rPr>
        <w:t>2、该部分内容填写需要参考的相关文件：</w:t>
      </w:r>
    </w:p>
    <w:p w14:paraId="48191AB1">
      <w:pPr>
        <w:ind w:firstLine="480" w:firstLineChars="200"/>
        <w:rPr>
          <w:rFonts w:ascii="黑体" w:hAnsi="黑体" w:eastAsia="黑体"/>
          <w:szCs w:val="21"/>
          <w:highlight w:val="none"/>
        </w:rPr>
      </w:pPr>
      <w:r>
        <w:rPr>
          <w:rFonts w:hint="eastAsia" w:ascii="黑体" w:hAnsi="黑体" w:eastAsia="黑体"/>
          <w:szCs w:val="21"/>
          <w:highlight w:val="none"/>
        </w:rPr>
        <w:t>（1）《国务院办公厅关于在政府采购中实施本国产品标准及相关政策的通知》（国办发〔2025〕34号）</w:t>
      </w:r>
    </w:p>
    <w:p w14:paraId="464F3A61">
      <w:pPr>
        <w:ind w:firstLine="480" w:firstLineChars="200"/>
        <w:rPr>
          <w:rFonts w:hint="eastAsia" w:ascii="黑体" w:hAnsi="黑体" w:eastAsia="黑体"/>
          <w:szCs w:val="21"/>
          <w:highlight w:val="none"/>
        </w:rPr>
      </w:pPr>
      <w:r>
        <w:rPr>
          <w:rFonts w:hint="eastAsia" w:ascii="黑体" w:hAnsi="黑体" w:eastAsia="黑体"/>
          <w:szCs w:val="21"/>
          <w:highlight w:val="none"/>
        </w:rPr>
        <w:t>（2）《关于贯彻落实&lt;国务院办公厅关于在政府采购中实施本国产品标准及相关政策的通知&gt;的意见》（财库〔2025〕30号）</w:t>
      </w:r>
    </w:p>
    <w:p w14:paraId="5065C05C">
      <w:pPr>
        <w:ind w:firstLine="480" w:firstLineChars="200"/>
        <w:rPr>
          <w:rFonts w:hint="eastAsia" w:ascii="Times New Roman" w:hAnsi="Times New Roman" w:eastAsia="Times New Roman"/>
          <w:highlight w:val="none"/>
        </w:rPr>
      </w:pPr>
      <w:r>
        <w:rPr>
          <w:rFonts w:hint="eastAsia" w:ascii="黑体" w:hAnsi="黑体" w:eastAsia="黑体"/>
          <w:szCs w:val="21"/>
          <w:highlight w:val="none"/>
        </w:rPr>
        <w:t>（3）《深圳市财政局关于贯彻落实政府采购本国产品标准及相关政策的通知》（深财购〔2025〕69号）</w:t>
      </w:r>
    </w:p>
    <w:p w14:paraId="5B694AE1">
      <w:pPr>
        <w:ind w:firstLine="480" w:firstLineChars="200"/>
        <w:rPr>
          <w:rFonts w:ascii="黑体" w:hAnsi="黑体" w:eastAsia="黑体"/>
          <w:szCs w:val="21"/>
          <w:highlight w:val="none"/>
        </w:rPr>
      </w:pPr>
      <w:r>
        <w:rPr>
          <w:rFonts w:hint="eastAsia" w:ascii="黑体" w:hAnsi="黑体" w:eastAsia="黑体"/>
          <w:szCs w:val="21"/>
          <w:highlight w:val="none"/>
        </w:rPr>
        <w:t>3、请依照提供的格式和内容填写声明函，不要随意变更格式；声明函可以不盖章或签字。</w:t>
      </w:r>
    </w:p>
    <w:p w14:paraId="5C154BC9">
      <w:pPr>
        <w:ind w:firstLine="480" w:firstLineChars="200"/>
        <w:rPr>
          <w:rFonts w:ascii="黑体" w:hAnsi="黑体" w:eastAsia="黑体"/>
          <w:szCs w:val="21"/>
          <w:highlight w:val="none"/>
        </w:rPr>
      </w:pPr>
      <w:r>
        <w:rPr>
          <w:rFonts w:hint="eastAsia" w:ascii="黑体" w:hAnsi="黑体" w:eastAsia="黑体"/>
          <w:szCs w:val="21"/>
          <w:highlight w:val="none"/>
        </w:rPr>
        <w:t>4、声明函具体填写要求：</w:t>
      </w:r>
    </w:p>
    <w:p w14:paraId="2CE83EF6">
      <w:pPr>
        <w:ind w:firstLine="480" w:firstLineChars="200"/>
        <w:rPr>
          <w:rFonts w:ascii="黑体" w:hAnsi="黑体" w:eastAsia="黑体"/>
          <w:szCs w:val="21"/>
          <w:highlight w:val="none"/>
        </w:rPr>
      </w:pPr>
      <w:r>
        <w:rPr>
          <w:rFonts w:hint="eastAsia" w:ascii="黑体" w:hAnsi="黑体" w:eastAsia="黑体"/>
          <w:szCs w:val="21"/>
          <w:highlight w:val="none"/>
        </w:rPr>
        <w:t>（1）产品如有型号，请在“产品名称”栏一并填写。</w:t>
      </w:r>
    </w:p>
    <w:p w14:paraId="1A1A1036">
      <w:pPr>
        <w:ind w:firstLine="480" w:firstLineChars="200"/>
        <w:rPr>
          <w:rFonts w:ascii="黑体" w:hAnsi="黑体" w:eastAsia="黑体"/>
          <w:szCs w:val="21"/>
          <w:highlight w:val="none"/>
        </w:rPr>
      </w:pPr>
      <w:r>
        <w:rPr>
          <w:rFonts w:hint="eastAsia" w:ascii="黑体" w:hAnsi="黑体" w:eastAsia="黑体"/>
          <w:szCs w:val="21"/>
          <w:highlight w:val="none"/>
        </w:rPr>
        <w:t>（2）生产厂名与厂址应与生产厂营业执照载明的相关信息保持一致。</w:t>
      </w:r>
    </w:p>
    <w:p w14:paraId="44E8BCA5">
      <w:pPr>
        <w:ind w:firstLine="480" w:firstLineChars="200"/>
        <w:rPr>
          <w:rFonts w:ascii="黑体" w:hAnsi="黑体" w:eastAsia="黑体"/>
          <w:szCs w:val="21"/>
          <w:highlight w:val="none"/>
        </w:rPr>
      </w:pPr>
      <w:r>
        <w:rPr>
          <w:rFonts w:hint="eastAsia" w:ascii="黑体" w:hAnsi="黑体" w:eastAsia="黑体"/>
          <w:szCs w:val="21"/>
          <w:highlight w:val="none"/>
        </w:rPr>
        <w:t>（3）该产品的中国境内生产的组件成本占比相关要求实施前，“规定比例”栏可不填，下同。</w:t>
      </w:r>
    </w:p>
    <w:p w14:paraId="254CED97">
      <w:pPr>
        <w:ind w:firstLine="480" w:firstLineChars="200"/>
        <w:rPr>
          <w:rFonts w:ascii="黑体" w:hAnsi="黑体" w:eastAsia="黑体"/>
          <w:szCs w:val="21"/>
          <w:highlight w:val="none"/>
        </w:rPr>
      </w:pPr>
      <w:r>
        <w:rPr>
          <w:rFonts w:hint="eastAsia" w:ascii="黑体" w:hAnsi="黑体" w:eastAsia="黑体"/>
          <w:szCs w:val="21"/>
          <w:highlight w:val="none"/>
        </w:rPr>
        <w:t>（4）该产品的关键组件要求实施前，“关键组件”栏可不填，下同。</w:t>
      </w:r>
    </w:p>
    <w:p w14:paraId="6C97A826">
      <w:pPr>
        <w:ind w:firstLine="480" w:firstLineChars="200"/>
        <w:rPr>
          <w:rFonts w:ascii="黑体" w:hAnsi="黑体" w:eastAsia="黑体"/>
          <w:szCs w:val="21"/>
          <w:highlight w:val="none"/>
        </w:rPr>
      </w:pPr>
      <w:r>
        <w:rPr>
          <w:rFonts w:hint="eastAsia" w:ascii="黑体" w:hAnsi="黑体" w:eastAsia="黑体"/>
          <w:szCs w:val="21"/>
          <w:highlight w:val="none"/>
        </w:rPr>
        <w:t>（5）该产品的关键工序要求实施前，“关键工序”栏可不填，下同。</w:t>
      </w:r>
    </w:p>
    <w:p w14:paraId="1978C723">
      <w:pPr>
        <w:ind w:firstLine="480" w:firstLineChars="200"/>
        <w:rPr>
          <w:rFonts w:ascii="黑体" w:hAnsi="黑体" w:eastAsia="黑体"/>
          <w:color w:val="FF0000"/>
          <w:szCs w:val="21"/>
          <w:highlight w:val="none"/>
        </w:rPr>
      </w:pPr>
      <w:r>
        <w:rPr>
          <w:rFonts w:hint="eastAsia" w:ascii="黑体" w:hAnsi="黑体" w:eastAsia="黑体"/>
          <w:szCs w:val="21"/>
          <w:highlight w:val="none"/>
        </w:rPr>
        <w:t>（6）应如实在“具体比例”栏填写提供所有符合本国产品标准的产品成本之和占提供的全部产品成本之和的比例。根据《国务院办公厅关于在政府采购中实施本国产品标准及相关政策的通知》（国办发〔2025〕34号）的规定，</w:t>
      </w:r>
      <w:r>
        <w:rPr>
          <w:rFonts w:hint="eastAsia" w:ascii="黑体" w:hAnsi="宋体" w:eastAsia="黑体"/>
          <w:bCs/>
          <w:color w:val="FF0000"/>
          <w:szCs w:val="21"/>
          <w:highlight w:val="none"/>
          <w:u w:val="double"/>
        </w:rPr>
        <w:t>当采购项目或者采购包中含有多种产品，供应商为该采购项目或者采购包提供的符合本国产品标准的产品成本之和占该供应商提供的全部产品成本之和的比例达到80%以上时，依法对该供应商提供的全部产品给予20%价格评审优惠。</w:t>
      </w:r>
    </w:p>
    <w:p w14:paraId="3AD26DD6">
      <w:pPr>
        <w:ind w:firstLine="480" w:firstLineChars="200"/>
        <w:rPr>
          <w:rFonts w:ascii="黑体" w:hAnsi="黑体" w:eastAsia="黑体"/>
          <w:szCs w:val="21"/>
          <w:highlight w:val="none"/>
        </w:rPr>
      </w:pPr>
      <w:r>
        <w:rPr>
          <w:rFonts w:hint="eastAsia" w:ascii="黑体" w:hAnsi="黑体" w:eastAsia="黑体" w:cs="宋体"/>
          <w:szCs w:val="21"/>
          <w:highlight w:val="none"/>
          <w:shd w:val="clear" w:color="auto" w:fill="FFFFFF"/>
        </w:rPr>
        <w:t>5、</w:t>
      </w:r>
      <w:r>
        <w:rPr>
          <w:rFonts w:hint="eastAsia" w:ascii="黑体" w:hAnsi="黑体" w:eastAsia="黑体"/>
          <w:szCs w:val="21"/>
          <w:highlight w:val="none"/>
        </w:rPr>
        <w:t>争议处理：</w:t>
      </w:r>
    </w:p>
    <w:p w14:paraId="040030F4">
      <w:pPr>
        <w:ind w:firstLine="480" w:firstLineChars="200"/>
        <w:rPr>
          <w:rFonts w:ascii="黑体" w:hAnsi="黑体" w:eastAsia="黑体"/>
          <w:szCs w:val="21"/>
          <w:highlight w:val="none"/>
        </w:rPr>
      </w:pPr>
      <w:r>
        <w:rPr>
          <w:rFonts w:hint="eastAsia" w:ascii="黑体" w:hAnsi="黑体" w:eastAsia="黑体"/>
          <w:szCs w:val="21"/>
          <w:highlight w:val="none"/>
        </w:rPr>
        <w:t>（1）政府采购投诉处理、监督检查中，对产品或组件是否在中国境内生产存在争议的，按照以下原则处理：①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②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6793CC28">
      <w:pPr>
        <w:ind w:firstLine="480" w:firstLineChars="200"/>
        <w:rPr>
          <w:rFonts w:ascii="黑体" w:hAnsi="黑体" w:eastAsia="黑体"/>
          <w:szCs w:val="21"/>
          <w:highlight w:val="none"/>
        </w:rPr>
      </w:pPr>
      <w:r>
        <w:rPr>
          <w:rFonts w:hint="eastAsia" w:ascii="黑体" w:hAnsi="黑体" w:eastAsia="黑体"/>
          <w:szCs w:val="21"/>
          <w:highlight w:val="none"/>
        </w:rPr>
        <w:t>（2）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303E13E6">
      <w:pPr>
        <w:ind w:firstLine="480" w:firstLineChars="200"/>
        <w:rPr>
          <w:rFonts w:ascii="黑体" w:hAnsi="黑体" w:eastAsia="黑体"/>
          <w:szCs w:val="21"/>
          <w:highlight w:val="none"/>
        </w:rPr>
      </w:pPr>
      <w:r>
        <w:rPr>
          <w:rFonts w:hint="eastAsia" w:ascii="黑体" w:hAnsi="黑体" w:eastAsia="黑体"/>
          <w:szCs w:val="21"/>
          <w:highlight w:val="none"/>
        </w:rPr>
        <w:t>（3）政府采购投诉处理、监督检查中，对特定产品的关键组件是否在中国境内生产存在争议的，按照《国务院办公厅关于在政府采购中实施本国产品标准及相关政策的通知》第五条第（一）项规定的原则处理；对特定产品的关键工序是否在中国境内完成存在争议的，相关供应商及制造商应当提供关键工序在中国境内完成的记录等材料予以证明。</w:t>
      </w:r>
    </w:p>
    <w:p w14:paraId="4F41E696">
      <w:pPr>
        <w:ind w:firstLine="480" w:firstLineChars="200"/>
        <w:rPr>
          <w:rFonts w:ascii="黑体" w:hAnsi="黑体" w:eastAsia="黑体"/>
          <w:szCs w:val="21"/>
          <w:highlight w:val="none"/>
        </w:rPr>
      </w:pPr>
      <w:r>
        <w:rPr>
          <w:rFonts w:hint="eastAsia" w:ascii="黑体" w:hAnsi="黑体" w:eastAsia="黑体"/>
          <w:szCs w:val="21"/>
          <w:highlight w:val="none"/>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377176EA">
      <w:pPr>
        <w:ind w:firstLine="480" w:firstLineChars="200"/>
        <w:rPr>
          <w:rFonts w:ascii="黑体" w:hAnsi="黑体" w:eastAsia="黑体"/>
          <w:szCs w:val="21"/>
          <w:highlight w:val="none"/>
        </w:rPr>
      </w:pPr>
      <w:r>
        <w:rPr>
          <w:rFonts w:hint="eastAsia" w:ascii="黑体" w:hAnsi="黑体" w:eastAsia="黑体" w:cs="宋体"/>
          <w:szCs w:val="21"/>
          <w:highlight w:val="none"/>
          <w:shd w:val="clear" w:color="auto" w:fill="FFFFFF"/>
        </w:rPr>
        <w:t>6</w:t>
      </w:r>
      <w:r>
        <w:rPr>
          <w:rFonts w:hint="eastAsia" w:ascii="黑体" w:hAnsi="黑体" w:eastAsia="黑体"/>
          <w:szCs w:val="21"/>
          <w:highlight w:val="none"/>
        </w:rPr>
        <w:t>、评审委员会在评审中发现《关于符合本国产品标准的声明函》内容含义不明确、同类事项与投标（响应）文件表述不一致或者有明显文字错误等情况的，应当以书面形式要求供应商作出必要的澄清、说明或者补正。经澄清、说明或者补正的《声明函》仍然不符合《国务院办公厅关于在政府采购中实施本国产品标准及相关政策的通知》规定要求的，供应商提供的相关产品视为不符合本国产品标准，不享受价格扣除，但不作投标无效处理。</w:t>
      </w:r>
    </w:p>
    <w:p w14:paraId="60004763">
      <w:pPr>
        <w:rPr>
          <w:szCs w:val="22"/>
          <w:highlight w:val="none"/>
        </w:rPr>
      </w:pPr>
    </w:p>
    <w:p w14:paraId="06029D59">
      <w:pPr>
        <w:spacing w:after="120" w:afterLines="50"/>
        <w:jc w:val="center"/>
        <w:outlineLvl w:val="5"/>
        <w:rPr>
          <w:rFonts w:ascii="宋体" w:hAnsi="宋体"/>
          <w:b/>
          <w:sz w:val="24"/>
          <w:highlight w:val="none"/>
        </w:rPr>
      </w:pPr>
      <w:r>
        <w:rPr>
          <w:rFonts w:hint="eastAsia" w:ascii="宋体" w:hAnsi="宋体"/>
          <w:b/>
          <w:sz w:val="24"/>
          <w:highlight w:val="none"/>
        </w:rPr>
        <w:t>1.关于符合本国产品标准的声明函</w:t>
      </w:r>
    </w:p>
    <w:p w14:paraId="7C98CC97">
      <w:pPr>
        <w:widowControl/>
        <w:shd w:val="clear" w:color="auto" w:fill="FFFFFF"/>
        <w:spacing w:line="360" w:lineRule="auto"/>
        <w:ind w:firstLine="480" w:firstLineChars="200"/>
        <w:jc w:val="left"/>
        <w:rPr>
          <w:rFonts w:ascii="宋体" w:hAnsi="宋体" w:cs="宋体"/>
          <w:kern w:val="0"/>
          <w:szCs w:val="21"/>
          <w:highlight w:val="none"/>
          <w:shd w:val="clear" w:color="auto" w:fill="FFFFFF"/>
        </w:rPr>
      </w:pPr>
      <w:r>
        <w:rPr>
          <w:rFonts w:hint="eastAsia" w:ascii="宋体" w:hAnsi="宋体" w:cs="宋体"/>
          <w:kern w:val="0"/>
          <w:szCs w:val="21"/>
          <w:highlight w:val="none"/>
          <w:shd w:val="clear" w:color="auto" w:fill="FFFFFF"/>
        </w:rPr>
        <w:t>本公司（单位）郑重声明，根据《国务院办公厅关于在政府采购中实施本国产品标准及相关政策的通知》（国办发〔</w:t>
      </w:r>
      <w:r>
        <w:rPr>
          <w:rFonts w:ascii="宋体" w:hAnsi="宋体" w:cs="Calibri"/>
          <w:kern w:val="0"/>
          <w:szCs w:val="21"/>
          <w:highlight w:val="none"/>
          <w:shd w:val="clear" w:color="auto" w:fill="FFFFFF"/>
        </w:rPr>
        <w:t>2025</w:t>
      </w:r>
      <w:r>
        <w:rPr>
          <w:rFonts w:hint="eastAsia" w:ascii="宋体" w:hAnsi="宋体" w:cs="宋体"/>
          <w:kern w:val="0"/>
          <w:szCs w:val="21"/>
          <w:highlight w:val="none"/>
          <w:shd w:val="clear" w:color="auto" w:fill="FFFFFF"/>
        </w:rPr>
        <w:t>〕</w:t>
      </w:r>
      <w:r>
        <w:rPr>
          <w:rFonts w:ascii="宋体" w:hAnsi="宋体" w:cs="Calibri"/>
          <w:kern w:val="0"/>
          <w:szCs w:val="21"/>
          <w:highlight w:val="none"/>
          <w:shd w:val="clear" w:color="auto" w:fill="FFFFFF"/>
        </w:rPr>
        <w:t>34</w:t>
      </w:r>
      <w:r>
        <w:rPr>
          <w:rFonts w:hint="eastAsia" w:ascii="宋体" w:hAnsi="宋体" w:cs="宋体"/>
          <w:kern w:val="0"/>
          <w:szCs w:val="21"/>
          <w:highlight w:val="none"/>
          <w:shd w:val="clear" w:color="auto" w:fill="FFFFFF"/>
        </w:rPr>
        <w:t>号）的规定，本公司（单位）提供的以下产品属于本国产品。具体情况如下：</w:t>
      </w:r>
    </w:p>
    <w:p w14:paraId="4131E9E4">
      <w:pPr>
        <w:widowControl/>
        <w:shd w:val="clear" w:color="auto" w:fill="FFFFFF"/>
        <w:spacing w:line="360" w:lineRule="auto"/>
        <w:ind w:firstLine="480" w:firstLineChars="200"/>
        <w:jc w:val="left"/>
        <w:rPr>
          <w:rFonts w:ascii="宋体" w:hAnsi="宋体" w:cs="宋体"/>
          <w:kern w:val="0"/>
          <w:szCs w:val="21"/>
          <w:highlight w:val="none"/>
        </w:rPr>
      </w:pPr>
      <w:r>
        <w:rPr>
          <w:rFonts w:ascii="宋体" w:hAnsi="宋体" w:cs="Calibri"/>
          <w:kern w:val="0"/>
          <w:szCs w:val="21"/>
          <w:highlight w:val="none"/>
          <w:shd w:val="clear" w:color="auto" w:fill="FFFFFF"/>
        </w:rPr>
        <w:t>1.</w:t>
      </w:r>
      <w:r>
        <w:rPr>
          <w:rFonts w:hint="eastAsia" w:ascii="宋体" w:hAnsi="宋体" w:cs="Calibri"/>
          <w:kern w:val="0"/>
          <w:szCs w:val="21"/>
          <w:highlight w:val="none"/>
          <w:u w:val="single"/>
          <w:shd w:val="clear" w:color="auto" w:fill="FFFFFF"/>
        </w:rPr>
        <w:t xml:space="preserve"> </w:t>
      </w:r>
      <w:r>
        <w:rPr>
          <w:rFonts w:hint="eastAsia" w:ascii="宋体" w:hAnsi="宋体"/>
          <w:b/>
          <w:bCs/>
          <w:szCs w:val="21"/>
          <w:highlight w:val="none"/>
          <w:u w:val="single"/>
        </w:rPr>
        <w:t>（产品名称</w:t>
      </w:r>
      <w:r>
        <w:rPr>
          <w:rFonts w:ascii="宋体" w:hAnsi="宋体"/>
          <w:b/>
          <w:bCs/>
          <w:szCs w:val="21"/>
          <w:highlight w:val="none"/>
          <w:u w:val="single"/>
        </w:rPr>
        <w:t>1</w:t>
      </w:r>
      <w:r>
        <w:rPr>
          <w:rFonts w:hint="eastAsia" w:ascii="宋体" w:hAnsi="宋体"/>
          <w:b/>
          <w:bCs/>
          <w:szCs w:val="21"/>
          <w:highlight w:val="none"/>
          <w:u w:val="single"/>
        </w:rPr>
        <w:t>）</w:t>
      </w:r>
      <w:r>
        <w:rPr>
          <w:rFonts w:ascii="宋体" w:hAnsi="宋体" w:cs="Calibri"/>
          <w:b/>
          <w:bCs/>
          <w:kern w:val="0"/>
          <w:szCs w:val="21"/>
          <w:highlight w:val="none"/>
          <w:shd w:val="clear" w:color="auto" w:fill="FFFFFF"/>
          <w:vertAlign w:val="superscript"/>
        </w:rPr>
        <w:t>1</w:t>
      </w:r>
      <w:r>
        <w:rPr>
          <w:rFonts w:hint="eastAsia" w:ascii="宋体" w:hAnsi="宋体" w:cs="宋体"/>
          <w:kern w:val="0"/>
          <w:szCs w:val="21"/>
          <w:highlight w:val="none"/>
          <w:shd w:val="clear" w:color="auto" w:fill="FFFFFF"/>
        </w:rPr>
        <w:t>，生产厂为</w:t>
      </w:r>
      <w:r>
        <w:rPr>
          <w:rFonts w:hint="eastAsia" w:ascii="宋体" w:hAnsi="宋体" w:cs="Calibri"/>
          <w:kern w:val="0"/>
          <w:szCs w:val="21"/>
          <w:highlight w:val="none"/>
          <w:u w:val="single"/>
          <w:shd w:val="clear" w:color="auto" w:fill="FFFFFF"/>
        </w:rPr>
        <w:t xml:space="preserve"> </w:t>
      </w:r>
      <w:r>
        <w:rPr>
          <w:rFonts w:hint="eastAsia" w:ascii="宋体" w:hAnsi="宋体"/>
          <w:b/>
          <w:bCs/>
          <w:szCs w:val="21"/>
          <w:highlight w:val="none"/>
          <w:u w:val="single"/>
        </w:rPr>
        <w:t>（厂名）</w:t>
      </w:r>
      <w:r>
        <w:rPr>
          <w:rFonts w:ascii="宋体" w:hAnsi="宋体" w:cs="Calibri"/>
          <w:b/>
          <w:bCs/>
          <w:kern w:val="0"/>
          <w:szCs w:val="21"/>
          <w:highlight w:val="none"/>
          <w:shd w:val="clear" w:color="auto" w:fill="FFFFFF"/>
          <w:vertAlign w:val="superscript"/>
        </w:rPr>
        <w:t>2</w:t>
      </w:r>
      <w:r>
        <w:rPr>
          <w:rFonts w:hint="eastAsia" w:ascii="宋体" w:hAnsi="宋体" w:cs="宋体"/>
          <w:kern w:val="0"/>
          <w:szCs w:val="21"/>
          <w:highlight w:val="none"/>
          <w:shd w:val="clear" w:color="auto" w:fill="FFFFFF"/>
        </w:rPr>
        <w:t>，厂址为</w:t>
      </w:r>
      <w:r>
        <w:rPr>
          <w:rFonts w:hint="eastAsia" w:ascii="宋体" w:hAnsi="宋体" w:cs="Calibri"/>
          <w:kern w:val="0"/>
          <w:szCs w:val="21"/>
          <w:highlight w:val="none"/>
          <w:u w:val="single"/>
          <w:shd w:val="clear" w:color="auto" w:fill="FFFFFF"/>
        </w:rPr>
        <w:t xml:space="preserve"> </w:t>
      </w:r>
      <w:r>
        <w:rPr>
          <w:rFonts w:hint="eastAsia" w:ascii="宋体" w:hAnsi="宋体"/>
          <w:b/>
          <w:bCs/>
          <w:szCs w:val="21"/>
          <w:highlight w:val="none"/>
          <w:u w:val="single"/>
        </w:rPr>
        <w:t>（生产厂址）</w:t>
      </w:r>
      <w:r>
        <w:rPr>
          <w:rFonts w:hint="eastAsia" w:ascii="宋体" w:hAnsi="宋体" w:cs="Calibri"/>
          <w:kern w:val="0"/>
          <w:szCs w:val="21"/>
          <w:highlight w:val="none"/>
          <w:shd w:val="clear" w:color="auto" w:fill="FFFFFF"/>
        </w:rPr>
        <w:t>。</w:t>
      </w:r>
      <w:r>
        <w:rPr>
          <w:rFonts w:hint="eastAsia" w:ascii="宋体" w:hAnsi="宋体" w:cs="Calibri"/>
          <w:kern w:val="0"/>
          <w:szCs w:val="21"/>
          <w:highlight w:val="none"/>
          <w:u w:val="single"/>
          <w:shd w:val="clear" w:color="auto" w:fill="FFFFFF"/>
        </w:rPr>
        <w:t xml:space="preserve"> </w:t>
      </w:r>
      <w:r>
        <w:rPr>
          <w:rFonts w:hint="eastAsia" w:ascii="宋体" w:hAnsi="宋体"/>
          <w:b/>
          <w:bCs/>
          <w:szCs w:val="21"/>
          <w:highlight w:val="none"/>
          <w:u w:val="single"/>
        </w:rPr>
        <w:t>（产品名称</w:t>
      </w:r>
      <w:r>
        <w:rPr>
          <w:rFonts w:ascii="宋体" w:hAnsi="宋体"/>
          <w:b/>
          <w:bCs/>
          <w:szCs w:val="21"/>
          <w:highlight w:val="none"/>
          <w:u w:val="single"/>
        </w:rPr>
        <w:t>1</w:t>
      </w:r>
      <w:r>
        <w:rPr>
          <w:rFonts w:hint="eastAsia" w:ascii="宋体" w:hAnsi="宋体"/>
          <w:b/>
          <w:bCs/>
          <w:szCs w:val="21"/>
          <w:highlight w:val="none"/>
          <w:u w:val="single"/>
        </w:rPr>
        <w:t>）</w:t>
      </w:r>
      <w:r>
        <w:rPr>
          <w:rFonts w:hint="eastAsia" w:ascii="宋体" w:hAnsi="宋体" w:cs="宋体"/>
          <w:kern w:val="0"/>
          <w:szCs w:val="21"/>
          <w:highlight w:val="none"/>
          <w:shd w:val="clear" w:color="auto" w:fill="FFFFFF"/>
        </w:rPr>
        <w:t>的中国境内生产的组件成本占比≥</w:t>
      </w:r>
      <w:r>
        <w:rPr>
          <w:rFonts w:hint="eastAsia" w:ascii="宋体" w:hAnsi="宋体" w:cs="Calibri"/>
          <w:kern w:val="0"/>
          <w:szCs w:val="21"/>
          <w:highlight w:val="none"/>
          <w:u w:val="single"/>
          <w:shd w:val="clear" w:color="auto" w:fill="FFFFFF"/>
        </w:rPr>
        <w:t xml:space="preserve"> </w:t>
      </w:r>
      <w:r>
        <w:rPr>
          <w:rFonts w:hint="eastAsia" w:ascii="宋体" w:hAnsi="宋体"/>
          <w:b/>
          <w:bCs/>
          <w:szCs w:val="21"/>
          <w:highlight w:val="none"/>
          <w:u w:val="single"/>
        </w:rPr>
        <w:t>（规定比例）</w:t>
      </w:r>
      <w:r>
        <w:rPr>
          <w:rFonts w:ascii="宋体" w:hAnsi="宋体" w:cs="Calibri"/>
          <w:b/>
          <w:bCs/>
          <w:kern w:val="0"/>
          <w:szCs w:val="21"/>
          <w:highlight w:val="none"/>
          <w:shd w:val="clear" w:color="auto" w:fill="FFFFFF"/>
          <w:vertAlign w:val="superscript"/>
        </w:rPr>
        <w:t>3</w:t>
      </w:r>
      <w:r>
        <w:rPr>
          <w:rFonts w:hint="eastAsia" w:ascii="宋体" w:hAnsi="宋体" w:cs="宋体"/>
          <w:kern w:val="0"/>
          <w:szCs w:val="21"/>
          <w:highlight w:val="none"/>
          <w:shd w:val="clear" w:color="auto" w:fill="FFFFFF"/>
        </w:rPr>
        <w:t>。</w:t>
      </w:r>
      <w:r>
        <w:rPr>
          <w:rFonts w:hint="eastAsia" w:ascii="宋体" w:hAnsi="宋体" w:cs="Calibri"/>
          <w:kern w:val="0"/>
          <w:szCs w:val="21"/>
          <w:highlight w:val="none"/>
          <w:u w:val="single"/>
          <w:shd w:val="clear" w:color="auto" w:fill="FFFFFF"/>
        </w:rPr>
        <w:t xml:space="preserve"> </w:t>
      </w:r>
      <w:r>
        <w:rPr>
          <w:rFonts w:hint="eastAsia" w:ascii="宋体" w:hAnsi="宋体"/>
          <w:b/>
          <w:bCs/>
          <w:szCs w:val="21"/>
          <w:highlight w:val="none"/>
          <w:u w:val="single"/>
        </w:rPr>
        <w:t>（产品名称</w:t>
      </w:r>
      <w:r>
        <w:rPr>
          <w:rFonts w:ascii="宋体" w:hAnsi="宋体"/>
          <w:b/>
          <w:bCs/>
          <w:szCs w:val="21"/>
          <w:highlight w:val="none"/>
          <w:u w:val="single"/>
        </w:rPr>
        <w:t>1</w:t>
      </w:r>
      <w:r>
        <w:rPr>
          <w:rFonts w:hint="eastAsia" w:ascii="宋体" w:hAnsi="宋体"/>
          <w:b/>
          <w:bCs/>
          <w:szCs w:val="21"/>
          <w:highlight w:val="none"/>
          <w:u w:val="single"/>
        </w:rPr>
        <w:t>）</w:t>
      </w:r>
      <w:r>
        <w:rPr>
          <w:rFonts w:hint="eastAsia" w:ascii="宋体" w:hAnsi="宋体" w:cs="宋体"/>
          <w:kern w:val="0"/>
          <w:szCs w:val="21"/>
          <w:highlight w:val="none"/>
          <w:shd w:val="clear" w:color="auto" w:fill="FFFFFF"/>
        </w:rPr>
        <w:t>的</w:t>
      </w:r>
      <w:r>
        <w:rPr>
          <w:rFonts w:hint="eastAsia" w:ascii="宋体" w:hAnsi="宋体" w:cs="Calibri"/>
          <w:kern w:val="0"/>
          <w:szCs w:val="21"/>
          <w:highlight w:val="none"/>
          <w:u w:val="single"/>
          <w:shd w:val="clear" w:color="auto" w:fill="FFFFFF"/>
        </w:rPr>
        <w:t xml:space="preserve"> </w:t>
      </w:r>
      <w:r>
        <w:rPr>
          <w:rFonts w:hint="eastAsia" w:ascii="宋体" w:hAnsi="宋体"/>
          <w:b/>
          <w:bCs/>
          <w:szCs w:val="21"/>
          <w:highlight w:val="none"/>
          <w:u w:val="single"/>
        </w:rPr>
        <w:t>（关键组件）</w:t>
      </w:r>
      <w:r>
        <w:rPr>
          <w:rFonts w:ascii="宋体" w:hAnsi="宋体" w:cs="Calibri"/>
          <w:b/>
          <w:bCs/>
          <w:kern w:val="0"/>
          <w:szCs w:val="21"/>
          <w:highlight w:val="none"/>
          <w:shd w:val="clear" w:color="auto" w:fill="FFFFFF"/>
          <w:vertAlign w:val="superscript"/>
        </w:rPr>
        <w:t>4</w:t>
      </w:r>
      <w:r>
        <w:rPr>
          <w:rFonts w:hint="eastAsia" w:ascii="宋体" w:hAnsi="宋体" w:cs="宋体"/>
          <w:kern w:val="0"/>
          <w:szCs w:val="21"/>
          <w:highlight w:val="none"/>
          <w:shd w:val="clear" w:color="auto" w:fill="FFFFFF"/>
        </w:rPr>
        <w:t>在中国境内生产。</w:t>
      </w:r>
      <w:r>
        <w:rPr>
          <w:rFonts w:hint="eastAsia" w:ascii="宋体" w:hAnsi="宋体" w:cs="Calibri"/>
          <w:kern w:val="0"/>
          <w:szCs w:val="21"/>
          <w:highlight w:val="none"/>
          <w:u w:val="single"/>
          <w:shd w:val="clear" w:color="auto" w:fill="FFFFFF"/>
        </w:rPr>
        <w:t xml:space="preserve"> </w:t>
      </w:r>
      <w:r>
        <w:rPr>
          <w:rFonts w:hint="eastAsia" w:ascii="宋体" w:hAnsi="宋体"/>
          <w:b/>
          <w:bCs/>
          <w:szCs w:val="21"/>
          <w:highlight w:val="none"/>
          <w:u w:val="single"/>
        </w:rPr>
        <w:t>（产品名称</w:t>
      </w:r>
      <w:r>
        <w:rPr>
          <w:rFonts w:ascii="宋体" w:hAnsi="宋体"/>
          <w:b/>
          <w:bCs/>
          <w:szCs w:val="21"/>
          <w:highlight w:val="none"/>
          <w:u w:val="single"/>
        </w:rPr>
        <w:t>1</w:t>
      </w:r>
      <w:r>
        <w:rPr>
          <w:rFonts w:hint="eastAsia" w:ascii="宋体" w:hAnsi="宋体"/>
          <w:b/>
          <w:bCs/>
          <w:szCs w:val="21"/>
          <w:highlight w:val="none"/>
          <w:u w:val="single"/>
        </w:rPr>
        <w:t>）</w:t>
      </w:r>
      <w:r>
        <w:rPr>
          <w:rFonts w:hint="eastAsia" w:ascii="宋体" w:hAnsi="宋体" w:cs="宋体"/>
          <w:kern w:val="0"/>
          <w:szCs w:val="21"/>
          <w:highlight w:val="none"/>
          <w:shd w:val="clear" w:color="auto" w:fill="FFFFFF"/>
        </w:rPr>
        <w:t>的</w:t>
      </w:r>
      <w:r>
        <w:rPr>
          <w:rFonts w:hint="eastAsia" w:ascii="宋体" w:hAnsi="宋体" w:cs="Calibri"/>
          <w:kern w:val="0"/>
          <w:szCs w:val="21"/>
          <w:highlight w:val="none"/>
          <w:u w:val="single"/>
          <w:shd w:val="clear" w:color="auto" w:fill="FFFFFF"/>
        </w:rPr>
        <w:t xml:space="preserve"> </w:t>
      </w:r>
      <w:r>
        <w:rPr>
          <w:rFonts w:hint="eastAsia" w:ascii="宋体" w:hAnsi="宋体"/>
          <w:b/>
          <w:bCs/>
          <w:szCs w:val="21"/>
          <w:highlight w:val="none"/>
          <w:u w:val="single"/>
        </w:rPr>
        <w:t>（关键工序）</w:t>
      </w:r>
      <w:r>
        <w:rPr>
          <w:rFonts w:ascii="宋体" w:hAnsi="宋体" w:cs="Calibri"/>
          <w:b/>
          <w:bCs/>
          <w:kern w:val="0"/>
          <w:szCs w:val="21"/>
          <w:highlight w:val="none"/>
          <w:shd w:val="clear" w:color="auto" w:fill="FFFFFF"/>
          <w:vertAlign w:val="superscript"/>
        </w:rPr>
        <w:t>5</w:t>
      </w:r>
      <w:r>
        <w:rPr>
          <w:rFonts w:hint="eastAsia" w:ascii="宋体" w:hAnsi="宋体" w:cs="宋体"/>
          <w:kern w:val="0"/>
          <w:szCs w:val="21"/>
          <w:highlight w:val="none"/>
          <w:shd w:val="clear" w:color="auto" w:fill="FFFFFF"/>
        </w:rPr>
        <w:t>在中国境内完成。</w:t>
      </w:r>
    </w:p>
    <w:p w14:paraId="732435E1">
      <w:pPr>
        <w:widowControl/>
        <w:shd w:val="clear" w:color="auto" w:fill="FFFFFF"/>
        <w:spacing w:line="360" w:lineRule="auto"/>
        <w:ind w:firstLine="480" w:firstLineChars="200"/>
        <w:jc w:val="left"/>
        <w:rPr>
          <w:rFonts w:ascii="宋体" w:hAnsi="宋体" w:cs="宋体"/>
          <w:kern w:val="0"/>
          <w:szCs w:val="21"/>
          <w:highlight w:val="none"/>
        </w:rPr>
      </w:pPr>
      <w:r>
        <w:rPr>
          <w:rFonts w:hint="eastAsia" w:ascii="宋体" w:hAnsi="宋体" w:cs="Calibri"/>
          <w:kern w:val="0"/>
          <w:szCs w:val="21"/>
          <w:highlight w:val="none"/>
          <w:shd w:val="clear" w:color="auto" w:fill="FFFFFF"/>
        </w:rPr>
        <w:t>2</w:t>
      </w:r>
      <w:r>
        <w:rPr>
          <w:rFonts w:ascii="宋体" w:hAnsi="宋体" w:cs="Calibri"/>
          <w:kern w:val="0"/>
          <w:szCs w:val="21"/>
          <w:highlight w:val="none"/>
          <w:shd w:val="clear" w:color="auto" w:fill="FFFFFF"/>
        </w:rPr>
        <w:t>.</w:t>
      </w:r>
      <w:r>
        <w:rPr>
          <w:rFonts w:hint="eastAsia" w:ascii="宋体" w:hAnsi="宋体" w:cs="Calibri"/>
          <w:kern w:val="0"/>
          <w:szCs w:val="21"/>
          <w:highlight w:val="none"/>
          <w:u w:val="single"/>
          <w:shd w:val="clear" w:color="auto" w:fill="FFFFFF"/>
        </w:rPr>
        <w:t xml:space="preserve"> </w:t>
      </w:r>
      <w:r>
        <w:rPr>
          <w:rFonts w:hint="eastAsia" w:ascii="宋体" w:hAnsi="宋体"/>
          <w:b/>
          <w:bCs/>
          <w:szCs w:val="21"/>
          <w:highlight w:val="none"/>
          <w:u w:val="single"/>
        </w:rPr>
        <w:t>（产品名称2）</w:t>
      </w:r>
      <w:r>
        <w:rPr>
          <w:rFonts w:hint="eastAsia" w:ascii="宋体" w:hAnsi="宋体" w:cs="宋体"/>
          <w:kern w:val="0"/>
          <w:szCs w:val="21"/>
          <w:highlight w:val="none"/>
          <w:shd w:val="clear" w:color="auto" w:fill="FFFFFF"/>
        </w:rPr>
        <w:t>，生产厂为</w:t>
      </w:r>
      <w:r>
        <w:rPr>
          <w:rFonts w:hint="eastAsia" w:ascii="宋体" w:hAnsi="宋体" w:cs="Calibri"/>
          <w:kern w:val="0"/>
          <w:szCs w:val="21"/>
          <w:highlight w:val="none"/>
          <w:u w:val="single"/>
          <w:shd w:val="clear" w:color="auto" w:fill="FFFFFF"/>
        </w:rPr>
        <w:t xml:space="preserve"> </w:t>
      </w:r>
      <w:r>
        <w:rPr>
          <w:rFonts w:hint="eastAsia" w:ascii="宋体" w:hAnsi="宋体"/>
          <w:b/>
          <w:bCs/>
          <w:szCs w:val="21"/>
          <w:highlight w:val="none"/>
          <w:u w:val="single"/>
        </w:rPr>
        <w:t>（厂名）</w:t>
      </w:r>
      <w:r>
        <w:rPr>
          <w:rFonts w:hint="eastAsia" w:ascii="宋体" w:hAnsi="宋体" w:cs="宋体"/>
          <w:kern w:val="0"/>
          <w:szCs w:val="21"/>
          <w:highlight w:val="none"/>
          <w:shd w:val="clear" w:color="auto" w:fill="FFFFFF"/>
        </w:rPr>
        <w:t>，厂址为</w:t>
      </w:r>
      <w:r>
        <w:rPr>
          <w:rFonts w:hint="eastAsia" w:ascii="宋体" w:hAnsi="宋体" w:cs="Calibri"/>
          <w:kern w:val="0"/>
          <w:szCs w:val="21"/>
          <w:highlight w:val="none"/>
          <w:u w:val="single"/>
          <w:shd w:val="clear" w:color="auto" w:fill="FFFFFF"/>
        </w:rPr>
        <w:t xml:space="preserve"> </w:t>
      </w:r>
      <w:r>
        <w:rPr>
          <w:rFonts w:hint="eastAsia" w:ascii="宋体" w:hAnsi="宋体"/>
          <w:b/>
          <w:bCs/>
          <w:szCs w:val="21"/>
          <w:highlight w:val="none"/>
          <w:u w:val="single"/>
        </w:rPr>
        <w:t>（生产厂址）</w:t>
      </w:r>
      <w:r>
        <w:rPr>
          <w:rFonts w:hint="eastAsia" w:ascii="宋体" w:hAnsi="宋体" w:cs="宋体"/>
          <w:kern w:val="0"/>
          <w:szCs w:val="21"/>
          <w:highlight w:val="none"/>
          <w:shd w:val="clear" w:color="auto" w:fill="FFFFFF"/>
        </w:rPr>
        <w:t>。</w:t>
      </w:r>
      <w:r>
        <w:rPr>
          <w:rFonts w:hint="eastAsia" w:ascii="宋体" w:hAnsi="宋体" w:cs="Calibri"/>
          <w:kern w:val="0"/>
          <w:szCs w:val="21"/>
          <w:highlight w:val="none"/>
          <w:u w:val="single"/>
          <w:shd w:val="clear" w:color="auto" w:fill="FFFFFF"/>
        </w:rPr>
        <w:t xml:space="preserve"> </w:t>
      </w:r>
      <w:r>
        <w:rPr>
          <w:rFonts w:hint="eastAsia" w:ascii="宋体" w:hAnsi="宋体"/>
          <w:b/>
          <w:bCs/>
          <w:szCs w:val="21"/>
          <w:highlight w:val="none"/>
          <w:u w:val="single"/>
        </w:rPr>
        <w:t>（产品名称2）</w:t>
      </w:r>
      <w:r>
        <w:rPr>
          <w:rFonts w:hint="eastAsia" w:ascii="宋体" w:hAnsi="宋体" w:cs="宋体"/>
          <w:kern w:val="0"/>
          <w:szCs w:val="21"/>
          <w:highlight w:val="none"/>
          <w:shd w:val="clear" w:color="auto" w:fill="FFFFFF"/>
        </w:rPr>
        <w:t>的中国境内生产的组件成本占比≥</w:t>
      </w:r>
      <w:r>
        <w:rPr>
          <w:rFonts w:hint="eastAsia" w:ascii="宋体" w:hAnsi="宋体" w:cs="Calibri"/>
          <w:kern w:val="0"/>
          <w:szCs w:val="21"/>
          <w:highlight w:val="none"/>
          <w:u w:val="single"/>
          <w:shd w:val="clear" w:color="auto" w:fill="FFFFFF"/>
        </w:rPr>
        <w:t xml:space="preserve"> </w:t>
      </w:r>
      <w:r>
        <w:rPr>
          <w:rFonts w:hint="eastAsia" w:ascii="宋体" w:hAnsi="宋体"/>
          <w:b/>
          <w:bCs/>
          <w:szCs w:val="21"/>
          <w:highlight w:val="none"/>
          <w:u w:val="single"/>
        </w:rPr>
        <w:t>（规定比例）</w:t>
      </w:r>
      <w:r>
        <w:rPr>
          <w:rFonts w:hint="eastAsia" w:ascii="宋体" w:hAnsi="宋体" w:cs="宋体"/>
          <w:kern w:val="0"/>
          <w:szCs w:val="21"/>
          <w:highlight w:val="none"/>
          <w:shd w:val="clear" w:color="auto" w:fill="FFFFFF"/>
        </w:rPr>
        <w:t>。</w:t>
      </w:r>
      <w:r>
        <w:rPr>
          <w:rFonts w:hint="eastAsia" w:ascii="宋体" w:hAnsi="宋体" w:cs="Calibri"/>
          <w:kern w:val="0"/>
          <w:szCs w:val="21"/>
          <w:highlight w:val="none"/>
          <w:u w:val="single"/>
          <w:shd w:val="clear" w:color="auto" w:fill="FFFFFF"/>
        </w:rPr>
        <w:t xml:space="preserve"> </w:t>
      </w:r>
      <w:r>
        <w:rPr>
          <w:rFonts w:hint="eastAsia" w:ascii="宋体" w:hAnsi="宋体"/>
          <w:b/>
          <w:bCs/>
          <w:szCs w:val="21"/>
          <w:highlight w:val="none"/>
          <w:u w:val="single"/>
        </w:rPr>
        <w:t>（产品名称2）</w:t>
      </w:r>
      <w:r>
        <w:rPr>
          <w:rFonts w:hint="eastAsia" w:ascii="宋体" w:hAnsi="宋体" w:cs="宋体"/>
          <w:kern w:val="0"/>
          <w:szCs w:val="21"/>
          <w:highlight w:val="none"/>
          <w:shd w:val="clear" w:color="auto" w:fill="FFFFFF"/>
        </w:rPr>
        <w:t>的</w:t>
      </w:r>
      <w:r>
        <w:rPr>
          <w:rFonts w:hint="eastAsia" w:ascii="宋体" w:hAnsi="宋体" w:cs="Calibri"/>
          <w:kern w:val="0"/>
          <w:szCs w:val="21"/>
          <w:highlight w:val="none"/>
          <w:u w:val="single"/>
          <w:shd w:val="clear" w:color="auto" w:fill="FFFFFF"/>
        </w:rPr>
        <w:t xml:space="preserve"> </w:t>
      </w:r>
      <w:r>
        <w:rPr>
          <w:rFonts w:hint="eastAsia" w:ascii="宋体" w:hAnsi="宋体"/>
          <w:b/>
          <w:bCs/>
          <w:szCs w:val="21"/>
          <w:highlight w:val="none"/>
          <w:u w:val="single"/>
        </w:rPr>
        <w:t>（关键组件）</w:t>
      </w:r>
      <w:r>
        <w:rPr>
          <w:rFonts w:hint="eastAsia" w:ascii="宋体" w:hAnsi="宋体" w:cs="宋体"/>
          <w:kern w:val="0"/>
          <w:szCs w:val="21"/>
          <w:highlight w:val="none"/>
          <w:shd w:val="clear" w:color="auto" w:fill="FFFFFF"/>
        </w:rPr>
        <w:t>在中国境内生产。</w:t>
      </w:r>
      <w:r>
        <w:rPr>
          <w:rFonts w:hint="eastAsia" w:ascii="宋体" w:hAnsi="宋体" w:cs="Calibri"/>
          <w:kern w:val="0"/>
          <w:szCs w:val="21"/>
          <w:highlight w:val="none"/>
          <w:u w:val="single"/>
          <w:shd w:val="clear" w:color="auto" w:fill="FFFFFF"/>
        </w:rPr>
        <w:t xml:space="preserve"> </w:t>
      </w:r>
      <w:r>
        <w:rPr>
          <w:rFonts w:hint="eastAsia" w:ascii="宋体" w:hAnsi="宋体"/>
          <w:b/>
          <w:bCs/>
          <w:szCs w:val="21"/>
          <w:highlight w:val="none"/>
          <w:u w:val="single"/>
        </w:rPr>
        <w:t>（产品名称2）</w:t>
      </w:r>
      <w:r>
        <w:rPr>
          <w:rFonts w:hint="eastAsia" w:ascii="宋体" w:hAnsi="宋体" w:cs="宋体"/>
          <w:kern w:val="0"/>
          <w:szCs w:val="21"/>
          <w:highlight w:val="none"/>
          <w:shd w:val="clear" w:color="auto" w:fill="FFFFFF"/>
        </w:rPr>
        <w:t>的</w:t>
      </w:r>
      <w:r>
        <w:rPr>
          <w:rFonts w:hint="eastAsia" w:ascii="宋体" w:hAnsi="宋体" w:cs="Calibri"/>
          <w:kern w:val="0"/>
          <w:szCs w:val="21"/>
          <w:highlight w:val="none"/>
          <w:u w:val="single"/>
          <w:shd w:val="clear" w:color="auto" w:fill="FFFFFF"/>
        </w:rPr>
        <w:t xml:space="preserve"> </w:t>
      </w:r>
      <w:r>
        <w:rPr>
          <w:rFonts w:hint="eastAsia" w:ascii="宋体" w:hAnsi="宋体"/>
          <w:b/>
          <w:bCs/>
          <w:szCs w:val="21"/>
          <w:highlight w:val="none"/>
          <w:u w:val="single"/>
        </w:rPr>
        <w:t>（关键工序）</w:t>
      </w:r>
      <w:r>
        <w:rPr>
          <w:rFonts w:hint="eastAsia" w:ascii="宋体" w:hAnsi="宋体" w:cs="宋体"/>
          <w:kern w:val="0"/>
          <w:szCs w:val="21"/>
          <w:highlight w:val="none"/>
          <w:shd w:val="clear" w:color="auto" w:fill="FFFFFF"/>
        </w:rPr>
        <w:t>在中国境内完成。</w:t>
      </w:r>
    </w:p>
    <w:p w14:paraId="76AFF7E0">
      <w:pPr>
        <w:widowControl/>
        <w:shd w:val="clear" w:color="auto" w:fill="FFFFFF"/>
        <w:spacing w:line="360" w:lineRule="auto"/>
        <w:ind w:firstLine="480" w:firstLineChars="200"/>
        <w:jc w:val="left"/>
        <w:rPr>
          <w:rFonts w:ascii="宋体" w:hAnsi="宋体" w:cs="宋体"/>
          <w:kern w:val="0"/>
          <w:szCs w:val="21"/>
          <w:highlight w:val="none"/>
          <w:shd w:val="clear" w:color="auto" w:fill="FFFFFF"/>
        </w:rPr>
      </w:pPr>
      <w:r>
        <w:rPr>
          <w:rFonts w:hint="eastAsia" w:ascii="宋体" w:hAnsi="宋体" w:cs="宋体"/>
          <w:kern w:val="0"/>
          <w:szCs w:val="21"/>
          <w:highlight w:val="none"/>
          <w:shd w:val="clear" w:color="auto" w:fill="FFFFFF"/>
        </w:rPr>
        <w:t>……</w:t>
      </w:r>
    </w:p>
    <w:p w14:paraId="28A6946C">
      <w:pPr>
        <w:widowControl/>
        <w:shd w:val="clear" w:color="auto" w:fill="FFFFFF"/>
        <w:spacing w:line="360" w:lineRule="auto"/>
        <w:ind w:firstLine="480" w:firstLineChars="200"/>
        <w:jc w:val="left"/>
        <w:rPr>
          <w:rFonts w:ascii="宋体" w:hAnsi="宋体" w:cs="宋体"/>
          <w:kern w:val="0"/>
          <w:szCs w:val="21"/>
          <w:highlight w:val="none"/>
          <w:shd w:val="clear" w:color="auto" w:fill="FFFFFF"/>
        </w:rPr>
      </w:pPr>
      <w:r>
        <w:rPr>
          <w:rFonts w:hint="eastAsia" w:ascii="宋体" w:hAnsi="宋体" w:cs="宋体"/>
          <w:b/>
          <w:bCs/>
          <w:kern w:val="0"/>
          <w:szCs w:val="21"/>
          <w:highlight w:val="none"/>
          <w:shd w:val="clear" w:color="auto" w:fill="FFFFFF"/>
        </w:rPr>
        <w:t>本公司（单位）提供上述符合本国产品标准的产品成本之和占本公司（单位）提供的全部产品成本之和的比例达到</w:t>
      </w:r>
      <w:r>
        <w:rPr>
          <w:rFonts w:hint="eastAsia" w:ascii="宋体" w:hAnsi="宋体" w:cs="宋体"/>
          <w:b/>
          <w:bCs/>
          <w:kern w:val="0"/>
          <w:szCs w:val="21"/>
          <w:highlight w:val="none"/>
          <w:u w:val="single"/>
          <w:shd w:val="clear" w:color="auto" w:fill="FFFFFF"/>
        </w:rPr>
        <w:t xml:space="preserve"> </w:t>
      </w:r>
      <w:r>
        <w:rPr>
          <w:rFonts w:hint="eastAsia" w:ascii="宋体" w:hAnsi="宋体"/>
          <w:b/>
          <w:bCs/>
          <w:szCs w:val="21"/>
          <w:highlight w:val="none"/>
          <w:u w:val="single"/>
        </w:rPr>
        <w:t xml:space="preserve">（具体比例） </w:t>
      </w:r>
      <w:r>
        <w:rPr>
          <w:rFonts w:hint="eastAsia" w:ascii="宋体" w:hAnsi="宋体" w:cs="宋体"/>
          <w:b/>
          <w:bCs/>
          <w:kern w:val="0"/>
          <w:szCs w:val="21"/>
          <w:highlight w:val="none"/>
          <w:shd w:val="clear" w:color="auto" w:fill="FFFFFF"/>
          <w:vertAlign w:val="superscript"/>
        </w:rPr>
        <w:t>6</w:t>
      </w:r>
      <w:r>
        <w:rPr>
          <w:rFonts w:hint="eastAsia" w:ascii="宋体" w:hAnsi="宋体" w:cs="宋体"/>
          <w:b/>
          <w:bCs/>
          <w:kern w:val="0"/>
          <w:szCs w:val="21"/>
          <w:highlight w:val="none"/>
          <w:shd w:val="clear" w:color="auto" w:fill="FFFFFF"/>
        </w:rPr>
        <w:t>。</w:t>
      </w:r>
    </w:p>
    <w:p w14:paraId="621CE27C">
      <w:pPr>
        <w:widowControl/>
        <w:shd w:val="clear" w:color="auto" w:fill="FFFFFF"/>
        <w:spacing w:line="360" w:lineRule="auto"/>
        <w:ind w:firstLine="480" w:firstLineChars="200"/>
        <w:jc w:val="left"/>
        <w:rPr>
          <w:rFonts w:ascii="宋体" w:hAnsi="宋体" w:cs="宋体"/>
          <w:kern w:val="0"/>
          <w:szCs w:val="21"/>
          <w:highlight w:val="none"/>
        </w:rPr>
      </w:pPr>
      <w:r>
        <w:rPr>
          <w:rFonts w:hint="eastAsia" w:ascii="宋体" w:hAnsi="宋体" w:cs="宋体"/>
          <w:kern w:val="0"/>
          <w:szCs w:val="21"/>
          <w:highlight w:val="none"/>
          <w:shd w:val="clear" w:color="auto" w:fill="FFFFFF"/>
        </w:rPr>
        <w:t>本公司（单位）对上述声明内容的真实性负责。如有虚假，愿承担相应法律责任。</w:t>
      </w:r>
    </w:p>
    <w:p w14:paraId="4A4CB5B2">
      <w:pPr>
        <w:widowControl/>
        <w:shd w:val="clear" w:color="auto" w:fill="FFFFFF"/>
        <w:spacing w:line="360" w:lineRule="auto"/>
        <w:ind w:right="960" w:rightChars="400"/>
        <w:jc w:val="right"/>
        <w:rPr>
          <w:rFonts w:ascii="宋体" w:hAnsi="宋体" w:cs="宋体"/>
          <w:kern w:val="0"/>
          <w:szCs w:val="21"/>
          <w:highlight w:val="none"/>
          <w:shd w:val="clear" w:color="auto" w:fill="FFFFFF"/>
        </w:rPr>
      </w:pPr>
    </w:p>
    <w:p w14:paraId="1A6DB471">
      <w:pPr>
        <w:widowControl/>
        <w:shd w:val="clear" w:color="auto" w:fill="FFFFFF"/>
        <w:spacing w:line="360" w:lineRule="auto"/>
        <w:ind w:right="960" w:rightChars="400"/>
        <w:jc w:val="right"/>
        <w:rPr>
          <w:rFonts w:ascii="宋体" w:hAnsi="宋体" w:cs="宋体"/>
          <w:kern w:val="0"/>
          <w:szCs w:val="21"/>
          <w:highlight w:val="none"/>
        </w:rPr>
      </w:pPr>
      <w:r>
        <w:rPr>
          <w:rFonts w:hint="eastAsia" w:ascii="宋体" w:hAnsi="宋体" w:cs="宋体"/>
          <w:kern w:val="0"/>
          <w:szCs w:val="21"/>
          <w:highlight w:val="none"/>
          <w:shd w:val="clear" w:color="auto" w:fill="FFFFFF"/>
        </w:rPr>
        <w:t>公司（单位）名称：</w:t>
      </w:r>
    </w:p>
    <w:p w14:paraId="071C7B5F">
      <w:pPr>
        <w:widowControl/>
        <w:shd w:val="clear" w:color="auto" w:fill="FFFFFF"/>
        <w:spacing w:line="360" w:lineRule="auto"/>
        <w:ind w:right="960" w:rightChars="400"/>
        <w:jc w:val="right"/>
        <w:rPr>
          <w:rFonts w:hint="eastAsia" w:ascii="宋体" w:hAnsi="宋体" w:cs="宋体"/>
          <w:bCs/>
          <w:kern w:val="0"/>
          <w:szCs w:val="21"/>
          <w:highlight w:val="none"/>
        </w:rPr>
      </w:pPr>
      <w:r>
        <w:rPr>
          <w:rFonts w:hint="eastAsia" w:ascii="宋体" w:hAnsi="宋体" w:cs="宋体"/>
          <w:kern w:val="0"/>
          <w:szCs w:val="21"/>
          <w:highlight w:val="none"/>
          <w:shd w:val="clear" w:color="auto" w:fill="FFFFFF"/>
        </w:rPr>
        <w:t>日期：    年  月  日</w:t>
      </w:r>
    </w:p>
    <w:p w14:paraId="1299D0A6">
      <w:pPr>
        <w:rPr>
          <w:rFonts w:hint="eastAsia" w:ascii="宋体" w:hAnsi="宋体" w:cs="宋体"/>
          <w:bCs/>
          <w:kern w:val="0"/>
          <w:szCs w:val="21"/>
          <w:highlight w:val="none"/>
        </w:rPr>
      </w:pPr>
      <w:r>
        <w:rPr>
          <w:rFonts w:hint="eastAsia" w:ascii="微软雅黑" w:hAnsi="微软雅黑" w:eastAsia="微软雅黑" w:cs="微软雅黑"/>
          <w:sz w:val="27"/>
          <w:szCs w:val="27"/>
          <w:highlight w:val="none"/>
        </w:rPr>
        <w:t>__________________</w:t>
      </w:r>
    </w:p>
    <w:p w14:paraId="1EF7DDA3">
      <w:pPr>
        <w:rPr>
          <w:rFonts w:hint="eastAsia" w:ascii="宋体" w:hAnsi="宋体" w:cs="宋体"/>
          <w:bCs/>
          <w:kern w:val="0"/>
          <w:sz w:val="18"/>
          <w:szCs w:val="18"/>
          <w:highlight w:val="none"/>
        </w:rPr>
      </w:pPr>
      <w:r>
        <w:rPr>
          <w:rFonts w:hint="eastAsia" w:ascii="宋体" w:hAnsi="宋体" w:cs="宋体"/>
          <w:bCs/>
          <w:kern w:val="0"/>
          <w:sz w:val="18"/>
          <w:szCs w:val="18"/>
          <w:highlight w:val="none"/>
        </w:rPr>
        <w:t>1.产品如有型号，请在“产品名称”栏一并填写。</w:t>
      </w:r>
    </w:p>
    <w:p w14:paraId="2B7B7D03">
      <w:pPr>
        <w:rPr>
          <w:rFonts w:hint="eastAsia" w:ascii="宋体" w:hAnsi="宋体" w:cs="宋体"/>
          <w:bCs/>
          <w:kern w:val="0"/>
          <w:sz w:val="18"/>
          <w:szCs w:val="18"/>
          <w:highlight w:val="none"/>
        </w:rPr>
      </w:pPr>
      <w:r>
        <w:rPr>
          <w:rFonts w:hint="eastAsia" w:ascii="宋体" w:hAnsi="宋体" w:cs="宋体"/>
          <w:bCs/>
          <w:kern w:val="0"/>
          <w:sz w:val="18"/>
          <w:szCs w:val="18"/>
          <w:highlight w:val="none"/>
        </w:rPr>
        <w:t>2.生产厂名与厂址应与生产厂营业执照载明的相关信息保持一致。</w:t>
      </w:r>
    </w:p>
    <w:p w14:paraId="06BB7ABD">
      <w:pPr>
        <w:rPr>
          <w:rFonts w:hint="eastAsia" w:ascii="宋体" w:hAnsi="宋体" w:cs="宋体"/>
          <w:bCs/>
          <w:kern w:val="0"/>
          <w:sz w:val="18"/>
          <w:szCs w:val="18"/>
          <w:highlight w:val="none"/>
        </w:rPr>
      </w:pPr>
      <w:r>
        <w:rPr>
          <w:rFonts w:hint="eastAsia" w:ascii="宋体" w:hAnsi="宋体" w:cs="宋体"/>
          <w:bCs/>
          <w:kern w:val="0"/>
          <w:sz w:val="18"/>
          <w:szCs w:val="18"/>
          <w:highlight w:val="none"/>
        </w:rPr>
        <w:t>3.该产品的中国境内生产的组件成本占比相关要求实施前，“规定比例”栏可不填，下同。</w:t>
      </w:r>
    </w:p>
    <w:p w14:paraId="317A6C0B">
      <w:pPr>
        <w:rPr>
          <w:rFonts w:hint="eastAsia" w:ascii="宋体" w:hAnsi="宋体" w:cs="宋体"/>
          <w:bCs/>
          <w:kern w:val="0"/>
          <w:sz w:val="18"/>
          <w:szCs w:val="18"/>
          <w:highlight w:val="none"/>
        </w:rPr>
      </w:pPr>
      <w:r>
        <w:rPr>
          <w:rFonts w:hint="eastAsia" w:ascii="宋体" w:hAnsi="宋体" w:cs="宋体"/>
          <w:bCs/>
          <w:kern w:val="0"/>
          <w:sz w:val="18"/>
          <w:szCs w:val="18"/>
          <w:highlight w:val="none"/>
        </w:rPr>
        <w:t>4.该产品的关键组件要求实施前，“关键组件”栏可不填，下同。</w:t>
      </w:r>
    </w:p>
    <w:p w14:paraId="294E58FA">
      <w:pPr>
        <w:rPr>
          <w:rFonts w:hint="eastAsia" w:ascii="宋体" w:hAnsi="宋体" w:cs="宋体"/>
          <w:bCs/>
          <w:kern w:val="0"/>
          <w:sz w:val="18"/>
          <w:szCs w:val="18"/>
          <w:highlight w:val="none"/>
        </w:rPr>
      </w:pPr>
      <w:r>
        <w:rPr>
          <w:rFonts w:hint="eastAsia" w:ascii="宋体" w:hAnsi="宋体" w:cs="宋体"/>
          <w:bCs/>
          <w:kern w:val="0"/>
          <w:sz w:val="18"/>
          <w:szCs w:val="18"/>
          <w:highlight w:val="none"/>
        </w:rPr>
        <w:t>5.该产品的关键工序要求实施前，“关键工序”栏可不填，下同。</w:t>
      </w:r>
    </w:p>
    <w:p w14:paraId="204E9952">
      <w:pPr>
        <w:rPr>
          <w:rFonts w:hint="eastAsia" w:ascii="宋体" w:hAnsi="宋体" w:cs="宋体"/>
          <w:bCs/>
          <w:kern w:val="0"/>
          <w:sz w:val="18"/>
          <w:szCs w:val="18"/>
          <w:highlight w:val="none"/>
        </w:rPr>
      </w:pPr>
    </w:p>
    <w:p w14:paraId="57C8B3C2">
      <w:pPr>
        <w:rPr>
          <w:rFonts w:hint="eastAsia" w:ascii="宋体" w:hAnsi="宋体" w:cs="宋体"/>
          <w:bCs/>
          <w:kern w:val="0"/>
          <w:sz w:val="18"/>
          <w:szCs w:val="18"/>
          <w:highlight w:val="none"/>
        </w:rPr>
      </w:pPr>
    </w:p>
    <w:p w14:paraId="74C4A2E0">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240" w:lineRule="auto"/>
        <w:ind w:left="0" w:right="0" w:firstLine="420"/>
        <w:textAlignment w:val="baseline"/>
        <w:rPr>
          <w:rFonts w:hint="eastAsia" w:ascii="宋体" w:hAnsi="宋体" w:eastAsia="宋体" w:cs="宋体"/>
          <w:b/>
          <w:bCs/>
          <w:i w:val="0"/>
          <w:iCs w:val="0"/>
          <w:caps w:val="0"/>
          <w:color w:val="000000"/>
          <w:spacing w:val="0"/>
          <w:sz w:val="21"/>
          <w:szCs w:val="21"/>
          <w:shd w:val="clear" w:color="auto" w:fill="FFFFFF"/>
          <w:vertAlign w:val="baseline"/>
          <w:lang w:eastAsia="zh-CN"/>
        </w:rPr>
      </w:pPr>
      <w:r>
        <w:rPr>
          <w:rFonts w:hint="eastAsia" w:ascii="宋体" w:hAnsi="宋体" w:cs="宋体"/>
          <w:b/>
          <w:highlight w:val="none"/>
        </w:rPr>
        <w:t>2.符合要求的财政部会同有关部门规定的有关证明文件（如有）</w:t>
      </w:r>
    </w:p>
    <w:p w14:paraId="53D94FB3">
      <w:pPr>
        <w:jc w:val="center"/>
        <w:outlineLvl w:val="9"/>
        <w:rPr>
          <w:rFonts w:hint="eastAsia" w:ascii="黑体" w:hAnsi="宋体" w:eastAsia="黑体"/>
          <w:bCs/>
          <w:szCs w:val="32"/>
        </w:rPr>
      </w:pPr>
    </w:p>
    <w:p w14:paraId="7F45C9DC">
      <w:pPr>
        <w:jc w:val="center"/>
        <w:outlineLvl w:val="9"/>
        <w:rPr>
          <w:rFonts w:hint="eastAsia" w:ascii="黑体" w:hAnsi="宋体" w:eastAsia="黑体"/>
          <w:bCs/>
          <w:szCs w:val="32"/>
          <w:lang w:eastAsia="zh-CN"/>
        </w:rPr>
      </w:pPr>
    </w:p>
    <w:p w14:paraId="6508138D">
      <w:pPr>
        <w:jc w:val="center"/>
        <w:outlineLvl w:val="9"/>
        <w:rPr>
          <w:rFonts w:hint="eastAsia" w:ascii="黑体" w:hAnsi="宋体" w:eastAsia="黑体"/>
          <w:bCs/>
          <w:szCs w:val="32"/>
          <w:lang w:eastAsia="zh-CN"/>
        </w:rPr>
      </w:pPr>
    </w:p>
    <w:p w14:paraId="139E520D">
      <w:pPr>
        <w:jc w:val="center"/>
        <w:outlineLvl w:val="9"/>
        <w:rPr>
          <w:rFonts w:hint="eastAsia" w:ascii="黑体" w:hAnsi="宋体" w:eastAsia="黑体"/>
          <w:bCs/>
          <w:szCs w:val="32"/>
          <w:lang w:eastAsia="zh-CN"/>
        </w:rPr>
      </w:pPr>
    </w:p>
    <w:p w14:paraId="4F26387D">
      <w:pPr>
        <w:jc w:val="center"/>
        <w:outlineLvl w:val="9"/>
        <w:rPr>
          <w:rFonts w:hint="eastAsia" w:ascii="黑体" w:hAnsi="宋体" w:eastAsia="黑体"/>
          <w:bCs/>
          <w:szCs w:val="32"/>
          <w:lang w:eastAsia="zh-CN"/>
        </w:rPr>
      </w:pPr>
    </w:p>
    <w:p w14:paraId="0954CFD3">
      <w:pPr>
        <w:rPr>
          <w:rFonts w:hint="eastAsia" w:ascii="黑体" w:hAnsi="宋体" w:eastAsia="黑体"/>
          <w:bCs/>
          <w:szCs w:val="32"/>
          <w:lang w:eastAsia="zh-CN"/>
        </w:rPr>
      </w:pPr>
      <w:r>
        <w:rPr>
          <w:rFonts w:hint="eastAsia" w:ascii="黑体" w:hAnsi="宋体" w:eastAsia="黑体"/>
          <w:bCs/>
          <w:szCs w:val="32"/>
          <w:lang w:eastAsia="zh-CN"/>
        </w:rPr>
        <w:br w:type="page"/>
      </w:r>
    </w:p>
    <w:p w14:paraId="682F586A">
      <w:pPr>
        <w:jc w:val="center"/>
        <w:outlineLvl w:val="4"/>
        <w:rPr>
          <w:rFonts w:ascii="黑体" w:hAnsi="宋体" w:eastAsia="黑体"/>
          <w:bCs/>
          <w:szCs w:val="32"/>
        </w:rPr>
      </w:pPr>
      <w:r>
        <w:rPr>
          <w:rFonts w:hint="eastAsia" w:ascii="黑体" w:hAnsi="宋体" w:eastAsia="黑体"/>
          <w:bCs/>
          <w:szCs w:val="32"/>
          <w:lang w:eastAsia="zh-CN"/>
        </w:rPr>
        <w:t>（</w:t>
      </w:r>
      <w:r>
        <w:rPr>
          <w:rFonts w:hint="eastAsia" w:ascii="黑体" w:hAnsi="宋体" w:eastAsia="黑体"/>
          <w:bCs/>
          <w:szCs w:val="32"/>
          <w:lang w:val="en-US" w:eastAsia="zh-CN"/>
        </w:rPr>
        <w:t>四</w:t>
      </w:r>
      <w:r>
        <w:rPr>
          <w:rFonts w:hint="eastAsia" w:ascii="黑体" w:hAnsi="宋体" w:eastAsia="黑体"/>
          <w:bCs/>
          <w:szCs w:val="32"/>
          <w:lang w:eastAsia="zh-CN"/>
        </w:rPr>
        <w:t>）</w:t>
      </w:r>
      <w:r>
        <w:rPr>
          <w:rFonts w:hint="eastAsia" w:ascii="黑体" w:hAnsi="宋体" w:eastAsia="黑体"/>
          <w:bCs/>
          <w:szCs w:val="32"/>
        </w:rPr>
        <w:t>联合体投标协议（不接受联合体投标的项目，本条不适用）</w:t>
      </w:r>
    </w:p>
    <w:p w14:paraId="7B5FC6A0">
      <w:pPr>
        <w:pStyle w:val="8"/>
        <w:jc w:val="center"/>
      </w:pPr>
    </w:p>
    <w:p w14:paraId="2453EC73">
      <w:pPr>
        <w:pStyle w:val="8"/>
        <w:jc w:val="center"/>
        <w:rPr>
          <w:sz w:val="21"/>
          <w:szCs w:val="21"/>
        </w:rPr>
      </w:pPr>
      <w:r>
        <w:rPr>
          <w:rFonts w:hint="eastAsia" w:ascii="宋体" w:hAnsi="宋体" w:eastAsia="宋体" w:cs="宋体"/>
          <w:sz w:val="21"/>
          <w:szCs w:val="21"/>
        </w:rPr>
        <w:t>联</w:t>
      </w:r>
      <w:r>
        <w:rPr>
          <w:rFonts w:hint="eastAsia"/>
          <w:sz w:val="21"/>
          <w:szCs w:val="21"/>
        </w:rPr>
        <w:t>合体投标协议（联合体投标的情况下填写；格式自定；要求提供加盖联合体所有成员公章的扫描件，以证明该协议的有效性及联合体所有成员对投标文件的认可）</w:t>
      </w:r>
    </w:p>
    <w:p w14:paraId="42A2C939">
      <w:pPr>
        <w:pStyle w:val="21"/>
      </w:pPr>
    </w:p>
    <w:p w14:paraId="7A0E7A8D">
      <w:pPr>
        <w:wordWrap w:val="0"/>
        <w:ind w:firstLine="480" w:firstLineChars="200"/>
        <w:jc w:val="right"/>
        <w:rPr>
          <w:rFonts w:ascii="宋体" w:hAnsi="宋体"/>
          <w:szCs w:val="21"/>
        </w:rPr>
      </w:pPr>
    </w:p>
    <w:p w14:paraId="1880742D">
      <w:pPr>
        <w:pStyle w:val="7"/>
      </w:pPr>
    </w:p>
    <w:p w14:paraId="01EA33B1">
      <w:pPr>
        <w:tabs>
          <w:tab w:val="left" w:pos="720"/>
        </w:tabs>
        <w:jc w:val="center"/>
        <w:outlineLvl w:val="9"/>
        <w:rPr>
          <w:b/>
          <w:bCs/>
        </w:rPr>
      </w:pPr>
    </w:p>
    <w:p w14:paraId="2A91D0E6">
      <w:pPr>
        <w:tabs>
          <w:tab w:val="left" w:pos="720"/>
        </w:tabs>
        <w:spacing w:line="360" w:lineRule="auto"/>
        <w:ind w:left="630"/>
        <w:rPr>
          <w:rFonts w:hint="eastAsia" w:ascii="黑体" w:hAnsi="宋体" w:eastAsia="黑体"/>
          <w:bCs/>
          <w:lang w:val="en-US" w:eastAsia="zh-CN"/>
        </w:rPr>
      </w:pPr>
      <w:r>
        <w:rPr>
          <w:rFonts w:hint="eastAsia" w:ascii="黑体" w:hAnsi="宋体" w:eastAsia="黑体"/>
          <w:bCs/>
          <w:lang w:val="en-US" w:eastAsia="zh-CN"/>
        </w:rPr>
        <w:t>四、奖项（格式自定）</w:t>
      </w:r>
    </w:p>
    <w:p w14:paraId="50891822">
      <w:pPr>
        <w:tabs>
          <w:tab w:val="left" w:pos="720"/>
        </w:tabs>
        <w:spacing w:line="360" w:lineRule="auto"/>
        <w:ind w:left="630"/>
        <w:rPr>
          <w:rFonts w:hint="eastAsia" w:asciiTheme="majorEastAsia" w:hAnsiTheme="majorEastAsia" w:eastAsiaTheme="majorEastAsia" w:cstheme="majorEastAsia"/>
          <w:bCs/>
          <w:lang w:val="en-US" w:eastAsia="zh-CN"/>
        </w:rPr>
      </w:pPr>
      <w:r>
        <w:rPr>
          <w:rFonts w:hint="eastAsia" w:asciiTheme="majorEastAsia" w:hAnsiTheme="majorEastAsia" w:eastAsiaTheme="majorEastAsia" w:cstheme="majorEastAsia"/>
          <w:bCs/>
          <w:lang w:val="en-US" w:eastAsia="zh-CN"/>
        </w:rPr>
        <w:t>（特别提示：投标人须按本招标文件评标信息中“奖项”这一评审因素要求，提供证明资料）</w:t>
      </w:r>
    </w:p>
    <w:p w14:paraId="4DE44560">
      <w:pPr>
        <w:tabs>
          <w:tab w:val="left" w:pos="720"/>
        </w:tabs>
        <w:spacing w:line="360" w:lineRule="auto"/>
        <w:ind w:left="630"/>
        <w:rPr>
          <w:rFonts w:hint="default" w:ascii="黑体" w:hAnsi="宋体" w:eastAsia="黑体"/>
          <w:bCs/>
          <w:lang w:val="en-US" w:eastAsia="zh-CN"/>
        </w:rPr>
      </w:pPr>
    </w:p>
    <w:p w14:paraId="3DB1C344">
      <w:pPr>
        <w:tabs>
          <w:tab w:val="left" w:pos="720"/>
        </w:tabs>
        <w:spacing w:line="360" w:lineRule="auto"/>
        <w:ind w:left="630"/>
        <w:rPr>
          <w:rFonts w:ascii="黑体" w:hAnsi="宋体" w:eastAsia="黑体"/>
          <w:bCs/>
        </w:rPr>
      </w:pPr>
    </w:p>
    <w:p w14:paraId="679CD195">
      <w:pPr>
        <w:tabs>
          <w:tab w:val="left" w:pos="720"/>
        </w:tabs>
        <w:spacing w:line="360" w:lineRule="auto"/>
        <w:ind w:left="630"/>
        <w:rPr>
          <w:rFonts w:ascii="黑体" w:hAnsi="宋体" w:eastAsia="黑体"/>
          <w:bCs/>
        </w:rPr>
      </w:pPr>
    </w:p>
    <w:p w14:paraId="51342C95"/>
    <w:p w14:paraId="599F2B9D"/>
    <w:p w14:paraId="4A591DEC">
      <w:pPr>
        <w:ind w:firstLine="723" w:firstLineChars="300"/>
        <w:rPr>
          <w:b/>
          <w:color w:val="FF0000"/>
        </w:rPr>
      </w:pPr>
      <w:r>
        <w:rPr>
          <w:rFonts w:hint="eastAsia" w:ascii="宋体" w:hAnsi="宋体" w:eastAsia="宋体" w:cs="宋体"/>
          <w:b/>
          <w:color w:val="FF0000"/>
        </w:rPr>
        <w:t>（</w:t>
      </w:r>
      <w:r>
        <w:rPr>
          <w:rFonts w:hint="eastAsia"/>
          <w:b/>
          <w:color w:val="FF0000"/>
        </w:rPr>
        <w:t>信息公开部分的内容到此为止！以下为信息不公开部分。）</w:t>
      </w:r>
    </w:p>
    <w:p w14:paraId="57DDB230">
      <w:pPr>
        <w:jc w:val="center"/>
        <w:rPr>
          <w:rFonts w:eastAsia="宋体"/>
          <w:b/>
        </w:rPr>
      </w:pPr>
    </w:p>
    <w:p w14:paraId="6F09B1E7">
      <w:pPr>
        <w:jc w:val="center"/>
        <w:rPr>
          <w:rFonts w:eastAsia="宋体"/>
          <w:b/>
        </w:rPr>
      </w:pPr>
    </w:p>
    <w:p w14:paraId="61FADC48">
      <w:pPr>
        <w:rPr>
          <w:rFonts w:ascii="宋体" w:hAnsi="宋体" w:cs="宋体"/>
          <w:b/>
          <w:color w:val="FF0000"/>
        </w:rPr>
      </w:pPr>
      <w:r>
        <w:rPr>
          <w:rFonts w:hint="eastAsia" w:ascii="宋体" w:hAnsi="宋体" w:cs="宋体"/>
          <w:b/>
          <w:color w:val="FF0000"/>
        </w:rPr>
        <w:br w:type="page"/>
      </w:r>
    </w:p>
    <w:p w14:paraId="6FE1AF9D">
      <w:pPr>
        <w:outlineLvl w:val="2"/>
        <w:rPr>
          <w:rFonts w:ascii="宋体" w:hAnsi="宋体" w:eastAsia="宋体" w:cs="宋体"/>
          <w:b/>
          <w:color w:val="FF0000"/>
        </w:rPr>
      </w:pPr>
      <w:r>
        <w:rPr>
          <w:rFonts w:hint="eastAsia" w:ascii="宋体" w:hAnsi="宋体" w:cs="宋体"/>
          <w:b/>
          <w:color w:val="FF0000"/>
        </w:rPr>
        <w:t>第二部分：</w:t>
      </w:r>
      <w:r>
        <w:rPr>
          <w:rFonts w:hint="eastAsia" w:ascii="宋体" w:hAnsi="宋体" w:eastAsia="宋体" w:cs="宋体"/>
          <w:b/>
          <w:color w:val="FF0000"/>
        </w:rPr>
        <w:t>投标文件附件（信息不公开部分）</w:t>
      </w:r>
    </w:p>
    <w:p w14:paraId="401B04BC">
      <w:pPr>
        <w:pStyle w:val="5"/>
        <w:jc w:val="center"/>
        <w:rPr>
          <w:rFonts w:ascii="黑体"/>
          <w:b w:val="0"/>
          <w:sz w:val="24"/>
        </w:rPr>
      </w:pPr>
      <w:r>
        <w:rPr>
          <w:rFonts w:hint="eastAsia" w:ascii="黑体"/>
          <w:b w:val="0"/>
          <w:sz w:val="24"/>
        </w:rPr>
        <w:t>一、法定代表人（负责人）证明书和投标文件签署授权委托书</w:t>
      </w:r>
    </w:p>
    <w:p w14:paraId="67916CF2">
      <w:pPr>
        <w:spacing w:line="360" w:lineRule="auto"/>
        <w:ind w:firstLine="482" w:firstLineChars="200"/>
        <w:rPr>
          <w:b/>
          <w:color w:val="FF0000"/>
          <w:szCs w:val="21"/>
          <w:highlight w:val="yellow"/>
        </w:rPr>
      </w:pPr>
      <w:r>
        <w:rPr>
          <w:rFonts w:hint="eastAsia" w:ascii="宋体" w:hAnsi="宋体" w:eastAsia="宋体" w:cs="宋体"/>
          <w:b/>
          <w:color w:val="FF0000"/>
          <w:szCs w:val="21"/>
          <w:highlight w:val="yellow"/>
        </w:rPr>
        <w:t>温</w:t>
      </w:r>
      <w:r>
        <w:rPr>
          <w:rFonts w:hint="eastAsia"/>
          <w:b/>
          <w:color w:val="FF0000"/>
          <w:szCs w:val="21"/>
          <w:highlight w:val="yellow"/>
        </w:rPr>
        <w:t>馨提示：为避免出现《深圳经济特区政府采购条例实施细则》第七十五条第二项所列情形，请投标供应商核实你单位法定代表人、本项目投标授权代表人、项目负责人（如有）、主要技术人员（如有）等是否在你公司缴纳社会保险。</w:t>
      </w:r>
    </w:p>
    <w:p w14:paraId="510D7926">
      <w:pPr>
        <w:rPr>
          <w:szCs w:val="21"/>
        </w:rPr>
      </w:pPr>
      <w:r>
        <w:rPr>
          <w:rFonts w:hint="eastAsia" w:ascii="黑体"/>
        </w:rPr>
        <w:t>（1）法定代表人（负责人）证明书</w:t>
      </w:r>
    </w:p>
    <w:p w14:paraId="0CED7C9A">
      <w:pPr>
        <w:spacing w:line="360" w:lineRule="auto"/>
        <w:rPr>
          <w:szCs w:val="21"/>
        </w:rPr>
      </w:pPr>
      <w:r>
        <w:rPr>
          <w:rFonts w:hint="eastAsia" w:ascii="宋体" w:hAnsi="宋体" w:eastAsia="宋体" w:cs="宋体"/>
          <w:szCs w:val="21"/>
        </w:rPr>
        <w:t>同</w:t>
      </w:r>
      <w:r>
        <w:rPr>
          <w:rFonts w:hint="eastAsia"/>
          <w:szCs w:val="21"/>
        </w:rPr>
        <w:t>志，身份证号码：，现任我单位职务，为法定代表人（负责人），特此证明。</w:t>
      </w:r>
    </w:p>
    <w:p w14:paraId="0DD1D29A">
      <w:pPr>
        <w:spacing w:line="360" w:lineRule="auto"/>
        <w:rPr>
          <w:szCs w:val="21"/>
        </w:rPr>
      </w:pPr>
    </w:p>
    <w:p w14:paraId="45890954">
      <w:pPr>
        <w:spacing w:line="360" w:lineRule="auto"/>
        <w:rPr>
          <w:szCs w:val="21"/>
        </w:rPr>
      </w:pPr>
      <w:r>
        <w:rPr>
          <w:rFonts w:hint="eastAsia" w:ascii="宋体" w:hAnsi="宋体" w:eastAsia="宋体" w:cs="宋体"/>
          <w:szCs w:val="21"/>
        </w:rPr>
        <w:t>说</w:t>
      </w:r>
      <w:r>
        <w:rPr>
          <w:rFonts w:hint="eastAsia"/>
          <w:szCs w:val="21"/>
        </w:rPr>
        <w:t>明：1、法定代表人为投标人（企业事业单位、国家机关、社会团体）的主要行政负责人。</w:t>
      </w:r>
    </w:p>
    <w:p w14:paraId="3537BBE0">
      <w:pPr>
        <w:rPr>
          <w:szCs w:val="21"/>
        </w:rPr>
      </w:pPr>
      <w:r>
        <w:rPr>
          <w:rFonts w:hint="eastAsia"/>
          <w:szCs w:val="21"/>
        </w:rPr>
        <w:t>2、内容必须填写真实、清楚，涂改无效，不得转让、买卖。</w:t>
      </w:r>
    </w:p>
    <w:p w14:paraId="362F4A7B"/>
    <w:p w14:paraId="4F491CCF">
      <w:pPr>
        <w:rPr>
          <w:b/>
          <w:bCs/>
        </w:rPr>
      </w:pPr>
    </w:p>
    <w:p w14:paraId="42E32005">
      <w:pPr>
        <w:rPr>
          <w:rFonts w:ascii="黑体"/>
        </w:rPr>
      </w:pPr>
    </w:p>
    <w:p w14:paraId="1E502C19">
      <w:pPr>
        <w:rPr>
          <w:rFonts w:ascii="黑体"/>
        </w:rPr>
      </w:pPr>
    </w:p>
    <w:p w14:paraId="04B86B1D">
      <w:pPr>
        <w:rPr>
          <w:rFonts w:ascii="黑体"/>
        </w:rPr>
      </w:pPr>
      <w:r>
        <w:rPr>
          <w:rFonts w:hint="eastAsia" w:ascii="黑体"/>
        </w:rPr>
        <w:t>（2）投标文件签署授权委托书</w:t>
      </w:r>
    </w:p>
    <w:p w14:paraId="31F1FB92">
      <w:pPr>
        <w:spacing w:line="360" w:lineRule="auto"/>
        <w:ind w:firstLine="480" w:firstLineChars="200"/>
        <w:rPr>
          <w:szCs w:val="21"/>
        </w:rPr>
      </w:pPr>
      <w:r>
        <w:rPr>
          <w:rFonts w:hint="eastAsia" w:ascii="宋体" w:hAnsi="宋体" w:eastAsia="宋体" w:cs="宋体"/>
          <w:szCs w:val="21"/>
        </w:rPr>
        <w:t>本</w:t>
      </w:r>
      <w:r>
        <w:rPr>
          <w:rFonts w:hint="eastAsia"/>
          <w:szCs w:val="21"/>
        </w:rPr>
        <w:t>授权委托书声明：我（姓名）系（投标人名称）的法定代表人（负责人），现授权委托（姓名）为我单位签署本项目已递交的投标文件的法定代表人（负责人）的授权委托代理人，代理人全权代表我所签署的本项目已递交的投标文件内容我均承认。</w:t>
      </w:r>
    </w:p>
    <w:p w14:paraId="2B4CE72F">
      <w:pPr>
        <w:pStyle w:val="7"/>
        <w:spacing w:line="360" w:lineRule="auto"/>
        <w:rPr>
          <w:szCs w:val="21"/>
        </w:rPr>
      </w:pPr>
      <w:r>
        <w:rPr>
          <w:rFonts w:hint="eastAsia" w:ascii="宋体" w:hAnsi="宋体" w:eastAsia="宋体" w:cs="宋体"/>
          <w:szCs w:val="21"/>
        </w:rPr>
        <w:t>代</w:t>
      </w:r>
      <w:r>
        <w:rPr>
          <w:rFonts w:hint="eastAsia"/>
          <w:szCs w:val="21"/>
        </w:rPr>
        <w:t>理人无转委托权，特此委托。</w:t>
      </w:r>
    </w:p>
    <w:p w14:paraId="404DB311">
      <w:pPr>
        <w:pStyle w:val="7"/>
        <w:spacing w:line="360" w:lineRule="auto"/>
        <w:rPr>
          <w:szCs w:val="21"/>
        </w:rPr>
      </w:pPr>
    </w:p>
    <w:p w14:paraId="7FDB6777">
      <w:pPr>
        <w:spacing w:line="360" w:lineRule="auto"/>
        <w:ind w:left="617" w:leftChars="257"/>
        <w:rPr>
          <w:szCs w:val="21"/>
          <w:u w:val="single"/>
        </w:rPr>
      </w:pPr>
      <w:r>
        <w:rPr>
          <w:rFonts w:hint="eastAsia" w:ascii="宋体" w:hAnsi="宋体" w:eastAsia="宋体" w:cs="宋体"/>
          <w:szCs w:val="21"/>
        </w:rPr>
        <w:t>代</w:t>
      </w:r>
      <w:r>
        <w:rPr>
          <w:rFonts w:hint="eastAsia"/>
          <w:szCs w:val="21"/>
        </w:rPr>
        <w:t>理人：</w:t>
      </w:r>
    </w:p>
    <w:p w14:paraId="1F1D4DB3">
      <w:pPr>
        <w:spacing w:line="360" w:lineRule="auto"/>
        <w:ind w:left="617" w:leftChars="257"/>
        <w:rPr>
          <w:szCs w:val="21"/>
        </w:rPr>
      </w:pPr>
      <w:r>
        <w:rPr>
          <w:rFonts w:hint="eastAsia" w:ascii="宋体" w:hAnsi="宋体" w:eastAsia="宋体" w:cs="宋体"/>
          <w:szCs w:val="21"/>
        </w:rPr>
        <w:t>联</w:t>
      </w:r>
      <w:r>
        <w:rPr>
          <w:rFonts w:hint="eastAsia"/>
          <w:szCs w:val="21"/>
        </w:rPr>
        <w:t>系电话：  手机：</w:t>
      </w:r>
    </w:p>
    <w:p w14:paraId="423A7D1B">
      <w:pPr>
        <w:spacing w:line="360" w:lineRule="auto"/>
        <w:ind w:left="617" w:leftChars="257"/>
        <w:rPr>
          <w:szCs w:val="21"/>
          <w:u w:val="single"/>
        </w:rPr>
      </w:pPr>
      <w:r>
        <w:rPr>
          <w:rFonts w:hint="eastAsia" w:ascii="宋体" w:hAnsi="宋体" w:eastAsia="宋体" w:cs="宋体"/>
          <w:szCs w:val="21"/>
        </w:rPr>
        <w:t>身</w:t>
      </w:r>
      <w:r>
        <w:rPr>
          <w:rFonts w:hint="eastAsia"/>
          <w:szCs w:val="21"/>
        </w:rPr>
        <w:t>份证号码：职务：</w:t>
      </w:r>
    </w:p>
    <w:p w14:paraId="58DE4DAC">
      <w:pPr>
        <w:spacing w:line="360" w:lineRule="auto"/>
        <w:ind w:left="617" w:leftChars="257"/>
        <w:rPr>
          <w:szCs w:val="21"/>
        </w:rPr>
      </w:pPr>
      <w:r>
        <w:rPr>
          <w:rFonts w:hint="eastAsia" w:ascii="宋体" w:hAnsi="宋体" w:eastAsia="宋体" w:cs="宋体"/>
          <w:szCs w:val="21"/>
        </w:rPr>
        <w:t>授</w:t>
      </w:r>
      <w:r>
        <w:rPr>
          <w:rFonts w:hint="eastAsia"/>
          <w:szCs w:val="21"/>
        </w:rPr>
        <w:t>权委托日期：年月 日</w:t>
      </w:r>
    </w:p>
    <w:p w14:paraId="6356A9A8"/>
    <w:p w14:paraId="0EB77AA2">
      <w:pPr>
        <w:spacing w:line="360" w:lineRule="auto"/>
        <w:ind w:firstLine="482" w:firstLineChars="200"/>
        <w:rPr>
          <w:b/>
          <w:color w:val="FF0000"/>
          <w:szCs w:val="21"/>
        </w:rPr>
      </w:pPr>
      <w:r>
        <w:rPr>
          <w:rFonts w:hint="eastAsia" w:ascii="宋体" w:hAnsi="宋体" w:eastAsia="宋体" w:cs="宋体"/>
          <w:b/>
          <w:color w:val="FF0000"/>
          <w:szCs w:val="21"/>
        </w:rPr>
        <w:t>附</w:t>
      </w:r>
      <w:r>
        <w:rPr>
          <w:rFonts w:hint="eastAsia"/>
          <w:b/>
          <w:color w:val="FF0000"/>
          <w:szCs w:val="21"/>
        </w:rPr>
        <w:t>： 请提供代理人身份证扫描件（正反两面）；非中国国籍管辖范围人员，可提供公安部门认可的身份证明材料扫描件。</w:t>
      </w:r>
    </w:p>
    <w:p w14:paraId="2FE86235">
      <w:pPr>
        <w:spacing w:line="360" w:lineRule="auto"/>
        <w:ind w:firstLine="480" w:firstLineChars="200"/>
        <w:rPr>
          <w:b/>
          <w:color w:val="FF0000"/>
          <w:szCs w:val="21"/>
        </w:rPr>
      </w:pPr>
    </w:p>
    <w:p w14:paraId="010C5E6E">
      <w:pPr>
        <w:spacing w:line="360" w:lineRule="auto"/>
        <w:ind w:firstLine="480" w:firstLineChars="200"/>
        <w:rPr>
          <w:b/>
          <w:color w:val="FF0000"/>
          <w:szCs w:val="21"/>
        </w:rPr>
      </w:pPr>
    </w:p>
    <w:p w14:paraId="528F46E6">
      <w:pPr>
        <w:spacing w:line="360" w:lineRule="auto"/>
        <w:ind w:firstLine="480" w:firstLineChars="200"/>
        <w:rPr>
          <w:rFonts w:ascii="黑体"/>
        </w:rPr>
      </w:pPr>
      <w:r>
        <w:rPr>
          <w:rFonts w:hint="eastAsia" w:ascii="黑体"/>
        </w:rPr>
        <w:br w:type="page"/>
      </w:r>
    </w:p>
    <w:p w14:paraId="5D9FD473">
      <w:pPr>
        <w:pStyle w:val="5"/>
        <w:spacing w:before="120" w:after="120"/>
        <w:jc w:val="center"/>
        <w:rPr>
          <w:rFonts w:ascii="黑体"/>
          <w:b w:val="0"/>
          <w:sz w:val="24"/>
        </w:rPr>
      </w:pPr>
      <w:r>
        <w:rPr>
          <w:rFonts w:hint="eastAsia" w:ascii="黑体"/>
          <w:b w:val="0"/>
          <w:sz w:val="24"/>
        </w:rPr>
        <w:t>二、供应商基本情况表</w:t>
      </w:r>
    </w:p>
    <w:tbl>
      <w:tblPr>
        <w:tblStyle w:val="29"/>
        <w:tblW w:w="894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676"/>
        <w:gridCol w:w="1606"/>
        <w:gridCol w:w="947"/>
        <w:gridCol w:w="791"/>
        <w:gridCol w:w="1200"/>
        <w:gridCol w:w="1500"/>
        <w:gridCol w:w="1485"/>
      </w:tblGrid>
      <w:tr w14:paraId="04D479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412" w:type="dxa"/>
            <w:gridSpan w:val="2"/>
            <w:tcBorders>
              <w:tl2br w:val="nil"/>
              <w:tr2bl w:val="nil"/>
            </w:tcBorders>
            <w:vAlign w:val="center"/>
          </w:tcPr>
          <w:p w14:paraId="57A61E7C">
            <w:pPr>
              <w:widowControl w:val="0"/>
              <w:jc w:val="both"/>
              <w:rPr>
                <w:rFonts w:ascii="宋体" w:hAnsi="宋体" w:eastAsia="宋体" w:cs="宋体"/>
                <w:sz w:val="21"/>
                <w:szCs w:val="21"/>
              </w:rPr>
            </w:pPr>
            <w:r>
              <w:rPr>
                <w:rFonts w:hint="eastAsia" w:ascii="宋体" w:hAnsi="宋体" w:eastAsia="宋体" w:cs="宋体"/>
                <w:sz w:val="21"/>
                <w:szCs w:val="21"/>
              </w:rPr>
              <w:br w:type="page"/>
            </w:r>
            <w:r>
              <w:rPr>
                <w:rFonts w:hint="eastAsia" w:ascii="宋体" w:hAnsi="宋体" w:eastAsia="宋体" w:cs="宋体"/>
                <w:sz w:val="21"/>
                <w:szCs w:val="21"/>
              </w:rPr>
              <w:t>投标（响应）供应商</w:t>
            </w:r>
          </w:p>
        </w:tc>
        <w:tc>
          <w:tcPr>
            <w:tcW w:w="2553" w:type="dxa"/>
            <w:gridSpan w:val="2"/>
            <w:tcBorders>
              <w:tl2br w:val="nil"/>
              <w:tr2bl w:val="nil"/>
            </w:tcBorders>
            <w:vAlign w:val="center"/>
          </w:tcPr>
          <w:p w14:paraId="1AEC6BAB">
            <w:pPr>
              <w:widowControl w:val="0"/>
              <w:jc w:val="center"/>
              <w:rPr>
                <w:rFonts w:ascii="宋体" w:hAnsi="宋体" w:eastAsia="宋体" w:cs="宋体"/>
                <w:sz w:val="21"/>
                <w:szCs w:val="21"/>
              </w:rPr>
            </w:pPr>
          </w:p>
        </w:tc>
        <w:tc>
          <w:tcPr>
            <w:tcW w:w="1991" w:type="dxa"/>
            <w:gridSpan w:val="2"/>
            <w:tcBorders>
              <w:tl2br w:val="nil"/>
              <w:tr2bl w:val="nil"/>
            </w:tcBorders>
            <w:vAlign w:val="center"/>
          </w:tcPr>
          <w:p w14:paraId="7AEB32D1">
            <w:pPr>
              <w:widowControl w:val="0"/>
              <w:jc w:val="center"/>
              <w:rPr>
                <w:rFonts w:ascii="宋体" w:hAnsi="宋体" w:eastAsia="宋体" w:cs="宋体"/>
                <w:sz w:val="21"/>
                <w:szCs w:val="21"/>
              </w:rPr>
            </w:pPr>
            <w:r>
              <w:rPr>
                <w:rFonts w:hint="eastAsia" w:ascii="宋体" w:hAnsi="宋体" w:eastAsia="宋体" w:cs="宋体"/>
                <w:sz w:val="21"/>
                <w:szCs w:val="21"/>
              </w:rPr>
              <w:t>项目名称及编号</w:t>
            </w:r>
          </w:p>
        </w:tc>
        <w:tc>
          <w:tcPr>
            <w:tcW w:w="2985" w:type="dxa"/>
            <w:gridSpan w:val="2"/>
            <w:tcBorders>
              <w:tl2br w:val="nil"/>
              <w:tr2bl w:val="nil"/>
            </w:tcBorders>
            <w:vAlign w:val="center"/>
          </w:tcPr>
          <w:p w14:paraId="2C0988DE">
            <w:pPr>
              <w:widowControl w:val="0"/>
              <w:jc w:val="center"/>
              <w:rPr>
                <w:rFonts w:ascii="宋体" w:hAnsi="宋体" w:eastAsia="宋体" w:cs="宋体"/>
                <w:sz w:val="21"/>
                <w:szCs w:val="21"/>
              </w:rPr>
            </w:pPr>
          </w:p>
        </w:tc>
      </w:tr>
      <w:tr w14:paraId="157D1C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941" w:type="dxa"/>
            <w:gridSpan w:val="8"/>
            <w:tcBorders>
              <w:tl2br w:val="nil"/>
              <w:tr2bl w:val="nil"/>
            </w:tcBorders>
            <w:vAlign w:val="center"/>
          </w:tcPr>
          <w:p w14:paraId="664F9111">
            <w:pPr>
              <w:widowControl w:val="0"/>
              <w:jc w:val="center"/>
              <w:rPr>
                <w:rFonts w:ascii="宋体" w:hAnsi="宋体" w:eastAsia="宋体" w:cs="宋体"/>
                <w:sz w:val="21"/>
                <w:szCs w:val="21"/>
              </w:rPr>
            </w:pPr>
            <w:r>
              <w:rPr>
                <w:rFonts w:hint="eastAsia" w:ascii="宋体" w:hAnsi="宋体" w:eastAsia="宋体" w:cs="宋体"/>
                <w:b/>
                <w:bCs/>
                <w:sz w:val="21"/>
                <w:szCs w:val="21"/>
              </w:rPr>
              <w:t>投标（响应）供应商相关人员情况</w:t>
            </w:r>
          </w:p>
        </w:tc>
      </w:tr>
      <w:tr w14:paraId="1FABF4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l2br w:val="nil"/>
              <w:tr2bl w:val="nil"/>
            </w:tcBorders>
            <w:vAlign w:val="center"/>
          </w:tcPr>
          <w:p w14:paraId="7BBF4191">
            <w:pPr>
              <w:widowControl w:val="0"/>
              <w:snapToGrid w:val="0"/>
              <w:jc w:val="center"/>
              <w:rPr>
                <w:rFonts w:ascii="宋体" w:hAnsi="宋体" w:eastAsia="宋体" w:cs="宋体"/>
                <w:sz w:val="21"/>
                <w:szCs w:val="21"/>
              </w:rPr>
            </w:pPr>
            <w:r>
              <w:rPr>
                <w:rFonts w:hint="eastAsia" w:ascii="宋体" w:hAnsi="宋体" w:eastAsia="宋体" w:cs="宋体"/>
                <w:sz w:val="21"/>
                <w:szCs w:val="21"/>
              </w:rPr>
              <w:t>序号</w:t>
            </w:r>
          </w:p>
        </w:tc>
        <w:tc>
          <w:tcPr>
            <w:tcW w:w="2282" w:type="dxa"/>
            <w:gridSpan w:val="2"/>
            <w:tcBorders>
              <w:tl2br w:val="nil"/>
              <w:tr2bl w:val="nil"/>
            </w:tcBorders>
            <w:vAlign w:val="center"/>
          </w:tcPr>
          <w:p w14:paraId="73436104">
            <w:pPr>
              <w:widowControl w:val="0"/>
              <w:jc w:val="center"/>
              <w:rPr>
                <w:rFonts w:ascii="宋体" w:hAnsi="宋体" w:eastAsia="宋体" w:cs="宋体"/>
                <w:sz w:val="21"/>
                <w:szCs w:val="21"/>
              </w:rPr>
            </w:pPr>
            <w:r>
              <w:rPr>
                <w:rFonts w:hint="eastAsia" w:ascii="宋体" w:hAnsi="宋体" w:eastAsia="宋体" w:cs="宋体"/>
                <w:sz w:val="21"/>
                <w:szCs w:val="21"/>
              </w:rPr>
              <w:t>职务</w:t>
            </w:r>
          </w:p>
        </w:tc>
        <w:tc>
          <w:tcPr>
            <w:tcW w:w="947" w:type="dxa"/>
            <w:tcBorders>
              <w:tl2br w:val="nil"/>
              <w:tr2bl w:val="nil"/>
            </w:tcBorders>
            <w:vAlign w:val="center"/>
          </w:tcPr>
          <w:p w14:paraId="7AEDD4B4">
            <w:pPr>
              <w:widowControl w:val="0"/>
              <w:jc w:val="center"/>
              <w:rPr>
                <w:rFonts w:ascii="宋体" w:hAnsi="宋体" w:eastAsia="宋体" w:cs="宋体"/>
                <w:sz w:val="21"/>
                <w:szCs w:val="21"/>
              </w:rPr>
            </w:pPr>
            <w:r>
              <w:rPr>
                <w:rFonts w:hint="eastAsia" w:ascii="宋体" w:hAnsi="宋体" w:eastAsia="宋体" w:cs="宋体"/>
                <w:sz w:val="21"/>
                <w:szCs w:val="21"/>
              </w:rPr>
              <w:t>姓名</w:t>
            </w:r>
          </w:p>
        </w:tc>
        <w:tc>
          <w:tcPr>
            <w:tcW w:w="1991" w:type="dxa"/>
            <w:gridSpan w:val="2"/>
            <w:tcBorders>
              <w:tl2br w:val="nil"/>
              <w:tr2bl w:val="nil"/>
            </w:tcBorders>
            <w:vAlign w:val="center"/>
          </w:tcPr>
          <w:p w14:paraId="11060025">
            <w:pPr>
              <w:widowControl w:val="0"/>
              <w:jc w:val="center"/>
              <w:rPr>
                <w:rFonts w:ascii="宋体" w:hAnsi="宋体" w:eastAsia="宋体" w:cs="宋体"/>
                <w:sz w:val="21"/>
                <w:szCs w:val="21"/>
              </w:rPr>
            </w:pPr>
            <w:r>
              <w:rPr>
                <w:rFonts w:hint="eastAsia" w:ascii="宋体" w:hAnsi="宋体" w:eastAsia="宋体" w:cs="宋体"/>
                <w:sz w:val="21"/>
                <w:szCs w:val="21"/>
              </w:rPr>
              <w:t>身份证号码</w:t>
            </w:r>
          </w:p>
        </w:tc>
        <w:tc>
          <w:tcPr>
            <w:tcW w:w="1500" w:type="dxa"/>
            <w:tcBorders>
              <w:tl2br w:val="nil"/>
              <w:tr2bl w:val="nil"/>
            </w:tcBorders>
            <w:vAlign w:val="center"/>
          </w:tcPr>
          <w:p w14:paraId="2E403D92">
            <w:pPr>
              <w:widowControl w:val="0"/>
              <w:snapToGrid w:val="0"/>
              <w:jc w:val="center"/>
              <w:rPr>
                <w:rFonts w:ascii="宋体" w:hAnsi="宋体" w:eastAsia="宋体" w:cs="宋体"/>
                <w:sz w:val="21"/>
                <w:szCs w:val="21"/>
              </w:rPr>
            </w:pPr>
            <w:r>
              <w:rPr>
                <w:rFonts w:hint="eastAsia" w:ascii="宋体" w:hAnsi="宋体" w:eastAsia="宋体" w:cs="宋体"/>
                <w:sz w:val="21"/>
                <w:szCs w:val="21"/>
              </w:rPr>
              <w:t>劳动合同</w:t>
            </w:r>
          </w:p>
          <w:p w14:paraId="7186D15E">
            <w:pPr>
              <w:widowControl w:val="0"/>
              <w:snapToGrid w:val="0"/>
              <w:jc w:val="center"/>
              <w:rPr>
                <w:rFonts w:ascii="宋体" w:hAnsi="宋体" w:eastAsia="宋体" w:cs="宋体"/>
                <w:sz w:val="21"/>
                <w:szCs w:val="21"/>
              </w:rPr>
            </w:pPr>
            <w:r>
              <w:rPr>
                <w:rFonts w:hint="eastAsia" w:ascii="宋体" w:hAnsi="宋体" w:eastAsia="宋体" w:cs="宋体"/>
                <w:sz w:val="21"/>
                <w:szCs w:val="21"/>
              </w:rPr>
              <w:t>关系单位</w:t>
            </w:r>
          </w:p>
        </w:tc>
        <w:tc>
          <w:tcPr>
            <w:tcW w:w="1485" w:type="dxa"/>
            <w:tcBorders>
              <w:tl2br w:val="nil"/>
              <w:tr2bl w:val="nil"/>
            </w:tcBorders>
            <w:vAlign w:val="center"/>
          </w:tcPr>
          <w:p w14:paraId="5C1B005A">
            <w:pPr>
              <w:widowControl w:val="0"/>
              <w:snapToGrid w:val="0"/>
              <w:jc w:val="center"/>
              <w:rPr>
                <w:rFonts w:ascii="宋体" w:hAnsi="宋体" w:eastAsia="宋体" w:cs="宋体"/>
                <w:sz w:val="21"/>
                <w:szCs w:val="21"/>
              </w:rPr>
            </w:pPr>
            <w:r>
              <w:rPr>
                <w:rFonts w:hint="eastAsia" w:ascii="宋体" w:hAnsi="宋体" w:eastAsia="宋体" w:cs="宋体"/>
                <w:sz w:val="21"/>
                <w:szCs w:val="21"/>
              </w:rPr>
              <w:t>缴纳社会</w:t>
            </w:r>
          </w:p>
          <w:p w14:paraId="12E96A9E">
            <w:pPr>
              <w:widowControl w:val="0"/>
              <w:snapToGrid w:val="0"/>
              <w:jc w:val="center"/>
              <w:rPr>
                <w:rFonts w:ascii="宋体" w:hAnsi="宋体" w:eastAsia="宋体" w:cs="宋体"/>
                <w:sz w:val="21"/>
                <w:szCs w:val="21"/>
              </w:rPr>
            </w:pPr>
            <w:r>
              <w:rPr>
                <w:rFonts w:hint="eastAsia" w:ascii="宋体" w:hAnsi="宋体" w:eastAsia="宋体" w:cs="宋体"/>
                <w:sz w:val="21"/>
                <w:szCs w:val="21"/>
              </w:rPr>
              <w:t>保险单位</w:t>
            </w:r>
          </w:p>
        </w:tc>
      </w:tr>
      <w:tr w14:paraId="61AF5A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l2br w:val="nil"/>
              <w:tr2bl w:val="nil"/>
            </w:tcBorders>
            <w:vAlign w:val="center"/>
          </w:tcPr>
          <w:p w14:paraId="22DA7E24">
            <w:pPr>
              <w:widowControl w:val="0"/>
              <w:jc w:val="center"/>
              <w:rPr>
                <w:rFonts w:ascii="宋体" w:hAnsi="宋体" w:eastAsia="宋体" w:cs="宋体"/>
                <w:sz w:val="21"/>
                <w:szCs w:val="21"/>
              </w:rPr>
            </w:pPr>
            <w:r>
              <w:rPr>
                <w:rFonts w:hint="eastAsia" w:ascii="宋体" w:hAnsi="宋体" w:eastAsia="宋体" w:cs="宋体"/>
                <w:sz w:val="21"/>
                <w:szCs w:val="21"/>
              </w:rPr>
              <w:t>1</w:t>
            </w:r>
          </w:p>
        </w:tc>
        <w:tc>
          <w:tcPr>
            <w:tcW w:w="2282" w:type="dxa"/>
            <w:gridSpan w:val="2"/>
            <w:tcBorders>
              <w:tl2br w:val="nil"/>
              <w:tr2bl w:val="nil"/>
            </w:tcBorders>
            <w:vAlign w:val="center"/>
          </w:tcPr>
          <w:p w14:paraId="3325EA9E">
            <w:pPr>
              <w:widowControl w:val="0"/>
              <w:spacing w:line="460" w:lineRule="exact"/>
              <w:jc w:val="center"/>
              <w:rPr>
                <w:rFonts w:ascii="宋体" w:hAnsi="宋体" w:eastAsia="宋体" w:cs="宋体"/>
                <w:sz w:val="21"/>
                <w:szCs w:val="21"/>
              </w:rPr>
            </w:pPr>
            <w:r>
              <w:rPr>
                <w:rFonts w:hint="eastAsia" w:ascii="宋体" w:hAnsi="宋体" w:eastAsia="宋体" w:cs="宋体"/>
                <w:sz w:val="21"/>
                <w:szCs w:val="21"/>
              </w:rPr>
              <w:t>法定代表人/单位负责人/主要经营负责人</w:t>
            </w:r>
          </w:p>
        </w:tc>
        <w:tc>
          <w:tcPr>
            <w:tcW w:w="947" w:type="dxa"/>
            <w:tcBorders>
              <w:tl2br w:val="nil"/>
              <w:tr2bl w:val="nil"/>
            </w:tcBorders>
            <w:vAlign w:val="center"/>
          </w:tcPr>
          <w:p w14:paraId="50A68A70">
            <w:pPr>
              <w:widowControl w:val="0"/>
              <w:jc w:val="center"/>
              <w:rPr>
                <w:rFonts w:ascii="宋体" w:hAnsi="宋体" w:eastAsia="宋体" w:cs="宋体"/>
                <w:sz w:val="21"/>
                <w:szCs w:val="21"/>
              </w:rPr>
            </w:pPr>
          </w:p>
        </w:tc>
        <w:tc>
          <w:tcPr>
            <w:tcW w:w="1991" w:type="dxa"/>
            <w:gridSpan w:val="2"/>
            <w:tcBorders>
              <w:tl2br w:val="nil"/>
              <w:tr2bl w:val="nil"/>
            </w:tcBorders>
            <w:vAlign w:val="center"/>
          </w:tcPr>
          <w:p w14:paraId="2019B8C4">
            <w:pPr>
              <w:widowControl w:val="0"/>
              <w:jc w:val="center"/>
              <w:rPr>
                <w:rFonts w:ascii="宋体" w:hAnsi="宋体" w:eastAsia="宋体" w:cs="宋体"/>
                <w:sz w:val="21"/>
                <w:szCs w:val="21"/>
              </w:rPr>
            </w:pPr>
          </w:p>
        </w:tc>
        <w:tc>
          <w:tcPr>
            <w:tcW w:w="1500" w:type="dxa"/>
            <w:tcBorders>
              <w:tl2br w:val="nil"/>
              <w:tr2bl w:val="nil"/>
            </w:tcBorders>
            <w:vAlign w:val="center"/>
          </w:tcPr>
          <w:p w14:paraId="15D1F506">
            <w:pPr>
              <w:widowControl w:val="0"/>
              <w:jc w:val="center"/>
              <w:rPr>
                <w:rFonts w:ascii="宋体" w:hAnsi="宋体" w:eastAsia="宋体" w:cs="宋体"/>
                <w:sz w:val="21"/>
                <w:szCs w:val="21"/>
              </w:rPr>
            </w:pPr>
          </w:p>
        </w:tc>
        <w:tc>
          <w:tcPr>
            <w:tcW w:w="1485" w:type="dxa"/>
            <w:tcBorders>
              <w:tl2br w:val="nil"/>
              <w:tr2bl w:val="nil"/>
            </w:tcBorders>
            <w:vAlign w:val="center"/>
          </w:tcPr>
          <w:p w14:paraId="32B19509">
            <w:pPr>
              <w:widowControl w:val="0"/>
              <w:jc w:val="center"/>
              <w:rPr>
                <w:rFonts w:ascii="宋体" w:hAnsi="宋体" w:eastAsia="宋体" w:cs="宋体"/>
                <w:sz w:val="21"/>
                <w:szCs w:val="21"/>
              </w:rPr>
            </w:pPr>
          </w:p>
        </w:tc>
      </w:tr>
      <w:tr w14:paraId="11B1DF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l2br w:val="nil"/>
              <w:tr2bl w:val="nil"/>
            </w:tcBorders>
            <w:vAlign w:val="center"/>
          </w:tcPr>
          <w:p w14:paraId="1F2BFCFC">
            <w:pPr>
              <w:widowControl w:val="0"/>
              <w:jc w:val="center"/>
              <w:rPr>
                <w:rFonts w:ascii="宋体" w:hAnsi="宋体" w:eastAsia="宋体" w:cs="宋体"/>
                <w:sz w:val="21"/>
                <w:szCs w:val="21"/>
              </w:rPr>
            </w:pPr>
            <w:r>
              <w:rPr>
                <w:rFonts w:hint="eastAsia" w:ascii="宋体" w:hAnsi="宋体" w:eastAsia="宋体" w:cs="宋体"/>
                <w:sz w:val="21"/>
                <w:szCs w:val="21"/>
              </w:rPr>
              <w:t>2</w:t>
            </w:r>
          </w:p>
        </w:tc>
        <w:tc>
          <w:tcPr>
            <w:tcW w:w="2282" w:type="dxa"/>
            <w:gridSpan w:val="2"/>
            <w:tcBorders>
              <w:tl2br w:val="nil"/>
              <w:tr2bl w:val="nil"/>
            </w:tcBorders>
            <w:vAlign w:val="center"/>
          </w:tcPr>
          <w:p w14:paraId="759501AC">
            <w:pPr>
              <w:widowControl w:val="0"/>
              <w:jc w:val="center"/>
              <w:rPr>
                <w:rFonts w:ascii="宋体" w:hAnsi="宋体" w:eastAsia="宋体" w:cs="宋体"/>
                <w:sz w:val="21"/>
                <w:szCs w:val="21"/>
              </w:rPr>
            </w:pPr>
            <w:r>
              <w:rPr>
                <w:rFonts w:hint="eastAsia" w:ascii="宋体" w:hAnsi="宋体" w:eastAsia="宋体" w:cs="宋体"/>
                <w:sz w:val="21"/>
                <w:szCs w:val="21"/>
              </w:rPr>
              <w:t>项目投标授权代表人</w:t>
            </w:r>
          </w:p>
        </w:tc>
        <w:tc>
          <w:tcPr>
            <w:tcW w:w="947" w:type="dxa"/>
            <w:tcBorders>
              <w:tl2br w:val="nil"/>
              <w:tr2bl w:val="nil"/>
            </w:tcBorders>
            <w:vAlign w:val="center"/>
          </w:tcPr>
          <w:p w14:paraId="706E112D">
            <w:pPr>
              <w:widowControl w:val="0"/>
              <w:jc w:val="center"/>
              <w:rPr>
                <w:rFonts w:ascii="宋体" w:hAnsi="宋体" w:eastAsia="宋体" w:cs="宋体"/>
                <w:sz w:val="21"/>
                <w:szCs w:val="21"/>
              </w:rPr>
            </w:pPr>
          </w:p>
        </w:tc>
        <w:tc>
          <w:tcPr>
            <w:tcW w:w="1991" w:type="dxa"/>
            <w:gridSpan w:val="2"/>
            <w:tcBorders>
              <w:tl2br w:val="nil"/>
              <w:tr2bl w:val="nil"/>
            </w:tcBorders>
            <w:vAlign w:val="center"/>
          </w:tcPr>
          <w:p w14:paraId="4995E88D">
            <w:pPr>
              <w:widowControl w:val="0"/>
              <w:jc w:val="center"/>
              <w:rPr>
                <w:rFonts w:ascii="宋体" w:hAnsi="宋体" w:eastAsia="宋体" w:cs="宋体"/>
                <w:sz w:val="21"/>
                <w:szCs w:val="21"/>
              </w:rPr>
            </w:pPr>
          </w:p>
        </w:tc>
        <w:tc>
          <w:tcPr>
            <w:tcW w:w="1500" w:type="dxa"/>
            <w:tcBorders>
              <w:tl2br w:val="nil"/>
              <w:tr2bl w:val="nil"/>
            </w:tcBorders>
            <w:vAlign w:val="center"/>
          </w:tcPr>
          <w:p w14:paraId="17075725">
            <w:pPr>
              <w:widowControl w:val="0"/>
              <w:jc w:val="center"/>
              <w:rPr>
                <w:rFonts w:ascii="宋体" w:hAnsi="宋体" w:eastAsia="宋体" w:cs="宋体"/>
                <w:sz w:val="21"/>
                <w:szCs w:val="21"/>
              </w:rPr>
            </w:pPr>
          </w:p>
        </w:tc>
        <w:tc>
          <w:tcPr>
            <w:tcW w:w="1485" w:type="dxa"/>
            <w:tcBorders>
              <w:tl2br w:val="nil"/>
              <w:tr2bl w:val="nil"/>
            </w:tcBorders>
            <w:vAlign w:val="center"/>
          </w:tcPr>
          <w:p w14:paraId="0FA6EBD4">
            <w:pPr>
              <w:widowControl w:val="0"/>
              <w:jc w:val="center"/>
              <w:rPr>
                <w:rFonts w:ascii="宋体" w:hAnsi="宋体" w:eastAsia="宋体" w:cs="宋体"/>
                <w:sz w:val="21"/>
                <w:szCs w:val="21"/>
              </w:rPr>
            </w:pPr>
          </w:p>
        </w:tc>
      </w:tr>
      <w:tr w14:paraId="67734E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l2br w:val="nil"/>
              <w:tr2bl w:val="nil"/>
            </w:tcBorders>
            <w:vAlign w:val="center"/>
          </w:tcPr>
          <w:p w14:paraId="6FCA0140">
            <w:pPr>
              <w:widowControl w:val="0"/>
              <w:jc w:val="center"/>
              <w:rPr>
                <w:rFonts w:ascii="宋体" w:hAnsi="宋体" w:eastAsia="宋体" w:cs="宋体"/>
                <w:sz w:val="21"/>
                <w:szCs w:val="21"/>
              </w:rPr>
            </w:pPr>
            <w:r>
              <w:rPr>
                <w:rFonts w:hint="eastAsia" w:ascii="宋体" w:hAnsi="宋体" w:eastAsia="宋体" w:cs="宋体"/>
                <w:sz w:val="21"/>
                <w:szCs w:val="21"/>
                <w:lang w:bidi="ar"/>
              </w:rPr>
              <w:t>3</w:t>
            </w:r>
          </w:p>
        </w:tc>
        <w:tc>
          <w:tcPr>
            <w:tcW w:w="2282" w:type="dxa"/>
            <w:gridSpan w:val="2"/>
            <w:tcBorders>
              <w:tl2br w:val="nil"/>
              <w:tr2bl w:val="nil"/>
            </w:tcBorders>
            <w:vAlign w:val="center"/>
          </w:tcPr>
          <w:p w14:paraId="339EF5A7">
            <w:pPr>
              <w:widowControl w:val="0"/>
              <w:jc w:val="center"/>
              <w:rPr>
                <w:rFonts w:ascii="宋体" w:hAnsi="宋体" w:eastAsia="宋体" w:cs="宋体"/>
                <w:sz w:val="21"/>
                <w:szCs w:val="21"/>
              </w:rPr>
            </w:pPr>
            <w:r>
              <w:rPr>
                <w:rFonts w:hint="eastAsia" w:ascii="宋体" w:hAnsi="宋体" w:eastAsia="宋体" w:cs="宋体"/>
                <w:sz w:val="21"/>
                <w:szCs w:val="21"/>
              </w:rPr>
              <w:t>项目负责人</w:t>
            </w:r>
          </w:p>
        </w:tc>
        <w:tc>
          <w:tcPr>
            <w:tcW w:w="947" w:type="dxa"/>
            <w:tcBorders>
              <w:tl2br w:val="nil"/>
              <w:tr2bl w:val="nil"/>
            </w:tcBorders>
            <w:vAlign w:val="center"/>
          </w:tcPr>
          <w:p w14:paraId="7442D5D1">
            <w:pPr>
              <w:widowControl w:val="0"/>
              <w:jc w:val="center"/>
              <w:rPr>
                <w:rFonts w:ascii="宋体" w:hAnsi="宋体" w:eastAsia="宋体" w:cs="宋体"/>
                <w:sz w:val="21"/>
                <w:szCs w:val="21"/>
              </w:rPr>
            </w:pPr>
          </w:p>
        </w:tc>
        <w:tc>
          <w:tcPr>
            <w:tcW w:w="1991" w:type="dxa"/>
            <w:gridSpan w:val="2"/>
            <w:tcBorders>
              <w:tl2br w:val="nil"/>
              <w:tr2bl w:val="nil"/>
            </w:tcBorders>
            <w:vAlign w:val="center"/>
          </w:tcPr>
          <w:p w14:paraId="43119E13">
            <w:pPr>
              <w:widowControl w:val="0"/>
              <w:jc w:val="center"/>
              <w:rPr>
                <w:rFonts w:ascii="宋体" w:hAnsi="宋体" w:eastAsia="宋体" w:cs="宋体"/>
                <w:sz w:val="21"/>
                <w:szCs w:val="21"/>
              </w:rPr>
            </w:pPr>
          </w:p>
        </w:tc>
        <w:tc>
          <w:tcPr>
            <w:tcW w:w="1500" w:type="dxa"/>
            <w:tcBorders>
              <w:tl2br w:val="nil"/>
              <w:tr2bl w:val="nil"/>
            </w:tcBorders>
            <w:vAlign w:val="center"/>
          </w:tcPr>
          <w:p w14:paraId="15EA0F27">
            <w:pPr>
              <w:widowControl w:val="0"/>
              <w:jc w:val="center"/>
              <w:rPr>
                <w:rFonts w:ascii="宋体" w:hAnsi="宋体" w:eastAsia="宋体" w:cs="宋体"/>
                <w:sz w:val="21"/>
                <w:szCs w:val="21"/>
              </w:rPr>
            </w:pPr>
          </w:p>
        </w:tc>
        <w:tc>
          <w:tcPr>
            <w:tcW w:w="1485" w:type="dxa"/>
            <w:tcBorders>
              <w:tl2br w:val="nil"/>
              <w:tr2bl w:val="nil"/>
            </w:tcBorders>
            <w:vAlign w:val="center"/>
          </w:tcPr>
          <w:p w14:paraId="4F541340">
            <w:pPr>
              <w:widowControl w:val="0"/>
              <w:jc w:val="center"/>
              <w:rPr>
                <w:rFonts w:ascii="宋体" w:hAnsi="宋体" w:eastAsia="宋体" w:cs="宋体"/>
                <w:sz w:val="21"/>
                <w:szCs w:val="21"/>
              </w:rPr>
            </w:pPr>
          </w:p>
        </w:tc>
      </w:tr>
      <w:tr w14:paraId="4D2766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l2br w:val="nil"/>
              <w:tr2bl w:val="nil"/>
            </w:tcBorders>
            <w:vAlign w:val="center"/>
          </w:tcPr>
          <w:p w14:paraId="4D860D5B">
            <w:pPr>
              <w:widowControl w:val="0"/>
              <w:jc w:val="center"/>
              <w:rPr>
                <w:rFonts w:ascii="宋体" w:hAnsi="宋体" w:eastAsia="宋体" w:cs="宋体"/>
                <w:sz w:val="21"/>
                <w:szCs w:val="21"/>
              </w:rPr>
            </w:pPr>
            <w:r>
              <w:rPr>
                <w:rFonts w:hint="eastAsia" w:ascii="宋体" w:hAnsi="宋体" w:eastAsia="宋体" w:cs="宋体"/>
                <w:sz w:val="21"/>
                <w:szCs w:val="21"/>
                <w:lang w:bidi="ar"/>
              </w:rPr>
              <w:t>4</w:t>
            </w:r>
          </w:p>
        </w:tc>
        <w:tc>
          <w:tcPr>
            <w:tcW w:w="2282" w:type="dxa"/>
            <w:gridSpan w:val="2"/>
            <w:tcBorders>
              <w:tl2br w:val="nil"/>
              <w:tr2bl w:val="nil"/>
            </w:tcBorders>
            <w:vAlign w:val="center"/>
          </w:tcPr>
          <w:p w14:paraId="2ABB4496">
            <w:pPr>
              <w:widowControl w:val="0"/>
              <w:jc w:val="center"/>
              <w:rPr>
                <w:rFonts w:ascii="宋体" w:hAnsi="宋体" w:eastAsia="宋体" w:cs="宋体"/>
                <w:sz w:val="21"/>
                <w:szCs w:val="21"/>
              </w:rPr>
            </w:pPr>
            <w:r>
              <w:rPr>
                <w:rFonts w:hint="eastAsia" w:ascii="宋体" w:hAnsi="宋体" w:eastAsia="宋体" w:cs="宋体"/>
                <w:sz w:val="21"/>
                <w:szCs w:val="21"/>
              </w:rPr>
              <w:t>主要技术人员</w:t>
            </w:r>
          </w:p>
        </w:tc>
        <w:tc>
          <w:tcPr>
            <w:tcW w:w="947" w:type="dxa"/>
            <w:tcBorders>
              <w:tl2br w:val="nil"/>
              <w:tr2bl w:val="nil"/>
            </w:tcBorders>
            <w:vAlign w:val="center"/>
          </w:tcPr>
          <w:p w14:paraId="6D42F0E0">
            <w:pPr>
              <w:widowControl w:val="0"/>
              <w:jc w:val="center"/>
              <w:rPr>
                <w:rFonts w:ascii="宋体" w:hAnsi="宋体" w:eastAsia="宋体" w:cs="宋体"/>
                <w:sz w:val="21"/>
                <w:szCs w:val="21"/>
              </w:rPr>
            </w:pPr>
          </w:p>
        </w:tc>
        <w:tc>
          <w:tcPr>
            <w:tcW w:w="1991" w:type="dxa"/>
            <w:gridSpan w:val="2"/>
            <w:tcBorders>
              <w:tl2br w:val="nil"/>
              <w:tr2bl w:val="nil"/>
            </w:tcBorders>
            <w:vAlign w:val="center"/>
          </w:tcPr>
          <w:p w14:paraId="3C1FBF08">
            <w:pPr>
              <w:widowControl w:val="0"/>
              <w:jc w:val="center"/>
              <w:rPr>
                <w:rFonts w:ascii="宋体" w:hAnsi="宋体" w:eastAsia="宋体" w:cs="宋体"/>
                <w:sz w:val="21"/>
                <w:szCs w:val="21"/>
              </w:rPr>
            </w:pPr>
          </w:p>
        </w:tc>
        <w:tc>
          <w:tcPr>
            <w:tcW w:w="1500" w:type="dxa"/>
            <w:tcBorders>
              <w:tl2br w:val="nil"/>
              <w:tr2bl w:val="nil"/>
            </w:tcBorders>
            <w:vAlign w:val="center"/>
          </w:tcPr>
          <w:p w14:paraId="28F060E9">
            <w:pPr>
              <w:widowControl w:val="0"/>
              <w:jc w:val="center"/>
              <w:rPr>
                <w:rFonts w:ascii="宋体" w:hAnsi="宋体" w:eastAsia="宋体" w:cs="宋体"/>
                <w:sz w:val="21"/>
                <w:szCs w:val="21"/>
              </w:rPr>
            </w:pPr>
          </w:p>
        </w:tc>
        <w:tc>
          <w:tcPr>
            <w:tcW w:w="1485" w:type="dxa"/>
            <w:tcBorders>
              <w:tl2br w:val="nil"/>
              <w:tr2bl w:val="nil"/>
            </w:tcBorders>
            <w:vAlign w:val="center"/>
          </w:tcPr>
          <w:p w14:paraId="28C29DAB">
            <w:pPr>
              <w:widowControl w:val="0"/>
              <w:jc w:val="center"/>
              <w:rPr>
                <w:rFonts w:ascii="宋体" w:hAnsi="宋体" w:eastAsia="宋体" w:cs="宋体"/>
                <w:sz w:val="21"/>
                <w:szCs w:val="21"/>
              </w:rPr>
            </w:pPr>
          </w:p>
        </w:tc>
      </w:tr>
      <w:tr w14:paraId="5BF3FE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l2br w:val="nil"/>
              <w:tr2bl w:val="nil"/>
            </w:tcBorders>
            <w:vAlign w:val="center"/>
          </w:tcPr>
          <w:p w14:paraId="7B939A2E">
            <w:pPr>
              <w:widowControl w:val="0"/>
              <w:jc w:val="center"/>
              <w:rPr>
                <w:rFonts w:ascii="宋体" w:hAnsi="宋体" w:eastAsia="宋体" w:cs="宋体"/>
                <w:sz w:val="21"/>
                <w:szCs w:val="21"/>
              </w:rPr>
            </w:pPr>
            <w:r>
              <w:rPr>
                <w:rFonts w:hint="eastAsia" w:ascii="宋体" w:hAnsi="宋体" w:eastAsia="宋体" w:cs="宋体"/>
                <w:sz w:val="21"/>
                <w:szCs w:val="21"/>
                <w:lang w:bidi="ar"/>
              </w:rPr>
              <w:t>5</w:t>
            </w:r>
          </w:p>
        </w:tc>
        <w:tc>
          <w:tcPr>
            <w:tcW w:w="2282" w:type="dxa"/>
            <w:gridSpan w:val="2"/>
            <w:tcBorders>
              <w:tl2br w:val="nil"/>
              <w:tr2bl w:val="nil"/>
            </w:tcBorders>
            <w:vAlign w:val="center"/>
          </w:tcPr>
          <w:p w14:paraId="688ECF91">
            <w:pPr>
              <w:pStyle w:val="7"/>
              <w:widowControl w:val="0"/>
              <w:snapToGrid w:val="0"/>
              <w:ind w:firstLine="0"/>
              <w:jc w:val="center"/>
              <w:rPr>
                <w:rFonts w:ascii="宋体" w:hAnsi="宋体" w:eastAsia="宋体" w:cs="宋体"/>
                <w:sz w:val="21"/>
                <w:szCs w:val="21"/>
              </w:rPr>
            </w:pPr>
            <w:r>
              <w:rPr>
                <w:rFonts w:hint="eastAsia" w:ascii="宋体" w:hAnsi="宋体" w:eastAsia="宋体" w:cs="宋体"/>
                <w:sz w:val="21"/>
                <w:szCs w:val="21"/>
              </w:rPr>
              <w:t>投标文件编制人员</w:t>
            </w:r>
          </w:p>
        </w:tc>
        <w:tc>
          <w:tcPr>
            <w:tcW w:w="947" w:type="dxa"/>
            <w:tcBorders>
              <w:tl2br w:val="nil"/>
              <w:tr2bl w:val="nil"/>
            </w:tcBorders>
            <w:vAlign w:val="center"/>
          </w:tcPr>
          <w:p w14:paraId="49BDED6E">
            <w:pPr>
              <w:widowControl w:val="0"/>
              <w:jc w:val="center"/>
              <w:rPr>
                <w:rFonts w:ascii="宋体" w:hAnsi="宋体" w:eastAsia="宋体" w:cs="宋体"/>
                <w:sz w:val="21"/>
                <w:szCs w:val="21"/>
              </w:rPr>
            </w:pPr>
          </w:p>
        </w:tc>
        <w:tc>
          <w:tcPr>
            <w:tcW w:w="1991" w:type="dxa"/>
            <w:gridSpan w:val="2"/>
            <w:tcBorders>
              <w:tl2br w:val="nil"/>
              <w:tr2bl w:val="nil"/>
            </w:tcBorders>
            <w:vAlign w:val="center"/>
          </w:tcPr>
          <w:p w14:paraId="164A6330">
            <w:pPr>
              <w:widowControl w:val="0"/>
              <w:jc w:val="center"/>
              <w:rPr>
                <w:rFonts w:ascii="宋体" w:hAnsi="宋体" w:eastAsia="宋体" w:cs="宋体"/>
                <w:sz w:val="21"/>
                <w:szCs w:val="21"/>
              </w:rPr>
            </w:pPr>
          </w:p>
        </w:tc>
        <w:tc>
          <w:tcPr>
            <w:tcW w:w="1500" w:type="dxa"/>
            <w:tcBorders>
              <w:tl2br w:val="nil"/>
              <w:tr2bl w:val="nil"/>
            </w:tcBorders>
            <w:vAlign w:val="center"/>
          </w:tcPr>
          <w:p w14:paraId="3ECBF431">
            <w:pPr>
              <w:widowControl w:val="0"/>
              <w:jc w:val="center"/>
              <w:rPr>
                <w:rFonts w:ascii="宋体" w:hAnsi="宋体" w:eastAsia="宋体" w:cs="宋体"/>
                <w:sz w:val="21"/>
                <w:szCs w:val="21"/>
              </w:rPr>
            </w:pPr>
          </w:p>
        </w:tc>
        <w:tc>
          <w:tcPr>
            <w:tcW w:w="1485" w:type="dxa"/>
            <w:tcBorders>
              <w:tl2br w:val="nil"/>
              <w:tr2bl w:val="nil"/>
            </w:tcBorders>
            <w:vAlign w:val="center"/>
          </w:tcPr>
          <w:p w14:paraId="3163C7C7">
            <w:pPr>
              <w:widowControl w:val="0"/>
              <w:jc w:val="center"/>
              <w:rPr>
                <w:rFonts w:ascii="宋体" w:hAnsi="宋体" w:eastAsia="宋体" w:cs="宋体"/>
                <w:sz w:val="21"/>
                <w:szCs w:val="21"/>
              </w:rPr>
            </w:pPr>
          </w:p>
        </w:tc>
      </w:tr>
      <w:tr w14:paraId="300E92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941" w:type="dxa"/>
            <w:gridSpan w:val="8"/>
            <w:tcBorders>
              <w:tl2br w:val="nil"/>
              <w:tr2bl w:val="nil"/>
            </w:tcBorders>
            <w:vAlign w:val="center"/>
          </w:tcPr>
          <w:p w14:paraId="3A6AD8DE">
            <w:pPr>
              <w:widowControl w:val="0"/>
              <w:jc w:val="left"/>
              <w:rPr>
                <w:rFonts w:ascii="宋体" w:hAnsi="宋体" w:eastAsia="宋体" w:cs="宋体"/>
                <w:sz w:val="21"/>
                <w:szCs w:val="21"/>
              </w:rPr>
            </w:pPr>
            <w:r>
              <w:rPr>
                <w:rFonts w:hint="eastAsia" w:ascii="宋体" w:hAnsi="宋体" w:eastAsia="宋体" w:cs="宋体"/>
                <w:b/>
                <w:bCs/>
                <w:sz w:val="21"/>
                <w:szCs w:val="21"/>
              </w:rPr>
              <w:t>说明：同一职务有多人担任（如主要技术人员），应分行填写。</w:t>
            </w:r>
          </w:p>
        </w:tc>
      </w:tr>
      <w:tr w14:paraId="6F3ED4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941" w:type="dxa"/>
            <w:gridSpan w:val="8"/>
            <w:tcBorders>
              <w:tl2br w:val="nil"/>
              <w:tr2bl w:val="nil"/>
            </w:tcBorders>
            <w:vAlign w:val="center"/>
          </w:tcPr>
          <w:p w14:paraId="3A0F1253">
            <w:pPr>
              <w:widowControl w:val="0"/>
              <w:jc w:val="center"/>
              <w:rPr>
                <w:rFonts w:ascii="宋体" w:hAnsi="宋体" w:eastAsia="宋体" w:cs="宋体"/>
                <w:b/>
                <w:bCs/>
                <w:sz w:val="21"/>
                <w:szCs w:val="21"/>
              </w:rPr>
            </w:pPr>
            <w:r>
              <w:rPr>
                <w:rFonts w:hint="eastAsia" w:ascii="宋体" w:hAnsi="宋体" w:eastAsia="宋体" w:cs="宋体"/>
                <w:b/>
                <w:bCs/>
                <w:sz w:val="21"/>
                <w:szCs w:val="21"/>
              </w:rPr>
              <w:t>投标（响应）供应商关联关系情况</w:t>
            </w:r>
          </w:p>
        </w:tc>
      </w:tr>
      <w:tr w14:paraId="23A544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l2br w:val="nil"/>
              <w:tr2bl w:val="nil"/>
            </w:tcBorders>
            <w:vAlign w:val="center"/>
          </w:tcPr>
          <w:p w14:paraId="585D48AF">
            <w:pPr>
              <w:widowControl w:val="0"/>
              <w:jc w:val="center"/>
              <w:rPr>
                <w:rFonts w:ascii="宋体" w:hAnsi="宋体" w:eastAsia="宋体" w:cs="宋体"/>
                <w:sz w:val="21"/>
                <w:szCs w:val="21"/>
                <w:lang w:bidi="ar"/>
              </w:rPr>
            </w:pPr>
            <w:r>
              <w:rPr>
                <w:rFonts w:hint="eastAsia" w:ascii="宋体" w:hAnsi="宋体" w:eastAsia="宋体" w:cs="宋体"/>
                <w:sz w:val="21"/>
                <w:szCs w:val="21"/>
                <w:lang w:bidi="ar"/>
              </w:rPr>
              <w:t>序号</w:t>
            </w:r>
          </w:p>
        </w:tc>
        <w:tc>
          <w:tcPr>
            <w:tcW w:w="2282" w:type="dxa"/>
            <w:gridSpan w:val="2"/>
            <w:tcBorders>
              <w:tl2br w:val="nil"/>
              <w:tr2bl w:val="nil"/>
            </w:tcBorders>
            <w:vAlign w:val="center"/>
          </w:tcPr>
          <w:p w14:paraId="0DBA5917">
            <w:pPr>
              <w:widowControl w:val="0"/>
              <w:jc w:val="center"/>
              <w:rPr>
                <w:rFonts w:ascii="宋体" w:hAnsi="宋体" w:eastAsia="宋体" w:cs="宋体"/>
                <w:sz w:val="21"/>
                <w:szCs w:val="21"/>
              </w:rPr>
            </w:pPr>
            <w:r>
              <w:rPr>
                <w:rFonts w:hint="eastAsia" w:ascii="宋体" w:hAnsi="宋体" w:eastAsia="宋体" w:cs="宋体"/>
                <w:sz w:val="21"/>
                <w:szCs w:val="21"/>
              </w:rPr>
              <w:t>关联关系类型</w:t>
            </w:r>
          </w:p>
        </w:tc>
        <w:tc>
          <w:tcPr>
            <w:tcW w:w="1738" w:type="dxa"/>
            <w:gridSpan w:val="2"/>
            <w:tcBorders>
              <w:tl2br w:val="nil"/>
              <w:tr2bl w:val="nil"/>
            </w:tcBorders>
            <w:vAlign w:val="center"/>
          </w:tcPr>
          <w:p w14:paraId="40F86FF8">
            <w:pPr>
              <w:widowControl w:val="0"/>
              <w:jc w:val="center"/>
              <w:rPr>
                <w:rFonts w:ascii="宋体" w:hAnsi="宋体" w:eastAsia="宋体" w:cs="宋体"/>
                <w:sz w:val="21"/>
                <w:szCs w:val="21"/>
              </w:rPr>
            </w:pPr>
            <w:r>
              <w:rPr>
                <w:rFonts w:hint="eastAsia" w:ascii="宋体" w:hAnsi="宋体" w:eastAsia="宋体" w:cs="宋体"/>
                <w:sz w:val="21"/>
                <w:szCs w:val="21"/>
              </w:rPr>
              <w:t>关联主体名称</w:t>
            </w:r>
          </w:p>
        </w:tc>
        <w:tc>
          <w:tcPr>
            <w:tcW w:w="4185" w:type="dxa"/>
            <w:gridSpan w:val="3"/>
            <w:tcBorders>
              <w:tl2br w:val="nil"/>
              <w:tr2bl w:val="nil"/>
            </w:tcBorders>
            <w:vAlign w:val="center"/>
          </w:tcPr>
          <w:p w14:paraId="15EC41CE">
            <w:pPr>
              <w:widowControl w:val="0"/>
              <w:jc w:val="center"/>
              <w:rPr>
                <w:rFonts w:ascii="宋体" w:hAnsi="宋体" w:eastAsia="宋体" w:cs="宋体"/>
                <w:sz w:val="21"/>
                <w:szCs w:val="21"/>
              </w:rPr>
            </w:pPr>
            <w:r>
              <w:rPr>
                <w:rFonts w:hint="eastAsia" w:ascii="宋体" w:hAnsi="宋体" w:eastAsia="宋体" w:cs="宋体"/>
                <w:sz w:val="21"/>
                <w:szCs w:val="21"/>
              </w:rPr>
              <w:t>备注</w:t>
            </w:r>
          </w:p>
        </w:tc>
      </w:tr>
      <w:tr w14:paraId="5FD90A0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l2br w:val="nil"/>
              <w:tr2bl w:val="nil"/>
            </w:tcBorders>
            <w:vAlign w:val="center"/>
          </w:tcPr>
          <w:p w14:paraId="16539C5D">
            <w:pPr>
              <w:widowControl w:val="0"/>
              <w:jc w:val="center"/>
              <w:rPr>
                <w:rFonts w:ascii="宋体" w:hAnsi="宋体" w:eastAsia="宋体" w:cs="宋体"/>
                <w:sz w:val="21"/>
                <w:szCs w:val="21"/>
                <w:lang w:bidi="ar"/>
              </w:rPr>
            </w:pPr>
            <w:r>
              <w:rPr>
                <w:rFonts w:hint="eastAsia" w:ascii="宋体" w:hAnsi="宋体" w:eastAsia="宋体" w:cs="宋体"/>
                <w:sz w:val="21"/>
                <w:szCs w:val="21"/>
                <w:lang w:bidi="ar"/>
              </w:rPr>
              <w:t>1</w:t>
            </w:r>
          </w:p>
        </w:tc>
        <w:tc>
          <w:tcPr>
            <w:tcW w:w="2282" w:type="dxa"/>
            <w:gridSpan w:val="2"/>
            <w:tcBorders>
              <w:tl2br w:val="nil"/>
              <w:tr2bl w:val="nil"/>
            </w:tcBorders>
            <w:vAlign w:val="center"/>
          </w:tcPr>
          <w:p w14:paraId="20A24D17">
            <w:pPr>
              <w:widowControl w:val="0"/>
              <w:jc w:val="center"/>
              <w:rPr>
                <w:rFonts w:ascii="宋体" w:hAnsi="宋体" w:eastAsia="宋体" w:cs="宋体"/>
                <w:sz w:val="21"/>
                <w:szCs w:val="21"/>
              </w:rPr>
            </w:pPr>
            <w:r>
              <w:rPr>
                <w:rFonts w:hint="eastAsia" w:ascii="宋体" w:hAnsi="宋体" w:eastAsia="宋体" w:cs="宋体"/>
                <w:sz w:val="21"/>
                <w:szCs w:val="21"/>
              </w:rPr>
              <w:t>控股股东</w:t>
            </w:r>
          </w:p>
        </w:tc>
        <w:tc>
          <w:tcPr>
            <w:tcW w:w="1738" w:type="dxa"/>
            <w:gridSpan w:val="2"/>
            <w:tcBorders>
              <w:tl2br w:val="nil"/>
              <w:tr2bl w:val="nil"/>
            </w:tcBorders>
            <w:vAlign w:val="center"/>
          </w:tcPr>
          <w:p w14:paraId="0D7432C4">
            <w:pPr>
              <w:widowControl w:val="0"/>
              <w:jc w:val="center"/>
              <w:rPr>
                <w:rFonts w:ascii="宋体" w:hAnsi="宋体" w:eastAsia="宋体" w:cs="宋体"/>
                <w:sz w:val="21"/>
                <w:szCs w:val="21"/>
              </w:rPr>
            </w:pPr>
          </w:p>
        </w:tc>
        <w:tc>
          <w:tcPr>
            <w:tcW w:w="4185" w:type="dxa"/>
            <w:gridSpan w:val="3"/>
            <w:tcBorders>
              <w:tl2br w:val="nil"/>
              <w:tr2bl w:val="nil"/>
            </w:tcBorders>
            <w:vAlign w:val="center"/>
          </w:tcPr>
          <w:p w14:paraId="3DCC40A7">
            <w:pPr>
              <w:widowControl w:val="0"/>
              <w:snapToGrid w:val="0"/>
              <w:jc w:val="left"/>
              <w:rPr>
                <w:rFonts w:ascii="宋体" w:hAnsi="宋体" w:eastAsia="宋体" w:cs="宋体"/>
                <w:sz w:val="21"/>
                <w:szCs w:val="21"/>
              </w:rPr>
            </w:pPr>
            <w:r>
              <w:rPr>
                <w:rFonts w:hint="eastAsia" w:ascii="宋体" w:hAnsi="宋体" w:eastAsia="宋体" w:cs="宋体"/>
                <w:sz w:val="21"/>
                <w:szCs w:val="21"/>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4FC41D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736" w:type="dxa"/>
            <w:tcBorders>
              <w:tl2br w:val="nil"/>
              <w:tr2bl w:val="nil"/>
            </w:tcBorders>
            <w:vAlign w:val="center"/>
          </w:tcPr>
          <w:p w14:paraId="246293B3">
            <w:pPr>
              <w:widowControl w:val="0"/>
              <w:jc w:val="center"/>
              <w:rPr>
                <w:rFonts w:ascii="宋体" w:hAnsi="宋体" w:eastAsia="宋体" w:cs="宋体"/>
                <w:sz w:val="21"/>
                <w:szCs w:val="21"/>
                <w:lang w:bidi="ar"/>
              </w:rPr>
            </w:pPr>
            <w:r>
              <w:rPr>
                <w:rFonts w:hint="eastAsia" w:ascii="宋体" w:hAnsi="宋体" w:eastAsia="宋体" w:cs="宋体"/>
                <w:sz w:val="21"/>
                <w:szCs w:val="21"/>
                <w:lang w:bidi="ar"/>
              </w:rPr>
              <w:t>2</w:t>
            </w:r>
          </w:p>
        </w:tc>
        <w:tc>
          <w:tcPr>
            <w:tcW w:w="2282" w:type="dxa"/>
            <w:gridSpan w:val="2"/>
            <w:tcBorders>
              <w:tl2br w:val="nil"/>
              <w:tr2bl w:val="nil"/>
            </w:tcBorders>
            <w:vAlign w:val="center"/>
          </w:tcPr>
          <w:p w14:paraId="74C8F5BE">
            <w:pPr>
              <w:widowControl w:val="0"/>
              <w:jc w:val="center"/>
              <w:rPr>
                <w:rFonts w:ascii="宋体" w:hAnsi="宋体" w:eastAsia="宋体" w:cs="宋体"/>
                <w:sz w:val="21"/>
                <w:szCs w:val="21"/>
              </w:rPr>
            </w:pPr>
            <w:r>
              <w:rPr>
                <w:rFonts w:hint="eastAsia" w:ascii="宋体" w:hAnsi="宋体" w:eastAsia="宋体" w:cs="宋体"/>
                <w:sz w:val="21"/>
                <w:szCs w:val="21"/>
              </w:rPr>
              <w:t>管理关系</w:t>
            </w:r>
          </w:p>
        </w:tc>
        <w:tc>
          <w:tcPr>
            <w:tcW w:w="1738" w:type="dxa"/>
            <w:gridSpan w:val="2"/>
            <w:tcBorders>
              <w:tl2br w:val="nil"/>
              <w:tr2bl w:val="nil"/>
            </w:tcBorders>
            <w:vAlign w:val="center"/>
          </w:tcPr>
          <w:p w14:paraId="5C88714F">
            <w:pPr>
              <w:widowControl w:val="0"/>
              <w:jc w:val="center"/>
              <w:rPr>
                <w:rFonts w:ascii="宋体" w:hAnsi="宋体" w:eastAsia="宋体" w:cs="宋体"/>
                <w:sz w:val="21"/>
                <w:szCs w:val="21"/>
              </w:rPr>
            </w:pPr>
          </w:p>
        </w:tc>
        <w:tc>
          <w:tcPr>
            <w:tcW w:w="4185" w:type="dxa"/>
            <w:gridSpan w:val="3"/>
            <w:tcBorders>
              <w:tl2br w:val="nil"/>
              <w:tr2bl w:val="nil"/>
            </w:tcBorders>
            <w:vAlign w:val="center"/>
          </w:tcPr>
          <w:p w14:paraId="796FC421">
            <w:pPr>
              <w:widowControl w:val="0"/>
              <w:snapToGrid w:val="0"/>
              <w:jc w:val="left"/>
              <w:rPr>
                <w:rFonts w:ascii="宋体" w:hAnsi="宋体" w:eastAsia="宋体" w:cs="宋体"/>
                <w:sz w:val="21"/>
                <w:szCs w:val="21"/>
              </w:rPr>
            </w:pPr>
            <w:r>
              <w:rPr>
                <w:rFonts w:hint="eastAsia" w:ascii="宋体" w:hAnsi="宋体" w:eastAsia="宋体" w:cs="宋体"/>
                <w:sz w:val="21"/>
                <w:szCs w:val="21"/>
              </w:rPr>
              <w:t>指对投标（响应）供应商不具有出资持股关系，但对其存在管理关系的主体。</w:t>
            </w:r>
          </w:p>
        </w:tc>
      </w:tr>
      <w:tr w14:paraId="546F10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8941" w:type="dxa"/>
            <w:gridSpan w:val="8"/>
            <w:tcBorders>
              <w:tl2br w:val="nil"/>
              <w:tr2bl w:val="nil"/>
            </w:tcBorders>
            <w:vAlign w:val="center"/>
          </w:tcPr>
          <w:p w14:paraId="31A9A6C1">
            <w:pPr>
              <w:widowControl w:val="0"/>
              <w:snapToGrid w:val="0"/>
              <w:jc w:val="left"/>
              <w:rPr>
                <w:rFonts w:ascii="宋体" w:hAnsi="宋体" w:eastAsia="宋体" w:cs="宋体"/>
                <w:sz w:val="21"/>
                <w:szCs w:val="21"/>
              </w:rPr>
            </w:pPr>
            <w:r>
              <w:rPr>
                <w:rFonts w:hint="eastAsia" w:ascii="宋体" w:hAnsi="宋体" w:eastAsia="宋体" w:cs="宋体"/>
                <w:b/>
                <w:bCs/>
                <w:sz w:val="21"/>
                <w:szCs w:val="21"/>
              </w:rPr>
              <w:t>说明：同一关联关系类型有多个主体的，应分行填写。</w:t>
            </w:r>
          </w:p>
        </w:tc>
      </w:tr>
    </w:tbl>
    <w:p w14:paraId="43E76E9D">
      <w:pPr>
        <w:rPr>
          <w:rFonts w:ascii="黑体"/>
        </w:rPr>
      </w:pPr>
    </w:p>
    <w:p w14:paraId="208B65F0">
      <w:pPr>
        <w:rPr>
          <w:rFonts w:ascii="黑体"/>
        </w:rPr>
      </w:pPr>
      <w:r>
        <w:rPr>
          <w:rFonts w:hint="eastAsia" w:ascii="黑体"/>
        </w:rPr>
        <w:br w:type="page"/>
      </w:r>
    </w:p>
    <w:p w14:paraId="1ED2670E">
      <w:pPr>
        <w:jc w:val="center"/>
        <w:outlineLvl w:val="3"/>
        <w:rPr>
          <w:rFonts w:ascii="黑体" w:hAnsi="宋体" w:eastAsia="黑体"/>
          <w:szCs w:val="20"/>
        </w:rPr>
      </w:pPr>
      <w:r>
        <w:rPr>
          <w:rFonts w:hint="eastAsia" w:ascii="黑体" w:hAnsi="宋体" w:eastAsia="黑体"/>
          <w:szCs w:val="20"/>
        </w:rPr>
        <w:t>三、政府采购违法行为风险知悉确认书</w:t>
      </w:r>
    </w:p>
    <w:p w14:paraId="08C846C7">
      <w:pPr>
        <w:spacing w:line="360" w:lineRule="exact"/>
        <w:ind w:firstLine="422" w:firstLineChars="200"/>
        <w:rPr>
          <w:rFonts w:ascii="宋体" w:hAnsi="宋体" w:eastAsia="宋体" w:cs="宋体"/>
          <w:b/>
          <w:bCs/>
          <w:sz w:val="21"/>
          <w:szCs w:val="21"/>
        </w:rPr>
      </w:pPr>
    </w:p>
    <w:p w14:paraId="064FE6BC">
      <w:pPr>
        <w:spacing w:line="360" w:lineRule="exact"/>
        <w:ind w:firstLine="422" w:firstLineChars="200"/>
        <w:rPr>
          <w:rFonts w:ascii="宋体" w:hAnsi="宋体" w:eastAsia="宋体" w:cs="宋体"/>
          <w:b/>
          <w:bCs/>
          <w:sz w:val="21"/>
          <w:szCs w:val="21"/>
        </w:rPr>
      </w:pPr>
      <w:r>
        <w:rPr>
          <w:rFonts w:hint="eastAsia" w:ascii="宋体" w:hAnsi="宋体" w:eastAsia="宋体" w:cs="宋体"/>
          <w:b/>
          <w:bCs/>
          <w:sz w:val="21"/>
          <w:szCs w:val="21"/>
        </w:rPr>
        <w:t>我单位在投标前已充分知悉以下情形为参与政府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55AF6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711" w:type="dxa"/>
          </w:tcPr>
          <w:p w14:paraId="425374BE">
            <w:pPr>
              <w:widowControl w:val="0"/>
              <w:spacing w:line="400" w:lineRule="exact"/>
              <w:jc w:val="center"/>
              <w:rPr>
                <w:rFonts w:ascii="宋体" w:hAnsi="宋体" w:eastAsia="宋体" w:cs="宋体"/>
                <w:sz w:val="21"/>
                <w:szCs w:val="21"/>
              </w:rPr>
            </w:pPr>
            <w:r>
              <w:rPr>
                <w:rFonts w:hint="eastAsia" w:ascii="宋体" w:hAnsi="宋体" w:eastAsia="宋体" w:cs="宋体"/>
                <w:sz w:val="21"/>
                <w:szCs w:val="21"/>
              </w:rPr>
              <w:t>序号</w:t>
            </w:r>
          </w:p>
        </w:tc>
        <w:tc>
          <w:tcPr>
            <w:tcW w:w="7811" w:type="dxa"/>
          </w:tcPr>
          <w:p w14:paraId="16B26A94">
            <w:pPr>
              <w:widowControl w:val="0"/>
              <w:spacing w:line="400" w:lineRule="exact"/>
              <w:jc w:val="center"/>
              <w:rPr>
                <w:rFonts w:ascii="宋体" w:hAnsi="宋体" w:eastAsia="宋体" w:cs="宋体"/>
                <w:sz w:val="21"/>
                <w:szCs w:val="21"/>
              </w:rPr>
            </w:pPr>
            <w:r>
              <w:rPr>
                <w:rFonts w:hint="eastAsia" w:ascii="宋体" w:hAnsi="宋体" w:eastAsia="宋体" w:cs="宋体"/>
                <w:b/>
                <w:bCs/>
                <w:sz w:val="21"/>
                <w:szCs w:val="21"/>
              </w:rPr>
              <w:t>供应商参与投标禁止情形</w:t>
            </w:r>
          </w:p>
        </w:tc>
      </w:tr>
      <w:tr w14:paraId="38F04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1" w:type="dxa"/>
          </w:tcPr>
          <w:p w14:paraId="447C3353">
            <w:pPr>
              <w:widowControl w:val="0"/>
              <w:spacing w:line="400" w:lineRule="exact"/>
              <w:jc w:val="center"/>
              <w:rPr>
                <w:rFonts w:ascii="宋体" w:hAnsi="宋体" w:eastAsia="宋体" w:cs="宋体"/>
                <w:sz w:val="21"/>
                <w:szCs w:val="21"/>
              </w:rPr>
            </w:pPr>
            <w:r>
              <w:rPr>
                <w:rFonts w:hint="eastAsia" w:ascii="宋体" w:hAnsi="宋体" w:eastAsia="宋体" w:cs="宋体"/>
                <w:sz w:val="21"/>
                <w:szCs w:val="21"/>
              </w:rPr>
              <w:t>1</w:t>
            </w:r>
          </w:p>
        </w:tc>
        <w:tc>
          <w:tcPr>
            <w:tcW w:w="7811" w:type="dxa"/>
            <w:vAlign w:val="center"/>
          </w:tcPr>
          <w:p w14:paraId="6BC9D4A9">
            <w:pPr>
              <w:widowControl w:val="0"/>
              <w:spacing w:line="400" w:lineRule="exact"/>
              <w:jc w:val="left"/>
              <w:rPr>
                <w:rFonts w:ascii="宋体" w:hAnsi="宋体" w:eastAsia="宋体" w:cs="宋体"/>
                <w:sz w:val="21"/>
                <w:szCs w:val="21"/>
              </w:rPr>
            </w:pPr>
            <w:r>
              <w:rPr>
                <w:rFonts w:hint="eastAsia" w:ascii="宋体" w:hAnsi="宋体" w:eastAsia="宋体" w:cs="宋体"/>
                <w:sz w:val="21"/>
                <w:szCs w:val="21"/>
              </w:rPr>
              <w:t>与其他投标供应商的法定代表人、主要经营负责人、投标授权代表人、项目负责人、主要技术人员为</w:t>
            </w:r>
            <w:r>
              <w:rPr>
                <w:rFonts w:hint="eastAsia" w:ascii="宋体" w:hAnsi="宋体" w:eastAsia="宋体" w:cs="宋体"/>
                <w:b/>
                <w:bCs/>
                <w:sz w:val="21"/>
                <w:szCs w:val="21"/>
              </w:rPr>
              <w:t>同一人、属同一单位或者在同一单位缴纳社会保险</w:t>
            </w:r>
            <w:r>
              <w:rPr>
                <w:rFonts w:hint="eastAsia" w:ascii="宋体" w:hAnsi="宋体" w:eastAsia="宋体" w:cs="宋体"/>
                <w:sz w:val="21"/>
                <w:szCs w:val="21"/>
              </w:rPr>
              <w:t>。</w:t>
            </w:r>
          </w:p>
        </w:tc>
      </w:tr>
      <w:tr w14:paraId="74FDC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1" w:type="dxa"/>
          </w:tcPr>
          <w:p w14:paraId="75916F05">
            <w:pPr>
              <w:widowControl w:val="0"/>
              <w:spacing w:line="400" w:lineRule="exact"/>
              <w:jc w:val="center"/>
              <w:rPr>
                <w:rFonts w:ascii="宋体" w:hAnsi="宋体" w:eastAsia="宋体" w:cs="宋体"/>
                <w:sz w:val="21"/>
                <w:szCs w:val="21"/>
              </w:rPr>
            </w:pPr>
            <w:r>
              <w:rPr>
                <w:rFonts w:hint="eastAsia" w:ascii="宋体" w:hAnsi="宋体" w:eastAsia="宋体" w:cs="宋体"/>
                <w:sz w:val="21"/>
                <w:szCs w:val="21"/>
              </w:rPr>
              <w:t>2</w:t>
            </w:r>
          </w:p>
        </w:tc>
        <w:tc>
          <w:tcPr>
            <w:tcW w:w="7811" w:type="dxa"/>
            <w:vAlign w:val="center"/>
          </w:tcPr>
          <w:p w14:paraId="675CFA5E">
            <w:pPr>
              <w:widowControl w:val="0"/>
              <w:spacing w:line="400" w:lineRule="exact"/>
              <w:jc w:val="left"/>
              <w:rPr>
                <w:rFonts w:ascii="宋体" w:hAnsi="宋体" w:eastAsia="宋体" w:cs="宋体"/>
                <w:sz w:val="21"/>
                <w:szCs w:val="21"/>
              </w:rPr>
            </w:pPr>
            <w:r>
              <w:rPr>
                <w:rFonts w:hint="eastAsia" w:ascii="宋体" w:hAnsi="宋体" w:eastAsia="宋体" w:cs="宋体"/>
                <w:sz w:val="21"/>
                <w:szCs w:val="21"/>
              </w:rPr>
              <w:t>参与本项目政府采购活动时，与其他投标供应商存在单位负责人为</w:t>
            </w:r>
            <w:r>
              <w:rPr>
                <w:rFonts w:hint="eastAsia" w:ascii="宋体" w:hAnsi="宋体" w:eastAsia="宋体" w:cs="宋体"/>
                <w:b/>
                <w:bCs/>
                <w:sz w:val="21"/>
                <w:szCs w:val="21"/>
              </w:rPr>
              <w:t>同一人或直接控股、管理关系</w:t>
            </w:r>
            <w:r>
              <w:rPr>
                <w:rFonts w:hint="eastAsia" w:ascii="宋体" w:hAnsi="宋体" w:eastAsia="宋体" w:cs="宋体"/>
                <w:sz w:val="21"/>
                <w:szCs w:val="21"/>
              </w:rPr>
              <w:t>。</w:t>
            </w:r>
          </w:p>
        </w:tc>
      </w:tr>
      <w:tr w14:paraId="53017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1" w:type="dxa"/>
          </w:tcPr>
          <w:p w14:paraId="4635D683">
            <w:pPr>
              <w:widowControl w:val="0"/>
              <w:spacing w:line="400" w:lineRule="exact"/>
              <w:jc w:val="center"/>
              <w:rPr>
                <w:rFonts w:ascii="宋体" w:hAnsi="宋体" w:eastAsia="宋体" w:cs="宋体"/>
                <w:sz w:val="21"/>
                <w:szCs w:val="21"/>
              </w:rPr>
            </w:pPr>
            <w:r>
              <w:rPr>
                <w:rFonts w:hint="eastAsia" w:ascii="宋体" w:hAnsi="宋体" w:eastAsia="宋体" w:cs="宋体"/>
                <w:sz w:val="21"/>
                <w:szCs w:val="21"/>
              </w:rPr>
              <w:t>3</w:t>
            </w:r>
          </w:p>
        </w:tc>
        <w:tc>
          <w:tcPr>
            <w:tcW w:w="7811" w:type="dxa"/>
            <w:vAlign w:val="center"/>
          </w:tcPr>
          <w:p w14:paraId="1A7343EC">
            <w:pPr>
              <w:widowControl w:val="0"/>
              <w:spacing w:line="400" w:lineRule="exact"/>
              <w:jc w:val="left"/>
              <w:rPr>
                <w:rFonts w:ascii="宋体" w:hAnsi="宋体" w:eastAsia="宋体" w:cs="宋体"/>
                <w:sz w:val="21"/>
                <w:szCs w:val="21"/>
              </w:rPr>
            </w:pPr>
            <w:r>
              <w:rPr>
                <w:rFonts w:hint="eastAsia" w:ascii="宋体" w:hAnsi="宋体" w:eastAsia="宋体" w:cs="宋体"/>
                <w:sz w:val="21"/>
                <w:szCs w:val="21"/>
              </w:rPr>
              <w:t>与其他投标供应商的投标文件或部分投标文件</w:t>
            </w:r>
            <w:r>
              <w:rPr>
                <w:rFonts w:hint="eastAsia" w:ascii="宋体" w:hAnsi="宋体" w:eastAsia="宋体" w:cs="宋体"/>
                <w:b/>
                <w:bCs/>
                <w:sz w:val="21"/>
                <w:szCs w:val="21"/>
              </w:rPr>
              <w:t>相互混装或存在非正常一致</w:t>
            </w:r>
            <w:r>
              <w:rPr>
                <w:rFonts w:hint="eastAsia" w:ascii="宋体" w:hAnsi="宋体" w:eastAsia="宋体" w:cs="宋体"/>
                <w:sz w:val="21"/>
                <w:szCs w:val="21"/>
              </w:rPr>
              <w:t>。</w:t>
            </w:r>
          </w:p>
        </w:tc>
      </w:tr>
      <w:tr w14:paraId="69373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1" w:type="dxa"/>
          </w:tcPr>
          <w:p w14:paraId="7946C2EE">
            <w:pPr>
              <w:widowControl w:val="0"/>
              <w:spacing w:line="400" w:lineRule="exact"/>
              <w:jc w:val="center"/>
              <w:rPr>
                <w:rFonts w:ascii="宋体" w:hAnsi="宋体" w:eastAsia="宋体" w:cs="宋体"/>
                <w:sz w:val="21"/>
                <w:szCs w:val="21"/>
              </w:rPr>
            </w:pPr>
            <w:r>
              <w:rPr>
                <w:rFonts w:hint="eastAsia" w:ascii="宋体" w:hAnsi="宋体" w:eastAsia="宋体" w:cs="宋体"/>
                <w:sz w:val="21"/>
                <w:szCs w:val="21"/>
              </w:rPr>
              <w:t>4</w:t>
            </w:r>
          </w:p>
        </w:tc>
        <w:tc>
          <w:tcPr>
            <w:tcW w:w="7811" w:type="dxa"/>
            <w:vAlign w:val="center"/>
          </w:tcPr>
          <w:p w14:paraId="2AB12723">
            <w:pPr>
              <w:widowControl w:val="0"/>
              <w:spacing w:line="400" w:lineRule="exact"/>
              <w:jc w:val="left"/>
              <w:rPr>
                <w:rFonts w:ascii="宋体" w:hAnsi="宋体" w:eastAsia="宋体" w:cs="宋体"/>
                <w:kern w:val="2"/>
                <w:sz w:val="21"/>
                <w:szCs w:val="21"/>
              </w:rPr>
            </w:pPr>
            <w:r>
              <w:rPr>
                <w:rFonts w:hint="eastAsia" w:ascii="宋体" w:hAnsi="宋体" w:eastAsia="宋体" w:cs="宋体"/>
                <w:sz w:val="21"/>
                <w:szCs w:val="21"/>
              </w:rPr>
              <w:t>与其他投标供应商的投标文件由</w:t>
            </w:r>
            <w:r>
              <w:rPr>
                <w:rFonts w:hint="eastAsia" w:ascii="宋体" w:hAnsi="宋体" w:eastAsia="宋体" w:cs="宋体"/>
                <w:b/>
                <w:bCs/>
                <w:sz w:val="21"/>
                <w:szCs w:val="21"/>
              </w:rPr>
              <w:t>同一单位或者同一人编制</w:t>
            </w:r>
            <w:r>
              <w:rPr>
                <w:rFonts w:hint="eastAsia" w:ascii="宋体" w:hAnsi="宋体" w:eastAsia="宋体" w:cs="宋体"/>
                <w:sz w:val="21"/>
                <w:szCs w:val="21"/>
              </w:rPr>
              <w:t>，或者使用</w:t>
            </w:r>
            <w:r>
              <w:rPr>
                <w:rFonts w:hint="eastAsia" w:ascii="宋体" w:hAnsi="宋体" w:eastAsia="宋体" w:cs="宋体"/>
                <w:b/>
                <w:bCs/>
                <w:sz w:val="21"/>
                <w:szCs w:val="21"/>
              </w:rPr>
              <w:t>同一设备编制</w:t>
            </w:r>
            <w:r>
              <w:rPr>
                <w:rFonts w:hint="eastAsia" w:ascii="宋体" w:hAnsi="宋体" w:eastAsia="宋体" w:cs="宋体"/>
                <w:sz w:val="21"/>
                <w:szCs w:val="21"/>
              </w:rPr>
              <w:t>（“文件制作机器码”“文件创建标识码”一致）。</w:t>
            </w:r>
          </w:p>
        </w:tc>
      </w:tr>
      <w:tr w14:paraId="75AF6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1" w:type="dxa"/>
          </w:tcPr>
          <w:p w14:paraId="06E57EBF">
            <w:pPr>
              <w:widowControl w:val="0"/>
              <w:spacing w:line="400" w:lineRule="exact"/>
              <w:jc w:val="center"/>
              <w:rPr>
                <w:rFonts w:ascii="宋体" w:hAnsi="宋体" w:eastAsia="宋体" w:cs="宋体"/>
                <w:sz w:val="21"/>
                <w:szCs w:val="21"/>
              </w:rPr>
            </w:pPr>
            <w:r>
              <w:rPr>
                <w:rFonts w:hint="eastAsia" w:ascii="宋体" w:hAnsi="宋体" w:eastAsia="宋体" w:cs="宋体"/>
                <w:sz w:val="21"/>
                <w:szCs w:val="21"/>
              </w:rPr>
              <w:t>5</w:t>
            </w:r>
          </w:p>
        </w:tc>
        <w:tc>
          <w:tcPr>
            <w:tcW w:w="7811" w:type="dxa"/>
            <w:vAlign w:val="center"/>
          </w:tcPr>
          <w:p w14:paraId="2D3C199D">
            <w:pPr>
              <w:widowControl w:val="0"/>
              <w:spacing w:line="400" w:lineRule="exact"/>
              <w:jc w:val="left"/>
              <w:rPr>
                <w:rFonts w:ascii="宋体" w:hAnsi="宋体" w:eastAsia="宋体" w:cs="宋体"/>
                <w:sz w:val="21"/>
                <w:szCs w:val="21"/>
              </w:rPr>
            </w:pPr>
            <w:r>
              <w:rPr>
                <w:rFonts w:hint="eastAsia" w:ascii="宋体" w:hAnsi="宋体" w:eastAsia="宋体" w:cs="宋体"/>
                <w:sz w:val="21"/>
                <w:szCs w:val="21"/>
              </w:rPr>
              <w:t>提供</w:t>
            </w:r>
            <w:r>
              <w:rPr>
                <w:rFonts w:hint="eastAsia" w:ascii="宋体" w:hAnsi="宋体" w:eastAsia="宋体" w:cs="宋体"/>
                <w:b/>
                <w:bCs/>
                <w:sz w:val="21"/>
                <w:szCs w:val="21"/>
              </w:rPr>
              <w:t>未经出具机构核实</w:t>
            </w:r>
            <w:r>
              <w:rPr>
                <w:rFonts w:hint="eastAsia" w:ascii="宋体" w:hAnsi="宋体" w:eastAsia="宋体" w:cs="宋体"/>
                <w:sz w:val="21"/>
                <w:szCs w:val="21"/>
              </w:rPr>
              <w:t>的虚假的检验检测报告、业绩材料、社保缴纳证明、学历学位证书、职称认证证书等材料。</w:t>
            </w:r>
          </w:p>
        </w:tc>
      </w:tr>
      <w:tr w14:paraId="40D0C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1" w:type="dxa"/>
          </w:tcPr>
          <w:p w14:paraId="65025E4C">
            <w:pPr>
              <w:widowControl w:val="0"/>
              <w:spacing w:line="400" w:lineRule="exact"/>
              <w:jc w:val="center"/>
              <w:rPr>
                <w:rFonts w:ascii="宋体" w:hAnsi="宋体" w:eastAsia="宋体" w:cs="宋体"/>
                <w:sz w:val="21"/>
                <w:szCs w:val="21"/>
              </w:rPr>
            </w:pPr>
            <w:r>
              <w:rPr>
                <w:rFonts w:hint="eastAsia" w:ascii="宋体" w:hAnsi="宋体" w:eastAsia="宋体" w:cs="宋体"/>
                <w:sz w:val="21"/>
                <w:szCs w:val="21"/>
              </w:rPr>
              <w:t>6</w:t>
            </w:r>
          </w:p>
        </w:tc>
        <w:tc>
          <w:tcPr>
            <w:tcW w:w="7811" w:type="dxa"/>
            <w:vAlign w:val="center"/>
          </w:tcPr>
          <w:p w14:paraId="26E88205">
            <w:pPr>
              <w:widowControl w:val="0"/>
              <w:spacing w:line="400" w:lineRule="exact"/>
              <w:jc w:val="left"/>
              <w:rPr>
                <w:rFonts w:ascii="宋体" w:hAnsi="宋体" w:eastAsia="宋体" w:cs="宋体"/>
                <w:kern w:val="2"/>
                <w:sz w:val="21"/>
                <w:szCs w:val="21"/>
              </w:rPr>
            </w:pPr>
            <w:r>
              <w:rPr>
                <w:rFonts w:hint="eastAsia" w:ascii="宋体" w:hAnsi="宋体" w:eastAsia="宋体" w:cs="宋体"/>
                <w:sz w:val="21"/>
                <w:szCs w:val="21"/>
              </w:rPr>
              <w:t>擅自将投标密钥或电子营业执照出借他人使用或未妥善保管。</w:t>
            </w:r>
          </w:p>
        </w:tc>
      </w:tr>
    </w:tbl>
    <w:p w14:paraId="25BC4C8F">
      <w:pPr>
        <w:spacing w:line="380" w:lineRule="exact"/>
        <w:ind w:firstLine="422" w:firstLineChars="200"/>
        <w:rPr>
          <w:rFonts w:ascii="宋体" w:hAnsi="宋体" w:eastAsia="宋体" w:cs="宋体"/>
          <w:b/>
          <w:sz w:val="21"/>
          <w:szCs w:val="21"/>
        </w:rPr>
      </w:pPr>
      <w:r>
        <w:rPr>
          <w:rFonts w:hint="eastAsia" w:ascii="宋体" w:hAnsi="宋体" w:eastAsia="宋体" w:cs="宋体"/>
          <w:b/>
          <w:sz w:val="21"/>
          <w:szCs w:val="21"/>
        </w:rPr>
        <w:t>一、我单位已充分知悉“隐瞒真实情况，提供虚假资料”的法定情形，包括但不限于：</w:t>
      </w:r>
    </w:p>
    <w:p w14:paraId="43D1D793">
      <w:pPr>
        <w:spacing w:line="380" w:lineRule="exact"/>
        <w:ind w:firstLine="420" w:firstLineChars="200"/>
        <w:rPr>
          <w:rFonts w:ascii="宋体" w:hAnsi="宋体" w:eastAsia="宋体" w:cs="宋体"/>
          <w:sz w:val="21"/>
          <w:szCs w:val="21"/>
        </w:rPr>
      </w:pPr>
      <w:r>
        <w:rPr>
          <w:rFonts w:hint="eastAsia" w:ascii="宋体" w:hAnsi="宋体" w:eastAsia="宋体" w:cs="宋体"/>
          <w:sz w:val="21"/>
          <w:szCs w:val="21"/>
        </w:rPr>
        <w:t>（一）通过转让或者租借等方式从其他单位获取资格或者资质证书投标的。</w:t>
      </w:r>
    </w:p>
    <w:p w14:paraId="64480322">
      <w:pPr>
        <w:spacing w:line="380" w:lineRule="exact"/>
        <w:ind w:firstLine="420" w:firstLineChars="200"/>
        <w:rPr>
          <w:rFonts w:ascii="宋体" w:hAnsi="宋体" w:eastAsia="宋体" w:cs="宋体"/>
          <w:sz w:val="21"/>
          <w:szCs w:val="21"/>
        </w:rPr>
      </w:pPr>
      <w:r>
        <w:rPr>
          <w:rFonts w:hint="eastAsia" w:ascii="宋体" w:hAnsi="宋体" w:eastAsia="宋体" w:cs="宋体"/>
          <w:sz w:val="21"/>
          <w:szCs w:val="21"/>
        </w:rPr>
        <w:t>（二）由其他单位或者其他单位负责人在投标供应商编制的投标文件上加盖印章或者签字的。</w:t>
      </w:r>
    </w:p>
    <w:p w14:paraId="39AD1C4C">
      <w:pPr>
        <w:spacing w:line="380" w:lineRule="exact"/>
        <w:ind w:firstLine="420" w:firstLineChars="200"/>
        <w:rPr>
          <w:rFonts w:ascii="宋体" w:hAnsi="宋体" w:eastAsia="宋体" w:cs="宋体"/>
          <w:sz w:val="21"/>
          <w:szCs w:val="21"/>
        </w:rPr>
      </w:pPr>
      <w:r>
        <w:rPr>
          <w:rFonts w:hint="eastAsia" w:ascii="宋体" w:hAnsi="宋体" w:eastAsia="宋体" w:cs="宋体"/>
          <w:sz w:val="21"/>
          <w:szCs w:val="21"/>
        </w:rPr>
        <w:t>（三）项目负责人或者主要技术人员不是本单位人员的。</w:t>
      </w:r>
    </w:p>
    <w:p w14:paraId="41236D7F">
      <w:pPr>
        <w:spacing w:line="380" w:lineRule="exact"/>
        <w:ind w:firstLine="420" w:firstLineChars="200"/>
        <w:rPr>
          <w:rFonts w:ascii="宋体" w:hAnsi="宋体" w:eastAsia="宋体" w:cs="宋体"/>
          <w:sz w:val="21"/>
          <w:szCs w:val="21"/>
        </w:rPr>
      </w:pPr>
      <w:r>
        <w:rPr>
          <w:rFonts w:hint="eastAsia" w:ascii="宋体" w:hAnsi="宋体" w:eastAsia="宋体" w:cs="宋体"/>
          <w:sz w:val="21"/>
          <w:szCs w:val="21"/>
        </w:rPr>
        <w:t>（四）投标保证金不是从投标供应商基本账户转出的。</w:t>
      </w:r>
    </w:p>
    <w:p w14:paraId="072C6B78">
      <w:pPr>
        <w:spacing w:line="380" w:lineRule="exact"/>
        <w:ind w:firstLine="420" w:firstLineChars="200"/>
        <w:rPr>
          <w:rFonts w:ascii="宋体" w:hAnsi="宋体" w:eastAsia="宋体" w:cs="宋体"/>
          <w:sz w:val="21"/>
          <w:szCs w:val="21"/>
        </w:rPr>
      </w:pPr>
      <w:r>
        <w:rPr>
          <w:rFonts w:hint="eastAsia" w:ascii="宋体" w:hAnsi="宋体" w:eastAsia="宋体" w:cs="宋体"/>
          <w:sz w:val="21"/>
          <w:szCs w:val="21"/>
        </w:rPr>
        <w:t>（五）其他隐瞒真实情况、提供虚假资料的行为。</w:t>
      </w:r>
    </w:p>
    <w:p w14:paraId="4E239543">
      <w:pPr>
        <w:spacing w:line="380" w:lineRule="exact"/>
        <w:ind w:firstLine="422" w:firstLineChars="200"/>
        <w:rPr>
          <w:rFonts w:ascii="宋体" w:hAnsi="宋体" w:eastAsia="宋体" w:cs="宋体"/>
          <w:b/>
          <w:sz w:val="21"/>
          <w:szCs w:val="21"/>
        </w:rPr>
      </w:pPr>
      <w:r>
        <w:rPr>
          <w:rFonts w:hint="eastAsia" w:ascii="宋体" w:hAnsi="宋体" w:eastAsia="宋体" w:cs="宋体"/>
          <w:b/>
          <w:sz w:val="21"/>
          <w:szCs w:val="21"/>
        </w:rPr>
        <w:t>二、我单位已充分知悉“与其他采购参加人串通投标”的法定情形，包括但不限于：</w:t>
      </w:r>
    </w:p>
    <w:p w14:paraId="46220DCC">
      <w:pPr>
        <w:spacing w:line="380" w:lineRule="exact"/>
        <w:ind w:firstLine="420" w:firstLineChars="200"/>
        <w:rPr>
          <w:rFonts w:ascii="宋体" w:hAnsi="宋体" w:eastAsia="宋体" w:cs="宋体"/>
          <w:sz w:val="21"/>
          <w:szCs w:val="21"/>
        </w:rPr>
      </w:pPr>
      <w:r>
        <w:rPr>
          <w:rFonts w:hint="eastAsia" w:ascii="宋体" w:hAnsi="宋体" w:eastAsia="宋体" w:cs="宋体"/>
          <w:sz w:val="21"/>
          <w:szCs w:val="21"/>
        </w:rPr>
        <w:t>（一）投标供应商之间相互约定给予未中标的供应商利益补偿。</w:t>
      </w:r>
    </w:p>
    <w:p w14:paraId="23781883">
      <w:pPr>
        <w:spacing w:line="380" w:lineRule="exact"/>
        <w:ind w:firstLine="420" w:firstLineChars="200"/>
        <w:rPr>
          <w:rFonts w:ascii="宋体" w:hAnsi="宋体" w:eastAsia="宋体" w:cs="宋体"/>
          <w:sz w:val="21"/>
          <w:szCs w:val="21"/>
        </w:rPr>
      </w:pPr>
      <w:r>
        <w:rPr>
          <w:rFonts w:hint="eastAsia" w:ascii="宋体" w:hAnsi="宋体" w:eastAsia="宋体" w:cs="宋体"/>
          <w:sz w:val="21"/>
          <w:szCs w:val="21"/>
        </w:rPr>
        <w:t>（二）不同投标供应商的法定代表人、主要经营负责人、项目投标授权代表人、项目负责人、主要技术人员为同一人、属同一单位或者在同一单位缴纳社会保险。</w:t>
      </w:r>
    </w:p>
    <w:p w14:paraId="5151256B">
      <w:pPr>
        <w:spacing w:line="340" w:lineRule="exact"/>
        <w:ind w:firstLine="420" w:firstLineChars="200"/>
        <w:rPr>
          <w:rFonts w:ascii="宋体" w:hAnsi="宋体" w:eastAsia="宋体" w:cs="宋体"/>
          <w:sz w:val="21"/>
          <w:szCs w:val="21"/>
        </w:rPr>
      </w:pPr>
      <w:r>
        <w:rPr>
          <w:rFonts w:hint="eastAsia" w:ascii="宋体" w:hAnsi="宋体" w:eastAsia="宋体" w:cs="宋体"/>
          <w:sz w:val="21"/>
          <w:szCs w:val="21"/>
        </w:rPr>
        <w:t>（三）不同投标供应商的投标文件由同一单位或者同一人编制，或者由同一人分阶段参与编制的。</w:t>
      </w:r>
    </w:p>
    <w:p w14:paraId="31154CD1">
      <w:pPr>
        <w:spacing w:line="340" w:lineRule="exact"/>
        <w:ind w:firstLine="420" w:firstLineChars="200"/>
        <w:rPr>
          <w:rFonts w:ascii="宋体" w:hAnsi="宋体" w:eastAsia="宋体" w:cs="宋体"/>
          <w:sz w:val="21"/>
          <w:szCs w:val="21"/>
        </w:rPr>
      </w:pPr>
      <w:r>
        <w:rPr>
          <w:rFonts w:hint="eastAsia" w:ascii="宋体" w:hAnsi="宋体" w:eastAsia="宋体" w:cs="宋体"/>
          <w:sz w:val="21"/>
          <w:szCs w:val="21"/>
        </w:rPr>
        <w:t>（四）不同投标供应商的投标文件或部分投标文件相互混装。</w:t>
      </w:r>
    </w:p>
    <w:p w14:paraId="1930CAB1">
      <w:pPr>
        <w:spacing w:line="340" w:lineRule="exact"/>
        <w:ind w:firstLine="420" w:firstLineChars="200"/>
        <w:rPr>
          <w:rFonts w:ascii="宋体" w:hAnsi="宋体" w:eastAsia="宋体" w:cs="宋体"/>
          <w:sz w:val="21"/>
          <w:szCs w:val="21"/>
        </w:rPr>
      </w:pPr>
      <w:r>
        <w:rPr>
          <w:rFonts w:hint="eastAsia" w:ascii="宋体" w:hAnsi="宋体" w:eastAsia="宋体" w:cs="宋体"/>
          <w:sz w:val="21"/>
          <w:szCs w:val="21"/>
        </w:rPr>
        <w:t>（五）不同投标供应商的投标文件内容存在非正常一致。</w:t>
      </w:r>
    </w:p>
    <w:p w14:paraId="7FDC96D4">
      <w:pPr>
        <w:spacing w:line="340" w:lineRule="exact"/>
        <w:ind w:firstLine="420" w:firstLineChars="200"/>
        <w:rPr>
          <w:rFonts w:ascii="宋体" w:hAnsi="宋体" w:eastAsia="宋体" w:cs="宋体"/>
          <w:sz w:val="21"/>
          <w:szCs w:val="21"/>
        </w:rPr>
      </w:pPr>
      <w:r>
        <w:rPr>
          <w:rFonts w:hint="eastAsia" w:ascii="宋体" w:hAnsi="宋体" w:eastAsia="宋体" w:cs="宋体"/>
          <w:sz w:val="21"/>
          <w:szCs w:val="21"/>
        </w:rPr>
        <w:t>（六）由同一单位工作人员为两家以上（含两家）供应商进行同一项投标活动的。</w:t>
      </w:r>
    </w:p>
    <w:p w14:paraId="4C933B80">
      <w:pPr>
        <w:spacing w:line="340" w:lineRule="exact"/>
        <w:ind w:firstLine="420" w:firstLineChars="200"/>
        <w:rPr>
          <w:rFonts w:ascii="宋体" w:hAnsi="宋体" w:eastAsia="宋体" w:cs="宋体"/>
          <w:sz w:val="21"/>
          <w:szCs w:val="21"/>
        </w:rPr>
      </w:pPr>
      <w:r>
        <w:rPr>
          <w:rFonts w:hint="eastAsia" w:ascii="宋体" w:hAnsi="宋体" w:eastAsia="宋体" w:cs="宋体"/>
          <w:sz w:val="21"/>
          <w:szCs w:val="21"/>
        </w:rPr>
        <w:t>（七）不同投标人的投标报价呈规律性差异。</w:t>
      </w:r>
    </w:p>
    <w:p w14:paraId="475E7A56">
      <w:pPr>
        <w:spacing w:line="340" w:lineRule="exact"/>
        <w:ind w:firstLine="420" w:firstLineChars="200"/>
        <w:rPr>
          <w:rFonts w:ascii="宋体" w:hAnsi="宋体" w:eastAsia="宋体" w:cs="宋体"/>
          <w:sz w:val="21"/>
          <w:szCs w:val="21"/>
        </w:rPr>
      </w:pPr>
      <w:r>
        <w:rPr>
          <w:rFonts w:hint="eastAsia" w:ascii="宋体" w:hAnsi="宋体" w:eastAsia="宋体" w:cs="宋体"/>
          <w:sz w:val="21"/>
          <w:szCs w:val="21"/>
        </w:rPr>
        <w:t>（八）不同投标人的投标保证金从同一单位或者个人的账户转出。</w:t>
      </w:r>
    </w:p>
    <w:p w14:paraId="0E88111C">
      <w:pPr>
        <w:spacing w:line="340" w:lineRule="exact"/>
        <w:ind w:firstLine="420" w:firstLineChars="200"/>
        <w:rPr>
          <w:rFonts w:ascii="宋体" w:hAnsi="宋体" w:eastAsia="宋体" w:cs="宋体"/>
          <w:sz w:val="21"/>
          <w:szCs w:val="21"/>
        </w:rPr>
      </w:pPr>
      <w:r>
        <w:rPr>
          <w:rFonts w:hint="eastAsia" w:ascii="宋体" w:hAnsi="宋体" w:eastAsia="宋体" w:cs="宋体"/>
          <w:sz w:val="21"/>
          <w:szCs w:val="21"/>
        </w:rPr>
        <w:t>（九）主管部门依照法律、法规认定的其他情形。</w:t>
      </w:r>
    </w:p>
    <w:p w14:paraId="150506D0">
      <w:pPr>
        <w:spacing w:line="340" w:lineRule="exact"/>
        <w:ind w:firstLine="422" w:firstLineChars="200"/>
        <w:rPr>
          <w:rFonts w:ascii="宋体" w:hAnsi="宋体" w:eastAsia="宋体" w:cs="宋体"/>
          <w:b/>
          <w:sz w:val="21"/>
          <w:szCs w:val="21"/>
        </w:rPr>
      </w:pPr>
      <w:r>
        <w:rPr>
          <w:rFonts w:hint="eastAsia" w:ascii="宋体" w:hAnsi="宋体" w:eastAsia="宋体" w:cs="宋体"/>
          <w:b/>
          <w:sz w:val="21"/>
          <w:szCs w:val="21"/>
        </w:rPr>
        <w:t>三、我单位已充分知悉下列情形存在法律风险，在投标前已对相关风险事项进行排查。</w:t>
      </w:r>
    </w:p>
    <w:p w14:paraId="7CE31068">
      <w:pPr>
        <w:spacing w:line="340" w:lineRule="exact"/>
        <w:ind w:firstLine="420" w:firstLineChars="200"/>
        <w:rPr>
          <w:rFonts w:ascii="宋体" w:hAnsi="宋体" w:eastAsia="宋体" w:cs="宋体"/>
          <w:b/>
          <w:sz w:val="21"/>
          <w:szCs w:val="21"/>
        </w:rPr>
      </w:pPr>
      <w:r>
        <w:rPr>
          <w:rFonts w:hint="eastAsia" w:ascii="宋体" w:hAnsi="宋体" w:eastAsia="宋体" w:cs="宋体"/>
          <w:sz w:val="21"/>
          <w:szCs w:val="21"/>
        </w:rPr>
        <w:t>（一）对于从其他主体获取的投标资料，我单位应审慎核查，确保其真实性。</w:t>
      </w:r>
      <w:r>
        <w:rPr>
          <w:rFonts w:hint="eastAsia" w:ascii="宋体" w:hAnsi="宋体" w:eastAsia="宋体" w:cs="宋体"/>
          <w:b/>
          <w:sz w:val="21"/>
          <w:szCs w:val="21"/>
        </w:rPr>
        <w:t>如主管部门查实投标文件中存在虚假资料的，无论相关资料是否由第三方或本公司员工提供，均不影响主管部门对供应商存在“隐瞒真实情况，提供虚假资料”违法行为的认定。</w:t>
      </w:r>
    </w:p>
    <w:p w14:paraId="2DF9647D">
      <w:pPr>
        <w:spacing w:line="340" w:lineRule="exact"/>
        <w:ind w:firstLine="420" w:firstLineChars="200"/>
        <w:rPr>
          <w:rFonts w:ascii="宋体" w:hAnsi="宋体" w:eastAsia="宋体" w:cs="宋体"/>
          <w:sz w:val="21"/>
          <w:szCs w:val="21"/>
        </w:rPr>
      </w:pPr>
      <w:r>
        <w:rPr>
          <w:rFonts w:hint="eastAsia" w:ascii="宋体" w:hAnsi="宋体" w:eastAsia="宋体" w:cs="宋体"/>
          <w:sz w:val="21"/>
          <w:szCs w:val="21"/>
        </w:rPr>
        <w:t>（二）对于涉及国家机关出具的公文、证件、证明材料等文件，一旦涉嫌虚假，经查实，主管部门将依法从严处理，并移送有关部门追究法律责任；涉嫌犯罪的，移送司法机关处理。</w:t>
      </w:r>
    </w:p>
    <w:p w14:paraId="5390C8E1">
      <w:pPr>
        <w:spacing w:line="340" w:lineRule="exact"/>
        <w:ind w:firstLine="420" w:firstLineChars="200"/>
        <w:rPr>
          <w:rFonts w:ascii="宋体" w:hAnsi="宋体" w:eastAsia="宋体" w:cs="宋体"/>
          <w:sz w:val="21"/>
          <w:szCs w:val="21"/>
        </w:rPr>
      </w:pPr>
      <w:r>
        <w:rPr>
          <w:rFonts w:hint="eastAsia" w:ascii="宋体" w:hAnsi="宋体" w:eastAsia="宋体" w:cs="宋体"/>
          <w:sz w:val="21"/>
          <w:szCs w:val="21"/>
        </w:rPr>
        <w:t>（三）我单位对投标电子密钥或电子营业执照负有妥善保管、及时变更和续期等主体责任；使用电子密钥或电子营业执照在深圳政府采购网站进行的活动，均具有法律效力，须承担相应的法律后果。若</w:t>
      </w:r>
      <w:r>
        <w:rPr>
          <w:rFonts w:hint="eastAsia" w:ascii="宋体" w:hAnsi="宋体" w:eastAsia="宋体" w:cs="宋体"/>
          <w:b/>
          <w:bCs/>
          <w:sz w:val="21"/>
          <w:szCs w:val="21"/>
        </w:rPr>
        <w:t>擅自将投标密钥或电子营业执照出借他人使用所造成的法律后果，由我单位自行承担</w:t>
      </w:r>
      <w:r>
        <w:rPr>
          <w:rFonts w:hint="eastAsia" w:ascii="宋体" w:hAnsi="宋体" w:eastAsia="宋体" w:cs="宋体"/>
          <w:sz w:val="21"/>
          <w:szCs w:val="21"/>
        </w:rPr>
        <w:t>。</w:t>
      </w:r>
    </w:p>
    <w:p w14:paraId="747745CA">
      <w:pPr>
        <w:spacing w:line="340" w:lineRule="exact"/>
        <w:ind w:firstLine="422" w:firstLineChars="200"/>
        <w:rPr>
          <w:rFonts w:ascii="宋体" w:hAnsi="宋体" w:eastAsia="宋体" w:cs="宋体"/>
          <w:b/>
          <w:sz w:val="21"/>
          <w:szCs w:val="21"/>
        </w:rPr>
      </w:pPr>
      <w:r>
        <w:rPr>
          <w:rFonts w:hint="eastAsia" w:ascii="宋体" w:hAnsi="宋体" w:eastAsia="宋体" w:cs="宋体"/>
          <w:b/>
          <w:sz w:val="21"/>
          <w:szCs w:val="21"/>
        </w:rPr>
        <w:t>四、我单位已充分知悉政府采购违法、违规行为的法律后果。</w:t>
      </w:r>
    </w:p>
    <w:p w14:paraId="1EBD3F5C">
      <w:pPr>
        <w:spacing w:line="340" w:lineRule="exact"/>
        <w:ind w:firstLine="420" w:firstLineChars="200"/>
        <w:rPr>
          <w:rFonts w:ascii="宋体" w:hAnsi="宋体" w:eastAsia="宋体" w:cs="宋体"/>
          <w:sz w:val="21"/>
          <w:szCs w:val="21"/>
        </w:rPr>
      </w:pPr>
      <w:r>
        <w:rPr>
          <w:rFonts w:hint="eastAsia" w:ascii="宋体" w:hAnsi="宋体" w:eastAsia="宋体" w:cs="宋体"/>
          <w:sz w:val="21"/>
          <w:szCs w:val="21"/>
        </w:rPr>
        <w:t>经查实，若我单位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分之二十以上千分之三十以下罚款，由市场监管部门依法吊销营业执照。</w:t>
      </w:r>
    </w:p>
    <w:p w14:paraId="5D347254">
      <w:pPr>
        <w:spacing w:line="340" w:lineRule="exact"/>
        <w:ind w:firstLine="420" w:firstLineChars="200"/>
        <w:rPr>
          <w:rFonts w:ascii="宋体" w:hAnsi="宋体" w:eastAsia="宋体" w:cs="宋体"/>
          <w:sz w:val="21"/>
          <w:szCs w:val="21"/>
        </w:rPr>
      </w:pPr>
      <w:r>
        <w:rPr>
          <w:rFonts w:hint="eastAsia" w:ascii="宋体" w:hAnsi="宋体" w:eastAsia="宋体" w:cs="宋体"/>
          <w:sz w:val="21"/>
          <w:szCs w:val="21"/>
        </w:rPr>
        <w:t>以下文字请投标供应商抄写并确认：“我单位已仔细阅读《政府采购违法行为风险知悉确认书》，充分知悉违法行为的法律后果，并承诺将严谨、诚信、依法依规参与政府采购活动”。</w:t>
      </w:r>
    </w:p>
    <w:tbl>
      <w:tblPr>
        <w:tblStyle w:val="77"/>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31046790">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tcPr>
          <w:p w14:paraId="4012EC6A">
            <w:pPr>
              <w:widowControl w:val="0"/>
              <w:autoSpaceDE w:val="0"/>
              <w:autoSpaceDN w:val="0"/>
              <w:spacing w:line="340" w:lineRule="exact"/>
              <w:ind w:firstLine="1866"/>
              <w:jc w:val="both"/>
              <w:rPr>
                <w:rFonts w:ascii="宋体" w:hAnsi="宋体" w:eastAsia="宋体" w:cs="宋体"/>
                <w:spacing w:val="-4"/>
                <w:sz w:val="21"/>
                <w:szCs w:val="21"/>
              </w:rPr>
            </w:pPr>
          </w:p>
        </w:tc>
      </w:tr>
      <w:tr w14:paraId="28FB183F">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1105DCFA">
            <w:pPr>
              <w:widowControl w:val="0"/>
              <w:autoSpaceDE w:val="0"/>
              <w:autoSpaceDN w:val="0"/>
              <w:spacing w:line="340" w:lineRule="exact"/>
              <w:ind w:firstLine="1866"/>
              <w:jc w:val="both"/>
              <w:rPr>
                <w:rFonts w:ascii="宋体" w:hAnsi="宋体" w:eastAsia="宋体" w:cs="宋体"/>
                <w:spacing w:val="-4"/>
                <w:sz w:val="21"/>
                <w:szCs w:val="21"/>
              </w:rPr>
            </w:pPr>
          </w:p>
        </w:tc>
      </w:tr>
      <w:tr w14:paraId="3449EBB4">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43DDEFEB">
            <w:pPr>
              <w:widowControl w:val="0"/>
              <w:autoSpaceDE w:val="0"/>
              <w:autoSpaceDN w:val="0"/>
              <w:spacing w:line="340" w:lineRule="exact"/>
              <w:ind w:firstLine="1866"/>
              <w:jc w:val="both"/>
              <w:rPr>
                <w:rFonts w:ascii="宋体" w:hAnsi="宋体" w:eastAsia="宋体" w:cs="宋体"/>
                <w:spacing w:val="-4"/>
                <w:sz w:val="21"/>
                <w:szCs w:val="21"/>
              </w:rPr>
            </w:pPr>
          </w:p>
        </w:tc>
      </w:tr>
      <w:tr w14:paraId="571FF656">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tcPr>
          <w:p w14:paraId="12E4305C">
            <w:pPr>
              <w:widowControl w:val="0"/>
              <w:autoSpaceDE w:val="0"/>
              <w:autoSpaceDN w:val="0"/>
              <w:spacing w:line="340" w:lineRule="exact"/>
              <w:ind w:firstLine="1866"/>
              <w:jc w:val="both"/>
              <w:rPr>
                <w:rFonts w:ascii="宋体" w:hAnsi="宋体" w:eastAsia="宋体" w:cs="宋体"/>
                <w:spacing w:val="-4"/>
                <w:sz w:val="21"/>
                <w:szCs w:val="21"/>
              </w:rPr>
            </w:pPr>
          </w:p>
        </w:tc>
      </w:tr>
    </w:tbl>
    <w:p w14:paraId="003A34F0">
      <w:pPr>
        <w:wordWrap w:val="0"/>
        <w:autoSpaceDE w:val="0"/>
        <w:autoSpaceDN w:val="0"/>
        <w:spacing w:line="340" w:lineRule="exact"/>
        <w:ind w:right="808" w:firstLine="404" w:firstLineChars="200"/>
        <w:jc w:val="right"/>
        <w:rPr>
          <w:rFonts w:ascii="宋体" w:hAnsi="宋体" w:eastAsia="宋体" w:cs="宋体"/>
          <w:spacing w:val="-4"/>
          <w:sz w:val="21"/>
          <w:szCs w:val="21"/>
        </w:rPr>
      </w:pPr>
    </w:p>
    <w:p w14:paraId="540D79AF">
      <w:pPr>
        <w:wordWrap w:val="0"/>
        <w:autoSpaceDE w:val="0"/>
        <w:autoSpaceDN w:val="0"/>
        <w:spacing w:line="340" w:lineRule="exact"/>
        <w:ind w:right="808" w:firstLine="404" w:firstLineChars="200"/>
        <w:jc w:val="right"/>
        <w:rPr>
          <w:rFonts w:ascii="宋体" w:hAnsi="宋体" w:eastAsia="宋体" w:cs="宋体"/>
          <w:spacing w:val="-4"/>
          <w:sz w:val="21"/>
          <w:szCs w:val="21"/>
          <w:u w:val="single"/>
        </w:rPr>
      </w:pPr>
      <w:r>
        <w:rPr>
          <w:rFonts w:hint="eastAsia" w:ascii="宋体" w:hAnsi="宋体" w:eastAsia="宋体" w:cs="宋体"/>
          <w:spacing w:val="-4"/>
          <w:sz w:val="21"/>
          <w:szCs w:val="21"/>
        </w:rPr>
        <w:t>单位负责人签名：</w:t>
      </w:r>
      <w:r>
        <w:rPr>
          <w:rFonts w:hint="eastAsia" w:ascii="宋体" w:hAnsi="宋体" w:eastAsia="宋体" w:cs="宋体"/>
          <w:spacing w:val="-4"/>
          <w:sz w:val="21"/>
          <w:szCs w:val="21"/>
          <w:u w:val="single"/>
        </w:rPr>
        <w:t xml:space="preserve">              </w:t>
      </w:r>
    </w:p>
    <w:p w14:paraId="240205A5">
      <w:pPr>
        <w:wordWrap w:val="0"/>
        <w:autoSpaceDE w:val="0"/>
        <w:autoSpaceDN w:val="0"/>
        <w:spacing w:line="340" w:lineRule="exact"/>
        <w:ind w:right="808" w:firstLine="404" w:firstLineChars="200"/>
        <w:jc w:val="center"/>
        <w:rPr>
          <w:rFonts w:ascii="宋体" w:hAnsi="宋体" w:eastAsia="宋体" w:cs="宋体"/>
          <w:spacing w:val="-4"/>
          <w:sz w:val="21"/>
          <w:szCs w:val="21"/>
          <w:u w:val="single"/>
        </w:rPr>
      </w:pPr>
      <w:r>
        <w:rPr>
          <w:rFonts w:hint="eastAsia" w:ascii="宋体" w:hAnsi="宋体" w:eastAsia="宋体" w:cs="宋体"/>
          <w:spacing w:val="-4"/>
          <w:sz w:val="21"/>
          <w:szCs w:val="21"/>
        </w:rPr>
        <w:t xml:space="preserve">                                 （加盖公章）</w:t>
      </w:r>
    </w:p>
    <w:p w14:paraId="7C9F4F59">
      <w:pPr>
        <w:wordWrap w:val="0"/>
        <w:autoSpaceDE w:val="0"/>
        <w:autoSpaceDN w:val="0"/>
        <w:spacing w:line="340" w:lineRule="exact"/>
        <w:ind w:right="808" w:firstLine="404" w:firstLineChars="200"/>
        <w:jc w:val="right"/>
        <w:rPr>
          <w:rFonts w:ascii="宋体" w:hAnsi="宋体" w:eastAsia="宋体" w:cs="宋体"/>
          <w:spacing w:val="-4"/>
          <w:sz w:val="21"/>
          <w:szCs w:val="21"/>
          <w:u w:val="single"/>
        </w:rPr>
      </w:pPr>
      <w:r>
        <w:rPr>
          <w:rFonts w:hint="eastAsia" w:ascii="宋体" w:hAnsi="宋体" w:eastAsia="宋体" w:cs="宋体"/>
          <w:spacing w:val="-4"/>
          <w:sz w:val="21"/>
          <w:szCs w:val="21"/>
        </w:rPr>
        <w:t xml:space="preserve">     日期：</w:t>
      </w:r>
      <w:r>
        <w:rPr>
          <w:rFonts w:hint="eastAsia" w:ascii="宋体" w:hAnsi="宋体" w:eastAsia="宋体" w:cs="宋体"/>
          <w:spacing w:val="-4"/>
          <w:sz w:val="21"/>
          <w:szCs w:val="21"/>
          <w:u w:val="single"/>
        </w:rPr>
        <w:t xml:space="preserve">              </w:t>
      </w:r>
    </w:p>
    <w:p w14:paraId="06B40352">
      <w:pPr>
        <w:autoSpaceDE w:val="0"/>
        <w:autoSpaceDN w:val="0"/>
        <w:spacing w:line="340" w:lineRule="exact"/>
        <w:ind w:firstLine="406" w:firstLineChars="200"/>
        <w:rPr>
          <w:rFonts w:ascii="宋体" w:hAnsi="宋体" w:eastAsia="宋体" w:cs="宋体"/>
          <w:b/>
          <w:bCs/>
          <w:spacing w:val="-4"/>
          <w:sz w:val="21"/>
          <w:szCs w:val="21"/>
        </w:rPr>
      </w:pPr>
    </w:p>
    <w:p w14:paraId="42F0092D">
      <w:pPr>
        <w:spacing w:line="360" w:lineRule="auto"/>
        <w:ind w:firstLine="406" w:firstLineChars="200"/>
        <w:rPr>
          <w:b/>
          <w:color w:val="FF0000"/>
          <w:szCs w:val="21"/>
        </w:rPr>
      </w:pPr>
      <w:r>
        <w:rPr>
          <w:rFonts w:hint="eastAsia" w:ascii="宋体" w:hAnsi="宋体" w:eastAsia="宋体" w:cs="宋体"/>
          <w:b/>
          <w:bCs/>
          <w:spacing w:val="-4"/>
          <w:sz w:val="21"/>
          <w:szCs w:val="21"/>
        </w:rPr>
        <w:t>注：《政府采购违法行为风险知悉确认书》需由投标供应商负责人签字并加盖单位公章后，扫描上传至投标文件一并提交。</w:t>
      </w:r>
    </w:p>
    <w:p w14:paraId="0D9CD985">
      <w:pPr>
        <w:spacing w:line="360" w:lineRule="auto"/>
        <w:rPr>
          <w:b/>
          <w:szCs w:val="21"/>
        </w:rPr>
      </w:pPr>
    </w:p>
    <w:p w14:paraId="55517272">
      <w:pPr>
        <w:rPr>
          <w:rFonts w:ascii="黑体"/>
        </w:rPr>
      </w:pPr>
      <w:r>
        <w:rPr>
          <w:rFonts w:hint="eastAsia" w:ascii="黑体"/>
        </w:rPr>
        <w:br w:type="page"/>
      </w:r>
    </w:p>
    <w:p w14:paraId="40766462">
      <w:pPr>
        <w:jc w:val="center"/>
        <w:outlineLvl w:val="3"/>
        <w:rPr>
          <w:bCs/>
        </w:rPr>
      </w:pPr>
      <w:r>
        <w:rPr>
          <w:rFonts w:hint="eastAsia" w:ascii="黑体" w:eastAsia="黑体"/>
        </w:rPr>
        <w:t>四、项目详细报价</w:t>
      </w:r>
    </w:p>
    <w:p w14:paraId="0C4DA5D4">
      <w:pPr>
        <w:tabs>
          <w:tab w:val="left" w:pos="720"/>
        </w:tabs>
        <w:jc w:val="center"/>
        <w:outlineLvl w:val="4"/>
        <w:rPr>
          <w:b/>
        </w:rPr>
      </w:pPr>
      <w:r>
        <w:rPr>
          <w:rFonts w:hint="eastAsia" w:ascii="宋体" w:hAnsi="宋体" w:eastAsia="宋体" w:cs="宋体"/>
          <w:b/>
        </w:rPr>
        <w:t>（</w:t>
      </w:r>
      <w:r>
        <w:rPr>
          <w:rFonts w:hint="eastAsia"/>
          <w:b/>
        </w:rPr>
        <w:t>一）分项报价表</w:t>
      </w:r>
    </w:p>
    <w:tbl>
      <w:tblPr>
        <w:tblStyle w:val="28"/>
        <w:tblW w:w="992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34"/>
        <w:gridCol w:w="2563"/>
        <w:gridCol w:w="984"/>
        <w:gridCol w:w="978"/>
        <w:gridCol w:w="928"/>
        <w:gridCol w:w="958"/>
        <w:gridCol w:w="651"/>
        <w:gridCol w:w="526"/>
        <w:gridCol w:w="804"/>
        <w:gridCol w:w="795"/>
      </w:tblGrid>
      <w:tr w14:paraId="4A01E2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01" w:hRule="atLeast"/>
          <w:jc w:val="center"/>
        </w:trPr>
        <w:tc>
          <w:tcPr>
            <w:tcW w:w="734" w:type="dxa"/>
            <w:tcBorders>
              <w:tl2br w:val="nil"/>
              <w:tr2bl w:val="nil"/>
            </w:tcBorders>
            <w:vAlign w:val="center"/>
          </w:tcPr>
          <w:p w14:paraId="4C4B34C7">
            <w:pPr>
              <w:jc w:val="center"/>
              <w:rPr>
                <w:rFonts w:ascii="宋体" w:hAnsi="宋体" w:eastAsia="宋体" w:cs="宋体"/>
                <w:b/>
                <w:szCs w:val="21"/>
              </w:rPr>
            </w:pPr>
            <w:r>
              <w:rPr>
                <w:rFonts w:hint="eastAsia" w:ascii="宋体" w:hAnsi="宋体" w:eastAsia="宋体" w:cs="宋体"/>
                <w:b/>
                <w:szCs w:val="21"/>
              </w:rPr>
              <w:t>序号</w:t>
            </w:r>
          </w:p>
        </w:tc>
        <w:tc>
          <w:tcPr>
            <w:tcW w:w="2563" w:type="dxa"/>
            <w:tcBorders>
              <w:tl2br w:val="nil"/>
              <w:tr2bl w:val="nil"/>
            </w:tcBorders>
            <w:vAlign w:val="center"/>
          </w:tcPr>
          <w:p w14:paraId="7D2B7E25">
            <w:pPr>
              <w:jc w:val="center"/>
              <w:rPr>
                <w:rFonts w:ascii="宋体" w:hAnsi="宋体" w:eastAsia="宋体" w:cs="宋体"/>
                <w:b/>
                <w:szCs w:val="21"/>
              </w:rPr>
            </w:pPr>
            <w:r>
              <w:rPr>
                <w:rFonts w:hint="eastAsia" w:ascii="宋体" w:hAnsi="宋体" w:eastAsia="宋体" w:cs="宋体"/>
                <w:b/>
                <w:szCs w:val="21"/>
              </w:rPr>
              <w:t>货物名称</w:t>
            </w:r>
          </w:p>
        </w:tc>
        <w:tc>
          <w:tcPr>
            <w:tcW w:w="984" w:type="dxa"/>
            <w:tcBorders>
              <w:tl2br w:val="nil"/>
              <w:tr2bl w:val="nil"/>
            </w:tcBorders>
            <w:vAlign w:val="center"/>
          </w:tcPr>
          <w:p w14:paraId="1C218050">
            <w:pPr>
              <w:jc w:val="center"/>
              <w:rPr>
                <w:rFonts w:ascii="宋体" w:hAnsi="宋体" w:eastAsia="宋体" w:cs="宋体"/>
                <w:b/>
                <w:szCs w:val="21"/>
              </w:rPr>
            </w:pPr>
            <w:r>
              <w:rPr>
                <w:rFonts w:hint="eastAsia" w:ascii="宋体" w:hAnsi="宋体" w:eastAsia="宋体" w:cs="宋体"/>
                <w:b/>
                <w:szCs w:val="21"/>
              </w:rPr>
              <w:t>品牌</w:t>
            </w:r>
          </w:p>
        </w:tc>
        <w:tc>
          <w:tcPr>
            <w:tcW w:w="978" w:type="dxa"/>
            <w:tcBorders>
              <w:tl2br w:val="nil"/>
              <w:tr2bl w:val="nil"/>
            </w:tcBorders>
            <w:vAlign w:val="center"/>
          </w:tcPr>
          <w:p w14:paraId="11744AD5">
            <w:pPr>
              <w:jc w:val="center"/>
              <w:rPr>
                <w:rFonts w:ascii="宋体" w:hAnsi="宋体" w:eastAsia="宋体" w:cs="宋体"/>
                <w:b/>
                <w:szCs w:val="21"/>
              </w:rPr>
            </w:pPr>
            <w:r>
              <w:rPr>
                <w:rFonts w:hint="eastAsia" w:ascii="宋体" w:hAnsi="宋体" w:eastAsia="宋体" w:cs="宋体"/>
                <w:b/>
                <w:szCs w:val="21"/>
              </w:rPr>
              <w:t>规格/型号</w:t>
            </w:r>
          </w:p>
        </w:tc>
        <w:tc>
          <w:tcPr>
            <w:tcW w:w="928" w:type="dxa"/>
            <w:tcBorders>
              <w:tl2br w:val="nil"/>
              <w:tr2bl w:val="nil"/>
            </w:tcBorders>
            <w:vAlign w:val="center"/>
          </w:tcPr>
          <w:p w14:paraId="5D8F26E3">
            <w:pPr>
              <w:jc w:val="center"/>
              <w:rPr>
                <w:rFonts w:ascii="宋体" w:hAnsi="宋体" w:eastAsia="宋体" w:cs="宋体"/>
                <w:b/>
                <w:szCs w:val="21"/>
              </w:rPr>
            </w:pPr>
            <w:r>
              <w:rPr>
                <w:rFonts w:hint="eastAsia" w:ascii="宋体" w:hAnsi="宋体" w:eastAsia="宋体" w:cs="宋体"/>
                <w:b/>
                <w:szCs w:val="21"/>
              </w:rPr>
              <w:t>原产地</w:t>
            </w:r>
          </w:p>
        </w:tc>
        <w:tc>
          <w:tcPr>
            <w:tcW w:w="958" w:type="dxa"/>
            <w:tcBorders>
              <w:tl2br w:val="nil"/>
              <w:tr2bl w:val="nil"/>
            </w:tcBorders>
            <w:vAlign w:val="center"/>
          </w:tcPr>
          <w:p w14:paraId="736BA5DC">
            <w:pPr>
              <w:jc w:val="center"/>
              <w:rPr>
                <w:rFonts w:ascii="宋体" w:hAnsi="宋体" w:eastAsia="宋体" w:cs="宋体"/>
                <w:b/>
                <w:szCs w:val="21"/>
              </w:rPr>
            </w:pPr>
            <w:r>
              <w:rPr>
                <w:rFonts w:hint="eastAsia" w:ascii="宋体" w:hAnsi="宋体" w:eastAsia="宋体" w:cs="宋体"/>
                <w:b/>
                <w:szCs w:val="21"/>
              </w:rPr>
              <w:t>制造商名称</w:t>
            </w:r>
          </w:p>
        </w:tc>
        <w:tc>
          <w:tcPr>
            <w:tcW w:w="651" w:type="dxa"/>
            <w:tcBorders>
              <w:tl2br w:val="nil"/>
              <w:tr2bl w:val="nil"/>
            </w:tcBorders>
            <w:vAlign w:val="center"/>
          </w:tcPr>
          <w:p w14:paraId="1A43224C">
            <w:pPr>
              <w:jc w:val="center"/>
              <w:rPr>
                <w:rFonts w:ascii="宋体" w:hAnsi="宋体" w:eastAsia="宋体" w:cs="宋体"/>
                <w:b/>
                <w:szCs w:val="21"/>
              </w:rPr>
            </w:pPr>
            <w:r>
              <w:rPr>
                <w:rFonts w:hint="eastAsia" w:ascii="宋体" w:hAnsi="宋体" w:eastAsia="宋体" w:cs="宋体"/>
                <w:b/>
                <w:szCs w:val="21"/>
              </w:rPr>
              <w:t>数量</w:t>
            </w:r>
          </w:p>
        </w:tc>
        <w:tc>
          <w:tcPr>
            <w:tcW w:w="526" w:type="dxa"/>
            <w:tcBorders>
              <w:tl2br w:val="nil"/>
              <w:tr2bl w:val="nil"/>
            </w:tcBorders>
            <w:vAlign w:val="center"/>
          </w:tcPr>
          <w:p w14:paraId="7D7E0989">
            <w:pPr>
              <w:jc w:val="center"/>
              <w:rPr>
                <w:rFonts w:ascii="宋体" w:hAnsi="宋体" w:eastAsia="宋体" w:cs="宋体"/>
                <w:b/>
                <w:szCs w:val="21"/>
              </w:rPr>
            </w:pPr>
            <w:r>
              <w:rPr>
                <w:rFonts w:hint="eastAsia" w:ascii="宋体" w:hAnsi="宋体" w:eastAsia="宋体" w:cs="宋体"/>
                <w:b/>
                <w:szCs w:val="21"/>
              </w:rPr>
              <w:t>单位</w:t>
            </w:r>
          </w:p>
        </w:tc>
        <w:tc>
          <w:tcPr>
            <w:tcW w:w="804" w:type="dxa"/>
            <w:tcBorders>
              <w:tl2br w:val="nil"/>
              <w:tr2bl w:val="nil"/>
            </w:tcBorders>
            <w:vAlign w:val="center"/>
          </w:tcPr>
          <w:p w14:paraId="6B4246C6">
            <w:pPr>
              <w:jc w:val="center"/>
              <w:rPr>
                <w:rFonts w:ascii="宋体" w:hAnsi="宋体" w:eastAsia="宋体" w:cs="宋体"/>
                <w:b/>
                <w:szCs w:val="21"/>
              </w:rPr>
            </w:pPr>
            <w:r>
              <w:rPr>
                <w:rFonts w:hint="eastAsia" w:ascii="宋体" w:hAnsi="宋体" w:eastAsia="宋体" w:cs="宋体"/>
                <w:b/>
                <w:szCs w:val="21"/>
              </w:rPr>
              <w:t>单价(元)</w:t>
            </w:r>
          </w:p>
        </w:tc>
        <w:tc>
          <w:tcPr>
            <w:tcW w:w="795" w:type="dxa"/>
            <w:tcBorders>
              <w:tl2br w:val="nil"/>
              <w:tr2bl w:val="nil"/>
            </w:tcBorders>
            <w:vAlign w:val="center"/>
          </w:tcPr>
          <w:p w14:paraId="08F1D91D">
            <w:pPr>
              <w:jc w:val="center"/>
              <w:rPr>
                <w:rFonts w:ascii="宋体" w:hAnsi="宋体" w:eastAsia="宋体" w:cs="宋体"/>
                <w:b/>
                <w:szCs w:val="21"/>
              </w:rPr>
            </w:pPr>
            <w:r>
              <w:rPr>
                <w:rFonts w:hint="eastAsia" w:ascii="宋体" w:hAnsi="宋体" w:eastAsia="宋体" w:cs="宋体"/>
                <w:b/>
                <w:szCs w:val="21"/>
              </w:rPr>
              <w:t>合价(元)</w:t>
            </w:r>
          </w:p>
        </w:tc>
      </w:tr>
      <w:tr w14:paraId="2F6DCC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4" w:type="dxa"/>
            <w:tcBorders>
              <w:tl2br w:val="nil"/>
              <w:tr2bl w:val="nil"/>
            </w:tcBorders>
          </w:tcPr>
          <w:p w14:paraId="54AE27C6">
            <w:pPr>
              <w:jc w:val="center"/>
              <w:rPr>
                <w:rFonts w:ascii="宋体" w:hAnsi="宋体" w:eastAsia="宋体" w:cs="宋体"/>
                <w:bCs/>
                <w:szCs w:val="21"/>
              </w:rPr>
            </w:pPr>
            <w:r>
              <w:rPr>
                <w:rFonts w:hint="eastAsia" w:ascii="宋体" w:hAnsi="宋体" w:eastAsia="宋体" w:cs="宋体"/>
                <w:bCs/>
                <w:szCs w:val="21"/>
              </w:rPr>
              <w:t>1</w:t>
            </w:r>
          </w:p>
        </w:tc>
        <w:tc>
          <w:tcPr>
            <w:tcW w:w="2563" w:type="dxa"/>
            <w:tcBorders>
              <w:tl2br w:val="nil"/>
              <w:tr2bl w:val="nil"/>
            </w:tcBorders>
            <w:vAlign w:val="center"/>
          </w:tcPr>
          <w:p w14:paraId="3FA2CE53">
            <w:pPr>
              <w:jc w:val="center"/>
              <w:rPr>
                <w:rFonts w:ascii="宋体" w:hAnsi="宋体" w:eastAsia="宋体" w:cs="宋体"/>
                <w:bCs/>
                <w:szCs w:val="21"/>
              </w:rPr>
            </w:pPr>
            <w:r>
              <w:rPr>
                <w:rFonts w:hint="eastAsia" w:ascii="宋体" w:hAnsi="宋体" w:eastAsia="宋体" w:cs="宋体"/>
                <w:bCs/>
                <w:szCs w:val="21"/>
              </w:rPr>
              <w:t>***（填写相关内容）</w:t>
            </w:r>
          </w:p>
        </w:tc>
        <w:tc>
          <w:tcPr>
            <w:tcW w:w="984" w:type="dxa"/>
            <w:tcBorders>
              <w:tl2br w:val="nil"/>
              <w:tr2bl w:val="nil"/>
            </w:tcBorders>
            <w:vAlign w:val="center"/>
          </w:tcPr>
          <w:p w14:paraId="167FFC76">
            <w:pPr>
              <w:jc w:val="center"/>
              <w:rPr>
                <w:rFonts w:ascii="宋体" w:hAnsi="宋体" w:eastAsia="宋体" w:cs="宋体"/>
                <w:bCs/>
                <w:szCs w:val="21"/>
              </w:rPr>
            </w:pPr>
          </w:p>
        </w:tc>
        <w:tc>
          <w:tcPr>
            <w:tcW w:w="978" w:type="dxa"/>
            <w:tcBorders>
              <w:tl2br w:val="nil"/>
              <w:tr2bl w:val="nil"/>
            </w:tcBorders>
            <w:vAlign w:val="center"/>
          </w:tcPr>
          <w:p w14:paraId="780EF54C">
            <w:pPr>
              <w:jc w:val="center"/>
              <w:rPr>
                <w:rFonts w:ascii="宋体" w:hAnsi="宋体" w:eastAsia="宋体" w:cs="宋体"/>
                <w:bCs/>
                <w:szCs w:val="21"/>
              </w:rPr>
            </w:pPr>
          </w:p>
        </w:tc>
        <w:tc>
          <w:tcPr>
            <w:tcW w:w="928" w:type="dxa"/>
            <w:tcBorders>
              <w:tl2br w:val="nil"/>
              <w:tr2bl w:val="nil"/>
            </w:tcBorders>
            <w:vAlign w:val="center"/>
          </w:tcPr>
          <w:p w14:paraId="5F7423F2">
            <w:pPr>
              <w:jc w:val="center"/>
              <w:rPr>
                <w:rFonts w:ascii="宋体" w:hAnsi="宋体" w:eastAsia="宋体" w:cs="宋体"/>
                <w:bCs/>
                <w:szCs w:val="21"/>
              </w:rPr>
            </w:pPr>
          </w:p>
        </w:tc>
        <w:tc>
          <w:tcPr>
            <w:tcW w:w="958" w:type="dxa"/>
            <w:tcBorders>
              <w:tl2br w:val="nil"/>
              <w:tr2bl w:val="nil"/>
            </w:tcBorders>
            <w:vAlign w:val="center"/>
          </w:tcPr>
          <w:p w14:paraId="2B146451">
            <w:pPr>
              <w:jc w:val="center"/>
              <w:rPr>
                <w:rFonts w:ascii="宋体" w:hAnsi="宋体" w:eastAsia="宋体" w:cs="宋体"/>
                <w:bCs/>
                <w:szCs w:val="21"/>
              </w:rPr>
            </w:pPr>
          </w:p>
        </w:tc>
        <w:tc>
          <w:tcPr>
            <w:tcW w:w="651" w:type="dxa"/>
            <w:tcBorders>
              <w:tl2br w:val="nil"/>
              <w:tr2bl w:val="nil"/>
            </w:tcBorders>
            <w:vAlign w:val="center"/>
          </w:tcPr>
          <w:p w14:paraId="3343DBED">
            <w:pPr>
              <w:jc w:val="center"/>
              <w:rPr>
                <w:rFonts w:ascii="宋体" w:hAnsi="宋体" w:eastAsia="宋体" w:cs="宋体"/>
                <w:bCs/>
                <w:szCs w:val="21"/>
              </w:rPr>
            </w:pPr>
            <w:r>
              <w:rPr>
                <w:rFonts w:hint="eastAsia" w:ascii="宋体" w:hAnsi="宋体" w:eastAsia="宋体" w:cs="宋体"/>
                <w:bCs/>
                <w:szCs w:val="21"/>
              </w:rPr>
              <w:t>*</w:t>
            </w:r>
          </w:p>
        </w:tc>
        <w:tc>
          <w:tcPr>
            <w:tcW w:w="526" w:type="dxa"/>
            <w:tcBorders>
              <w:tl2br w:val="nil"/>
              <w:tr2bl w:val="nil"/>
            </w:tcBorders>
            <w:vAlign w:val="center"/>
          </w:tcPr>
          <w:p w14:paraId="2088E6EC">
            <w:pPr>
              <w:jc w:val="center"/>
              <w:rPr>
                <w:rFonts w:ascii="宋体" w:hAnsi="宋体" w:eastAsia="宋体" w:cs="宋体"/>
                <w:bCs/>
                <w:szCs w:val="21"/>
              </w:rPr>
            </w:pPr>
            <w:r>
              <w:rPr>
                <w:rFonts w:hint="eastAsia" w:ascii="宋体" w:hAnsi="宋体" w:eastAsia="宋体" w:cs="宋体"/>
                <w:bCs/>
                <w:szCs w:val="21"/>
              </w:rPr>
              <w:t>*</w:t>
            </w:r>
          </w:p>
        </w:tc>
        <w:tc>
          <w:tcPr>
            <w:tcW w:w="804" w:type="dxa"/>
            <w:tcBorders>
              <w:tl2br w:val="nil"/>
              <w:tr2bl w:val="nil"/>
            </w:tcBorders>
            <w:vAlign w:val="center"/>
          </w:tcPr>
          <w:p w14:paraId="51A6FD40">
            <w:pPr>
              <w:jc w:val="center"/>
              <w:rPr>
                <w:rFonts w:ascii="宋体" w:hAnsi="宋体" w:eastAsia="宋体" w:cs="宋体"/>
                <w:bCs/>
                <w:szCs w:val="21"/>
              </w:rPr>
            </w:pPr>
          </w:p>
        </w:tc>
        <w:tc>
          <w:tcPr>
            <w:tcW w:w="795" w:type="dxa"/>
            <w:tcBorders>
              <w:tl2br w:val="nil"/>
              <w:tr2bl w:val="nil"/>
            </w:tcBorders>
            <w:vAlign w:val="center"/>
          </w:tcPr>
          <w:p w14:paraId="3EE097B1">
            <w:pPr>
              <w:jc w:val="center"/>
              <w:rPr>
                <w:rFonts w:ascii="宋体" w:hAnsi="宋体" w:eastAsia="宋体" w:cs="宋体"/>
                <w:bCs/>
                <w:szCs w:val="21"/>
              </w:rPr>
            </w:pPr>
          </w:p>
        </w:tc>
      </w:tr>
      <w:tr w14:paraId="47D995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4" w:type="dxa"/>
            <w:tcBorders>
              <w:tl2br w:val="nil"/>
              <w:tr2bl w:val="nil"/>
            </w:tcBorders>
          </w:tcPr>
          <w:p w14:paraId="3D940F7F">
            <w:pPr>
              <w:jc w:val="center"/>
              <w:rPr>
                <w:rFonts w:ascii="宋体" w:hAnsi="宋体" w:eastAsia="宋体" w:cs="宋体"/>
                <w:bCs/>
                <w:szCs w:val="21"/>
              </w:rPr>
            </w:pPr>
            <w:r>
              <w:rPr>
                <w:rFonts w:hint="eastAsia" w:ascii="宋体" w:hAnsi="宋体" w:eastAsia="宋体" w:cs="宋体"/>
                <w:bCs/>
                <w:szCs w:val="21"/>
              </w:rPr>
              <w:t>2</w:t>
            </w:r>
          </w:p>
        </w:tc>
        <w:tc>
          <w:tcPr>
            <w:tcW w:w="2563" w:type="dxa"/>
            <w:tcBorders>
              <w:tl2br w:val="nil"/>
              <w:tr2bl w:val="nil"/>
            </w:tcBorders>
            <w:vAlign w:val="center"/>
          </w:tcPr>
          <w:p w14:paraId="6CD9D88B">
            <w:pPr>
              <w:jc w:val="center"/>
              <w:rPr>
                <w:rFonts w:ascii="宋体" w:hAnsi="宋体" w:eastAsia="宋体" w:cs="宋体"/>
                <w:bCs/>
                <w:szCs w:val="21"/>
              </w:rPr>
            </w:pPr>
            <w:r>
              <w:rPr>
                <w:rFonts w:hint="eastAsia" w:ascii="宋体" w:hAnsi="宋体" w:eastAsia="宋体" w:cs="宋体"/>
                <w:bCs/>
                <w:szCs w:val="21"/>
              </w:rPr>
              <w:t>***</w:t>
            </w:r>
          </w:p>
        </w:tc>
        <w:tc>
          <w:tcPr>
            <w:tcW w:w="984" w:type="dxa"/>
            <w:tcBorders>
              <w:tl2br w:val="nil"/>
              <w:tr2bl w:val="nil"/>
            </w:tcBorders>
            <w:vAlign w:val="center"/>
          </w:tcPr>
          <w:p w14:paraId="728C642D">
            <w:pPr>
              <w:jc w:val="center"/>
              <w:rPr>
                <w:rFonts w:ascii="宋体" w:hAnsi="宋体" w:eastAsia="宋体" w:cs="宋体"/>
                <w:bCs/>
                <w:szCs w:val="21"/>
              </w:rPr>
            </w:pPr>
          </w:p>
        </w:tc>
        <w:tc>
          <w:tcPr>
            <w:tcW w:w="978" w:type="dxa"/>
            <w:tcBorders>
              <w:tl2br w:val="nil"/>
              <w:tr2bl w:val="nil"/>
            </w:tcBorders>
            <w:vAlign w:val="center"/>
          </w:tcPr>
          <w:p w14:paraId="077EA729">
            <w:pPr>
              <w:jc w:val="center"/>
              <w:rPr>
                <w:rFonts w:ascii="宋体" w:hAnsi="宋体" w:eastAsia="宋体" w:cs="宋体"/>
                <w:bCs/>
                <w:szCs w:val="21"/>
              </w:rPr>
            </w:pPr>
          </w:p>
        </w:tc>
        <w:tc>
          <w:tcPr>
            <w:tcW w:w="928" w:type="dxa"/>
            <w:tcBorders>
              <w:tl2br w:val="nil"/>
              <w:tr2bl w:val="nil"/>
            </w:tcBorders>
            <w:vAlign w:val="center"/>
          </w:tcPr>
          <w:p w14:paraId="2A4275AC">
            <w:pPr>
              <w:jc w:val="center"/>
              <w:rPr>
                <w:rFonts w:ascii="宋体" w:hAnsi="宋体" w:eastAsia="宋体" w:cs="宋体"/>
                <w:bCs/>
                <w:szCs w:val="21"/>
              </w:rPr>
            </w:pPr>
          </w:p>
        </w:tc>
        <w:tc>
          <w:tcPr>
            <w:tcW w:w="958" w:type="dxa"/>
            <w:tcBorders>
              <w:tl2br w:val="nil"/>
              <w:tr2bl w:val="nil"/>
            </w:tcBorders>
            <w:vAlign w:val="center"/>
          </w:tcPr>
          <w:p w14:paraId="3821B682">
            <w:pPr>
              <w:jc w:val="center"/>
              <w:rPr>
                <w:rFonts w:ascii="宋体" w:hAnsi="宋体" w:eastAsia="宋体" w:cs="宋体"/>
                <w:bCs/>
                <w:szCs w:val="21"/>
              </w:rPr>
            </w:pPr>
          </w:p>
        </w:tc>
        <w:tc>
          <w:tcPr>
            <w:tcW w:w="651" w:type="dxa"/>
            <w:tcBorders>
              <w:tl2br w:val="nil"/>
              <w:tr2bl w:val="nil"/>
            </w:tcBorders>
            <w:vAlign w:val="center"/>
          </w:tcPr>
          <w:p w14:paraId="7A533116">
            <w:pPr>
              <w:jc w:val="center"/>
              <w:rPr>
                <w:rFonts w:ascii="宋体" w:hAnsi="宋体" w:eastAsia="宋体" w:cs="宋体"/>
                <w:bCs/>
                <w:szCs w:val="21"/>
              </w:rPr>
            </w:pPr>
            <w:r>
              <w:rPr>
                <w:rFonts w:hint="eastAsia" w:ascii="宋体" w:hAnsi="宋体" w:eastAsia="宋体" w:cs="宋体"/>
                <w:bCs/>
                <w:szCs w:val="21"/>
              </w:rPr>
              <w:t>*</w:t>
            </w:r>
          </w:p>
        </w:tc>
        <w:tc>
          <w:tcPr>
            <w:tcW w:w="526" w:type="dxa"/>
            <w:tcBorders>
              <w:tl2br w:val="nil"/>
              <w:tr2bl w:val="nil"/>
            </w:tcBorders>
            <w:vAlign w:val="center"/>
          </w:tcPr>
          <w:p w14:paraId="33014126">
            <w:pPr>
              <w:jc w:val="center"/>
              <w:rPr>
                <w:rFonts w:ascii="宋体" w:hAnsi="宋体" w:eastAsia="宋体" w:cs="宋体"/>
                <w:bCs/>
                <w:szCs w:val="21"/>
              </w:rPr>
            </w:pPr>
            <w:r>
              <w:rPr>
                <w:rFonts w:hint="eastAsia" w:ascii="宋体" w:hAnsi="宋体" w:eastAsia="宋体" w:cs="宋体"/>
                <w:bCs/>
                <w:szCs w:val="21"/>
              </w:rPr>
              <w:t>*</w:t>
            </w:r>
          </w:p>
        </w:tc>
        <w:tc>
          <w:tcPr>
            <w:tcW w:w="804" w:type="dxa"/>
            <w:tcBorders>
              <w:tl2br w:val="nil"/>
              <w:tr2bl w:val="nil"/>
            </w:tcBorders>
            <w:vAlign w:val="center"/>
          </w:tcPr>
          <w:p w14:paraId="16806211">
            <w:pPr>
              <w:jc w:val="center"/>
              <w:rPr>
                <w:rFonts w:ascii="宋体" w:hAnsi="宋体" w:eastAsia="宋体" w:cs="宋体"/>
                <w:bCs/>
                <w:szCs w:val="21"/>
              </w:rPr>
            </w:pPr>
          </w:p>
        </w:tc>
        <w:tc>
          <w:tcPr>
            <w:tcW w:w="795" w:type="dxa"/>
            <w:tcBorders>
              <w:tl2br w:val="nil"/>
              <w:tr2bl w:val="nil"/>
            </w:tcBorders>
            <w:vAlign w:val="center"/>
          </w:tcPr>
          <w:p w14:paraId="2F0BE51F">
            <w:pPr>
              <w:jc w:val="center"/>
              <w:rPr>
                <w:rFonts w:ascii="宋体" w:hAnsi="宋体" w:eastAsia="宋体" w:cs="宋体"/>
                <w:bCs/>
                <w:szCs w:val="21"/>
              </w:rPr>
            </w:pPr>
          </w:p>
        </w:tc>
      </w:tr>
      <w:tr w14:paraId="298321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4" w:type="dxa"/>
            <w:tcBorders>
              <w:tl2br w:val="nil"/>
              <w:tr2bl w:val="nil"/>
            </w:tcBorders>
          </w:tcPr>
          <w:p w14:paraId="6AE19B12">
            <w:pPr>
              <w:jc w:val="center"/>
              <w:rPr>
                <w:rFonts w:ascii="宋体" w:hAnsi="宋体" w:eastAsia="宋体" w:cs="宋体"/>
                <w:bCs/>
                <w:szCs w:val="21"/>
              </w:rPr>
            </w:pPr>
            <w:r>
              <w:rPr>
                <w:rFonts w:hint="eastAsia" w:ascii="宋体" w:hAnsi="宋体" w:eastAsia="宋体" w:cs="宋体"/>
                <w:bCs/>
                <w:szCs w:val="21"/>
              </w:rPr>
              <w:t>3</w:t>
            </w:r>
          </w:p>
        </w:tc>
        <w:tc>
          <w:tcPr>
            <w:tcW w:w="2563" w:type="dxa"/>
            <w:tcBorders>
              <w:tl2br w:val="nil"/>
              <w:tr2bl w:val="nil"/>
            </w:tcBorders>
            <w:vAlign w:val="center"/>
          </w:tcPr>
          <w:p w14:paraId="59851FE6">
            <w:pPr>
              <w:jc w:val="center"/>
              <w:rPr>
                <w:rFonts w:ascii="宋体" w:hAnsi="宋体" w:eastAsia="宋体" w:cs="宋体"/>
                <w:bCs/>
                <w:szCs w:val="21"/>
              </w:rPr>
            </w:pPr>
            <w:r>
              <w:rPr>
                <w:rFonts w:hint="eastAsia" w:ascii="宋体" w:hAnsi="宋体" w:eastAsia="宋体" w:cs="宋体"/>
                <w:bCs/>
                <w:szCs w:val="21"/>
              </w:rPr>
              <w:t>***</w:t>
            </w:r>
          </w:p>
        </w:tc>
        <w:tc>
          <w:tcPr>
            <w:tcW w:w="984" w:type="dxa"/>
            <w:tcBorders>
              <w:tl2br w:val="nil"/>
              <w:tr2bl w:val="nil"/>
            </w:tcBorders>
            <w:vAlign w:val="center"/>
          </w:tcPr>
          <w:p w14:paraId="54995B3E">
            <w:pPr>
              <w:jc w:val="center"/>
              <w:rPr>
                <w:rFonts w:ascii="宋体" w:hAnsi="宋体" w:eastAsia="宋体" w:cs="宋体"/>
                <w:bCs/>
                <w:szCs w:val="21"/>
              </w:rPr>
            </w:pPr>
          </w:p>
        </w:tc>
        <w:tc>
          <w:tcPr>
            <w:tcW w:w="978" w:type="dxa"/>
            <w:tcBorders>
              <w:tl2br w:val="nil"/>
              <w:tr2bl w:val="nil"/>
            </w:tcBorders>
            <w:vAlign w:val="center"/>
          </w:tcPr>
          <w:p w14:paraId="6ADDF3FD">
            <w:pPr>
              <w:jc w:val="center"/>
              <w:rPr>
                <w:rFonts w:ascii="宋体" w:hAnsi="宋体" w:eastAsia="宋体" w:cs="宋体"/>
                <w:bCs/>
                <w:szCs w:val="21"/>
              </w:rPr>
            </w:pPr>
          </w:p>
        </w:tc>
        <w:tc>
          <w:tcPr>
            <w:tcW w:w="928" w:type="dxa"/>
            <w:tcBorders>
              <w:tl2br w:val="nil"/>
              <w:tr2bl w:val="nil"/>
            </w:tcBorders>
            <w:vAlign w:val="center"/>
          </w:tcPr>
          <w:p w14:paraId="2018914B">
            <w:pPr>
              <w:jc w:val="center"/>
              <w:rPr>
                <w:rFonts w:ascii="宋体" w:hAnsi="宋体" w:eastAsia="宋体" w:cs="宋体"/>
                <w:bCs/>
                <w:szCs w:val="21"/>
              </w:rPr>
            </w:pPr>
          </w:p>
        </w:tc>
        <w:tc>
          <w:tcPr>
            <w:tcW w:w="958" w:type="dxa"/>
            <w:tcBorders>
              <w:tl2br w:val="nil"/>
              <w:tr2bl w:val="nil"/>
            </w:tcBorders>
            <w:vAlign w:val="center"/>
          </w:tcPr>
          <w:p w14:paraId="6BD5571B">
            <w:pPr>
              <w:jc w:val="center"/>
              <w:rPr>
                <w:rFonts w:ascii="宋体" w:hAnsi="宋体" w:eastAsia="宋体" w:cs="宋体"/>
                <w:bCs/>
                <w:szCs w:val="21"/>
              </w:rPr>
            </w:pPr>
          </w:p>
        </w:tc>
        <w:tc>
          <w:tcPr>
            <w:tcW w:w="651" w:type="dxa"/>
            <w:tcBorders>
              <w:tl2br w:val="nil"/>
              <w:tr2bl w:val="nil"/>
            </w:tcBorders>
            <w:vAlign w:val="center"/>
          </w:tcPr>
          <w:p w14:paraId="2A81406B">
            <w:pPr>
              <w:jc w:val="center"/>
              <w:rPr>
                <w:rFonts w:ascii="宋体" w:hAnsi="宋体" w:eastAsia="宋体" w:cs="宋体"/>
                <w:bCs/>
                <w:szCs w:val="21"/>
              </w:rPr>
            </w:pPr>
            <w:r>
              <w:rPr>
                <w:rFonts w:hint="eastAsia" w:ascii="宋体" w:hAnsi="宋体" w:eastAsia="宋体" w:cs="宋体"/>
                <w:bCs/>
                <w:szCs w:val="21"/>
              </w:rPr>
              <w:t>*</w:t>
            </w:r>
          </w:p>
        </w:tc>
        <w:tc>
          <w:tcPr>
            <w:tcW w:w="526" w:type="dxa"/>
            <w:tcBorders>
              <w:tl2br w:val="nil"/>
              <w:tr2bl w:val="nil"/>
            </w:tcBorders>
            <w:vAlign w:val="center"/>
          </w:tcPr>
          <w:p w14:paraId="0DA3D681">
            <w:pPr>
              <w:jc w:val="center"/>
              <w:rPr>
                <w:rFonts w:ascii="宋体" w:hAnsi="宋体" w:eastAsia="宋体" w:cs="宋体"/>
                <w:bCs/>
                <w:szCs w:val="21"/>
              </w:rPr>
            </w:pPr>
            <w:r>
              <w:rPr>
                <w:rFonts w:hint="eastAsia" w:ascii="宋体" w:hAnsi="宋体" w:eastAsia="宋体" w:cs="宋体"/>
                <w:bCs/>
                <w:szCs w:val="21"/>
              </w:rPr>
              <w:t>*</w:t>
            </w:r>
          </w:p>
        </w:tc>
        <w:tc>
          <w:tcPr>
            <w:tcW w:w="804" w:type="dxa"/>
            <w:tcBorders>
              <w:tl2br w:val="nil"/>
              <w:tr2bl w:val="nil"/>
            </w:tcBorders>
            <w:vAlign w:val="center"/>
          </w:tcPr>
          <w:p w14:paraId="7C79FA68">
            <w:pPr>
              <w:jc w:val="center"/>
              <w:rPr>
                <w:rFonts w:ascii="宋体" w:hAnsi="宋体" w:eastAsia="宋体" w:cs="宋体"/>
                <w:bCs/>
                <w:szCs w:val="21"/>
              </w:rPr>
            </w:pPr>
          </w:p>
        </w:tc>
        <w:tc>
          <w:tcPr>
            <w:tcW w:w="795" w:type="dxa"/>
            <w:tcBorders>
              <w:tl2br w:val="nil"/>
              <w:tr2bl w:val="nil"/>
            </w:tcBorders>
            <w:vAlign w:val="center"/>
          </w:tcPr>
          <w:p w14:paraId="45238331">
            <w:pPr>
              <w:jc w:val="center"/>
              <w:rPr>
                <w:rFonts w:ascii="宋体" w:hAnsi="宋体" w:eastAsia="宋体" w:cs="宋体"/>
                <w:bCs/>
                <w:szCs w:val="21"/>
              </w:rPr>
            </w:pPr>
          </w:p>
        </w:tc>
      </w:tr>
      <w:tr w14:paraId="5B3186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4" w:type="dxa"/>
            <w:tcBorders>
              <w:tl2br w:val="nil"/>
              <w:tr2bl w:val="nil"/>
            </w:tcBorders>
          </w:tcPr>
          <w:p w14:paraId="48F50FEB">
            <w:pPr>
              <w:jc w:val="center"/>
              <w:rPr>
                <w:rFonts w:ascii="宋体" w:hAnsi="宋体" w:eastAsia="宋体" w:cs="宋体"/>
                <w:bCs/>
                <w:szCs w:val="21"/>
              </w:rPr>
            </w:pPr>
            <w:r>
              <w:rPr>
                <w:rFonts w:hint="eastAsia" w:ascii="宋体" w:hAnsi="宋体" w:eastAsia="宋体" w:cs="宋体"/>
                <w:bCs/>
                <w:szCs w:val="21"/>
              </w:rPr>
              <w:t>4</w:t>
            </w:r>
          </w:p>
        </w:tc>
        <w:tc>
          <w:tcPr>
            <w:tcW w:w="2563" w:type="dxa"/>
            <w:tcBorders>
              <w:tl2br w:val="nil"/>
              <w:tr2bl w:val="nil"/>
            </w:tcBorders>
            <w:vAlign w:val="center"/>
          </w:tcPr>
          <w:p w14:paraId="45023962">
            <w:pPr>
              <w:jc w:val="center"/>
              <w:rPr>
                <w:rFonts w:ascii="宋体" w:hAnsi="宋体" w:eastAsia="宋体" w:cs="宋体"/>
                <w:bCs/>
                <w:szCs w:val="21"/>
              </w:rPr>
            </w:pPr>
            <w:r>
              <w:rPr>
                <w:rFonts w:hint="eastAsia" w:ascii="宋体" w:hAnsi="宋体" w:eastAsia="宋体" w:cs="宋体"/>
                <w:bCs/>
                <w:szCs w:val="21"/>
              </w:rPr>
              <w:t>……</w:t>
            </w:r>
          </w:p>
        </w:tc>
        <w:tc>
          <w:tcPr>
            <w:tcW w:w="984" w:type="dxa"/>
            <w:tcBorders>
              <w:tl2br w:val="nil"/>
              <w:tr2bl w:val="nil"/>
            </w:tcBorders>
            <w:vAlign w:val="center"/>
          </w:tcPr>
          <w:p w14:paraId="08D4F437">
            <w:pPr>
              <w:jc w:val="center"/>
              <w:rPr>
                <w:rFonts w:ascii="宋体" w:hAnsi="宋体" w:eastAsia="宋体" w:cs="宋体"/>
                <w:bCs/>
                <w:szCs w:val="21"/>
              </w:rPr>
            </w:pPr>
          </w:p>
        </w:tc>
        <w:tc>
          <w:tcPr>
            <w:tcW w:w="978" w:type="dxa"/>
            <w:tcBorders>
              <w:tl2br w:val="nil"/>
              <w:tr2bl w:val="nil"/>
            </w:tcBorders>
            <w:vAlign w:val="center"/>
          </w:tcPr>
          <w:p w14:paraId="4DE0FAA0">
            <w:pPr>
              <w:jc w:val="center"/>
              <w:rPr>
                <w:rFonts w:ascii="宋体" w:hAnsi="宋体" w:eastAsia="宋体" w:cs="宋体"/>
                <w:bCs/>
                <w:szCs w:val="21"/>
              </w:rPr>
            </w:pPr>
          </w:p>
        </w:tc>
        <w:tc>
          <w:tcPr>
            <w:tcW w:w="928" w:type="dxa"/>
            <w:tcBorders>
              <w:tl2br w:val="nil"/>
              <w:tr2bl w:val="nil"/>
            </w:tcBorders>
            <w:vAlign w:val="center"/>
          </w:tcPr>
          <w:p w14:paraId="4ADD6055">
            <w:pPr>
              <w:jc w:val="center"/>
              <w:rPr>
                <w:rFonts w:ascii="宋体" w:hAnsi="宋体" w:eastAsia="宋体" w:cs="宋体"/>
                <w:bCs/>
                <w:szCs w:val="21"/>
              </w:rPr>
            </w:pPr>
          </w:p>
        </w:tc>
        <w:tc>
          <w:tcPr>
            <w:tcW w:w="958" w:type="dxa"/>
            <w:tcBorders>
              <w:tl2br w:val="nil"/>
              <w:tr2bl w:val="nil"/>
            </w:tcBorders>
            <w:vAlign w:val="center"/>
          </w:tcPr>
          <w:p w14:paraId="26401802">
            <w:pPr>
              <w:jc w:val="center"/>
              <w:rPr>
                <w:rFonts w:ascii="宋体" w:hAnsi="宋体" w:eastAsia="宋体" w:cs="宋体"/>
                <w:bCs/>
                <w:szCs w:val="21"/>
              </w:rPr>
            </w:pPr>
          </w:p>
        </w:tc>
        <w:tc>
          <w:tcPr>
            <w:tcW w:w="651" w:type="dxa"/>
            <w:tcBorders>
              <w:tl2br w:val="nil"/>
              <w:tr2bl w:val="nil"/>
            </w:tcBorders>
            <w:vAlign w:val="center"/>
          </w:tcPr>
          <w:p w14:paraId="333FBDAD">
            <w:pPr>
              <w:jc w:val="center"/>
              <w:rPr>
                <w:rFonts w:ascii="宋体" w:hAnsi="宋体" w:eastAsia="宋体" w:cs="宋体"/>
                <w:bCs/>
                <w:szCs w:val="21"/>
              </w:rPr>
            </w:pPr>
            <w:r>
              <w:rPr>
                <w:rFonts w:hint="eastAsia" w:ascii="宋体" w:hAnsi="宋体" w:eastAsia="宋体" w:cs="宋体"/>
                <w:bCs/>
                <w:szCs w:val="21"/>
              </w:rPr>
              <w:t>*</w:t>
            </w:r>
          </w:p>
        </w:tc>
        <w:tc>
          <w:tcPr>
            <w:tcW w:w="526" w:type="dxa"/>
            <w:tcBorders>
              <w:tl2br w:val="nil"/>
              <w:tr2bl w:val="nil"/>
            </w:tcBorders>
            <w:vAlign w:val="center"/>
          </w:tcPr>
          <w:p w14:paraId="6C54BE7A">
            <w:pPr>
              <w:jc w:val="center"/>
              <w:rPr>
                <w:rFonts w:ascii="宋体" w:hAnsi="宋体" w:eastAsia="宋体" w:cs="宋体"/>
                <w:bCs/>
                <w:szCs w:val="21"/>
              </w:rPr>
            </w:pPr>
            <w:r>
              <w:rPr>
                <w:rFonts w:hint="eastAsia" w:ascii="宋体" w:hAnsi="宋体" w:eastAsia="宋体" w:cs="宋体"/>
                <w:bCs/>
                <w:szCs w:val="21"/>
              </w:rPr>
              <w:t>*</w:t>
            </w:r>
          </w:p>
        </w:tc>
        <w:tc>
          <w:tcPr>
            <w:tcW w:w="804" w:type="dxa"/>
            <w:tcBorders>
              <w:tl2br w:val="nil"/>
              <w:tr2bl w:val="nil"/>
            </w:tcBorders>
            <w:vAlign w:val="center"/>
          </w:tcPr>
          <w:p w14:paraId="04729CC6">
            <w:pPr>
              <w:jc w:val="center"/>
              <w:rPr>
                <w:rFonts w:ascii="宋体" w:hAnsi="宋体" w:eastAsia="宋体" w:cs="宋体"/>
                <w:bCs/>
                <w:szCs w:val="21"/>
              </w:rPr>
            </w:pPr>
          </w:p>
        </w:tc>
        <w:tc>
          <w:tcPr>
            <w:tcW w:w="795" w:type="dxa"/>
            <w:tcBorders>
              <w:tl2br w:val="nil"/>
              <w:tr2bl w:val="nil"/>
            </w:tcBorders>
            <w:vAlign w:val="center"/>
          </w:tcPr>
          <w:p w14:paraId="03A28277">
            <w:pPr>
              <w:jc w:val="center"/>
              <w:rPr>
                <w:rFonts w:ascii="宋体" w:hAnsi="宋体" w:eastAsia="宋体" w:cs="宋体"/>
                <w:bCs/>
                <w:szCs w:val="21"/>
              </w:rPr>
            </w:pPr>
          </w:p>
        </w:tc>
      </w:tr>
      <w:tr w14:paraId="3B43B6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281" w:type="dxa"/>
            <w:gridSpan w:val="3"/>
            <w:tcBorders>
              <w:tl2br w:val="nil"/>
              <w:tr2bl w:val="nil"/>
            </w:tcBorders>
          </w:tcPr>
          <w:p w14:paraId="552CA75A">
            <w:pPr>
              <w:jc w:val="both"/>
              <w:rPr>
                <w:rFonts w:ascii="宋体" w:hAnsi="宋体" w:eastAsia="宋体" w:cs="宋体"/>
                <w:b/>
                <w:szCs w:val="21"/>
              </w:rPr>
            </w:pPr>
            <w:r>
              <w:rPr>
                <w:rFonts w:hint="eastAsia" w:ascii="宋体" w:hAnsi="宋体" w:eastAsia="宋体" w:cs="宋体"/>
                <w:b/>
                <w:szCs w:val="21"/>
              </w:rPr>
              <w:t>合</w:t>
            </w:r>
            <w:r>
              <w:rPr>
                <w:rFonts w:hint="eastAsia"/>
                <w:b/>
                <w:szCs w:val="21"/>
              </w:rPr>
              <w:t>计（即投标总价；单位：元）</w:t>
            </w:r>
          </w:p>
        </w:tc>
        <w:tc>
          <w:tcPr>
            <w:tcW w:w="5640" w:type="dxa"/>
            <w:gridSpan w:val="7"/>
            <w:tcBorders>
              <w:tl2br w:val="nil"/>
              <w:tr2bl w:val="nil"/>
            </w:tcBorders>
          </w:tcPr>
          <w:p w14:paraId="56A9EA07">
            <w:pPr>
              <w:jc w:val="both"/>
              <w:rPr>
                <w:b/>
                <w:szCs w:val="21"/>
              </w:rPr>
            </w:pPr>
            <w:r>
              <w:rPr>
                <w:rFonts w:hint="eastAsia"/>
                <w:b/>
                <w:szCs w:val="21"/>
              </w:rPr>
              <w:t xml:space="preserve"> 小写：         </w:t>
            </w:r>
            <w:r>
              <w:rPr>
                <w:rFonts w:hint="eastAsia" w:eastAsia="宋体"/>
                <w:b/>
                <w:szCs w:val="21"/>
              </w:rPr>
              <w:t xml:space="preserve"> </w:t>
            </w:r>
            <w:r>
              <w:rPr>
                <w:rFonts w:hint="eastAsia"/>
                <w:b/>
                <w:szCs w:val="21"/>
              </w:rPr>
              <w:t xml:space="preserve">   大写：</w:t>
            </w:r>
          </w:p>
        </w:tc>
      </w:tr>
    </w:tbl>
    <w:p w14:paraId="6EA01526">
      <w:pPr>
        <w:ind w:firstLine="422" w:firstLineChars="200"/>
        <w:rPr>
          <w:rFonts w:ascii="宋体" w:hAnsi="宋体" w:eastAsia="宋体" w:cs="宋体"/>
          <w:b/>
          <w:color w:val="FF0000"/>
          <w:sz w:val="21"/>
          <w:szCs w:val="21"/>
        </w:rPr>
      </w:pPr>
      <w:r>
        <w:rPr>
          <w:rFonts w:hint="eastAsia" w:ascii="宋体" w:hAnsi="宋体" w:eastAsia="宋体" w:cs="宋体"/>
          <w:b/>
          <w:color w:val="FF0000"/>
          <w:sz w:val="21"/>
          <w:szCs w:val="21"/>
        </w:rPr>
        <w:t>注：</w:t>
      </w:r>
    </w:p>
    <w:p w14:paraId="712331F9">
      <w:pPr>
        <w:ind w:firstLine="422" w:firstLineChars="200"/>
        <w:rPr>
          <w:rFonts w:ascii="宋体" w:hAnsi="宋体" w:eastAsia="宋体" w:cs="宋体"/>
          <w:b/>
          <w:color w:val="FF0000"/>
          <w:sz w:val="21"/>
          <w:szCs w:val="21"/>
        </w:rPr>
      </w:pPr>
      <w:r>
        <w:rPr>
          <w:rFonts w:hint="eastAsia" w:ascii="宋体" w:hAnsi="宋体" w:eastAsia="宋体" w:cs="宋体"/>
          <w:b/>
          <w:color w:val="FF0000"/>
          <w:sz w:val="21"/>
          <w:szCs w:val="21"/>
        </w:rPr>
        <w:t>1.本表可按同样格式扩展。</w:t>
      </w:r>
    </w:p>
    <w:p w14:paraId="5E59B507">
      <w:pPr>
        <w:ind w:firstLine="413" w:firstLineChars="196"/>
        <w:rPr>
          <w:rFonts w:ascii="宋体" w:hAnsi="宋体" w:eastAsia="宋体" w:cs="宋体"/>
          <w:b/>
          <w:color w:val="FF0000"/>
          <w:sz w:val="21"/>
          <w:szCs w:val="21"/>
        </w:rPr>
      </w:pPr>
      <w:r>
        <w:rPr>
          <w:rFonts w:hint="eastAsia" w:ascii="宋体" w:hAnsi="宋体" w:eastAsia="宋体" w:cs="宋体"/>
          <w:b/>
          <w:color w:val="FF0000"/>
          <w:sz w:val="21"/>
          <w:szCs w:val="21"/>
        </w:rPr>
        <w:t>2.“品牌”可以与商标一致，也可以填写便于区分其他公司商品的制造商简称或者制造商认可的品牌名称。此类填写错误或缺漏的不利后果由供应商承担。经评审委员会认定，在使用综合评分法的项目中一项此类填写错误或缺漏将按照一项普通招标技术要求（一般参数/普通参数）负偏离扣分处理。</w:t>
      </w:r>
    </w:p>
    <w:p w14:paraId="2A70DC74">
      <w:pPr>
        <w:ind w:firstLine="413" w:firstLineChars="196"/>
        <w:rPr>
          <w:rFonts w:ascii="宋体" w:hAnsi="宋体" w:eastAsia="宋体" w:cs="宋体"/>
          <w:b/>
          <w:color w:val="FF0000"/>
          <w:sz w:val="21"/>
          <w:szCs w:val="21"/>
        </w:rPr>
      </w:pPr>
      <w:r>
        <w:rPr>
          <w:rFonts w:hint="eastAsia" w:ascii="宋体" w:hAnsi="宋体" w:eastAsia="宋体" w:cs="宋体"/>
          <w:b/>
          <w:color w:val="FF0000"/>
          <w:sz w:val="21"/>
          <w:szCs w:val="21"/>
        </w:rPr>
        <w:t>3.如所投货物属于定制类的非量产货物或无具体型号的货物，可以在“规格/型号”栏目仅填写规格信息而不填型号信息（型号信息用“定制”描述即可）；</w:t>
      </w:r>
      <w:bookmarkStart w:id="32" w:name="_Hlk73646428"/>
      <w:r>
        <w:rPr>
          <w:rFonts w:hint="eastAsia" w:ascii="宋体" w:hAnsi="宋体" w:eastAsia="宋体" w:cs="宋体"/>
          <w:b/>
          <w:color w:val="FF0000"/>
          <w:sz w:val="21"/>
          <w:szCs w:val="21"/>
        </w:rPr>
        <w:t>此类填写错误或缺漏（如所投货物为定制类的非量产货物，但供应商却错误填报了型号）的不利后果由供应商承担。经评审委员会认定，在使用综合评分法的项目中一项此类填写错误或缺漏将按照一项普通招标技术要求（一般参数/普通参数）负偏离扣分处理。</w:t>
      </w:r>
      <w:bookmarkEnd w:id="32"/>
    </w:p>
    <w:p w14:paraId="3BE7F088">
      <w:pPr>
        <w:ind w:firstLine="413" w:firstLineChars="196"/>
        <w:rPr>
          <w:rFonts w:ascii="宋体" w:hAnsi="宋体" w:eastAsia="宋体" w:cs="宋体"/>
          <w:b/>
          <w:color w:val="FF0000"/>
          <w:sz w:val="21"/>
          <w:szCs w:val="21"/>
          <w:highlight w:val="yellow"/>
        </w:rPr>
      </w:pPr>
      <w:r>
        <w:rPr>
          <w:rFonts w:hint="eastAsia" w:ascii="宋体" w:hAnsi="宋体" w:eastAsia="宋体" w:cs="宋体"/>
          <w:b/>
          <w:color w:val="FF0000"/>
          <w:sz w:val="21"/>
          <w:szCs w:val="21"/>
        </w:rPr>
        <w:t>4.“原产地”是指货物的实际生产加工地，非品牌所在地。</w:t>
      </w:r>
    </w:p>
    <w:p w14:paraId="301C172F">
      <w:pPr>
        <w:ind w:firstLine="413" w:firstLineChars="196"/>
        <w:rPr>
          <w:rFonts w:ascii="宋体" w:hAnsi="宋体" w:eastAsia="宋体" w:cs="宋体"/>
          <w:b/>
          <w:color w:val="FF0000"/>
          <w:sz w:val="21"/>
          <w:szCs w:val="21"/>
        </w:rPr>
      </w:pPr>
      <w:r>
        <w:rPr>
          <w:rFonts w:hint="eastAsia" w:ascii="宋体" w:hAnsi="宋体" w:eastAsia="宋体" w:cs="宋体"/>
          <w:b/>
          <w:color w:val="FF0000"/>
          <w:sz w:val="21"/>
          <w:szCs w:val="21"/>
        </w:rPr>
        <w:t>5.“制造商”是指产品品牌厂商，同一品牌国内外均有制造商的，应填写国内制造商；产品代工制造的，应填写接受委托生产制造的制造商等。</w:t>
      </w:r>
    </w:p>
    <w:p w14:paraId="6C225805">
      <w:pPr>
        <w:ind w:firstLine="422" w:firstLineChars="200"/>
        <w:rPr>
          <w:rFonts w:ascii="宋体" w:hAnsi="宋体" w:eastAsia="宋体" w:cs="宋体"/>
          <w:b/>
          <w:color w:val="FF0000"/>
          <w:sz w:val="21"/>
          <w:szCs w:val="21"/>
        </w:rPr>
      </w:pPr>
      <w:r>
        <w:rPr>
          <w:rFonts w:hint="eastAsia" w:ascii="宋体" w:hAnsi="宋体" w:eastAsia="宋体" w:cs="宋体"/>
          <w:b/>
          <w:color w:val="FF0000"/>
          <w:sz w:val="21"/>
          <w:szCs w:val="21"/>
        </w:rPr>
        <w:t>6.以上分项报价表的投标总价应当与投标一览表的投标总价一致。</w:t>
      </w:r>
    </w:p>
    <w:p w14:paraId="207AD6F2">
      <w:pPr>
        <w:ind w:firstLine="422" w:firstLineChars="200"/>
        <w:rPr>
          <w:rFonts w:ascii="宋体" w:hAnsi="宋体" w:eastAsia="宋体" w:cs="宋体"/>
          <w:b/>
          <w:color w:val="FF0000"/>
          <w:sz w:val="21"/>
          <w:szCs w:val="21"/>
        </w:rPr>
      </w:pPr>
      <w:r>
        <w:rPr>
          <w:rFonts w:hint="eastAsia" w:ascii="宋体" w:hAnsi="宋体" w:eastAsia="宋体" w:cs="宋体"/>
          <w:b/>
          <w:color w:val="FF0000"/>
          <w:sz w:val="21"/>
          <w:szCs w:val="21"/>
        </w:rPr>
        <w:t>7.单价、合价和投标总价为包干价，即三者均应包含货物的价款、包装、运输、装卸、安装、调试、技术指导、培训、咨询、服务、保险、税费、检测、验收合格交付使用之前以及技术和售后服务等其他各项有关费用。（若招标文件商务要求中对于报价有要求的以商务要求中的条款为准）。</w:t>
      </w:r>
    </w:p>
    <w:p w14:paraId="3E883AB2">
      <w:pPr>
        <w:ind w:firstLine="422" w:firstLineChars="200"/>
        <w:rPr>
          <w:rFonts w:ascii="宋体" w:hAnsi="宋体"/>
          <w:b/>
        </w:rPr>
      </w:pPr>
      <w:r>
        <w:rPr>
          <w:rFonts w:hint="eastAsia" w:ascii="宋体" w:hAnsi="宋体" w:eastAsia="宋体" w:cs="宋体"/>
          <w:b/>
          <w:color w:val="FF0000"/>
          <w:sz w:val="21"/>
          <w:szCs w:val="21"/>
        </w:rPr>
        <w:t>8.所有价格应按“招标文件”中规定的货币单位填写；投标总价应为以上各分项价格之和；投标总价和项目报价表中单个采购预算条目报价均不得超过对应的预算金额，否则将导致投标无效。</w:t>
      </w:r>
    </w:p>
    <w:p w14:paraId="42F7C791">
      <w:pPr>
        <w:ind w:firstLine="480" w:firstLineChars="200"/>
        <w:rPr>
          <w:rFonts w:ascii="宋体" w:hAnsi="宋体"/>
          <w:b/>
        </w:rPr>
      </w:pPr>
    </w:p>
    <w:p w14:paraId="6BD3101F">
      <w:pPr>
        <w:tabs>
          <w:tab w:val="left" w:pos="720"/>
        </w:tabs>
        <w:jc w:val="center"/>
        <w:rPr>
          <w:b/>
        </w:rPr>
      </w:pPr>
    </w:p>
    <w:p w14:paraId="271BB92A">
      <w:pPr>
        <w:tabs>
          <w:tab w:val="left" w:pos="720"/>
        </w:tabs>
        <w:jc w:val="center"/>
        <w:rPr>
          <w:b/>
        </w:rPr>
      </w:pPr>
    </w:p>
    <w:p w14:paraId="05EBB777">
      <w:pPr>
        <w:tabs>
          <w:tab w:val="left" w:pos="720"/>
        </w:tabs>
        <w:jc w:val="center"/>
        <w:rPr>
          <w:b/>
        </w:rPr>
      </w:pPr>
    </w:p>
    <w:p w14:paraId="291FD3D1">
      <w:pPr>
        <w:tabs>
          <w:tab w:val="left" w:pos="720"/>
        </w:tabs>
        <w:jc w:val="center"/>
        <w:outlineLvl w:val="4"/>
        <w:rPr>
          <w:b/>
        </w:rPr>
      </w:pPr>
      <w:r>
        <w:rPr>
          <w:rFonts w:hint="eastAsia" w:ascii="宋体" w:hAnsi="宋体" w:eastAsia="宋体" w:cs="宋体"/>
          <w:b/>
        </w:rPr>
        <w:t>（</w:t>
      </w:r>
      <w:r>
        <w:rPr>
          <w:rFonts w:hint="eastAsia"/>
          <w:b/>
        </w:rPr>
        <w:t>二）核心产品品牌</w:t>
      </w:r>
    </w:p>
    <w:p w14:paraId="6444B86B">
      <w:pPr>
        <w:tabs>
          <w:tab w:val="left" w:pos="720"/>
        </w:tabs>
        <w:jc w:val="center"/>
        <w:rPr>
          <w:b/>
        </w:rPr>
      </w:pPr>
    </w:p>
    <w:p w14:paraId="7B2B776D">
      <w:pPr>
        <w:spacing w:line="360" w:lineRule="auto"/>
        <w:ind w:firstLine="482" w:firstLineChars="200"/>
        <w:rPr>
          <w:rFonts w:ascii="宋体" w:hAnsi="宋体"/>
          <w:b/>
        </w:rPr>
      </w:pPr>
      <w:r>
        <w:rPr>
          <w:rFonts w:hint="eastAsia" w:ascii="宋体" w:hAnsi="宋体" w:eastAsia="宋体" w:cs="宋体"/>
          <w:b/>
        </w:rPr>
        <w:t>我</w:t>
      </w:r>
      <w:r>
        <w:rPr>
          <w:rFonts w:hint="eastAsia"/>
          <w:b/>
        </w:rPr>
        <w:t>单位所投核心产品的品牌为：</w:t>
      </w:r>
      <w:r>
        <w:rPr>
          <w:rFonts w:hint="eastAsia"/>
          <w:b/>
          <w:bCs/>
          <w:szCs w:val="21"/>
          <w:u w:val="single"/>
        </w:rPr>
        <w:tab/>
      </w:r>
      <w:r>
        <w:rPr>
          <w:rFonts w:hint="eastAsia"/>
          <w:b/>
          <w:bCs/>
          <w:szCs w:val="21"/>
          <w:u w:val="single"/>
        </w:rPr>
        <w:tab/>
      </w:r>
      <w:r>
        <w:rPr>
          <w:rFonts w:hint="eastAsia"/>
          <w:b/>
          <w:bCs/>
          <w:szCs w:val="21"/>
          <w:u w:val="single"/>
        </w:rPr>
        <w:tab/>
      </w:r>
      <w:r>
        <w:rPr>
          <w:rFonts w:hint="eastAsia"/>
          <w:b/>
          <w:bCs/>
          <w:szCs w:val="21"/>
          <w:u w:val="single"/>
        </w:rPr>
        <w:tab/>
      </w:r>
      <w:r>
        <w:rPr>
          <w:rFonts w:hint="eastAsia"/>
          <w:b/>
        </w:rPr>
        <w:t>。</w:t>
      </w:r>
    </w:p>
    <w:p w14:paraId="19F2D2BA">
      <w:pPr>
        <w:spacing w:line="360" w:lineRule="auto"/>
        <w:ind w:firstLine="422" w:firstLineChars="200"/>
        <w:rPr>
          <w:rFonts w:ascii="宋体" w:hAnsi="宋体" w:eastAsia="宋体" w:cs="宋体"/>
          <w:b/>
          <w:color w:val="FF0000"/>
          <w:sz w:val="21"/>
          <w:szCs w:val="21"/>
        </w:rPr>
      </w:pPr>
      <w:r>
        <w:rPr>
          <w:rFonts w:hint="eastAsia" w:ascii="宋体" w:hAnsi="宋体" w:eastAsia="宋体" w:cs="宋体"/>
          <w:b/>
          <w:color w:val="FF0000"/>
          <w:sz w:val="21"/>
          <w:szCs w:val="21"/>
        </w:rPr>
        <w:t>备注：招标文件未列明核心产品的，无需填写该项。</w:t>
      </w:r>
    </w:p>
    <w:p w14:paraId="3E6ED2B0">
      <w:pPr>
        <w:ind w:firstLine="1201" w:firstLineChars="500"/>
        <w:rPr>
          <w:rFonts w:ascii="宋体" w:hAnsi="宋体"/>
          <w:b/>
          <w:bCs/>
        </w:rPr>
      </w:pPr>
    </w:p>
    <w:p w14:paraId="03931CC9">
      <w:pPr>
        <w:rPr>
          <w:b/>
        </w:rPr>
      </w:pPr>
    </w:p>
    <w:p w14:paraId="37A39B08">
      <w:pPr>
        <w:tabs>
          <w:tab w:val="left" w:pos="720"/>
        </w:tabs>
        <w:ind w:firstLine="1921" w:firstLineChars="800"/>
        <w:rPr>
          <w:b/>
        </w:rPr>
      </w:pPr>
    </w:p>
    <w:p w14:paraId="05C6AAD3">
      <w:pPr>
        <w:tabs>
          <w:tab w:val="left" w:pos="720"/>
        </w:tabs>
        <w:ind w:firstLine="1921" w:firstLineChars="800"/>
        <w:rPr>
          <w:b/>
        </w:rPr>
      </w:pPr>
    </w:p>
    <w:p w14:paraId="5F51E77A">
      <w:pPr>
        <w:tabs>
          <w:tab w:val="left" w:pos="720"/>
        </w:tabs>
        <w:ind w:firstLine="1921" w:firstLineChars="800"/>
        <w:rPr>
          <w:b/>
        </w:rPr>
      </w:pPr>
    </w:p>
    <w:p w14:paraId="51744005">
      <w:pPr>
        <w:tabs>
          <w:tab w:val="left" w:pos="720"/>
        </w:tabs>
        <w:ind w:firstLine="1928" w:firstLineChars="800"/>
        <w:outlineLvl w:val="4"/>
        <w:rPr>
          <w:b/>
        </w:rPr>
      </w:pPr>
      <w:r>
        <w:rPr>
          <w:rFonts w:hint="eastAsia" w:ascii="宋体" w:hAnsi="宋体" w:eastAsia="宋体" w:cs="宋体"/>
          <w:b/>
        </w:rPr>
        <w:t>（</w:t>
      </w:r>
      <w:r>
        <w:rPr>
          <w:rFonts w:hint="eastAsia"/>
          <w:b/>
        </w:rPr>
        <w:t>三）可选配件报价清单（不包括在总报价内）</w:t>
      </w:r>
    </w:p>
    <w:p w14:paraId="224829A7">
      <w:pPr>
        <w:ind w:firstLine="422" w:firstLineChars="200"/>
        <w:rPr>
          <w:rFonts w:ascii="宋体" w:hAnsi="宋体" w:eastAsia="宋体" w:cs="宋体"/>
          <w:b/>
          <w:bCs/>
          <w:color w:val="FF0000"/>
          <w:sz w:val="21"/>
          <w:szCs w:val="21"/>
        </w:rPr>
      </w:pPr>
      <w:r>
        <w:rPr>
          <w:rFonts w:hint="eastAsia" w:ascii="宋体" w:hAnsi="宋体" w:eastAsia="宋体" w:cs="宋体"/>
          <w:b/>
          <w:bCs/>
          <w:color w:val="FF0000"/>
          <w:sz w:val="21"/>
          <w:szCs w:val="21"/>
        </w:rPr>
        <w:t>注：格式可以参照《（一）分项报价表》表格，并提供相应的品牌/规格/型号、原产地、制造商信息（没有品牌、型号的，用“定制”描述即可）、单价等详细信息</w:t>
      </w:r>
    </w:p>
    <w:p w14:paraId="1834C8A2">
      <w:pPr>
        <w:ind w:firstLine="480" w:firstLineChars="200"/>
        <w:rPr>
          <w:rFonts w:hAnsi="宋体"/>
          <w:b/>
          <w:bCs/>
        </w:rPr>
      </w:pPr>
    </w:p>
    <w:p w14:paraId="226710A4">
      <w:pPr>
        <w:tabs>
          <w:tab w:val="left" w:pos="720"/>
        </w:tabs>
        <w:jc w:val="center"/>
        <w:rPr>
          <w:b/>
        </w:rPr>
      </w:pPr>
    </w:p>
    <w:p w14:paraId="31A32D13">
      <w:pPr>
        <w:tabs>
          <w:tab w:val="left" w:pos="720"/>
        </w:tabs>
        <w:jc w:val="center"/>
        <w:rPr>
          <w:b/>
        </w:rPr>
      </w:pPr>
    </w:p>
    <w:p w14:paraId="6291E1D2">
      <w:pPr>
        <w:tabs>
          <w:tab w:val="left" w:pos="720"/>
        </w:tabs>
        <w:jc w:val="center"/>
        <w:rPr>
          <w:b/>
        </w:rPr>
      </w:pPr>
    </w:p>
    <w:p w14:paraId="3DEEC573">
      <w:pPr>
        <w:tabs>
          <w:tab w:val="left" w:pos="720"/>
        </w:tabs>
        <w:jc w:val="center"/>
        <w:rPr>
          <w:b/>
        </w:rPr>
      </w:pPr>
    </w:p>
    <w:p w14:paraId="2F4C394C">
      <w:pPr>
        <w:tabs>
          <w:tab w:val="left" w:pos="720"/>
        </w:tabs>
        <w:jc w:val="center"/>
        <w:outlineLvl w:val="4"/>
        <w:rPr>
          <w:b/>
        </w:rPr>
      </w:pPr>
      <w:r>
        <w:rPr>
          <w:rFonts w:hint="eastAsia" w:ascii="宋体" w:hAnsi="宋体" w:eastAsia="宋体" w:cs="宋体"/>
          <w:b/>
        </w:rPr>
        <w:t>（</w:t>
      </w:r>
      <w:r>
        <w:rPr>
          <w:rFonts w:hint="eastAsia"/>
          <w:b/>
        </w:rPr>
        <w:t>四）</w:t>
      </w:r>
      <w:bookmarkStart w:id="33" w:name="_Hlk72073235"/>
      <w:r>
        <w:rPr>
          <w:rFonts w:hint="eastAsia"/>
          <w:b/>
        </w:rPr>
        <w:t>投标人认为需要涉及的其他内容报价清单</w:t>
      </w:r>
      <w:bookmarkEnd w:id="33"/>
    </w:p>
    <w:p w14:paraId="51252EA4">
      <w:pPr>
        <w:rPr>
          <w:rFonts w:ascii="黑体"/>
        </w:rPr>
      </w:pPr>
      <w:r>
        <w:rPr>
          <w:rFonts w:hint="eastAsia" w:ascii="黑体"/>
        </w:rPr>
        <w:br w:type="page"/>
      </w:r>
    </w:p>
    <w:p w14:paraId="30A062EC">
      <w:pPr>
        <w:pStyle w:val="5"/>
        <w:spacing w:before="120" w:after="120"/>
        <w:jc w:val="center"/>
        <w:rPr>
          <w:rFonts w:ascii="黑体"/>
          <w:b w:val="0"/>
          <w:sz w:val="24"/>
        </w:rPr>
      </w:pPr>
      <w:r>
        <w:rPr>
          <w:rFonts w:hint="eastAsia" w:ascii="黑体"/>
          <w:b w:val="0"/>
          <w:sz w:val="24"/>
        </w:rPr>
        <w:t>五、招标代理服务费承诺书</w:t>
      </w:r>
    </w:p>
    <w:p w14:paraId="13FFB39B">
      <w:pPr>
        <w:widowControl w:val="0"/>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致：中国远东国际招标有限公司</w:t>
      </w:r>
    </w:p>
    <w:p w14:paraId="5399F9CE">
      <w:pPr>
        <w:widowControl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我单位承诺：</w:t>
      </w:r>
    </w:p>
    <w:p w14:paraId="55112C07">
      <w:pPr>
        <w:widowControl w:val="0"/>
        <w:spacing w:line="360" w:lineRule="auto"/>
        <w:ind w:firstLine="420" w:firstLineChars="200"/>
        <w:rPr>
          <w:rFonts w:ascii="宋体" w:hAnsi="宋体" w:eastAsia="宋体" w:cs="宋体"/>
          <w:sz w:val="21"/>
          <w:szCs w:val="21"/>
        </w:rPr>
      </w:pPr>
      <w:r>
        <w:rPr>
          <w:rFonts w:hint="eastAsia" w:ascii="宋体" w:hAnsi="宋体" w:eastAsia="宋体" w:cs="宋体"/>
          <w:color w:val="000000"/>
          <w:sz w:val="21"/>
          <w:szCs w:val="21"/>
        </w:rPr>
        <w:t>1.</w:t>
      </w:r>
      <w:r>
        <w:rPr>
          <w:rFonts w:hint="eastAsia" w:ascii="宋体" w:hAnsi="宋体" w:eastAsia="宋体" w:cs="宋体"/>
          <w:sz w:val="21"/>
          <w:szCs w:val="21"/>
        </w:rPr>
        <w:t>我单位在贵单位代理的</w:t>
      </w:r>
      <w:r>
        <w:rPr>
          <w:rFonts w:hint="eastAsia" w:ascii="宋体" w:hAnsi="宋体" w:eastAsia="宋体" w:cs="宋体"/>
          <w:sz w:val="21"/>
          <w:szCs w:val="21"/>
          <w:u w:val="single"/>
        </w:rPr>
        <w:t xml:space="preserve">                                      </w:t>
      </w:r>
      <w:r>
        <w:rPr>
          <w:rFonts w:hint="eastAsia" w:ascii="宋体" w:hAnsi="宋体" w:eastAsia="宋体" w:cs="宋体"/>
          <w:sz w:val="21"/>
          <w:szCs w:val="21"/>
        </w:rPr>
        <w:t>项目（项目编号：</w:t>
      </w:r>
      <w:r>
        <w:rPr>
          <w:rFonts w:hint="eastAsia" w:ascii="宋体" w:hAnsi="宋体" w:eastAsia="宋体" w:cs="宋体"/>
          <w:sz w:val="21"/>
          <w:szCs w:val="21"/>
          <w:u w:val="single"/>
        </w:rPr>
        <w:t xml:space="preserve">                       </w:t>
      </w:r>
      <w:r>
        <w:rPr>
          <w:rFonts w:hint="eastAsia" w:ascii="宋体" w:hAnsi="宋体" w:eastAsia="宋体" w:cs="宋体"/>
          <w:sz w:val="21"/>
          <w:szCs w:val="21"/>
        </w:rPr>
        <w:t>）招标采购中若获中标，我们承诺并保证在收到“领取《中标（成交）通知书》通知”的电子邮件后5日内按本项目《招标文件》的规定，以现金或电汇向贵公司指定的中国远东国际招标有限公司分公司的银行账号一次性支付全额招标采购代理服务费。如有违反，我们全责承担因我单位违反行为而可能引起的诚信记录、无法合规签订合同及顺利完成后续审计验收工作、经济损失赔偿等法律后果；</w:t>
      </w:r>
    </w:p>
    <w:p w14:paraId="0ED2DA5E">
      <w:pPr>
        <w:widowControl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2.我单位知悉并自愿承担如因我单位中标后放弃中标资格或因我单位提供虚假资料导致项目废标的而招标代理服务费不予退还的风险。</w:t>
      </w:r>
    </w:p>
    <w:p w14:paraId="4A10091C">
      <w:pPr>
        <w:widowControl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特此承诺。</w:t>
      </w:r>
    </w:p>
    <w:p w14:paraId="643A6384">
      <w:pPr>
        <w:spacing w:line="360" w:lineRule="auto"/>
        <w:rPr>
          <w:rFonts w:ascii="宋体" w:hAnsi="宋体" w:eastAsia="宋体" w:cs="宋体"/>
          <w:sz w:val="21"/>
          <w:szCs w:val="21"/>
        </w:rPr>
      </w:pPr>
    </w:p>
    <w:p w14:paraId="2F08B1D2">
      <w:pPr>
        <w:spacing w:line="360" w:lineRule="auto"/>
        <w:rPr>
          <w:rFonts w:ascii="宋体" w:hAnsi="宋体" w:eastAsia="宋体" w:cs="宋体"/>
          <w:sz w:val="21"/>
          <w:szCs w:val="21"/>
        </w:rPr>
      </w:pPr>
    </w:p>
    <w:p w14:paraId="7B9A8A38">
      <w:pPr>
        <w:widowControl w:val="0"/>
        <w:spacing w:line="360" w:lineRule="auto"/>
        <w:ind w:firstLine="4216" w:firstLineChars="2000"/>
        <w:rPr>
          <w:rFonts w:ascii="宋体" w:hAnsi="宋体" w:eastAsia="宋体" w:cs="宋体"/>
          <w:b/>
          <w:bCs/>
          <w:color w:val="000000"/>
          <w:sz w:val="21"/>
          <w:szCs w:val="21"/>
          <w:u w:val="single"/>
        </w:rPr>
      </w:pPr>
      <w:r>
        <w:rPr>
          <w:rFonts w:hint="eastAsia" w:ascii="宋体" w:hAnsi="宋体" w:eastAsia="宋体" w:cs="宋体"/>
          <w:b/>
          <w:bCs/>
          <w:color w:val="000000"/>
          <w:sz w:val="21"/>
          <w:szCs w:val="21"/>
        </w:rPr>
        <w:t>投标人：</w:t>
      </w:r>
      <w:r>
        <w:rPr>
          <w:rFonts w:hint="eastAsia" w:ascii="宋体" w:hAnsi="宋体" w:eastAsia="宋体" w:cs="宋体"/>
          <w:b/>
          <w:bCs/>
          <w:color w:val="000000"/>
          <w:sz w:val="21"/>
          <w:szCs w:val="21"/>
          <w:u w:val="single"/>
        </w:rPr>
        <w:t xml:space="preserve">                      </w:t>
      </w:r>
    </w:p>
    <w:p w14:paraId="72B58ABD">
      <w:pPr>
        <w:widowControl w:val="0"/>
        <w:spacing w:line="360" w:lineRule="auto"/>
        <w:ind w:firstLine="4216" w:firstLineChars="2000"/>
        <w:rPr>
          <w:rFonts w:ascii="宋体" w:hAnsi="宋体" w:eastAsia="宋体" w:cs="宋体"/>
          <w:b/>
          <w:bCs/>
          <w:sz w:val="21"/>
          <w:szCs w:val="21"/>
        </w:rPr>
      </w:pPr>
      <w:r>
        <w:rPr>
          <w:rFonts w:hint="eastAsia" w:ascii="宋体" w:hAnsi="宋体" w:eastAsia="宋体" w:cs="宋体"/>
          <w:b/>
          <w:bCs/>
          <w:color w:val="000000"/>
          <w:sz w:val="21"/>
          <w:szCs w:val="21"/>
        </w:rPr>
        <w:t>日  期：</w:t>
      </w:r>
      <w:r>
        <w:rPr>
          <w:rFonts w:hint="eastAsia" w:ascii="宋体" w:hAnsi="宋体" w:eastAsia="宋体" w:cs="宋体"/>
          <w:b/>
          <w:bCs/>
          <w:color w:val="000000"/>
          <w:sz w:val="21"/>
          <w:szCs w:val="21"/>
          <w:u w:val="single"/>
        </w:rPr>
        <w:t xml:space="preserve">        </w:t>
      </w:r>
      <w:r>
        <w:rPr>
          <w:rFonts w:hint="eastAsia" w:ascii="宋体" w:hAnsi="宋体" w:eastAsia="宋体" w:cs="宋体"/>
          <w:b/>
          <w:bCs/>
          <w:color w:val="000000"/>
          <w:sz w:val="21"/>
          <w:szCs w:val="21"/>
        </w:rPr>
        <w:t>年</w:t>
      </w:r>
      <w:r>
        <w:rPr>
          <w:rFonts w:hint="eastAsia" w:ascii="宋体" w:hAnsi="宋体" w:eastAsia="宋体" w:cs="宋体"/>
          <w:b/>
          <w:bCs/>
          <w:color w:val="000000"/>
          <w:sz w:val="21"/>
          <w:szCs w:val="21"/>
          <w:u w:val="single"/>
        </w:rPr>
        <w:t xml:space="preserve">    </w:t>
      </w:r>
      <w:r>
        <w:rPr>
          <w:rFonts w:hint="eastAsia" w:ascii="宋体" w:hAnsi="宋体" w:eastAsia="宋体" w:cs="宋体"/>
          <w:b/>
          <w:bCs/>
          <w:color w:val="000000"/>
          <w:sz w:val="21"/>
          <w:szCs w:val="21"/>
        </w:rPr>
        <w:t>月</w:t>
      </w:r>
      <w:r>
        <w:rPr>
          <w:rFonts w:hint="eastAsia" w:ascii="宋体" w:hAnsi="宋体" w:eastAsia="宋体" w:cs="宋体"/>
          <w:b/>
          <w:bCs/>
          <w:color w:val="000000"/>
          <w:sz w:val="21"/>
          <w:szCs w:val="21"/>
          <w:u w:val="single"/>
        </w:rPr>
        <w:t xml:space="preserve">    </w:t>
      </w:r>
      <w:r>
        <w:rPr>
          <w:rFonts w:hint="eastAsia" w:ascii="宋体" w:hAnsi="宋体" w:eastAsia="宋体" w:cs="宋体"/>
          <w:b/>
          <w:bCs/>
          <w:color w:val="000000"/>
          <w:sz w:val="21"/>
          <w:szCs w:val="21"/>
        </w:rPr>
        <w:t>日</w:t>
      </w:r>
    </w:p>
    <w:p w14:paraId="3998735D">
      <w:pPr>
        <w:autoSpaceDE w:val="0"/>
        <w:autoSpaceDN w:val="0"/>
        <w:ind w:left="357" w:right="28" w:hanging="357"/>
        <w:jc w:val="right"/>
        <w:textAlignment w:val="bottom"/>
        <w:rPr>
          <w:szCs w:val="21"/>
        </w:rPr>
      </w:pPr>
    </w:p>
    <w:p w14:paraId="543DF8F2">
      <w:pPr>
        <w:rPr>
          <w:rFonts w:ascii="黑体"/>
        </w:rPr>
      </w:pPr>
      <w:r>
        <w:rPr>
          <w:rFonts w:hint="eastAsia" w:ascii="黑体"/>
        </w:rPr>
        <w:br w:type="page"/>
      </w:r>
    </w:p>
    <w:p w14:paraId="288E969F">
      <w:pPr>
        <w:pStyle w:val="5"/>
        <w:jc w:val="center"/>
        <w:rPr>
          <w:rFonts w:ascii="黑体"/>
          <w:b w:val="0"/>
          <w:sz w:val="24"/>
          <w:szCs w:val="24"/>
        </w:rPr>
      </w:pPr>
      <w:r>
        <w:rPr>
          <w:rFonts w:hint="eastAsia" w:ascii="黑体"/>
          <w:b w:val="0"/>
          <w:sz w:val="24"/>
          <w:szCs w:val="24"/>
        </w:rPr>
        <w:t>六、技术要求偏离表</w:t>
      </w:r>
    </w:p>
    <w:p w14:paraId="01351174">
      <w:pPr>
        <w:rPr>
          <w:rFonts w:ascii="宋体" w:hAnsi="宋体" w:eastAsia="宋体" w:cs="宋体"/>
          <w:b/>
          <w:bCs/>
          <w:color w:val="FF0000"/>
          <w:sz w:val="21"/>
          <w:szCs w:val="21"/>
        </w:rPr>
      </w:pPr>
      <w:r>
        <w:rPr>
          <w:rFonts w:hint="eastAsia" w:ascii="宋体" w:hAnsi="宋体" w:eastAsia="宋体" w:cs="宋体"/>
          <w:b/>
          <w:bCs/>
          <w:color w:val="FF0000"/>
          <w:sz w:val="21"/>
          <w:szCs w:val="21"/>
        </w:rPr>
        <w:t>特别提醒：投标人的“技术规格响应情况”“技术规格偏离情况”等必须与客观实际保持一致，响应不实且情节严重的，经查实，将依法记入供应商诚信档案或受到行政处罚。</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800"/>
        <w:gridCol w:w="4818"/>
        <w:gridCol w:w="1832"/>
        <w:gridCol w:w="736"/>
        <w:gridCol w:w="404"/>
      </w:tblGrid>
      <w:tr w14:paraId="7B241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481" w:type="dxa"/>
            <w:vAlign w:val="center"/>
          </w:tcPr>
          <w:p w14:paraId="6BEB51C0">
            <w:pPr>
              <w:jc w:val="center"/>
              <w:rPr>
                <w:b/>
                <w:bCs/>
                <w:color w:val="000000"/>
                <w:szCs w:val="21"/>
              </w:rPr>
            </w:pPr>
            <w:r>
              <w:rPr>
                <w:rFonts w:hint="eastAsia" w:ascii="宋体" w:hAnsi="宋体" w:eastAsia="宋体" w:cs="宋体"/>
                <w:b/>
                <w:bCs/>
              </w:rPr>
              <w:t>序</w:t>
            </w:r>
            <w:r>
              <w:rPr>
                <w:rFonts w:hint="eastAsia"/>
                <w:b/>
                <w:bCs/>
              </w:rPr>
              <w:t>号</w:t>
            </w:r>
          </w:p>
        </w:tc>
        <w:tc>
          <w:tcPr>
            <w:tcW w:w="800" w:type="dxa"/>
            <w:vAlign w:val="center"/>
          </w:tcPr>
          <w:p w14:paraId="3DAC1EF3">
            <w:pPr>
              <w:jc w:val="center"/>
              <w:rPr>
                <w:b/>
                <w:bCs/>
                <w:color w:val="000000"/>
                <w:szCs w:val="21"/>
              </w:rPr>
            </w:pPr>
            <w:r>
              <w:rPr>
                <w:rFonts w:hint="eastAsia" w:ascii="宋体" w:hAnsi="宋体" w:eastAsia="宋体" w:cs="宋体"/>
                <w:b/>
                <w:bCs/>
              </w:rPr>
              <w:t>货</w:t>
            </w:r>
            <w:r>
              <w:rPr>
                <w:rFonts w:hint="eastAsia"/>
                <w:b/>
                <w:bCs/>
              </w:rPr>
              <w:t>物名称</w:t>
            </w:r>
          </w:p>
        </w:tc>
        <w:tc>
          <w:tcPr>
            <w:tcW w:w="4818" w:type="dxa"/>
            <w:vAlign w:val="center"/>
          </w:tcPr>
          <w:p w14:paraId="0F2C1A62">
            <w:pPr>
              <w:jc w:val="center"/>
              <w:rPr>
                <w:b/>
                <w:bCs/>
                <w:color w:val="000000"/>
                <w:szCs w:val="21"/>
              </w:rPr>
            </w:pPr>
            <w:r>
              <w:rPr>
                <w:rFonts w:hint="eastAsia" w:ascii="宋体" w:hAnsi="宋体" w:eastAsia="宋体" w:cs="宋体"/>
                <w:b/>
                <w:bCs/>
              </w:rPr>
              <w:t>招</w:t>
            </w:r>
            <w:r>
              <w:rPr>
                <w:rFonts w:hint="eastAsia"/>
                <w:b/>
                <w:bCs/>
              </w:rPr>
              <w:t>标技术要求</w:t>
            </w:r>
          </w:p>
        </w:tc>
        <w:tc>
          <w:tcPr>
            <w:tcW w:w="1832" w:type="dxa"/>
            <w:vAlign w:val="center"/>
          </w:tcPr>
          <w:p w14:paraId="29FCEDBB">
            <w:pPr>
              <w:jc w:val="center"/>
              <w:rPr>
                <w:b/>
                <w:bCs/>
                <w:color w:val="000000"/>
                <w:szCs w:val="21"/>
              </w:rPr>
            </w:pPr>
            <w:r>
              <w:rPr>
                <w:rFonts w:hint="eastAsia" w:ascii="宋体" w:hAnsi="宋体" w:eastAsia="宋体" w:cs="宋体"/>
                <w:b/>
                <w:bCs/>
              </w:rPr>
              <w:t>投</w:t>
            </w:r>
            <w:r>
              <w:rPr>
                <w:rFonts w:hint="eastAsia"/>
                <w:b/>
                <w:bCs/>
              </w:rPr>
              <w:t>标技术响应</w:t>
            </w:r>
          </w:p>
        </w:tc>
        <w:tc>
          <w:tcPr>
            <w:tcW w:w="736" w:type="dxa"/>
            <w:vAlign w:val="center"/>
          </w:tcPr>
          <w:p w14:paraId="6738E763">
            <w:pPr>
              <w:jc w:val="center"/>
              <w:rPr>
                <w:b/>
                <w:bCs/>
                <w:color w:val="000000"/>
                <w:szCs w:val="21"/>
              </w:rPr>
            </w:pPr>
            <w:r>
              <w:rPr>
                <w:rFonts w:hint="eastAsia" w:ascii="宋体" w:hAnsi="宋体" w:eastAsia="宋体" w:cs="宋体"/>
                <w:b/>
                <w:bCs/>
              </w:rPr>
              <w:t>偏</w:t>
            </w:r>
            <w:r>
              <w:rPr>
                <w:rFonts w:hint="eastAsia"/>
                <w:b/>
                <w:bCs/>
              </w:rPr>
              <w:t>离情况</w:t>
            </w:r>
          </w:p>
        </w:tc>
        <w:tc>
          <w:tcPr>
            <w:tcW w:w="404" w:type="dxa"/>
            <w:vAlign w:val="center"/>
          </w:tcPr>
          <w:p w14:paraId="0D11B39C">
            <w:pPr>
              <w:jc w:val="center"/>
              <w:rPr>
                <w:b/>
                <w:bCs/>
                <w:color w:val="000000"/>
                <w:szCs w:val="21"/>
              </w:rPr>
            </w:pPr>
            <w:r>
              <w:rPr>
                <w:rFonts w:hint="eastAsia" w:ascii="宋体" w:hAnsi="宋体" w:eastAsia="宋体" w:cs="宋体"/>
                <w:b/>
                <w:bCs/>
              </w:rPr>
              <w:t>说</w:t>
            </w:r>
            <w:r>
              <w:rPr>
                <w:rFonts w:hint="eastAsia"/>
                <w:b/>
                <w:bCs/>
              </w:rPr>
              <w:t>明</w:t>
            </w:r>
          </w:p>
        </w:tc>
      </w:tr>
      <w:tr w14:paraId="44760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81" w:type="dxa"/>
            <w:vMerge w:val="restart"/>
            <w:vAlign w:val="center"/>
          </w:tcPr>
          <w:p w14:paraId="32AE186D">
            <w:pPr>
              <w:jc w:val="center"/>
              <w:rPr>
                <w:color w:val="000000"/>
                <w:szCs w:val="21"/>
              </w:rPr>
            </w:pPr>
            <w:r>
              <w:rPr>
                <w:color w:val="000000"/>
                <w:szCs w:val="21"/>
              </w:rPr>
              <w:t>1</w:t>
            </w:r>
          </w:p>
        </w:tc>
        <w:tc>
          <w:tcPr>
            <w:tcW w:w="800" w:type="dxa"/>
            <w:vMerge w:val="restart"/>
            <w:vAlign w:val="center"/>
          </w:tcPr>
          <w:p w14:paraId="5BEBE4BD">
            <w:pPr>
              <w:jc w:val="center"/>
              <w:rPr>
                <w:color w:val="000000"/>
                <w:szCs w:val="21"/>
              </w:rPr>
            </w:pPr>
            <w:r>
              <w:rPr>
                <w:rFonts w:hint="eastAsia"/>
                <w:color w:val="000000"/>
                <w:szCs w:val="21"/>
              </w:rPr>
              <w:t>*</w:t>
            </w:r>
            <w:r>
              <w:rPr>
                <w:color w:val="000000"/>
                <w:szCs w:val="21"/>
              </w:rPr>
              <w:t>**</w:t>
            </w:r>
          </w:p>
        </w:tc>
        <w:tc>
          <w:tcPr>
            <w:tcW w:w="4818" w:type="dxa"/>
          </w:tcPr>
          <w:p w14:paraId="03B30A05">
            <w:pPr>
              <w:jc w:val="center"/>
              <w:rPr>
                <w:color w:val="000000"/>
                <w:szCs w:val="21"/>
              </w:rPr>
            </w:pPr>
            <w:r>
              <w:rPr>
                <w:rFonts w:hint="eastAsia" w:ascii="宋体" w:hAnsi="宋体" w:eastAsia="宋体" w:cs="宋体"/>
              </w:rPr>
              <w:t>（</w:t>
            </w:r>
            <w:r>
              <w:rPr>
                <w:rFonts w:hint="eastAsia"/>
              </w:rPr>
              <w:t>填写相关内容）</w:t>
            </w:r>
          </w:p>
        </w:tc>
        <w:tc>
          <w:tcPr>
            <w:tcW w:w="1832" w:type="dxa"/>
          </w:tcPr>
          <w:p w14:paraId="06940FC0">
            <w:pPr>
              <w:rPr>
                <w:color w:val="000000"/>
                <w:szCs w:val="21"/>
              </w:rPr>
            </w:pPr>
          </w:p>
        </w:tc>
        <w:tc>
          <w:tcPr>
            <w:tcW w:w="736" w:type="dxa"/>
          </w:tcPr>
          <w:p w14:paraId="792CF97C">
            <w:pPr>
              <w:rPr>
                <w:color w:val="000000"/>
                <w:szCs w:val="21"/>
              </w:rPr>
            </w:pPr>
          </w:p>
        </w:tc>
        <w:tc>
          <w:tcPr>
            <w:tcW w:w="404" w:type="dxa"/>
          </w:tcPr>
          <w:p w14:paraId="4D6C07DA">
            <w:pPr>
              <w:rPr>
                <w:color w:val="000000"/>
                <w:szCs w:val="21"/>
              </w:rPr>
            </w:pPr>
          </w:p>
        </w:tc>
      </w:tr>
      <w:tr w14:paraId="50925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81" w:type="dxa"/>
            <w:vMerge w:val="continue"/>
            <w:vAlign w:val="center"/>
          </w:tcPr>
          <w:p w14:paraId="002F7C7F">
            <w:pPr>
              <w:jc w:val="center"/>
              <w:rPr>
                <w:color w:val="000000"/>
                <w:szCs w:val="21"/>
              </w:rPr>
            </w:pPr>
          </w:p>
        </w:tc>
        <w:tc>
          <w:tcPr>
            <w:tcW w:w="800" w:type="dxa"/>
            <w:vMerge w:val="continue"/>
            <w:vAlign w:val="center"/>
          </w:tcPr>
          <w:p w14:paraId="38C7D241">
            <w:pPr>
              <w:jc w:val="center"/>
              <w:rPr>
                <w:color w:val="000000"/>
                <w:szCs w:val="21"/>
              </w:rPr>
            </w:pPr>
          </w:p>
        </w:tc>
        <w:tc>
          <w:tcPr>
            <w:tcW w:w="4818" w:type="dxa"/>
          </w:tcPr>
          <w:p w14:paraId="64D9D158">
            <w:pPr>
              <w:jc w:val="center"/>
              <w:rPr>
                <w:color w:val="000000"/>
                <w:szCs w:val="21"/>
              </w:rPr>
            </w:pPr>
            <w:r>
              <w:rPr>
                <w:rFonts w:hint="eastAsia" w:ascii="宋体" w:hAnsi="宋体" w:eastAsia="宋体" w:cs="宋体"/>
              </w:rPr>
              <w:t>（</w:t>
            </w:r>
            <w:r>
              <w:rPr>
                <w:rFonts w:hint="eastAsia"/>
              </w:rPr>
              <w:t>填写相关内容）</w:t>
            </w:r>
          </w:p>
        </w:tc>
        <w:tc>
          <w:tcPr>
            <w:tcW w:w="1832" w:type="dxa"/>
          </w:tcPr>
          <w:p w14:paraId="1340FB02">
            <w:pPr>
              <w:rPr>
                <w:color w:val="000000"/>
                <w:szCs w:val="21"/>
              </w:rPr>
            </w:pPr>
          </w:p>
        </w:tc>
        <w:tc>
          <w:tcPr>
            <w:tcW w:w="736" w:type="dxa"/>
          </w:tcPr>
          <w:p w14:paraId="3EEA2DA1">
            <w:pPr>
              <w:rPr>
                <w:color w:val="000000"/>
                <w:szCs w:val="21"/>
              </w:rPr>
            </w:pPr>
          </w:p>
        </w:tc>
        <w:tc>
          <w:tcPr>
            <w:tcW w:w="404" w:type="dxa"/>
          </w:tcPr>
          <w:p w14:paraId="38E55247">
            <w:pPr>
              <w:rPr>
                <w:color w:val="000000"/>
                <w:szCs w:val="21"/>
              </w:rPr>
            </w:pPr>
          </w:p>
        </w:tc>
      </w:tr>
      <w:tr w14:paraId="03B55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81" w:type="dxa"/>
            <w:vMerge w:val="continue"/>
            <w:vAlign w:val="center"/>
          </w:tcPr>
          <w:p w14:paraId="183A335C">
            <w:pPr>
              <w:jc w:val="center"/>
              <w:rPr>
                <w:color w:val="000000"/>
                <w:szCs w:val="21"/>
              </w:rPr>
            </w:pPr>
          </w:p>
        </w:tc>
        <w:tc>
          <w:tcPr>
            <w:tcW w:w="800" w:type="dxa"/>
            <w:vMerge w:val="continue"/>
            <w:vAlign w:val="center"/>
          </w:tcPr>
          <w:p w14:paraId="0BD11968">
            <w:pPr>
              <w:jc w:val="center"/>
              <w:rPr>
                <w:color w:val="000000"/>
                <w:szCs w:val="21"/>
              </w:rPr>
            </w:pPr>
          </w:p>
        </w:tc>
        <w:tc>
          <w:tcPr>
            <w:tcW w:w="4818" w:type="dxa"/>
          </w:tcPr>
          <w:p w14:paraId="6FC85B1B">
            <w:pPr>
              <w:jc w:val="center"/>
              <w:rPr>
                <w:color w:val="000000"/>
                <w:szCs w:val="21"/>
              </w:rPr>
            </w:pPr>
            <w:r>
              <w:rPr>
                <w:rFonts w:hint="eastAsia" w:ascii="宋体" w:hAnsi="宋体" w:eastAsia="宋体" w:cs="宋体"/>
              </w:rPr>
              <w:t>（</w:t>
            </w:r>
            <w:r>
              <w:rPr>
                <w:rFonts w:hint="eastAsia"/>
              </w:rPr>
              <w:t>填写相关内容）</w:t>
            </w:r>
          </w:p>
        </w:tc>
        <w:tc>
          <w:tcPr>
            <w:tcW w:w="1832" w:type="dxa"/>
          </w:tcPr>
          <w:p w14:paraId="745C2114">
            <w:pPr>
              <w:rPr>
                <w:color w:val="000000"/>
                <w:szCs w:val="21"/>
              </w:rPr>
            </w:pPr>
          </w:p>
        </w:tc>
        <w:tc>
          <w:tcPr>
            <w:tcW w:w="736" w:type="dxa"/>
          </w:tcPr>
          <w:p w14:paraId="0D6DE94A">
            <w:pPr>
              <w:rPr>
                <w:color w:val="000000"/>
                <w:szCs w:val="21"/>
              </w:rPr>
            </w:pPr>
          </w:p>
        </w:tc>
        <w:tc>
          <w:tcPr>
            <w:tcW w:w="404" w:type="dxa"/>
          </w:tcPr>
          <w:p w14:paraId="4C9B7A73">
            <w:pPr>
              <w:rPr>
                <w:color w:val="000000"/>
                <w:szCs w:val="21"/>
              </w:rPr>
            </w:pPr>
          </w:p>
        </w:tc>
      </w:tr>
      <w:tr w14:paraId="32724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81" w:type="dxa"/>
            <w:vMerge w:val="continue"/>
            <w:vAlign w:val="center"/>
          </w:tcPr>
          <w:p w14:paraId="5F6F1FED">
            <w:pPr>
              <w:jc w:val="center"/>
              <w:rPr>
                <w:color w:val="000000"/>
                <w:szCs w:val="21"/>
              </w:rPr>
            </w:pPr>
          </w:p>
        </w:tc>
        <w:tc>
          <w:tcPr>
            <w:tcW w:w="800" w:type="dxa"/>
            <w:vMerge w:val="continue"/>
            <w:vAlign w:val="center"/>
          </w:tcPr>
          <w:p w14:paraId="4528A668">
            <w:pPr>
              <w:jc w:val="center"/>
              <w:rPr>
                <w:color w:val="000000"/>
                <w:szCs w:val="21"/>
              </w:rPr>
            </w:pPr>
          </w:p>
        </w:tc>
        <w:tc>
          <w:tcPr>
            <w:tcW w:w="4818" w:type="dxa"/>
          </w:tcPr>
          <w:p w14:paraId="4384BF6B">
            <w:pPr>
              <w:jc w:val="center"/>
              <w:rPr>
                <w:color w:val="000000"/>
                <w:szCs w:val="21"/>
              </w:rPr>
            </w:pPr>
            <w:r>
              <w:rPr>
                <w:rFonts w:hint="eastAsia" w:ascii="宋体" w:hAnsi="宋体" w:eastAsia="宋体" w:cs="宋体"/>
              </w:rPr>
              <w:t>（</w:t>
            </w:r>
            <w:r>
              <w:rPr>
                <w:rFonts w:hint="eastAsia"/>
              </w:rPr>
              <w:t>填写相关内容）</w:t>
            </w:r>
          </w:p>
        </w:tc>
        <w:tc>
          <w:tcPr>
            <w:tcW w:w="1832" w:type="dxa"/>
          </w:tcPr>
          <w:p w14:paraId="56B04B54">
            <w:pPr>
              <w:rPr>
                <w:color w:val="000000"/>
                <w:szCs w:val="21"/>
              </w:rPr>
            </w:pPr>
          </w:p>
        </w:tc>
        <w:tc>
          <w:tcPr>
            <w:tcW w:w="736" w:type="dxa"/>
          </w:tcPr>
          <w:p w14:paraId="4446BF17">
            <w:pPr>
              <w:rPr>
                <w:color w:val="000000"/>
                <w:szCs w:val="21"/>
              </w:rPr>
            </w:pPr>
          </w:p>
        </w:tc>
        <w:tc>
          <w:tcPr>
            <w:tcW w:w="404" w:type="dxa"/>
          </w:tcPr>
          <w:p w14:paraId="691DAC92">
            <w:pPr>
              <w:rPr>
                <w:color w:val="000000"/>
                <w:szCs w:val="21"/>
              </w:rPr>
            </w:pPr>
          </w:p>
        </w:tc>
      </w:tr>
      <w:tr w14:paraId="3736B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81" w:type="dxa"/>
            <w:vMerge w:val="continue"/>
            <w:vAlign w:val="center"/>
          </w:tcPr>
          <w:p w14:paraId="65288AF5">
            <w:pPr>
              <w:jc w:val="center"/>
              <w:rPr>
                <w:color w:val="000000"/>
                <w:szCs w:val="21"/>
              </w:rPr>
            </w:pPr>
          </w:p>
        </w:tc>
        <w:tc>
          <w:tcPr>
            <w:tcW w:w="800" w:type="dxa"/>
            <w:vMerge w:val="continue"/>
            <w:vAlign w:val="center"/>
          </w:tcPr>
          <w:p w14:paraId="5F67C07A">
            <w:pPr>
              <w:jc w:val="center"/>
              <w:rPr>
                <w:color w:val="000000"/>
                <w:szCs w:val="21"/>
              </w:rPr>
            </w:pPr>
          </w:p>
        </w:tc>
        <w:tc>
          <w:tcPr>
            <w:tcW w:w="4818" w:type="dxa"/>
          </w:tcPr>
          <w:p w14:paraId="2A50029B">
            <w:pPr>
              <w:jc w:val="center"/>
              <w:rPr>
                <w:color w:val="000000"/>
                <w:szCs w:val="21"/>
              </w:rPr>
            </w:pPr>
            <w:r>
              <w:rPr>
                <w:rFonts w:hint="eastAsia" w:ascii="宋体" w:hAnsi="宋体" w:eastAsia="宋体" w:cs="宋体"/>
              </w:rPr>
              <w:t>（</w:t>
            </w:r>
            <w:r>
              <w:rPr>
                <w:rFonts w:hint="eastAsia"/>
              </w:rPr>
              <w:t>填写相关内容）</w:t>
            </w:r>
          </w:p>
        </w:tc>
        <w:tc>
          <w:tcPr>
            <w:tcW w:w="1832" w:type="dxa"/>
          </w:tcPr>
          <w:p w14:paraId="5A80B891">
            <w:pPr>
              <w:rPr>
                <w:rStyle w:val="31"/>
                <w:b w:val="0"/>
                <w:bCs w:val="0"/>
                <w:color w:val="000000"/>
                <w:szCs w:val="21"/>
              </w:rPr>
            </w:pPr>
          </w:p>
        </w:tc>
        <w:tc>
          <w:tcPr>
            <w:tcW w:w="736" w:type="dxa"/>
          </w:tcPr>
          <w:p w14:paraId="17357EBA">
            <w:pPr>
              <w:rPr>
                <w:rStyle w:val="31"/>
                <w:b w:val="0"/>
                <w:bCs w:val="0"/>
                <w:color w:val="000000"/>
                <w:szCs w:val="21"/>
              </w:rPr>
            </w:pPr>
          </w:p>
        </w:tc>
        <w:tc>
          <w:tcPr>
            <w:tcW w:w="404" w:type="dxa"/>
          </w:tcPr>
          <w:p w14:paraId="7A4B5632">
            <w:pPr>
              <w:rPr>
                <w:rStyle w:val="31"/>
                <w:b w:val="0"/>
                <w:bCs w:val="0"/>
                <w:color w:val="000000"/>
                <w:szCs w:val="21"/>
              </w:rPr>
            </w:pPr>
          </w:p>
        </w:tc>
      </w:tr>
      <w:tr w14:paraId="35F1C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81" w:type="dxa"/>
            <w:vMerge w:val="continue"/>
            <w:vAlign w:val="center"/>
          </w:tcPr>
          <w:p w14:paraId="493B9B73">
            <w:pPr>
              <w:jc w:val="center"/>
              <w:rPr>
                <w:color w:val="000000"/>
                <w:szCs w:val="21"/>
              </w:rPr>
            </w:pPr>
          </w:p>
        </w:tc>
        <w:tc>
          <w:tcPr>
            <w:tcW w:w="800" w:type="dxa"/>
            <w:vMerge w:val="continue"/>
            <w:vAlign w:val="center"/>
          </w:tcPr>
          <w:p w14:paraId="0EC77122">
            <w:pPr>
              <w:jc w:val="center"/>
              <w:rPr>
                <w:color w:val="000000"/>
                <w:szCs w:val="21"/>
              </w:rPr>
            </w:pPr>
          </w:p>
        </w:tc>
        <w:tc>
          <w:tcPr>
            <w:tcW w:w="4818" w:type="dxa"/>
          </w:tcPr>
          <w:p w14:paraId="144BDD7A">
            <w:pPr>
              <w:jc w:val="center"/>
              <w:rPr>
                <w:color w:val="000000"/>
                <w:szCs w:val="21"/>
              </w:rPr>
            </w:pPr>
            <w:r>
              <w:rPr>
                <w:rFonts w:hint="eastAsia" w:ascii="宋体" w:hAnsi="宋体"/>
                <w:color w:val="000000"/>
                <w:szCs w:val="21"/>
              </w:rPr>
              <w:t>……</w:t>
            </w:r>
          </w:p>
        </w:tc>
        <w:tc>
          <w:tcPr>
            <w:tcW w:w="1832" w:type="dxa"/>
          </w:tcPr>
          <w:p w14:paraId="3D7C46AB">
            <w:pPr>
              <w:rPr>
                <w:color w:val="000000"/>
                <w:szCs w:val="21"/>
              </w:rPr>
            </w:pPr>
          </w:p>
        </w:tc>
        <w:tc>
          <w:tcPr>
            <w:tcW w:w="736" w:type="dxa"/>
          </w:tcPr>
          <w:p w14:paraId="63AFF48C">
            <w:pPr>
              <w:rPr>
                <w:color w:val="000000"/>
                <w:szCs w:val="21"/>
              </w:rPr>
            </w:pPr>
          </w:p>
        </w:tc>
        <w:tc>
          <w:tcPr>
            <w:tcW w:w="404" w:type="dxa"/>
          </w:tcPr>
          <w:p w14:paraId="7045844F">
            <w:pPr>
              <w:rPr>
                <w:color w:val="000000"/>
                <w:szCs w:val="21"/>
              </w:rPr>
            </w:pPr>
          </w:p>
        </w:tc>
      </w:tr>
      <w:tr w14:paraId="06219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81" w:type="dxa"/>
            <w:vMerge w:val="continue"/>
            <w:vAlign w:val="center"/>
          </w:tcPr>
          <w:p w14:paraId="17AB958C">
            <w:pPr>
              <w:jc w:val="center"/>
              <w:rPr>
                <w:color w:val="000000"/>
                <w:szCs w:val="21"/>
              </w:rPr>
            </w:pPr>
          </w:p>
        </w:tc>
        <w:tc>
          <w:tcPr>
            <w:tcW w:w="800" w:type="dxa"/>
            <w:vMerge w:val="continue"/>
            <w:vAlign w:val="center"/>
          </w:tcPr>
          <w:p w14:paraId="2C94DE66">
            <w:pPr>
              <w:jc w:val="center"/>
              <w:rPr>
                <w:color w:val="000000"/>
                <w:szCs w:val="21"/>
              </w:rPr>
            </w:pPr>
          </w:p>
        </w:tc>
        <w:tc>
          <w:tcPr>
            <w:tcW w:w="4818" w:type="dxa"/>
          </w:tcPr>
          <w:p w14:paraId="6624ADEB">
            <w:pPr>
              <w:jc w:val="center"/>
              <w:rPr>
                <w:b/>
                <w:bCs/>
                <w:color w:val="000000"/>
                <w:szCs w:val="21"/>
              </w:rPr>
            </w:pPr>
            <w:r>
              <w:rPr>
                <w:rFonts w:hint="eastAsia" w:ascii="宋体" w:hAnsi="宋体"/>
                <w:color w:val="000000"/>
                <w:szCs w:val="21"/>
              </w:rPr>
              <w:t>……</w:t>
            </w:r>
          </w:p>
        </w:tc>
        <w:tc>
          <w:tcPr>
            <w:tcW w:w="1832" w:type="dxa"/>
          </w:tcPr>
          <w:p w14:paraId="2830F96C">
            <w:pPr>
              <w:rPr>
                <w:b/>
                <w:bCs/>
                <w:color w:val="FF0000"/>
                <w:szCs w:val="21"/>
              </w:rPr>
            </w:pPr>
          </w:p>
        </w:tc>
        <w:tc>
          <w:tcPr>
            <w:tcW w:w="736" w:type="dxa"/>
          </w:tcPr>
          <w:p w14:paraId="79DD7108">
            <w:pPr>
              <w:rPr>
                <w:b/>
                <w:bCs/>
                <w:color w:val="FF0000"/>
                <w:szCs w:val="21"/>
              </w:rPr>
            </w:pPr>
          </w:p>
        </w:tc>
        <w:tc>
          <w:tcPr>
            <w:tcW w:w="404" w:type="dxa"/>
          </w:tcPr>
          <w:p w14:paraId="3F464714">
            <w:pPr>
              <w:rPr>
                <w:b/>
                <w:bCs/>
                <w:color w:val="FF0000"/>
                <w:szCs w:val="21"/>
              </w:rPr>
            </w:pPr>
          </w:p>
        </w:tc>
      </w:tr>
      <w:tr w14:paraId="06CC3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81" w:type="dxa"/>
            <w:vMerge w:val="continue"/>
            <w:vAlign w:val="center"/>
          </w:tcPr>
          <w:p w14:paraId="51CA06B0">
            <w:pPr>
              <w:jc w:val="center"/>
              <w:rPr>
                <w:color w:val="000000"/>
                <w:szCs w:val="21"/>
              </w:rPr>
            </w:pPr>
          </w:p>
        </w:tc>
        <w:tc>
          <w:tcPr>
            <w:tcW w:w="800" w:type="dxa"/>
            <w:vMerge w:val="continue"/>
            <w:vAlign w:val="center"/>
          </w:tcPr>
          <w:p w14:paraId="4E6F7F01">
            <w:pPr>
              <w:jc w:val="center"/>
              <w:rPr>
                <w:color w:val="000000"/>
                <w:szCs w:val="21"/>
              </w:rPr>
            </w:pPr>
          </w:p>
        </w:tc>
        <w:tc>
          <w:tcPr>
            <w:tcW w:w="4818" w:type="dxa"/>
          </w:tcPr>
          <w:p w14:paraId="266826E0">
            <w:pPr>
              <w:jc w:val="center"/>
              <w:rPr>
                <w:color w:val="000000"/>
                <w:szCs w:val="21"/>
              </w:rPr>
            </w:pPr>
            <w:r>
              <w:rPr>
                <w:rFonts w:hint="eastAsia" w:ascii="宋体" w:hAnsi="宋体"/>
                <w:color w:val="000000"/>
                <w:szCs w:val="21"/>
              </w:rPr>
              <w:t>……</w:t>
            </w:r>
          </w:p>
        </w:tc>
        <w:tc>
          <w:tcPr>
            <w:tcW w:w="1832" w:type="dxa"/>
          </w:tcPr>
          <w:p w14:paraId="04A82D3B">
            <w:pPr>
              <w:rPr>
                <w:color w:val="000000"/>
                <w:szCs w:val="21"/>
              </w:rPr>
            </w:pPr>
          </w:p>
        </w:tc>
        <w:tc>
          <w:tcPr>
            <w:tcW w:w="736" w:type="dxa"/>
          </w:tcPr>
          <w:p w14:paraId="42DBD958">
            <w:pPr>
              <w:rPr>
                <w:color w:val="000000"/>
                <w:szCs w:val="21"/>
              </w:rPr>
            </w:pPr>
          </w:p>
        </w:tc>
        <w:tc>
          <w:tcPr>
            <w:tcW w:w="404" w:type="dxa"/>
          </w:tcPr>
          <w:p w14:paraId="072DE58E">
            <w:pPr>
              <w:rPr>
                <w:color w:val="000000"/>
                <w:szCs w:val="21"/>
              </w:rPr>
            </w:pPr>
          </w:p>
        </w:tc>
      </w:tr>
      <w:tr w14:paraId="3D825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481" w:type="dxa"/>
            <w:vMerge w:val="restart"/>
            <w:vAlign w:val="center"/>
          </w:tcPr>
          <w:p w14:paraId="62898A8F">
            <w:pPr>
              <w:jc w:val="center"/>
              <w:rPr>
                <w:color w:val="000000"/>
                <w:szCs w:val="21"/>
              </w:rPr>
            </w:pPr>
            <w:r>
              <w:rPr>
                <w:rFonts w:hint="eastAsia"/>
                <w:color w:val="000000"/>
                <w:szCs w:val="21"/>
              </w:rPr>
              <w:t>2</w:t>
            </w:r>
          </w:p>
        </w:tc>
        <w:tc>
          <w:tcPr>
            <w:tcW w:w="800" w:type="dxa"/>
            <w:vMerge w:val="restart"/>
            <w:vAlign w:val="center"/>
          </w:tcPr>
          <w:p w14:paraId="51957FE4">
            <w:pPr>
              <w:jc w:val="center"/>
              <w:rPr>
                <w:color w:val="000000"/>
                <w:szCs w:val="21"/>
              </w:rPr>
            </w:pPr>
            <w:r>
              <w:rPr>
                <w:rFonts w:hint="eastAsia"/>
                <w:color w:val="000000"/>
                <w:szCs w:val="21"/>
              </w:rPr>
              <w:t>*</w:t>
            </w:r>
            <w:r>
              <w:rPr>
                <w:color w:val="000000"/>
                <w:szCs w:val="21"/>
              </w:rPr>
              <w:t>**</w:t>
            </w:r>
          </w:p>
        </w:tc>
        <w:tc>
          <w:tcPr>
            <w:tcW w:w="4818" w:type="dxa"/>
          </w:tcPr>
          <w:p w14:paraId="6F5835E7">
            <w:pPr>
              <w:jc w:val="center"/>
              <w:rPr>
                <w:b/>
                <w:bCs/>
                <w:color w:val="000000"/>
                <w:szCs w:val="21"/>
              </w:rPr>
            </w:pPr>
            <w:r>
              <w:rPr>
                <w:rFonts w:hint="eastAsia" w:ascii="宋体" w:hAnsi="宋体" w:eastAsia="宋体" w:cs="宋体"/>
              </w:rPr>
              <w:t>（</w:t>
            </w:r>
            <w:r>
              <w:rPr>
                <w:rFonts w:hint="eastAsia"/>
              </w:rPr>
              <w:t>填写相关内容）</w:t>
            </w:r>
          </w:p>
        </w:tc>
        <w:tc>
          <w:tcPr>
            <w:tcW w:w="1832" w:type="dxa"/>
          </w:tcPr>
          <w:p w14:paraId="2618C439">
            <w:pPr>
              <w:rPr>
                <w:b/>
                <w:bCs/>
                <w:color w:val="FF0000"/>
                <w:szCs w:val="21"/>
              </w:rPr>
            </w:pPr>
          </w:p>
        </w:tc>
        <w:tc>
          <w:tcPr>
            <w:tcW w:w="736" w:type="dxa"/>
          </w:tcPr>
          <w:p w14:paraId="1F2C885D">
            <w:pPr>
              <w:rPr>
                <w:b/>
                <w:bCs/>
                <w:color w:val="FF0000"/>
                <w:szCs w:val="21"/>
              </w:rPr>
            </w:pPr>
          </w:p>
        </w:tc>
        <w:tc>
          <w:tcPr>
            <w:tcW w:w="404" w:type="dxa"/>
          </w:tcPr>
          <w:p w14:paraId="0A782078">
            <w:pPr>
              <w:rPr>
                <w:b/>
                <w:bCs/>
                <w:color w:val="FF0000"/>
                <w:szCs w:val="21"/>
              </w:rPr>
            </w:pPr>
          </w:p>
        </w:tc>
      </w:tr>
      <w:tr w14:paraId="43076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81" w:type="dxa"/>
            <w:vMerge w:val="continue"/>
          </w:tcPr>
          <w:p w14:paraId="4C39EA89">
            <w:pPr>
              <w:jc w:val="center"/>
              <w:rPr>
                <w:color w:val="000000"/>
                <w:szCs w:val="21"/>
              </w:rPr>
            </w:pPr>
          </w:p>
        </w:tc>
        <w:tc>
          <w:tcPr>
            <w:tcW w:w="800" w:type="dxa"/>
            <w:vMerge w:val="continue"/>
          </w:tcPr>
          <w:p w14:paraId="64E7754A">
            <w:pPr>
              <w:rPr>
                <w:color w:val="000000"/>
                <w:szCs w:val="21"/>
              </w:rPr>
            </w:pPr>
          </w:p>
        </w:tc>
        <w:tc>
          <w:tcPr>
            <w:tcW w:w="4818" w:type="dxa"/>
          </w:tcPr>
          <w:p w14:paraId="1E8B8AD3">
            <w:pPr>
              <w:jc w:val="center"/>
              <w:rPr>
                <w:color w:val="000000"/>
                <w:szCs w:val="21"/>
              </w:rPr>
            </w:pPr>
            <w:r>
              <w:rPr>
                <w:rFonts w:hint="eastAsia" w:ascii="宋体" w:hAnsi="宋体" w:eastAsia="宋体" w:cs="宋体"/>
              </w:rPr>
              <w:t>（</w:t>
            </w:r>
            <w:r>
              <w:rPr>
                <w:rFonts w:hint="eastAsia"/>
              </w:rPr>
              <w:t>填写相关内容）</w:t>
            </w:r>
          </w:p>
        </w:tc>
        <w:tc>
          <w:tcPr>
            <w:tcW w:w="1832" w:type="dxa"/>
          </w:tcPr>
          <w:p w14:paraId="6A598C8D">
            <w:pPr>
              <w:rPr>
                <w:color w:val="000000"/>
                <w:szCs w:val="21"/>
              </w:rPr>
            </w:pPr>
          </w:p>
        </w:tc>
        <w:tc>
          <w:tcPr>
            <w:tcW w:w="736" w:type="dxa"/>
          </w:tcPr>
          <w:p w14:paraId="0871FD81">
            <w:pPr>
              <w:rPr>
                <w:color w:val="000000"/>
                <w:szCs w:val="21"/>
              </w:rPr>
            </w:pPr>
          </w:p>
        </w:tc>
        <w:tc>
          <w:tcPr>
            <w:tcW w:w="404" w:type="dxa"/>
          </w:tcPr>
          <w:p w14:paraId="1816F025">
            <w:pPr>
              <w:rPr>
                <w:color w:val="000000"/>
                <w:szCs w:val="21"/>
              </w:rPr>
            </w:pPr>
          </w:p>
        </w:tc>
      </w:tr>
      <w:tr w14:paraId="5A8A9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 w:hRule="atLeast"/>
          <w:jc w:val="center"/>
        </w:trPr>
        <w:tc>
          <w:tcPr>
            <w:tcW w:w="481" w:type="dxa"/>
            <w:vMerge w:val="continue"/>
          </w:tcPr>
          <w:p w14:paraId="0E87A6EF">
            <w:pPr>
              <w:jc w:val="center"/>
              <w:rPr>
                <w:color w:val="000000"/>
                <w:szCs w:val="21"/>
              </w:rPr>
            </w:pPr>
          </w:p>
        </w:tc>
        <w:tc>
          <w:tcPr>
            <w:tcW w:w="800" w:type="dxa"/>
            <w:vMerge w:val="continue"/>
          </w:tcPr>
          <w:p w14:paraId="051BE70F">
            <w:pPr>
              <w:rPr>
                <w:color w:val="000000"/>
                <w:szCs w:val="21"/>
              </w:rPr>
            </w:pPr>
          </w:p>
        </w:tc>
        <w:tc>
          <w:tcPr>
            <w:tcW w:w="4818" w:type="dxa"/>
          </w:tcPr>
          <w:p w14:paraId="1A7BE1D3">
            <w:pPr>
              <w:jc w:val="center"/>
              <w:rPr>
                <w:color w:val="000000"/>
                <w:szCs w:val="21"/>
              </w:rPr>
            </w:pPr>
            <w:r>
              <w:rPr>
                <w:rFonts w:hint="eastAsia" w:ascii="宋体" w:hAnsi="宋体" w:eastAsia="宋体" w:cs="宋体"/>
              </w:rPr>
              <w:t>（</w:t>
            </w:r>
            <w:r>
              <w:rPr>
                <w:rFonts w:hint="eastAsia"/>
              </w:rPr>
              <w:t>填写相关内容）</w:t>
            </w:r>
          </w:p>
        </w:tc>
        <w:tc>
          <w:tcPr>
            <w:tcW w:w="1832" w:type="dxa"/>
          </w:tcPr>
          <w:p w14:paraId="1D93180C">
            <w:pPr>
              <w:rPr>
                <w:color w:val="000000"/>
                <w:szCs w:val="21"/>
              </w:rPr>
            </w:pPr>
          </w:p>
        </w:tc>
        <w:tc>
          <w:tcPr>
            <w:tcW w:w="736" w:type="dxa"/>
          </w:tcPr>
          <w:p w14:paraId="2F0E4746">
            <w:pPr>
              <w:rPr>
                <w:color w:val="000000"/>
                <w:szCs w:val="21"/>
              </w:rPr>
            </w:pPr>
          </w:p>
        </w:tc>
        <w:tc>
          <w:tcPr>
            <w:tcW w:w="404" w:type="dxa"/>
          </w:tcPr>
          <w:p w14:paraId="51D103C6">
            <w:pPr>
              <w:rPr>
                <w:color w:val="000000"/>
                <w:szCs w:val="21"/>
              </w:rPr>
            </w:pPr>
          </w:p>
        </w:tc>
      </w:tr>
      <w:tr w14:paraId="60C73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1" w:type="dxa"/>
            <w:vMerge w:val="continue"/>
          </w:tcPr>
          <w:p w14:paraId="11DE0C8E">
            <w:pPr>
              <w:jc w:val="center"/>
              <w:rPr>
                <w:color w:val="000000"/>
                <w:szCs w:val="21"/>
              </w:rPr>
            </w:pPr>
          </w:p>
        </w:tc>
        <w:tc>
          <w:tcPr>
            <w:tcW w:w="800" w:type="dxa"/>
            <w:vMerge w:val="continue"/>
          </w:tcPr>
          <w:p w14:paraId="0E944C6D">
            <w:pPr>
              <w:rPr>
                <w:color w:val="000000"/>
                <w:szCs w:val="21"/>
              </w:rPr>
            </w:pPr>
          </w:p>
        </w:tc>
        <w:tc>
          <w:tcPr>
            <w:tcW w:w="4818" w:type="dxa"/>
          </w:tcPr>
          <w:p w14:paraId="6A44A4D9">
            <w:pPr>
              <w:jc w:val="center"/>
              <w:rPr>
                <w:color w:val="000000"/>
                <w:szCs w:val="21"/>
              </w:rPr>
            </w:pPr>
            <w:r>
              <w:rPr>
                <w:rFonts w:hint="eastAsia" w:ascii="宋体" w:hAnsi="宋体"/>
                <w:color w:val="000000"/>
                <w:szCs w:val="21"/>
              </w:rPr>
              <w:t>……</w:t>
            </w:r>
          </w:p>
        </w:tc>
        <w:tc>
          <w:tcPr>
            <w:tcW w:w="1832" w:type="dxa"/>
          </w:tcPr>
          <w:p w14:paraId="6674FBF6">
            <w:pPr>
              <w:rPr>
                <w:color w:val="000000"/>
                <w:szCs w:val="21"/>
              </w:rPr>
            </w:pPr>
          </w:p>
        </w:tc>
        <w:tc>
          <w:tcPr>
            <w:tcW w:w="736" w:type="dxa"/>
          </w:tcPr>
          <w:p w14:paraId="30F2F21F">
            <w:pPr>
              <w:rPr>
                <w:color w:val="000000"/>
                <w:szCs w:val="21"/>
              </w:rPr>
            </w:pPr>
          </w:p>
        </w:tc>
        <w:tc>
          <w:tcPr>
            <w:tcW w:w="404" w:type="dxa"/>
          </w:tcPr>
          <w:p w14:paraId="733F5C5C">
            <w:pPr>
              <w:rPr>
                <w:color w:val="000000"/>
                <w:szCs w:val="21"/>
              </w:rPr>
            </w:pPr>
          </w:p>
        </w:tc>
      </w:tr>
    </w:tbl>
    <w:p w14:paraId="54D9F2E0"/>
    <w:p w14:paraId="484756A3">
      <w:pPr>
        <w:rPr>
          <w:rFonts w:ascii="宋体" w:hAnsi="宋体" w:eastAsia="宋体" w:cs="宋体"/>
          <w:b/>
          <w:bCs/>
          <w:color w:val="FF0000"/>
          <w:sz w:val="21"/>
          <w:szCs w:val="21"/>
        </w:rPr>
      </w:pPr>
      <w:bookmarkStart w:id="34" w:name="_Hlk72095977"/>
      <w:r>
        <w:rPr>
          <w:rFonts w:hint="eastAsia" w:ascii="宋体" w:hAnsi="宋体" w:eastAsia="宋体" w:cs="宋体"/>
          <w:b/>
          <w:bCs/>
          <w:color w:val="FF0000"/>
          <w:sz w:val="21"/>
          <w:szCs w:val="21"/>
        </w:rPr>
        <w:t>证明资料【如有的话，供应商提供的证明资料应统一编号（排序），格式自定】</w:t>
      </w:r>
      <w:bookmarkEnd w:id="34"/>
      <w:r>
        <w:rPr>
          <w:rFonts w:hint="eastAsia" w:ascii="宋体" w:hAnsi="宋体" w:eastAsia="宋体" w:cs="宋体"/>
          <w:b/>
          <w:bCs/>
          <w:color w:val="FF0000"/>
          <w:sz w:val="21"/>
          <w:szCs w:val="21"/>
        </w:rPr>
        <w:t>：</w:t>
      </w:r>
    </w:p>
    <w:p w14:paraId="73D38E31">
      <w:pPr>
        <w:rPr>
          <w:rFonts w:ascii="宋体" w:hAnsi="宋体" w:eastAsia="宋体" w:cs="宋体"/>
          <w:b/>
          <w:color w:val="FF0000"/>
          <w:sz w:val="21"/>
          <w:szCs w:val="21"/>
        </w:rPr>
      </w:pPr>
      <w:r>
        <w:rPr>
          <w:rFonts w:hint="eastAsia" w:ascii="宋体" w:hAnsi="宋体" w:eastAsia="宋体" w:cs="宋体"/>
          <w:b/>
          <w:color w:val="FF0000"/>
          <w:sz w:val="21"/>
          <w:szCs w:val="21"/>
        </w:rPr>
        <w:t>《技术要求偏离表》编制指引：</w:t>
      </w:r>
    </w:p>
    <w:p w14:paraId="1602EBFC">
      <w:pPr>
        <w:ind w:firstLine="422" w:firstLineChars="200"/>
        <w:rPr>
          <w:rFonts w:ascii="宋体" w:hAnsi="宋体" w:eastAsia="宋体" w:cs="宋体"/>
          <w:b/>
          <w:color w:val="FF0000"/>
          <w:sz w:val="21"/>
          <w:szCs w:val="21"/>
        </w:rPr>
      </w:pPr>
      <w:r>
        <w:rPr>
          <w:rFonts w:hint="eastAsia" w:ascii="宋体" w:hAnsi="宋体" w:eastAsia="宋体" w:cs="宋体"/>
          <w:b/>
          <w:color w:val="FF0000"/>
          <w:sz w:val="21"/>
          <w:szCs w:val="21"/>
        </w:rPr>
        <w:t>1.技术要求偏离表的序号、货物名称、招标技术要求等栏目</w:t>
      </w:r>
      <w:bookmarkStart w:id="35" w:name="_Hlk72094407"/>
      <w:r>
        <w:rPr>
          <w:rFonts w:hint="eastAsia" w:ascii="宋体" w:hAnsi="宋体" w:eastAsia="宋体" w:cs="宋体"/>
          <w:b/>
          <w:color w:val="FF0000"/>
          <w:sz w:val="21"/>
          <w:szCs w:val="21"/>
        </w:rPr>
        <w:t>对应“用户需求书”中的“技术要求”章节</w:t>
      </w:r>
      <w:bookmarkEnd w:id="35"/>
      <w:r>
        <w:rPr>
          <w:rFonts w:hint="eastAsia" w:ascii="宋体" w:hAnsi="宋体" w:eastAsia="宋体" w:cs="宋体"/>
          <w:b/>
          <w:color w:val="FF0000"/>
          <w:sz w:val="21"/>
          <w:szCs w:val="21"/>
        </w:rPr>
        <w:t>相关内容。</w:t>
      </w:r>
    </w:p>
    <w:p w14:paraId="0923D188">
      <w:pPr>
        <w:ind w:firstLine="422" w:firstLineChars="200"/>
        <w:rPr>
          <w:rFonts w:ascii="宋体" w:hAnsi="宋体" w:eastAsia="宋体" w:cs="宋体"/>
          <w:b/>
          <w:color w:val="FF0000"/>
          <w:sz w:val="21"/>
          <w:szCs w:val="21"/>
        </w:rPr>
      </w:pPr>
      <w:r>
        <w:rPr>
          <w:rFonts w:hint="eastAsia" w:ascii="宋体" w:hAnsi="宋体" w:eastAsia="宋体" w:cs="宋体"/>
          <w:b/>
          <w:color w:val="FF0000"/>
          <w:sz w:val="21"/>
          <w:szCs w:val="21"/>
        </w:rPr>
        <w:t>2.“投标技术响应”一栏必须一一对照“招标技术要求”，详细填写投标人自身投标货物的具体参数，以体现具体响应情况。</w:t>
      </w:r>
    </w:p>
    <w:p w14:paraId="3E29FD9D">
      <w:pPr>
        <w:ind w:firstLine="422" w:firstLineChars="200"/>
        <w:rPr>
          <w:rFonts w:ascii="宋体" w:hAnsi="宋体" w:eastAsia="宋体" w:cs="宋体"/>
          <w:b/>
          <w:color w:val="FF0000"/>
          <w:sz w:val="21"/>
          <w:szCs w:val="21"/>
        </w:rPr>
      </w:pPr>
      <w:r>
        <w:rPr>
          <w:rFonts w:hint="eastAsia" w:ascii="宋体" w:hAnsi="宋体" w:eastAsia="宋体" w:cs="宋体"/>
          <w:b/>
          <w:color w:val="FF0000"/>
          <w:sz w:val="21"/>
          <w:szCs w:val="21"/>
        </w:rPr>
        <w:t>3</w:t>
      </w:r>
      <w:bookmarkStart w:id="36" w:name="_Hlk72158270"/>
      <w:r>
        <w:rPr>
          <w:rFonts w:hint="eastAsia" w:ascii="宋体" w:hAnsi="宋体" w:eastAsia="宋体" w:cs="宋体"/>
          <w:b/>
          <w:color w:val="FF0000"/>
          <w:sz w:val="21"/>
          <w:szCs w:val="21"/>
        </w:rPr>
        <w:t>.“偏离情况”</w:t>
      </w:r>
      <w:bookmarkEnd w:id="36"/>
      <w:r>
        <w:rPr>
          <w:rFonts w:hint="eastAsia" w:ascii="宋体" w:hAnsi="宋体" w:eastAsia="宋体" w:cs="宋体"/>
          <w:b/>
          <w:color w:val="FF0000"/>
          <w:sz w:val="21"/>
          <w:szCs w:val="21"/>
        </w:rPr>
        <w:t>一栏填写如实填写“正偏离”、“负偏离”或“无偏离”，其中：</w:t>
      </w:r>
      <w:bookmarkStart w:id="37" w:name="_Hlk72093866"/>
      <w:r>
        <w:rPr>
          <w:rFonts w:hint="eastAsia" w:ascii="宋体" w:hAnsi="宋体" w:eastAsia="宋体" w:cs="宋体"/>
          <w:b/>
          <w:color w:val="FF0000"/>
          <w:sz w:val="21"/>
          <w:szCs w:val="21"/>
        </w:rPr>
        <w:t>“正偏离”表示“投标响应优于招标技术要求”，“负偏离”表示“投标响应不满足招标技术要求”，“无偏离”表示“投标响应与招标技术要求一致”</w:t>
      </w:r>
      <w:bookmarkEnd w:id="37"/>
      <w:r>
        <w:rPr>
          <w:rFonts w:hint="eastAsia" w:ascii="宋体" w:hAnsi="宋体" w:eastAsia="宋体" w:cs="宋体"/>
          <w:b/>
          <w:color w:val="FF0000"/>
          <w:sz w:val="21"/>
          <w:szCs w:val="21"/>
        </w:rPr>
        <w:t>。“投标技术响应”对比“招标技术要求”存在响应不全（包括未响应整项招标技术要求或者未响应一项招标技术要求的部分内容），均视为“负偏离”。</w:t>
      </w:r>
    </w:p>
    <w:p w14:paraId="6BF33425">
      <w:pPr>
        <w:ind w:firstLine="422" w:firstLineChars="200"/>
        <w:rPr>
          <w:rFonts w:ascii="宋体" w:hAnsi="宋体" w:eastAsia="宋体" w:cs="宋体"/>
          <w:b/>
          <w:color w:val="FF0000"/>
          <w:sz w:val="21"/>
          <w:szCs w:val="21"/>
        </w:rPr>
      </w:pPr>
      <w:r>
        <w:rPr>
          <w:rFonts w:hint="eastAsia" w:ascii="宋体" w:hAnsi="宋体" w:eastAsia="宋体" w:cs="宋体"/>
          <w:b/>
          <w:color w:val="FF0000"/>
          <w:sz w:val="21"/>
          <w:szCs w:val="21"/>
        </w:rPr>
        <w:t>4.未要求提供证明资料的招标技术要求，可以不提供证明资料（如实响应即可）。</w:t>
      </w:r>
    </w:p>
    <w:p w14:paraId="6C244D8D">
      <w:pPr>
        <w:ind w:firstLine="422" w:firstLineChars="200"/>
        <w:rPr>
          <w:rFonts w:ascii="宋体" w:hAnsi="宋体" w:eastAsia="宋体" w:cs="宋体"/>
          <w:b/>
          <w:color w:val="FF0000"/>
          <w:sz w:val="21"/>
          <w:szCs w:val="21"/>
        </w:rPr>
      </w:pPr>
      <w:r>
        <w:rPr>
          <w:rFonts w:hint="eastAsia" w:ascii="宋体" w:hAnsi="宋体" w:eastAsia="宋体" w:cs="宋体"/>
          <w:b/>
          <w:color w:val="FF0000"/>
          <w:sz w:val="21"/>
          <w:szCs w:val="21"/>
        </w:rPr>
        <w:t>5.证明资料条款响应要求：要求提供证明资料（且已对证明资料的形式、内容作出明确要求）进行响应的条款，可在“说明”一栏中列明是否提供了符合要求的证明资料；此类条款应严格依照要求的形式、内容提供证明资料，如未提供证明资料（或：证明资料的形式、内容等不符合要求；证明资料显示不符合招标技术要求；证明资料模糊不清无法判断或未显示是否满足招标技术要求），且投标人在“偏离情况”一栏响应为“正偏离”或“无偏离”的，经评审委员会认定，将判定为负偏离。</w:t>
      </w:r>
    </w:p>
    <w:p w14:paraId="47BFF975">
      <w:pPr>
        <w:ind w:firstLine="422" w:firstLineChars="200"/>
        <w:rPr>
          <w:rFonts w:ascii="宋体" w:hAnsi="宋体" w:eastAsia="宋体" w:cs="宋体"/>
          <w:b/>
          <w:color w:val="FF0000"/>
          <w:sz w:val="21"/>
          <w:szCs w:val="21"/>
        </w:rPr>
      </w:pPr>
      <w:r>
        <w:rPr>
          <w:rFonts w:hint="eastAsia" w:ascii="宋体" w:hAnsi="宋体" w:eastAsia="宋体" w:cs="宋体"/>
          <w:b/>
          <w:color w:val="FF0000"/>
          <w:sz w:val="21"/>
          <w:szCs w:val="21"/>
        </w:rPr>
        <w:t>6</w:t>
      </w:r>
      <w:bookmarkStart w:id="38" w:name="_Hlk72096176"/>
      <w:r>
        <w:rPr>
          <w:rFonts w:hint="eastAsia" w:ascii="宋体" w:hAnsi="宋体" w:eastAsia="宋体" w:cs="宋体"/>
          <w:b/>
          <w:color w:val="FF0000"/>
          <w:sz w:val="21"/>
          <w:szCs w:val="21"/>
        </w:rPr>
        <w:t>.证明资料的形式及其它具体要求</w:t>
      </w:r>
      <w:bookmarkEnd w:id="38"/>
      <w:r>
        <w:rPr>
          <w:rFonts w:hint="eastAsia" w:ascii="宋体" w:hAnsi="宋体" w:eastAsia="宋体" w:cs="宋体"/>
          <w:b/>
          <w:color w:val="FF0000"/>
          <w:sz w:val="21"/>
          <w:szCs w:val="21"/>
        </w:rPr>
        <w:t>：</w:t>
      </w:r>
    </w:p>
    <w:p w14:paraId="2AD1D240">
      <w:pPr>
        <w:ind w:firstLine="422" w:firstLineChars="200"/>
        <w:rPr>
          <w:rFonts w:ascii="宋体" w:hAnsi="宋体" w:eastAsia="宋体" w:cs="宋体"/>
          <w:b/>
          <w:color w:val="FF0000"/>
          <w:sz w:val="21"/>
          <w:szCs w:val="21"/>
        </w:rPr>
      </w:pPr>
      <w:r>
        <w:rPr>
          <w:rFonts w:hint="eastAsia" w:ascii="宋体" w:hAnsi="宋体" w:eastAsia="宋体" w:cs="宋体"/>
          <w:b/>
          <w:color w:val="FF0000"/>
          <w:sz w:val="21"/>
          <w:szCs w:val="21"/>
        </w:rPr>
        <w:t>（1）除照片、图片（截图）及不需加盖公章的文字说明（技术说明）外，其它证明资料均要求为原件扫描件；</w:t>
      </w:r>
    </w:p>
    <w:p w14:paraId="4E7BA56F">
      <w:pPr>
        <w:ind w:firstLine="422" w:firstLineChars="200"/>
        <w:rPr>
          <w:rFonts w:ascii="宋体" w:hAnsi="宋体" w:eastAsia="宋体" w:cs="宋体"/>
          <w:b/>
          <w:color w:val="FF0000"/>
          <w:sz w:val="21"/>
          <w:szCs w:val="21"/>
        </w:rPr>
      </w:pPr>
      <w:r>
        <w:rPr>
          <w:rFonts w:hint="eastAsia" w:ascii="宋体" w:hAnsi="宋体" w:eastAsia="宋体" w:cs="宋体"/>
          <w:b/>
          <w:color w:val="FF0000"/>
          <w:sz w:val="21"/>
          <w:szCs w:val="21"/>
        </w:rPr>
        <w:t>（2）提供证明资料的形式包括但不限于：a.制造商公布（出具）的产品说明书、产品彩页；b.我国政府机构出具的产品检验和核准证件等；c.第三方机构出具的检测（检验、测试）报告、认证证书等；已对证明资料的形式、内容作出具体要求的，必须严格按要求的形式、内容提供证明资料；</w:t>
      </w:r>
    </w:p>
    <w:p w14:paraId="78867866">
      <w:pPr>
        <w:ind w:firstLine="422" w:firstLineChars="200"/>
        <w:rPr>
          <w:rFonts w:ascii="宋体" w:hAnsi="宋体" w:eastAsia="宋体" w:cs="宋体"/>
          <w:b/>
          <w:color w:val="FF0000"/>
          <w:sz w:val="21"/>
          <w:szCs w:val="21"/>
        </w:rPr>
      </w:pPr>
      <w:r>
        <w:rPr>
          <w:rFonts w:hint="eastAsia" w:ascii="宋体" w:hAnsi="宋体" w:eastAsia="宋体" w:cs="宋体"/>
          <w:b/>
          <w:color w:val="FF0000"/>
          <w:sz w:val="21"/>
          <w:szCs w:val="21"/>
        </w:rPr>
        <w:t>（3）产品说明书或彩页应为制造商公布（出具）的中文产品说明书或彩页；提供外文说明书或彩页的，必须同时提供加盖制造商公章的对应中文翻译说明，评标依据以中文翻译内容为准，外文说明书或彩页仅供参考；产品说明书或彩页的尺寸和清晰度应该能够在电脑上被阅读、识别和判断；</w:t>
      </w:r>
    </w:p>
    <w:p w14:paraId="59C5E288">
      <w:pPr>
        <w:ind w:firstLine="422" w:firstLineChars="200"/>
        <w:rPr>
          <w:rFonts w:ascii="宋体" w:hAnsi="宋体" w:eastAsia="宋体" w:cs="宋体"/>
          <w:b/>
          <w:color w:val="FF0000"/>
          <w:sz w:val="21"/>
          <w:szCs w:val="21"/>
        </w:rPr>
      </w:pPr>
      <w:r>
        <w:rPr>
          <w:rFonts w:hint="eastAsia" w:ascii="宋体" w:hAnsi="宋体" w:eastAsia="宋体" w:cs="宋体"/>
          <w:b/>
          <w:color w:val="FF0000"/>
          <w:sz w:val="21"/>
          <w:szCs w:val="21"/>
        </w:rPr>
        <w:t>我国政府机构出具的产品检验和核准证件应为证件正面、背面和附件标注的全部具体内容；产品检验和核准证件的尺寸和清晰度应该能够在电脑上被阅读、识别和判断；</w:t>
      </w:r>
    </w:p>
    <w:p w14:paraId="17905074">
      <w:pPr>
        <w:ind w:firstLine="422" w:firstLineChars="200"/>
        <w:rPr>
          <w:rFonts w:ascii="宋体" w:hAnsi="宋体" w:eastAsia="宋体" w:cs="宋体"/>
          <w:b/>
          <w:color w:val="FF0000"/>
          <w:sz w:val="21"/>
          <w:szCs w:val="21"/>
        </w:rPr>
      </w:pPr>
      <w:r>
        <w:rPr>
          <w:rFonts w:hint="eastAsia" w:ascii="宋体" w:hAnsi="宋体" w:eastAsia="宋体" w:cs="宋体"/>
          <w:b/>
          <w:color w:val="FF0000"/>
          <w:sz w:val="21"/>
          <w:szCs w:val="21"/>
        </w:rPr>
        <w:t>第三方机构出具的检测（检验、测试）报告、认证（证明）证书应为中文报告或证书；提供外文报告或证书的，必须同时提供对应的中文翻译文字说明，评标依据以中文翻译文字说明内容为准，外文报告或证书仅供参考；报告或证书的尺寸和清晰度应该能够在电脑上被阅读、识别和判断；</w:t>
      </w:r>
    </w:p>
    <w:p w14:paraId="166B2BD7">
      <w:pPr>
        <w:ind w:firstLine="422" w:firstLineChars="200"/>
        <w:rPr>
          <w:rFonts w:ascii="宋体" w:hAnsi="宋体" w:eastAsia="宋体" w:cs="宋体"/>
          <w:b/>
          <w:color w:val="FF0000"/>
          <w:sz w:val="21"/>
          <w:szCs w:val="21"/>
        </w:rPr>
      </w:pPr>
      <w:r>
        <w:rPr>
          <w:rFonts w:hint="eastAsia" w:ascii="宋体" w:hAnsi="宋体" w:eastAsia="宋体" w:cs="宋体"/>
          <w:b/>
          <w:color w:val="FF0000"/>
          <w:sz w:val="21"/>
          <w:szCs w:val="21"/>
        </w:rPr>
        <w:t>其它证明资料的形式要求参照以上要求执行；</w:t>
      </w:r>
    </w:p>
    <w:p w14:paraId="287D8557">
      <w:pPr>
        <w:ind w:firstLine="422" w:firstLineChars="200"/>
        <w:rPr>
          <w:rFonts w:ascii="宋体" w:hAnsi="宋体" w:eastAsia="宋体" w:cs="宋体"/>
          <w:b/>
          <w:color w:val="FF0000"/>
          <w:sz w:val="21"/>
          <w:szCs w:val="21"/>
        </w:rPr>
      </w:pPr>
      <w:r>
        <w:rPr>
          <w:rFonts w:hint="eastAsia" w:ascii="宋体" w:hAnsi="宋体" w:eastAsia="宋体" w:cs="宋体"/>
          <w:b/>
          <w:color w:val="FF0000"/>
          <w:sz w:val="21"/>
          <w:szCs w:val="21"/>
        </w:rPr>
        <w:t>（4）证明资料均要求原件备查。</w:t>
      </w:r>
    </w:p>
    <w:p w14:paraId="727110DA">
      <w:pPr>
        <w:ind w:firstLine="422" w:firstLineChars="200"/>
        <w:rPr>
          <w:rFonts w:ascii="宋体" w:hAnsi="宋体" w:eastAsia="宋体" w:cs="宋体"/>
          <w:b/>
          <w:color w:val="FF0000"/>
          <w:sz w:val="21"/>
          <w:szCs w:val="21"/>
        </w:rPr>
      </w:pPr>
      <w:r>
        <w:rPr>
          <w:rFonts w:hint="eastAsia" w:ascii="宋体" w:hAnsi="宋体" w:eastAsia="宋体" w:cs="宋体"/>
          <w:b/>
          <w:color w:val="FF0000"/>
          <w:sz w:val="21"/>
          <w:szCs w:val="21"/>
        </w:rPr>
        <w:t>7.其它注意事项：评审委员会有权对投标人的响应情况作出判断（评审结论）；</w:t>
      </w:r>
    </w:p>
    <w:p w14:paraId="76A06883">
      <w:pPr>
        <w:rPr>
          <w:rFonts w:ascii="宋体" w:hAnsi="宋体" w:cs="宋体"/>
          <w:b/>
          <w:bCs/>
        </w:rPr>
      </w:pPr>
    </w:p>
    <w:p w14:paraId="02D66A65">
      <w:pPr>
        <w:jc w:val="center"/>
        <w:rPr>
          <w:rFonts w:cs="宋体"/>
        </w:rPr>
      </w:pPr>
    </w:p>
    <w:p w14:paraId="5AB3D886">
      <w:pPr>
        <w:rPr>
          <w:rFonts w:ascii="黑体"/>
          <w:szCs w:val="20"/>
        </w:rPr>
      </w:pPr>
      <w:r>
        <w:rPr>
          <w:rFonts w:hint="eastAsia" w:ascii="黑体"/>
          <w:szCs w:val="20"/>
        </w:rPr>
        <w:br w:type="page"/>
      </w:r>
    </w:p>
    <w:p w14:paraId="76BC6175">
      <w:pPr>
        <w:pStyle w:val="5"/>
        <w:jc w:val="center"/>
        <w:rPr>
          <w:sz w:val="24"/>
        </w:rPr>
      </w:pPr>
      <w:r>
        <w:rPr>
          <w:rFonts w:hint="eastAsia" w:ascii="黑体"/>
          <w:b w:val="0"/>
          <w:bCs w:val="0"/>
          <w:sz w:val="24"/>
          <w:szCs w:val="20"/>
        </w:rPr>
        <w:t>七、商务要求偏离表</w:t>
      </w:r>
    </w:p>
    <w:tbl>
      <w:tblPr>
        <w:tblStyle w:val="28"/>
        <w:tblW w:w="8939"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06"/>
        <w:gridCol w:w="1488"/>
        <w:gridCol w:w="2219"/>
        <w:gridCol w:w="2055"/>
        <w:gridCol w:w="1320"/>
        <w:gridCol w:w="1251"/>
      </w:tblGrid>
      <w:tr w14:paraId="3627CE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06" w:type="dxa"/>
            <w:noWrap w:val="0"/>
            <w:vAlign w:val="top"/>
          </w:tcPr>
          <w:p w14:paraId="2816750B">
            <w:pPr>
              <w:pStyle w:val="14"/>
              <w:spacing w:before="156" w:line="288"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序号</w:t>
            </w:r>
          </w:p>
        </w:tc>
        <w:tc>
          <w:tcPr>
            <w:tcW w:w="1488" w:type="dxa"/>
            <w:noWrap w:val="0"/>
            <w:vAlign w:val="top"/>
          </w:tcPr>
          <w:p w14:paraId="2BEF4A6C">
            <w:pPr>
              <w:pStyle w:val="14"/>
              <w:spacing w:before="156" w:line="288" w:lineRule="auto"/>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目录</w:t>
            </w:r>
          </w:p>
        </w:tc>
        <w:tc>
          <w:tcPr>
            <w:tcW w:w="2219" w:type="dxa"/>
            <w:noWrap w:val="0"/>
            <w:vAlign w:val="top"/>
          </w:tcPr>
          <w:p w14:paraId="351C17BF">
            <w:pPr>
              <w:pStyle w:val="14"/>
              <w:spacing w:before="156" w:line="288" w:lineRule="auto"/>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招标商务要求</w:t>
            </w:r>
          </w:p>
        </w:tc>
        <w:tc>
          <w:tcPr>
            <w:tcW w:w="2055" w:type="dxa"/>
            <w:noWrap w:val="0"/>
            <w:vAlign w:val="top"/>
          </w:tcPr>
          <w:p w14:paraId="1F4CF26C">
            <w:pPr>
              <w:pStyle w:val="14"/>
              <w:spacing w:before="156" w:line="288" w:lineRule="auto"/>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投标商务响应</w:t>
            </w:r>
          </w:p>
        </w:tc>
        <w:tc>
          <w:tcPr>
            <w:tcW w:w="1320" w:type="dxa"/>
            <w:noWrap w:val="0"/>
            <w:vAlign w:val="top"/>
          </w:tcPr>
          <w:p w14:paraId="39912F79">
            <w:pPr>
              <w:pStyle w:val="14"/>
              <w:spacing w:before="156" w:line="288" w:lineRule="auto"/>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偏离情况</w:t>
            </w:r>
          </w:p>
        </w:tc>
        <w:tc>
          <w:tcPr>
            <w:tcW w:w="1251" w:type="dxa"/>
            <w:noWrap w:val="0"/>
            <w:vAlign w:val="top"/>
          </w:tcPr>
          <w:p w14:paraId="49CD7711">
            <w:pPr>
              <w:pStyle w:val="14"/>
              <w:spacing w:before="156" w:line="288" w:lineRule="auto"/>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说明</w:t>
            </w:r>
          </w:p>
        </w:tc>
      </w:tr>
      <w:tr w14:paraId="3EE593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8939" w:type="dxa"/>
            <w:gridSpan w:val="6"/>
            <w:noWrap w:val="0"/>
            <w:vAlign w:val="top"/>
          </w:tcPr>
          <w:p w14:paraId="60734263">
            <w:pPr>
              <w:pStyle w:val="14"/>
              <w:spacing w:line="288"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（一）免费保修期内售后服务条款偏离表</w:t>
            </w:r>
          </w:p>
        </w:tc>
      </w:tr>
      <w:tr w14:paraId="74FE44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06" w:type="dxa"/>
            <w:noWrap w:val="0"/>
            <w:vAlign w:val="center"/>
          </w:tcPr>
          <w:p w14:paraId="350C7337">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1</w:t>
            </w:r>
          </w:p>
        </w:tc>
        <w:tc>
          <w:tcPr>
            <w:tcW w:w="1488" w:type="dxa"/>
            <w:noWrap w:val="0"/>
            <w:vAlign w:val="center"/>
          </w:tcPr>
          <w:p w14:paraId="3449CFD5">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2219" w:type="dxa"/>
            <w:noWrap w:val="0"/>
            <w:vAlign w:val="center"/>
          </w:tcPr>
          <w:p w14:paraId="43E3AB0B">
            <w:pPr>
              <w:pStyle w:val="14"/>
              <w:spacing w:line="288"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（填写相关内容）</w:t>
            </w:r>
          </w:p>
        </w:tc>
        <w:tc>
          <w:tcPr>
            <w:tcW w:w="2055" w:type="dxa"/>
            <w:noWrap w:val="0"/>
            <w:vAlign w:val="top"/>
          </w:tcPr>
          <w:p w14:paraId="64DD8BBB">
            <w:pPr>
              <w:pStyle w:val="14"/>
              <w:spacing w:line="288" w:lineRule="auto"/>
              <w:rPr>
                <w:rFonts w:hint="eastAsia" w:asciiTheme="minorEastAsia" w:hAnsiTheme="minorEastAsia" w:eastAsiaTheme="minorEastAsia" w:cstheme="minorEastAsia"/>
                <w:sz w:val="21"/>
                <w:szCs w:val="21"/>
              </w:rPr>
            </w:pPr>
          </w:p>
        </w:tc>
        <w:tc>
          <w:tcPr>
            <w:tcW w:w="1320" w:type="dxa"/>
            <w:noWrap w:val="0"/>
            <w:vAlign w:val="top"/>
          </w:tcPr>
          <w:p w14:paraId="1F6A4414">
            <w:pPr>
              <w:pStyle w:val="14"/>
              <w:spacing w:line="288" w:lineRule="auto"/>
              <w:rPr>
                <w:rFonts w:hint="eastAsia" w:asciiTheme="minorEastAsia" w:hAnsiTheme="minorEastAsia" w:eastAsiaTheme="minorEastAsia" w:cstheme="minorEastAsia"/>
                <w:sz w:val="21"/>
                <w:szCs w:val="21"/>
              </w:rPr>
            </w:pPr>
          </w:p>
        </w:tc>
        <w:tc>
          <w:tcPr>
            <w:tcW w:w="1251" w:type="dxa"/>
            <w:noWrap w:val="0"/>
            <w:vAlign w:val="top"/>
          </w:tcPr>
          <w:p w14:paraId="29640C84">
            <w:pPr>
              <w:pStyle w:val="14"/>
              <w:spacing w:line="288" w:lineRule="auto"/>
              <w:rPr>
                <w:rFonts w:hint="eastAsia" w:asciiTheme="minorEastAsia" w:hAnsiTheme="minorEastAsia" w:eastAsiaTheme="minorEastAsia" w:cstheme="minorEastAsia"/>
                <w:sz w:val="21"/>
                <w:szCs w:val="21"/>
              </w:rPr>
            </w:pPr>
          </w:p>
        </w:tc>
      </w:tr>
      <w:tr w14:paraId="4F7B59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06" w:type="dxa"/>
            <w:noWrap w:val="0"/>
            <w:vAlign w:val="center"/>
          </w:tcPr>
          <w:p w14:paraId="549C22F2">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2</w:t>
            </w:r>
          </w:p>
        </w:tc>
        <w:tc>
          <w:tcPr>
            <w:tcW w:w="1488" w:type="dxa"/>
            <w:noWrap w:val="0"/>
            <w:vAlign w:val="center"/>
          </w:tcPr>
          <w:p w14:paraId="79CB93F3">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2219" w:type="dxa"/>
            <w:noWrap w:val="0"/>
            <w:vAlign w:val="center"/>
          </w:tcPr>
          <w:p w14:paraId="3FC9BB50">
            <w:pPr>
              <w:pStyle w:val="14"/>
              <w:spacing w:line="288"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（填写相关内容）</w:t>
            </w:r>
          </w:p>
        </w:tc>
        <w:tc>
          <w:tcPr>
            <w:tcW w:w="2055" w:type="dxa"/>
            <w:noWrap w:val="0"/>
            <w:vAlign w:val="top"/>
          </w:tcPr>
          <w:p w14:paraId="26FB14C1">
            <w:pPr>
              <w:pStyle w:val="14"/>
              <w:spacing w:line="288" w:lineRule="auto"/>
              <w:rPr>
                <w:rFonts w:hint="eastAsia" w:asciiTheme="minorEastAsia" w:hAnsiTheme="minorEastAsia" w:eastAsiaTheme="minorEastAsia" w:cstheme="minorEastAsia"/>
                <w:sz w:val="21"/>
                <w:szCs w:val="21"/>
              </w:rPr>
            </w:pPr>
          </w:p>
        </w:tc>
        <w:tc>
          <w:tcPr>
            <w:tcW w:w="1320" w:type="dxa"/>
            <w:noWrap w:val="0"/>
            <w:vAlign w:val="top"/>
          </w:tcPr>
          <w:p w14:paraId="270BA94F">
            <w:pPr>
              <w:pStyle w:val="14"/>
              <w:spacing w:line="288" w:lineRule="auto"/>
              <w:rPr>
                <w:rFonts w:hint="eastAsia" w:asciiTheme="minorEastAsia" w:hAnsiTheme="minorEastAsia" w:eastAsiaTheme="minorEastAsia" w:cstheme="minorEastAsia"/>
                <w:sz w:val="21"/>
                <w:szCs w:val="21"/>
              </w:rPr>
            </w:pPr>
          </w:p>
        </w:tc>
        <w:tc>
          <w:tcPr>
            <w:tcW w:w="1251" w:type="dxa"/>
            <w:noWrap w:val="0"/>
            <w:vAlign w:val="top"/>
          </w:tcPr>
          <w:p w14:paraId="79057E20">
            <w:pPr>
              <w:pStyle w:val="14"/>
              <w:spacing w:line="288" w:lineRule="auto"/>
              <w:rPr>
                <w:rFonts w:hint="eastAsia" w:asciiTheme="minorEastAsia" w:hAnsiTheme="minorEastAsia" w:eastAsiaTheme="minorEastAsia" w:cstheme="minorEastAsia"/>
                <w:sz w:val="21"/>
                <w:szCs w:val="21"/>
              </w:rPr>
            </w:pPr>
          </w:p>
        </w:tc>
      </w:tr>
      <w:tr w14:paraId="340B7B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06" w:type="dxa"/>
            <w:noWrap w:val="0"/>
            <w:vAlign w:val="center"/>
          </w:tcPr>
          <w:p w14:paraId="0650B03A">
            <w:pPr>
              <w:pStyle w:val="14"/>
              <w:spacing w:line="288"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w:t>
            </w:r>
          </w:p>
        </w:tc>
        <w:tc>
          <w:tcPr>
            <w:tcW w:w="1488" w:type="dxa"/>
            <w:noWrap w:val="0"/>
            <w:vAlign w:val="center"/>
          </w:tcPr>
          <w:p w14:paraId="546118C8">
            <w:pPr>
              <w:pStyle w:val="14"/>
              <w:spacing w:line="288"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2219" w:type="dxa"/>
            <w:noWrap w:val="0"/>
            <w:vAlign w:val="center"/>
          </w:tcPr>
          <w:p w14:paraId="204ACC99">
            <w:pPr>
              <w:pStyle w:val="14"/>
              <w:spacing w:line="288"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（填写相关内容）</w:t>
            </w:r>
          </w:p>
        </w:tc>
        <w:tc>
          <w:tcPr>
            <w:tcW w:w="2055" w:type="dxa"/>
            <w:noWrap w:val="0"/>
            <w:vAlign w:val="top"/>
          </w:tcPr>
          <w:p w14:paraId="25B83AE2">
            <w:pPr>
              <w:pStyle w:val="14"/>
              <w:spacing w:line="288" w:lineRule="auto"/>
              <w:rPr>
                <w:rFonts w:hint="eastAsia" w:asciiTheme="minorEastAsia" w:hAnsiTheme="minorEastAsia" w:eastAsiaTheme="minorEastAsia" w:cstheme="minorEastAsia"/>
                <w:sz w:val="21"/>
                <w:szCs w:val="21"/>
              </w:rPr>
            </w:pPr>
          </w:p>
        </w:tc>
        <w:tc>
          <w:tcPr>
            <w:tcW w:w="1320" w:type="dxa"/>
            <w:noWrap w:val="0"/>
            <w:vAlign w:val="top"/>
          </w:tcPr>
          <w:p w14:paraId="0BC0D0BF">
            <w:pPr>
              <w:pStyle w:val="14"/>
              <w:spacing w:line="288" w:lineRule="auto"/>
              <w:rPr>
                <w:rFonts w:hint="eastAsia" w:asciiTheme="minorEastAsia" w:hAnsiTheme="minorEastAsia" w:eastAsiaTheme="minorEastAsia" w:cstheme="minorEastAsia"/>
                <w:sz w:val="21"/>
                <w:szCs w:val="21"/>
              </w:rPr>
            </w:pPr>
          </w:p>
        </w:tc>
        <w:tc>
          <w:tcPr>
            <w:tcW w:w="1251" w:type="dxa"/>
            <w:noWrap w:val="0"/>
            <w:vAlign w:val="top"/>
          </w:tcPr>
          <w:p w14:paraId="6FA885CD">
            <w:pPr>
              <w:pStyle w:val="14"/>
              <w:spacing w:line="288" w:lineRule="auto"/>
              <w:rPr>
                <w:rFonts w:hint="eastAsia" w:asciiTheme="minorEastAsia" w:hAnsiTheme="minorEastAsia" w:eastAsiaTheme="minorEastAsia" w:cstheme="minorEastAsia"/>
                <w:sz w:val="21"/>
                <w:szCs w:val="21"/>
              </w:rPr>
            </w:pPr>
          </w:p>
        </w:tc>
      </w:tr>
      <w:tr w14:paraId="4AB0D7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06" w:type="dxa"/>
            <w:noWrap w:val="0"/>
            <w:vAlign w:val="center"/>
          </w:tcPr>
          <w:p w14:paraId="1A4D89B4">
            <w:pPr>
              <w:pStyle w:val="14"/>
              <w:spacing w:line="288"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1488" w:type="dxa"/>
            <w:noWrap w:val="0"/>
            <w:vAlign w:val="center"/>
          </w:tcPr>
          <w:p w14:paraId="63DEC6A7">
            <w:pPr>
              <w:pStyle w:val="14"/>
              <w:spacing w:line="288" w:lineRule="auto"/>
              <w:jc w:val="center"/>
              <w:rPr>
                <w:rFonts w:hint="eastAsia" w:asciiTheme="minorEastAsia" w:hAnsiTheme="minorEastAsia" w:eastAsiaTheme="minorEastAsia" w:cstheme="minorEastAsia"/>
                <w:sz w:val="21"/>
                <w:szCs w:val="21"/>
              </w:rPr>
            </w:pPr>
          </w:p>
        </w:tc>
        <w:tc>
          <w:tcPr>
            <w:tcW w:w="2219" w:type="dxa"/>
            <w:noWrap w:val="0"/>
            <w:vAlign w:val="center"/>
          </w:tcPr>
          <w:p w14:paraId="6257F0C6">
            <w:pPr>
              <w:pStyle w:val="14"/>
              <w:spacing w:line="288" w:lineRule="auto"/>
              <w:jc w:val="center"/>
              <w:rPr>
                <w:rFonts w:hint="eastAsia" w:asciiTheme="minorEastAsia" w:hAnsiTheme="minorEastAsia" w:eastAsiaTheme="minorEastAsia" w:cstheme="minorEastAsia"/>
                <w:sz w:val="21"/>
                <w:szCs w:val="21"/>
              </w:rPr>
            </w:pPr>
          </w:p>
        </w:tc>
        <w:tc>
          <w:tcPr>
            <w:tcW w:w="2055" w:type="dxa"/>
            <w:noWrap w:val="0"/>
            <w:vAlign w:val="top"/>
          </w:tcPr>
          <w:p w14:paraId="6F6EADAD">
            <w:pPr>
              <w:pStyle w:val="14"/>
              <w:spacing w:line="288" w:lineRule="auto"/>
              <w:rPr>
                <w:rFonts w:hint="eastAsia" w:asciiTheme="minorEastAsia" w:hAnsiTheme="minorEastAsia" w:eastAsiaTheme="minorEastAsia" w:cstheme="minorEastAsia"/>
                <w:sz w:val="21"/>
                <w:szCs w:val="21"/>
              </w:rPr>
            </w:pPr>
          </w:p>
        </w:tc>
        <w:tc>
          <w:tcPr>
            <w:tcW w:w="1320" w:type="dxa"/>
            <w:noWrap w:val="0"/>
            <w:vAlign w:val="top"/>
          </w:tcPr>
          <w:p w14:paraId="7BE5D40E">
            <w:pPr>
              <w:pStyle w:val="14"/>
              <w:spacing w:line="288" w:lineRule="auto"/>
              <w:rPr>
                <w:rFonts w:hint="eastAsia" w:asciiTheme="minorEastAsia" w:hAnsiTheme="minorEastAsia" w:eastAsiaTheme="minorEastAsia" w:cstheme="minorEastAsia"/>
                <w:sz w:val="21"/>
                <w:szCs w:val="21"/>
              </w:rPr>
            </w:pPr>
          </w:p>
        </w:tc>
        <w:tc>
          <w:tcPr>
            <w:tcW w:w="1251" w:type="dxa"/>
            <w:noWrap w:val="0"/>
            <w:vAlign w:val="top"/>
          </w:tcPr>
          <w:p w14:paraId="3EB8D6E5">
            <w:pPr>
              <w:pStyle w:val="14"/>
              <w:spacing w:line="288" w:lineRule="auto"/>
              <w:rPr>
                <w:rFonts w:hint="eastAsia" w:asciiTheme="minorEastAsia" w:hAnsiTheme="minorEastAsia" w:eastAsiaTheme="minorEastAsia" w:cstheme="minorEastAsia"/>
                <w:sz w:val="21"/>
                <w:szCs w:val="21"/>
              </w:rPr>
            </w:pPr>
          </w:p>
        </w:tc>
      </w:tr>
      <w:tr w14:paraId="738D96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8939" w:type="dxa"/>
            <w:gridSpan w:val="6"/>
            <w:noWrap w:val="0"/>
            <w:vAlign w:val="center"/>
          </w:tcPr>
          <w:p w14:paraId="6A86F5B0">
            <w:pPr>
              <w:pStyle w:val="14"/>
              <w:spacing w:line="28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w:t>
            </w:r>
            <w:r>
              <w:rPr>
                <w:rFonts w:hint="eastAsia" w:asciiTheme="minorEastAsia" w:hAnsiTheme="minorEastAsia" w:eastAsiaTheme="minorEastAsia" w:cstheme="minorEastAsia"/>
                <w:b/>
                <w:bCs/>
                <w:sz w:val="21"/>
                <w:szCs w:val="21"/>
                <w:lang w:val="en-US" w:eastAsia="zh-CN"/>
              </w:rPr>
              <w:t>二</w:t>
            </w:r>
            <w:r>
              <w:rPr>
                <w:rFonts w:hint="eastAsia" w:asciiTheme="minorEastAsia" w:hAnsiTheme="minorEastAsia" w:eastAsiaTheme="minorEastAsia" w:cstheme="minorEastAsia"/>
                <w:b/>
                <w:bCs/>
                <w:sz w:val="21"/>
                <w:szCs w:val="21"/>
              </w:rPr>
              <w:t>）免费保修期</w:t>
            </w:r>
            <w:r>
              <w:rPr>
                <w:rFonts w:hint="eastAsia" w:asciiTheme="minorEastAsia" w:hAnsiTheme="minorEastAsia" w:eastAsiaTheme="minorEastAsia" w:cstheme="minorEastAsia"/>
                <w:b/>
                <w:bCs/>
                <w:sz w:val="21"/>
                <w:szCs w:val="21"/>
                <w:lang w:val="en-US" w:eastAsia="zh-CN"/>
              </w:rPr>
              <w:t>外</w:t>
            </w:r>
            <w:r>
              <w:rPr>
                <w:rFonts w:hint="eastAsia" w:asciiTheme="minorEastAsia" w:hAnsiTheme="minorEastAsia" w:eastAsiaTheme="minorEastAsia" w:cstheme="minorEastAsia"/>
                <w:b/>
                <w:bCs/>
                <w:sz w:val="21"/>
                <w:szCs w:val="21"/>
              </w:rPr>
              <w:t>售后服务条款偏离表</w:t>
            </w:r>
          </w:p>
        </w:tc>
      </w:tr>
      <w:tr w14:paraId="4B7B56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06" w:type="dxa"/>
            <w:noWrap w:val="0"/>
            <w:vAlign w:val="center"/>
          </w:tcPr>
          <w:p w14:paraId="4ADD841F">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1</w:t>
            </w:r>
          </w:p>
        </w:tc>
        <w:tc>
          <w:tcPr>
            <w:tcW w:w="1488" w:type="dxa"/>
            <w:noWrap w:val="0"/>
            <w:vAlign w:val="center"/>
          </w:tcPr>
          <w:p w14:paraId="2EDD5962">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2219" w:type="dxa"/>
            <w:noWrap w:val="0"/>
            <w:vAlign w:val="center"/>
          </w:tcPr>
          <w:p w14:paraId="73701F84">
            <w:pPr>
              <w:pStyle w:val="14"/>
              <w:spacing w:line="288"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（填写相关内容）</w:t>
            </w:r>
          </w:p>
        </w:tc>
        <w:tc>
          <w:tcPr>
            <w:tcW w:w="2055" w:type="dxa"/>
            <w:noWrap w:val="0"/>
            <w:vAlign w:val="top"/>
          </w:tcPr>
          <w:p w14:paraId="0BF4AED0">
            <w:pPr>
              <w:pStyle w:val="14"/>
              <w:spacing w:line="288" w:lineRule="auto"/>
              <w:rPr>
                <w:rFonts w:hint="eastAsia" w:asciiTheme="minorEastAsia" w:hAnsiTheme="minorEastAsia" w:eastAsiaTheme="minorEastAsia" w:cstheme="minorEastAsia"/>
                <w:sz w:val="21"/>
                <w:szCs w:val="21"/>
              </w:rPr>
            </w:pPr>
          </w:p>
        </w:tc>
        <w:tc>
          <w:tcPr>
            <w:tcW w:w="1320" w:type="dxa"/>
            <w:noWrap w:val="0"/>
            <w:vAlign w:val="top"/>
          </w:tcPr>
          <w:p w14:paraId="6A6EB3DC">
            <w:pPr>
              <w:pStyle w:val="14"/>
              <w:spacing w:line="288" w:lineRule="auto"/>
              <w:rPr>
                <w:rFonts w:hint="eastAsia" w:asciiTheme="minorEastAsia" w:hAnsiTheme="minorEastAsia" w:eastAsiaTheme="minorEastAsia" w:cstheme="minorEastAsia"/>
                <w:sz w:val="21"/>
                <w:szCs w:val="21"/>
              </w:rPr>
            </w:pPr>
          </w:p>
        </w:tc>
        <w:tc>
          <w:tcPr>
            <w:tcW w:w="1251" w:type="dxa"/>
            <w:noWrap w:val="0"/>
            <w:vAlign w:val="top"/>
          </w:tcPr>
          <w:p w14:paraId="74843D19">
            <w:pPr>
              <w:pStyle w:val="14"/>
              <w:spacing w:line="288" w:lineRule="auto"/>
              <w:rPr>
                <w:rFonts w:hint="eastAsia" w:asciiTheme="minorEastAsia" w:hAnsiTheme="minorEastAsia" w:eastAsiaTheme="minorEastAsia" w:cstheme="minorEastAsia"/>
                <w:sz w:val="21"/>
                <w:szCs w:val="21"/>
              </w:rPr>
            </w:pPr>
          </w:p>
        </w:tc>
      </w:tr>
      <w:tr w14:paraId="08100B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06" w:type="dxa"/>
            <w:noWrap w:val="0"/>
            <w:vAlign w:val="center"/>
          </w:tcPr>
          <w:p w14:paraId="7D3639D0">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2</w:t>
            </w:r>
          </w:p>
        </w:tc>
        <w:tc>
          <w:tcPr>
            <w:tcW w:w="1488" w:type="dxa"/>
            <w:noWrap w:val="0"/>
            <w:vAlign w:val="center"/>
          </w:tcPr>
          <w:p w14:paraId="1B76DC07">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2219" w:type="dxa"/>
            <w:noWrap w:val="0"/>
            <w:vAlign w:val="center"/>
          </w:tcPr>
          <w:p w14:paraId="6A387916">
            <w:pPr>
              <w:pStyle w:val="14"/>
              <w:spacing w:line="288"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（填写相关内容）</w:t>
            </w:r>
          </w:p>
        </w:tc>
        <w:tc>
          <w:tcPr>
            <w:tcW w:w="2055" w:type="dxa"/>
            <w:noWrap w:val="0"/>
            <w:vAlign w:val="top"/>
          </w:tcPr>
          <w:p w14:paraId="7C047195">
            <w:pPr>
              <w:pStyle w:val="14"/>
              <w:spacing w:line="288" w:lineRule="auto"/>
              <w:rPr>
                <w:rFonts w:hint="eastAsia" w:asciiTheme="minorEastAsia" w:hAnsiTheme="minorEastAsia" w:eastAsiaTheme="minorEastAsia" w:cstheme="minorEastAsia"/>
                <w:sz w:val="21"/>
                <w:szCs w:val="21"/>
              </w:rPr>
            </w:pPr>
          </w:p>
        </w:tc>
        <w:tc>
          <w:tcPr>
            <w:tcW w:w="1320" w:type="dxa"/>
            <w:noWrap w:val="0"/>
            <w:vAlign w:val="top"/>
          </w:tcPr>
          <w:p w14:paraId="00036D37">
            <w:pPr>
              <w:pStyle w:val="14"/>
              <w:spacing w:line="288" w:lineRule="auto"/>
              <w:rPr>
                <w:rFonts w:hint="eastAsia" w:asciiTheme="minorEastAsia" w:hAnsiTheme="minorEastAsia" w:eastAsiaTheme="minorEastAsia" w:cstheme="minorEastAsia"/>
                <w:sz w:val="21"/>
                <w:szCs w:val="21"/>
              </w:rPr>
            </w:pPr>
          </w:p>
        </w:tc>
        <w:tc>
          <w:tcPr>
            <w:tcW w:w="1251" w:type="dxa"/>
            <w:noWrap w:val="0"/>
            <w:vAlign w:val="top"/>
          </w:tcPr>
          <w:p w14:paraId="7DB26625">
            <w:pPr>
              <w:pStyle w:val="14"/>
              <w:spacing w:line="288" w:lineRule="auto"/>
              <w:rPr>
                <w:rFonts w:hint="eastAsia" w:asciiTheme="minorEastAsia" w:hAnsiTheme="minorEastAsia" w:eastAsiaTheme="minorEastAsia" w:cstheme="minorEastAsia"/>
                <w:sz w:val="21"/>
                <w:szCs w:val="21"/>
              </w:rPr>
            </w:pPr>
          </w:p>
        </w:tc>
      </w:tr>
      <w:tr w14:paraId="629945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06" w:type="dxa"/>
            <w:shd w:val="clear" w:color="auto" w:fill="auto"/>
            <w:noWrap w:val="0"/>
            <w:vAlign w:val="center"/>
          </w:tcPr>
          <w:p w14:paraId="4A404A2A">
            <w:pPr>
              <w:pStyle w:val="14"/>
              <w:spacing w:line="288" w:lineRule="auto"/>
              <w:jc w:val="center"/>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val="en-US" w:eastAsia="zh-CN"/>
              </w:rPr>
              <w:t>3</w:t>
            </w:r>
          </w:p>
        </w:tc>
        <w:tc>
          <w:tcPr>
            <w:tcW w:w="1488" w:type="dxa"/>
            <w:shd w:val="clear" w:color="auto" w:fill="auto"/>
            <w:noWrap w:val="0"/>
            <w:vAlign w:val="center"/>
          </w:tcPr>
          <w:p w14:paraId="2BFAB315">
            <w:pPr>
              <w:pStyle w:val="14"/>
              <w:spacing w:line="288" w:lineRule="auto"/>
              <w:jc w:val="center"/>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rPr>
              <w:t>****</w:t>
            </w:r>
          </w:p>
        </w:tc>
        <w:tc>
          <w:tcPr>
            <w:tcW w:w="2219" w:type="dxa"/>
            <w:shd w:val="clear" w:color="auto" w:fill="auto"/>
            <w:noWrap w:val="0"/>
            <w:vAlign w:val="center"/>
          </w:tcPr>
          <w:p w14:paraId="6FE9786D">
            <w:pPr>
              <w:pStyle w:val="14"/>
              <w:spacing w:line="288" w:lineRule="auto"/>
              <w:jc w:val="center"/>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bCs/>
                <w:sz w:val="21"/>
                <w:szCs w:val="21"/>
              </w:rPr>
              <w:t>（填写相关内容）</w:t>
            </w:r>
          </w:p>
        </w:tc>
        <w:tc>
          <w:tcPr>
            <w:tcW w:w="2055" w:type="dxa"/>
            <w:noWrap w:val="0"/>
            <w:vAlign w:val="top"/>
          </w:tcPr>
          <w:p w14:paraId="6F73F9DF">
            <w:pPr>
              <w:pStyle w:val="14"/>
              <w:spacing w:line="288" w:lineRule="auto"/>
              <w:rPr>
                <w:rFonts w:hint="eastAsia" w:asciiTheme="minorEastAsia" w:hAnsiTheme="minorEastAsia" w:eastAsiaTheme="minorEastAsia" w:cstheme="minorEastAsia"/>
                <w:sz w:val="21"/>
                <w:szCs w:val="21"/>
              </w:rPr>
            </w:pPr>
          </w:p>
        </w:tc>
        <w:tc>
          <w:tcPr>
            <w:tcW w:w="1320" w:type="dxa"/>
            <w:noWrap w:val="0"/>
            <w:vAlign w:val="top"/>
          </w:tcPr>
          <w:p w14:paraId="145200DB">
            <w:pPr>
              <w:pStyle w:val="14"/>
              <w:spacing w:line="288" w:lineRule="auto"/>
              <w:rPr>
                <w:rFonts w:hint="eastAsia" w:asciiTheme="minorEastAsia" w:hAnsiTheme="minorEastAsia" w:eastAsiaTheme="minorEastAsia" w:cstheme="minorEastAsia"/>
                <w:sz w:val="21"/>
                <w:szCs w:val="21"/>
              </w:rPr>
            </w:pPr>
          </w:p>
        </w:tc>
        <w:tc>
          <w:tcPr>
            <w:tcW w:w="1251" w:type="dxa"/>
            <w:noWrap w:val="0"/>
            <w:vAlign w:val="top"/>
          </w:tcPr>
          <w:p w14:paraId="5FBF8525">
            <w:pPr>
              <w:pStyle w:val="14"/>
              <w:spacing w:line="288" w:lineRule="auto"/>
              <w:rPr>
                <w:rFonts w:hint="eastAsia" w:asciiTheme="minorEastAsia" w:hAnsiTheme="minorEastAsia" w:eastAsiaTheme="minorEastAsia" w:cstheme="minorEastAsia"/>
                <w:sz w:val="21"/>
                <w:szCs w:val="21"/>
              </w:rPr>
            </w:pPr>
          </w:p>
        </w:tc>
      </w:tr>
      <w:tr w14:paraId="75367E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06" w:type="dxa"/>
            <w:noWrap w:val="0"/>
            <w:vAlign w:val="center"/>
          </w:tcPr>
          <w:p w14:paraId="2E2B8081">
            <w:pPr>
              <w:pStyle w:val="14"/>
              <w:spacing w:line="288"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1488" w:type="dxa"/>
            <w:noWrap w:val="0"/>
            <w:vAlign w:val="center"/>
          </w:tcPr>
          <w:p w14:paraId="4AE2536E">
            <w:pPr>
              <w:pStyle w:val="14"/>
              <w:spacing w:line="288" w:lineRule="auto"/>
              <w:jc w:val="center"/>
              <w:rPr>
                <w:rFonts w:hint="eastAsia" w:asciiTheme="minorEastAsia" w:hAnsiTheme="minorEastAsia" w:eastAsiaTheme="minorEastAsia" w:cstheme="minorEastAsia"/>
                <w:sz w:val="21"/>
                <w:szCs w:val="21"/>
              </w:rPr>
            </w:pPr>
          </w:p>
        </w:tc>
        <w:tc>
          <w:tcPr>
            <w:tcW w:w="2219" w:type="dxa"/>
            <w:noWrap w:val="0"/>
            <w:vAlign w:val="center"/>
          </w:tcPr>
          <w:p w14:paraId="45D224CF">
            <w:pPr>
              <w:pStyle w:val="14"/>
              <w:spacing w:line="288" w:lineRule="auto"/>
              <w:jc w:val="center"/>
              <w:rPr>
                <w:rFonts w:hint="eastAsia" w:asciiTheme="minorEastAsia" w:hAnsiTheme="minorEastAsia" w:eastAsiaTheme="minorEastAsia" w:cstheme="minorEastAsia"/>
                <w:sz w:val="21"/>
                <w:szCs w:val="21"/>
              </w:rPr>
            </w:pPr>
          </w:p>
        </w:tc>
        <w:tc>
          <w:tcPr>
            <w:tcW w:w="2055" w:type="dxa"/>
            <w:noWrap w:val="0"/>
            <w:vAlign w:val="top"/>
          </w:tcPr>
          <w:p w14:paraId="186135C4">
            <w:pPr>
              <w:pStyle w:val="14"/>
              <w:spacing w:line="288" w:lineRule="auto"/>
              <w:rPr>
                <w:rFonts w:hint="eastAsia" w:asciiTheme="minorEastAsia" w:hAnsiTheme="minorEastAsia" w:eastAsiaTheme="minorEastAsia" w:cstheme="minorEastAsia"/>
                <w:sz w:val="21"/>
                <w:szCs w:val="21"/>
              </w:rPr>
            </w:pPr>
          </w:p>
        </w:tc>
        <w:tc>
          <w:tcPr>
            <w:tcW w:w="1320" w:type="dxa"/>
            <w:noWrap w:val="0"/>
            <w:vAlign w:val="top"/>
          </w:tcPr>
          <w:p w14:paraId="7031C79B">
            <w:pPr>
              <w:pStyle w:val="14"/>
              <w:spacing w:line="288" w:lineRule="auto"/>
              <w:rPr>
                <w:rFonts w:hint="eastAsia" w:asciiTheme="minorEastAsia" w:hAnsiTheme="minorEastAsia" w:eastAsiaTheme="minorEastAsia" w:cstheme="minorEastAsia"/>
                <w:sz w:val="21"/>
                <w:szCs w:val="21"/>
              </w:rPr>
            </w:pPr>
          </w:p>
        </w:tc>
        <w:tc>
          <w:tcPr>
            <w:tcW w:w="1251" w:type="dxa"/>
            <w:noWrap w:val="0"/>
            <w:vAlign w:val="top"/>
          </w:tcPr>
          <w:p w14:paraId="0B6B7EF3">
            <w:pPr>
              <w:pStyle w:val="14"/>
              <w:spacing w:line="288" w:lineRule="auto"/>
              <w:rPr>
                <w:rFonts w:hint="eastAsia" w:asciiTheme="minorEastAsia" w:hAnsiTheme="minorEastAsia" w:eastAsiaTheme="minorEastAsia" w:cstheme="minorEastAsia"/>
                <w:sz w:val="21"/>
                <w:szCs w:val="21"/>
              </w:rPr>
            </w:pPr>
          </w:p>
        </w:tc>
      </w:tr>
      <w:tr w14:paraId="53D6D4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8939" w:type="dxa"/>
            <w:gridSpan w:val="6"/>
            <w:noWrap w:val="0"/>
            <w:vAlign w:val="top"/>
          </w:tcPr>
          <w:p w14:paraId="1A832B9D">
            <w:pPr>
              <w:pStyle w:val="14"/>
              <w:spacing w:line="288"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w:t>
            </w:r>
            <w:r>
              <w:rPr>
                <w:rFonts w:hint="eastAsia" w:asciiTheme="minorEastAsia" w:hAnsiTheme="minorEastAsia" w:eastAsiaTheme="minorEastAsia" w:cstheme="minorEastAsia"/>
                <w:b/>
                <w:bCs/>
                <w:sz w:val="21"/>
                <w:szCs w:val="21"/>
                <w:lang w:val="en-US" w:eastAsia="zh-CN"/>
              </w:rPr>
              <w:t>三</w:t>
            </w:r>
            <w:r>
              <w:rPr>
                <w:rFonts w:hint="eastAsia" w:asciiTheme="minorEastAsia" w:hAnsiTheme="minorEastAsia" w:eastAsiaTheme="minorEastAsia" w:cstheme="minorEastAsia"/>
                <w:b/>
                <w:bCs/>
                <w:sz w:val="21"/>
                <w:szCs w:val="21"/>
              </w:rPr>
              <w:t>）其他商务条款偏离表</w:t>
            </w:r>
          </w:p>
        </w:tc>
      </w:tr>
      <w:tr w14:paraId="5BA78A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06" w:type="dxa"/>
            <w:noWrap w:val="0"/>
            <w:vAlign w:val="center"/>
          </w:tcPr>
          <w:p w14:paraId="59C2C5EC">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1</w:t>
            </w:r>
          </w:p>
        </w:tc>
        <w:tc>
          <w:tcPr>
            <w:tcW w:w="1488" w:type="dxa"/>
            <w:noWrap w:val="0"/>
            <w:vAlign w:val="center"/>
          </w:tcPr>
          <w:p w14:paraId="5AAC5A4F">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2219" w:type="dxa"/>
            <w:noWrap w:val="0"/>
            <w:vAlign w:val="center"/>
          </w:tcPr>
          <w:p w14:paraId="64A042FC">
            <w:pPr>
              <w:pStyle w:val="14"/>
              <w:spacing w:line="288"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（填写相关内容）</w:t>
            </w:r>
          </w:p>
        </w:tc>
        <w:tc>
          <w:tcPr>
            <w:tcW w:w="2055" w:type="dxa"/>
            <w:noWrap w:val="0"/>
            <w:vAlign w:val="top"/>
          </w:tcPr>
          <w:p w14:paraId="5E68FC17">
            <w:pPr>
              <w:pStyle w:val="14"/>
              <w:spacing w:line="288" w:lineRule="auto"/>
              <w:rPr>
                <w:rFonts w:hint="eastAsia" w:asciiTheme="minorEastAsia" w:hAnsiTheme="minorEastAsia" w:eastAsiaTheme="minorEastAsia" w:cstheme="minorEastAsia"/>
                <w:sz w:val="21"/>
                <w:szCs w:val="21"/>
              </w:rPr>
            </w:pPr>
          </w:p>
        </w:tc>
        <w:tc>
          <w:tcPr>
            <w:tcW w:w="1320" w:type="dxa"/>
            <w:noWrap w:val="0"/>
            <w:vAlign w:val="top"/>
          </w:tcPr>
          <w:p w14:paraId="3A0F8D7B">
            <w:pPr>
              <w:pStyle w:val="14"/>
              <w:spacing w:line="288" w:lineRule="auto"/>
              <w:rPr>
                <w:rFonts w:hint="eastAsia" w:asciiTheme="minorEastAsia" w:hAnsiTheme="minorEastAsia" w:eastAsiaTheme="minorEastAsia" w:cstheme="minorEastAsia"/>
                <w:sz w:val="21"/>
                <w:szCs w:val="21"/>
              </w:rPr>
            </w:pPr>
          </w:p>
        </w:tc>
        <w:tc>
          <w:tcPr>
            <w:tcW w:w="1251" w:type="dxa"/>
            <w:noWrap w:val="0"/>
            <w:vAlign w:val="top"/>
          </w:tcPr>
          <w:p w14:paraId="2293564D">
            <w:pPr>
              <w:pStyle w:val="14"/>
              <w:spacing w:line="288" w:lineRule="auto"/>
              <w:rPr>
                <w:rFonts w:hint="eastAsia" w:asciiTheme="minorEastAsia" w:hAnsiTheme="minorEastAsia" w:eastAsiaTheme="minorEastAsia" w:cstheme="minorEastAsia"/>
                <w:sz w:val="21"/>
                <w:szCs w:val="21"/>
              </w:rPr>
            </w:pPr>
          </w:p>
        </w:tc>
      </w:tr>
      <w:tr w14:paraId="5977FA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06" w:type="dxa"/>
            <w:noWrap w:val="0"/>
            <w:vAlign w:val="center"/>
          </w:tcPr>
          <w:p w14:paraId="7F63B606">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2</w:t>
            </w:r>
          </w:p>
        </w:tc>
        <w:tc>
          <w:tcPr>
            <w:tcW w:w="1488" w:type="dxa"/>
            <w:noWrap w:val="0"/>
            <w:vAlign w:val="center"/>
          </w:tcPr>
          <w:p w14:paraId="7C07E74A">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2219" w:type="dxa"/>
            <w:noWrap w:val="0"/>
            <w:vAlign w:val="center"/>
          </w:tcPr>
          <w:p w14:paraId="249C24C3">
            <w:pPr>
              <w:pStyle w:val="14"/>
              <w:spacing w:line="288"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（填写相关内容）</w:t>
            </w:r>
          </w:p>
        </w:tc>
        <w:tc>
          <w:tcPr>
            <w:tcW w:w="2055" w:type="dxa"/>
            <w:noWrap w:val="0"/>
            <w:vAlign w:val="top"/>
          </w:tcPr>
          <w:p w14:paraId="3835BD1C">
            <w:pPr>
              <w:pStyle w:val="14"/>
              <w:spacing w:line="288" w:lineRule="auto"/>
              <w:rPr>
                <w:rFonts w:hint="eastAsia" w:asciiTheme="minorEastAsia" w:hAnsiTheme="minorEastAsia" w:eastAsiaTheme="minorEastAsia" w:cstheme="minorEastAsia"/>
                <w:sz w:val="21"/>
                <w:szCs w:val="21"/>
              </w:rPr>
            </w:pPr>
          </w:p>
        </w:tc>
        <w:tc>
          <w:tcPr>
            <w:tcW w:w="1320" w:type="dxa"/>
            <w:noWrap w:val="0"/>
            <w:vAlign w:val="top"/>
          </w:tcPr>
          <w:p w14:paraId="5549F191">
            <w:pPr>
              <w:pStyle w:val="14"/>
              <w:spacing w:line="288" w:lineRule="auto"/>
              <w:rPr>
                <w:rFonts w:hint="eastAsia" w:asciiTheme="minorEastAsia" w:hAnsiTheme="minorEastAsia" w:eastAsiaTheme="minorEastAsia" w:cstheme="minorEastAsia"/>
                <w:sz w:val="21"/>
                <w:szCs w:val="21"/>
              </w:rPr>
            </w:pPr>
          </w:p>
        </w:tc>
        <w:tc>
          <w:tcPr>
            <w:tcW w:w="1251" w:type="dxa"/>
            <w:noWrap w:val="0"/>
            <w:vAlign w:val="top"/>
          </w:tcPr>
          <w:p w14:paraId="60695FB8">
            <w:pPr>
              <w:pStyle w:val="14"/>
              <w:spacing w:line="288" w:lineRule="auto"/>
              <w:rPr>
                <w:rFonts w:hint="eastAsia" w:asciiTheme="minorEastAsia" w:hAnsiTheme="minorEastAsia" w:eastAsiaTheme="minorEastAsia" w:cstheme="minorEastAsia"/>
                <w:sz w:val="21"/>
                <w:szCs w:val="21"/>
              </w:rPr>
            </w:pPr>
          </w:p>
        </w:tc>
      </w:tr>
      <w:tr w14:paraId="5199F8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06" w:type="dxa"/>
            <w:noWrap w:val="0"/>
            <w:vAlign w:val="center"/>
          </w:tcPr>
          <w:p w14:paraId="4B1C20E8">
            <w:pPr>
              <w:pStyle w:val="14"/>
              <w:spacing w:line="288"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w:t>
            </w:r>
          </w:p>
        </w:tc>
        <w:tc>
          <w:tcPr>
            <w:tcW w:w="1488" w:type="dxa"/>
            <w:noWrap w:val="0"/>
            <w:vAlign w:val="center"/>
          </w:tcPr>
          <w:p w14:paraId="359B0DE2">
            <w:pPr>
              <w:pStyle w:val="14"/>
              <w:spacing w:line="288"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2219" w:type="dxa"/>
            <w:noWrap w:val="0"/>
            <w:vAlign w:val="center"/>
          </w:tcPr>
          <w:p w14:paraId="267CBA1D">
            <w:pPr>
              <w:pStyle w:val="14"/>
              <w:spacing w:line="288"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（填写相关内容）</w:t>
            </w:r>
          </w:p>
        </w:tc>
        <w:tc>
          <w:tcPr>
            <w:tcW w:w="2055" w:type="dxa"/>
            <w:noWrap w:val="0"/>
            <w:vAlign w:val="top"/>
          </w:tcPr>
          <w:p w14:paraId="64035533">
            <w:pPr>
              <w:pStyle w:val="14"/>
              <w:spacing w:line="288" w:lineRule="auto"/>
              <w:rPr>
                <w:rFonts w:hint="eastAsia" w:asciiTheme="minorEastAsia" w:hAnsiTheme="minorEastAsia" w:eastAsiaTheme="minorEastAsia" w:cstheme="minorEastAsia"/>
                <w:sz w:val="21"/>
                <w:szCs w:val="21"/>
              </w:rPr>
            </w:pPr>
          </w:p>
        </w:tc>
        <w:tc>
          <w:tcPr>
            <w:tcW w:w="1320" w:type="dxa"/>
            <w:noWrap w:val="0"/>
            <w:vAlign w:val="top"/>
          </w:tcPr>
          <w:p w14:paraId="6DF17B0D">
            <w:pPr>
              <w:pStyle w:val="14"/>
              <w:spacing w:line="288" w:lineRule="auto"/>
              <w:rPr>
                <w:rFonts w:hint="eastAsia" w:asciiTheme="minorEastAsia" w:hAnsiTheme="minorEastAsia" w:eastAsiaTheme="minorEastAsia" w:cstheme="minorEastAsia"/>
                <w:sz w:val="21"/>
                <w:szCs w:val="21"/>
              </w:rPr>
            </w:pPr>
          </w:p>
        </w:tc>
        <w:tc>
          <w:tcPr>
            <w:tcW w:w="1251" w:type="dxa"/>
            <w:noWrap w:val="0"/>
            <w:vAlign w:val="top"/>
          </w:tcPr>
          <w:p w14:paraId="771AA81F">
            <w:pPr>
              <w:pStyle w:val="14"/>
              <w:spacing w:line="288" w:lineRule="auto"/>
              <w:rPr>
                <w:rFonts w:hint="eastAsia" w:asciiTheme="minorEastAsia" w:hAnsiTheme="minorEastAsia" w:eastAsiaTheme="minorEastAsia" w:cstheme="minorEastAsia"/>
                <w:sz w:val="21"/>
                <w:szCs w:val="21"/>
              </w:rPr>
            </w:pPr>
          </w:p>
        </w:tc>
      </w:tr>
      <w:tr w14:paraId="241BA2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06" w:type="dxa"/>
            <w:noWrap w:val="0"/>
            <w:vAlign w:val="center"/>
          </w:tcPr>
          <w:p w14:paraId="4FCC358C">
            <w:pPr>
              <w:pStyle w:val="14"/>
              <w:spacing w:line="288"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1488" w:type="dxa"/>
            <w:noWrap w:val="0"/>
            <w:vAlign w:val="center"/>
          </w:tcPr>
          <w:p w14:paraId="77477EBD">
            <w:pPr>
              <w:pStyle w:val="14"/>
              <w:spacing w:line="288" w:lineRule="auto"/>
              <w:jc w:val="center"/>
              <w:rPr>
                <w:rFonts w:hint="eastAsia" w:asciiTheme="minorEastAsia" w:hAnsiTheme="minorEastAsia" w:eastAsiaTheme="minorEastAsia" w:cstheme="minorEastAsia"/>
                <w:sz w:val="21"/>
                <w:szCs w:val="21"/>
              </w:rPr>
            </w:pPr>
          </w:p>
        </w:tc>
        <w:tc>
          <w:tcPr>
            <w:tcW w:w="2219" w:type="dxa"/>
            <w:noWrap w:val="0"/>
            <w:vAlign w:val="center"/>
          </w:tcPr>
          <w:p w14:paraId="5CCAF1D6">
            <w:pPr>
              <w:pStyle w:val="14"/>
              <w:spacing w:line="288" w:lineRule="auto"/>
              <w:jc w:val="center"/>
              <w:rPr>
                <w:rFonts w:hint="eastAsia" w:asciiTheme="minorEastAsia" w:hAnsiTheme="minorEastAsia" w:eastAsiaTheme="minorEastAsia" w:cstheme="minorEastAsia"/>
                <w:sz w:val="21"/>
                <w:szCs w:val="21"/>
              </w:rPr>
            </w:pPr>
          </w:p>
        </w:tc>
        <w:tc>
          <w:tcPr>
            <w:tcW w:w="2055" w:type="dxa"/>
            <w:noWrap w:val="0"/>
            <w:vAlign w:val="top"/>
          </w:tcPr>
          <w:p w14:paraId="67B47B7C">
            <w:pPr>
              <w:pStyle w:val="14"/>
              <w:spacing w:line="288" w:lineRule="auto"/>
              <w:rPr>
                <w:rFonts w:hint="eastAsia" w:asciiTheme="minorEastAsia" w:hAnsiTheme="minorEastAsia" w:eastAsiaTheme="minorEastAsia" w:cstheme="minorEastAsia"/>
                <w:sz w:val="21"/>
                <w:szCs w:val="21"/>
              </w:rPr>
            </w:pPr>
          </w:p>
        </w:tc>
        <w:tc>
          <w:tcPr>
            <w:tcW w:w="1320" w:type="dxa"/>
            <w:noWrap w:val="0"/>
            <w:vAlign w:val="top"/>
          </w:tcPr>
          <w:p w14:paraId="4ACC0B68">
            <w:pPr>
              <w:pStyle w:val="14"/>
              <w:spacing w:line="288" w:lineRule="auto"/>
              <w:rPr>
                <w:rFonts w:hint="eastAsia" w:asciiTheme="minorEastAsia" w:hAnsiTheme="minorEastAsia" w:eastAsiaTheme="minorEastAsia" w:cstheme="minorEastAsia"/>
                <w:sz w:val="21"/>
                <w:szCs w:val="21"/>
              </w:rPr>
            </w:pPr>
          </w:p>
        </w:tc>
        <w:tc>
          <w:tcPr>
            <w:tcW w:w="1251" w:type="dxa"/>
            <w:noWrap w:val="0"/>
            <w:vAlign w:val="top"/>
          </w:tcPr>
          <w:p w14:paraId="03466817">
            <w:pPr>
              <w:pStyle w:val="14"/>
              <w:spacing w:line="288" w:lineRule="auto"/>
              <w:rPr>
                <w:rFonts w:hint="eastAsia" w:asciiTheme="minorEastAsia" w:hAnsiTheme="minorEastAsia" w:eastAsiaTheme="minorEastAsia" w:cstheme="minorEastAsia"/>
                <w:sz w:val="21"/>
                <w:szCs w:val="21"/>
              </w:rPr>
            </w:pPr>
          </w:p>
        </w:tc>
      </w:tr>
    </w:tbl>
    <w:p w14:paraId="6F8AB985">
      <w:pPr>
        <w:ind w:firstLine="422" w:firstLineChars="200"/>
        <w:rPr>
          <w:rFonts w:ascii="宋体" w:hAnsi="宋体" w:eastAsia="宋体" w:cs="宋体"/>
          <w:b/>
          <w:color w:val="FF0000"/>
          <w:sz w:val="21"/>
          <w:szCs w:val="21"/>
        </w:rPr>
      </w:pPr>
      <w:r>
        <w:rPr>
          <w:rFonts w:hint="eastAsia" w:ascii="宋体" w:hAnsi="宋体" w:eastAsia="宋体" w:cs="宋体"/>
          <w:b/>
          <w:color w:val="FF0000"/>
          <w:sz w:val="21"/>
          <w:szCs w:val="21"/>
        </w:rPr>
        <w:t>《商务要求偏离表》编制指引：</w:t>
      </w:r>
    </w:p>
    <w:p w14:paraId="37FC1210">
      <w:pPr>
        <w:ind w:firstLine="422" w:firstLineChars="200"/>
        <w:rPr>
          <w:rFonts w:ascii="宋体" w:hAnsi="宋体" w:eastAsia="宋体" w:cs="宋体"/>
          <w:b/>
          <w:color w:val="FF0000"/>
          <w:sz w:val="21"/>
          <w:szCs w:val="21"/>
        </w:rPr>
      </w:pPr>
      <w:r>
        <w:rPr>
          <w:rFonts w:hint="eastAsia" w:ascii="宋体" w:hAnsi="宋体" w:eastAsia="宋体" w:cs="宋体"/>
          <w:b/>
          <w:color w:val="FF0000"/>
          <w:sz w:val="21"/>
          <w:szCs w:val="21"/>
        </w:rPr>
        <w:t>1.商务要求偏离表的序号、目录、招标商务要求等栏目对应“用户需求书”中的“商务要求”章节相关内容。</w:t>
      </w:r>
    </w:p>
    <w:p w14:paraId="5C4DB545">
      <w:pPr>
        <w:ind w:firstLine="422" w:firstLineChars="200"/>
        <w:rPr>
          <w:rFonts w:ascii="宋体" w:hAnsi="宋体" w:eastAsia="宋体" w:cs="宋体"/>
          <w:b/>
          <w:color w:val="FF0000"/>
          <w:sz w:val="21"/>
          <w:szCs w:val="21"/>
        </w:rPr>
      </w:pPr>
      <w:r>
        <w:rPr>
          <w:rFonts w:hint="eastAsia" w:ascii="宋体" w:hAnsi="宋体" w:eastAsia="宋体" w:cs="宋体"/>
          <w:b/>
          <w:color w:val="FF0000"/>
          <w:sz w:val="21"/>
          <w:szCs w:val="21"/>
        </w:rPr>
        <w:t>2.“投标商务响应”一栏必须一一对照“招标商务要求”，详细填写自身响应情况，以体现具体响应情况。</w:t>
      </w:r>
    </w:p>
    <w:p w14:paraId="2C300085">
      <w:pPr>
        <w:ind w:firstLine="422" w:firstLineChars="200"/>
        <w:rPr>
          <w:rFonts w:ascii="宋体" w:hAnsi="宋体" w:eastAsia="宋体" w:cs="宋体"/>
          <w:color w:val="FF0000"/>
          <w:sz w:val="21"/>
          <w:szCs w:val="21"/>
        </w:rPr>
      </w:pPr>
      <w:r>
        <w:rPr>
          <w:rFonts w:hint="eastAsia" w:ascii="宋体" w:hAnsi="宋体" w:eastAsia="宋体" w:cs="宋体"/>
          <w:b/>
          <w:color w:val="FF0000"/>
          <w:sz w:val="21"/>
          <w:szCs w:val="21"/>
        </w:rPr>
        <w:t>3.“偏离情况”一栏填写如实填写“正偏离”、“负偏离”或“无偏离”，其中：“正偏离”表示“投标响应优于招标商务要求”，“负偏离”表示“投标响应不满足招标商务要求”，“无偏离”表示“投标响应与招标商务要求一致”。</w:t>
      </w:r>
    </w:p>
    <w:p w14:paraId="4890A9BC">
      <w:pPr>
        <w:rPr>
          <w:rFonts w:ascii="宋体" w:hAnsi="宋体" w:eastAsia="宋体" w:cs="宋体"/>
          <w:b/>
          <w:color w:val="FF0000"/>
          <w:sz w:val="21"/>
          <w:szCs w:val="21"/>
        </w:rPr>
      </w:pPr>
      <w:r>
        <w:rPr>
          <w:rFonts w:hint="eastAsia" w:ascii="宋体" w:hAnsi="宋体" w:eastAsia="宋体" w:cs="宋体"/>
          <w:b/>
          <w:color w:val="FF0000"/>
          <w:sz w:val="21"/>
          <w:szCs w:val="21"/>
        </w:rPr>
        <w:t>“投标商务响应”对比“招标商务要求”存在响应不全（包括未响应整项招标商务要求或者未响应一项招标商务要求的部分内容），均视为“负偏离”。</w:t>
      </w:r>
    </w:p>
    <w:p w14:paraId="70CC6CB5">
      <w:pPr>
        <w:rPr>
          <w:rFonts w:ascii="黑体" w:hAnsi="宋体"/>
          <w:b/>
          <w:bCs/>
          <w:szCs w:val="20"/>
        </w:rPr>
      </w:pPr>
    </w:p>
    <w:p w14:paraId="6D734CAB">
      <w:pPr>
        <w:rPr>
          <w:rFonts w:ascii="黑体" w:hAnsi="宋体"/>
          <w:b/>
          <w:bCs/>
          <w:szCs w:val="20"/>
        </w:rPr>
      </w:pPr>
    </w:p>
    <w:p w14:paraId="1C752A01">
      <w:pPr>
        <w:spacing w:line="340" w:lineRule="exact"/>
        <w:rPr>
          <w:rFonts w:ascii="黑体" w:hAnsi="宋体" w:eastAsia="宋体"/>
          <w:b/>
          <w:bCs/>
          <w:szCs w:val="20"/>
        </w:rPr>
      </w:pPr>
    </w:p>
    <w:p w14:paraId="6B70D007">
      <w:pPr>
        <w:rPr>
          <w:rFonts w:hint="eastAsia" w:ascii="黑体" w:hAnsi="宋体" w:eastAsia="宋体"/>
          <w:b/>
          <w:bCs/>
          <w:szCs w:val="20"/>
        </w:rPr>
      </w:pPr>
      <w:r>
        <w:rPr>
          <w:rFonts w:hint="eastAsia" w:ascii="黑体" w:hAnsi="宋体" w:eastAsia="宋体"/>
          <w:b/>
          <w:bCs/>
          <w:szCs w:val="20"/>
        </w:rPr>
        <w:br w:type="page"/>
      </w:r>
    </w:p>
    <w:p w14:paraId="108147B6">
      <w:pPr>
        <w:pStyle w:val="5"/>
        <w:jc w:val="center"/>
        <w:rPr>
          <w:rFonts w:hint="eastAsia" w:ascii="黑体" w:cs="Times New Roman"/>
          <w:b w:val="0"/>
          <w:bCs w:val="0"/>
          <w:sz w:val="24"/>
          <w:szCs w:val="20"/>
          <w:lang w:val="zh-CN"/>
        </w:rPr>
      </w:pPr>
      <w:r>
        <w:rPr>
          <w:rFonts w:hint="eastAsia" w:ascii="黑体" w:cs="Times New Roman"/>
          <w:b w:val="0"/>
          <w:bCs w:val="0"/>
          <w:sz w:val="24"/>
          <w:szCs w:val="20"/>
          <w:lang w:val="zh-CN"/>
        </w:rPr>
        <w:t>八、技术保障措施</w:t>
      </w:r>
    </w:p>
    <w:p w14:paraId="30026898">
      <w:pPr>
        <w:pStyle w:val="5"/>
        <w:jc w:val="center"/>
        <w:rPr>
          <w:rFonts w:hint="eastAsia" w:ascii="黑体" w:cs="Times New Roman"/>
          <w:b w:val="0"/>
          <w:bCs w:val="0"/>
          <w:sz w:val="24"/>
          <w:szCs w:val="20"/>
          <w:lang w:val="zh-CN"/>
        </w:rPr>
      </w:pPr>
      <w:r>
        <w:rPr>
          <w:rFonts w:hint="eastAsia" w:ascii="黑体" w:cs="Times New Roman"/>
          <w:b w:val="0"/>
          <w:bCs w:val="0"/>
          <w:sz w:val="24"/>
          <w:szCs w:val="20"/>
          <w:lang w:val="zh-CN"/>
        </w:rPr>
        <w:t>（特别提示：投标人须按本招标文件评标信息中“技术保障措施”这一评审因素要求，提供证明资料）</w:t>
      </w:r>
    </w:p>
    <w:p w14:paraId="208645DB">
      <w:pPr>
        <w:rPr>
          <w:rFonts w:hint="eastAsia"/>
          <w:lang w:val="zh-CN"/>
        </w:rPr>
      </w:pPr>
    </w:p>
    <w:p w14:paraId="0E8F7B4A">
      <w:pPr>
        <w:pStyle w:val="5"/>
        <w:jc w:val="center"/>
        <w:rPr>
          <w:rFonts w:hint="eastAsia" w:ascii="黑体" w:cs="Times New Roman"/>
          <w:b w:val="0"/>
          <w:bCs w:val="0"/>
          <w:sz w:val="24"/>
          <w:szCs w:val="20"/>
          <w:lang w:val="zh-CN"/>
        </w:rPr>
      </w:pPr>
      <w:r>
        <w:rPr>
          <w:rFonts w:hint="eastAsia" w:ascii="黑体" w:cs="Times New Roman"/>
          <w:b w:val="0"/>
          <w:bCs w:val="0"/>
          <w:sz w:val="24"/>
          <w:szCs w:val="20"/>
          <w:lang w:val="zh-CN"/>
        </w:rPr>
        <w:t>九、对关键重要技术或部件的评价（格式自定）</w:t>
      </w:r>
    </w:p>
    <w:p w14:paraId="19CCCA27">
      <w:pPr>
        <w:pStyle w:val="5"/>
        <w:jc w:val="center"/>
        <w:rPr>
          <w:rFonts w:hint="eastAsia" w:ascii="黑体" w:cs="Times New Roman"/>
          <w:b w:val="0"/>
          <w:bCs w:val="0"/>
          <w:sz w:val="24"/>
          <w:szCs w:val="20"/>
          <w:lang w:val="zh-CN"/>
        </w:rPr>
      </w:pPr>
      <w:r>
        <w:rPr>
          <w:rFonts w:hint="eastAsia" w:ascii="黑体" w:cs="Times New Roman"/>
          <w:b w:val="0"/>
          <w:bCs w:val="0"/>
          <w:sz w:val="24"/>
          <w:szCs w:val="20"/>
          <w:lang w:val="zh-CN"/>
        </w:rPr>
        <w:t>（特别提示：投标人须按本招标文件评标信息中“对关键重要技术或部件的评价”这一评审因素要求，提供证明资料）</w:t>
      </w:r>
    </w:p>
    <w:p w14:paraId="30BEA583">
      <w:pPr>
        <w:rPr>
          <w:rFonts w:hint="eastAsia"/>
          <w:lang w:val="zh-CN"/>
        </w:rPr>
      </w:pPr>
    </w:p>
    <w:p w14:paraId="64EF233D">
      <w:pPr>
        <w:pStyle w:val="5"/>
        <w:jc w:val="center"/>
        <w:rPr>
          <w:rFonts w:hint="eastAsia" w:ascii="黑体" w:cs="Times New Roman"/>
          <w:b w:val="0"/>
          <w:bCs w:val="0"/>
          <w:sz w:val="24"/>
          <w:szCs w:val="20"/>
          <w:lang w:val="zh-CN"/>
        </w:rPr>
      </w:pPr>
      <w:r>
        <w:rPr>
          <w:rFonts w:hint="eastAsia" w:ascii="黑体" w:cs="Times New Roman"/>
          <w:b w:val="0"/>
          <w:bCs w:val="0"/>
          <w:sz w:val="24"/>
          <w:szCs w:val="20"/>
          <w:lang w:val="zh-CN"/>
        </w:rPr>
        <w:t>十、投标人认为需要加以说明的其他内容（格式自定）</w:t>
      </w:r>
    </w:p>
    <w:p w14:paraId="4527C808">
      <w:pPr>
        <w:pStyle w:val="8"/>
        <w:rPr>
          <w:rFonts w:ascii="黑体" w:hAnsi="宋体" w:eastAsia="宋体"/>
          <w:szCs w:val="20"/>
        </w:rPr>
      </w:pPr>
    </w:p>
    <w:p w14:paraId="2231BF76"/>
    <w:p w14:paraId="24909EF1">
      <w:pPr>
        <w:rPr>
          <w:b/>
          <w:bCs/>
        </w:rPr>
      </w:pPr>
      <w:r>
        <w:rPr>
          <w:b/>
          <w:bCs/>
        </w:rPr>
        <w:br w:type="page"/>
      </w:r>
    </w:p>
    <w:p w14:paraId="698AE290">
      <w:pPr>
        <w:pStyle w:val="3"/>
        <w:rPr>
          <w:b/>
          <w:bCs/>
        </w:rPr>
      </w:pPr>
      <w:r>
        <w:rPr>
          <w:b/>
          <w:bCs/>
        </w:rPr>
        <w:t>第四章  合同及履约情况反馈格式</w:t>
      </w:r>
    </w:p>
    <w:p w14:paraId="1022A035">
      <w:pPr>
        <w:jc w:val="center"/>
        <w:rPr>
          <w:b/>
        </w:rPr>
      </w:pPr>
      <w:r>
        <w:rPr>
          <w:rFonts w:hint="eastAsia" w:ascii="宋体" w:hAnsi="宋体" w:eastAsia="宋体" w:cs="宋体"/>
          <w:b/>
        </w:rPr>
        <w:t>合</w:t>
      </w:r>
      <w:r>
        <w:rPr>
          <w:rFonts w:hint="eastAsia"/>
          <w:b/>
        </w:rPr>
        <w:t>同条款</w:t>
      </w:r>
    </w:p>
    <w:p w14:paraId="1B68C854">
      <w:pPr>
        <w:jc w:val="center"/>
      </w:pPr>
      <w:r>
        <w:rPr>
          <w:rFonts w:hint="eastAsia" w:ascii="宋体" w:hAnsi="宋体" w:eastAsia="宋体" w:cs="宋体"/>
          <w:b/>
        </w:rPr>
        <w:t>（</w:t>
      </w:r>
      <w:r>
        <w:rPr>
          <w:rFonts w:hint="eastAsia"/>
          <w:b/>
        </w:rPr>
        <w:t>仅供参考，项目具体要求以招标（采购）项目需求为准）</w:t>
      </w:r>
    </w:p>
    <w:p w14:paraId="1DDA0566">
      <w:pPr>
        <w:pStyle w:val="8"/>
        <w:tabs>
          <w:tab w:val="left" w:pos="562"/>
          <w:tab w:val="left" w:pos="3372"/>
          <w:tab w:val="left" w:pos="3653"/>
        </w:tabs>
        <w:jc w:val="center"/>
        <w:rPr>
          <w:rFonts w:ascii="宋体" w:hAnsi="宋体" w:cs="宋体"/>
          <w:spacing w:val="-20"/>
          <w:kern w:val="44"/>
          <w:sz w:val="48"/>
          <w:szCs w:val="48"/>
        </w:rPr>
      </w:pPr>
    </w:p>
    <w:p w14:paraId="500DED73">
      <w:pPr>
        <w:pStyle w:val="8"/>
        <w:tabs>
          <w:tab w:val="left" w:pos="562"/>
          <w:tab w:val="left" w:pos="3372"/>
          <w:tab w:val="left" w:pos="3653"/>
        </w:tabs>
        <w:jc w:val="center"/>
        <w:rPr>
          <w:rFonts w:ascii="宋体" w:hAnsi="宋体" w:cs="宋体"/>
          <w:spacing w:val="-20"/>
          <w:kern w:val="44"/>
          <w:sz w:val="48"/>
          <w:szCs w:val="48"/>
        </w:rPr>
      </w:pPr>
    </w:p>
    <w:p w14:paraId="237935A3">
      <w:pPr>
        <w:adjustRightInd w:val="0"/>
        <w:snapToGrid w:val="0"/>
        <w:jc w:val="center"/>
        <w:rPr>
          <w:rFonts w:hint="eastAsia" w:ascii="仿宋" w:hAnsi="仿宋" w:eastAsia="仿宋" w:cs="仿宋"/>
          <w:b/>
          <w:sz w:val="36"/>
          <w:szCs w:val="36"/>
        </w:rPr>
      </w:pPr>
    </w:p>
    <w:p w14:paraId="788A4A99">
      <w:pPr>
        <w:adjustRightInd w:val="0"/>
        <w:snapToGrid w:val="0"/>
        <w:jc w:val="center"/>
        <w:rPr>
          <w:rFonts w:hint="eastAsia" w:ascii="仿宋" w:hAnsi="仿宋" w:eastAsia="仿宋" w:cs="仿宋"/>
          <w:b/>
          <w:sz w:val="36"/>
          <w:szCs w:val="36"/>
        </w:rPr>
      </w:pPr>
    </w:p>
    <w:p w14:paraId="04AA46B7">
      <w:pPr>
        <w:adjustRightInd w:val="0"/>
        <w:snapToGrid w:val="0"/>
        <w:jc w:val="center"/>
        <w:rPr>
          <w:rFonts w:hint="eastAsia" w:ascii="仿宋" w:hAnsi="仿宋" w:eastAsia="仿宋" w:cs="仿宋"/>
          <w:b/>
          <w:sz w:val="36"/>
          <w:szCs w:val="36"/>
        </w:rPr>
      </w:pPr>
    </w:p>
    <w:p w14:paraId="504E2BEE">
      <w:pPr>
        <w:adjustRightInd w:val="0"/>
        <w:snapToGrid w:val="0"/>
        <w:jc w:val="center"/>
        <w:rPr>
          <w:rFonts w:hint="eastAsia" w:ascii="仿宋" w:hAnsi="仿宋" w:eastAsia="仿宋" w:cs="仿宋"/>
          <w:b/>
          <w:sz w:val="36"/>
          <w:szCs w:val="36"/>
        </w:rPr>
      </w:pPr>
    </w:p>
    <w:p w14:paraId="408D42E1">
      <w:pPr>
        <w:adjustRightInd w:val="0"/>
        <w:snapToGrid w:val="0"/>
        <w:jc w:val="center"/>
        <w:rPr>
          <w:rFonts w:hint="eastAsia" w:ascii="仿宋" w:hAnsi="仿宋" w:eastAsia="仿宋" w:cs="仿宋"/>
          <w:b/>
          <w:sz w:val="36"/>
          <w:szCs w:val="36"/>
        </w:rPr>
      </w:pPr>
    </w:p>
    <w:p w14:paraId="7730BE5E">
      <w:pPr>
        <w:adjustRightInd w:val="0"/>
        <w:snapToGrid w:val="0"/>
        <w:jc w:val="center"/>
        <w:rPr>
          <w:rFonts w:ascii="仿宋" w:hAnsi="仿宋" w:eastAsia="仿宋" w:cs="仿宋"/>
          <w:b/>
          <w:sz w:val="36"/>
          <w:szCs w:val="36"/>
        </w:rPr>
      </w:pPr>
      <w:r>
        <w:rPr>
          <w:rFonts w:hint="eastAsia" w:ascii="仿宋" w:hAnsi="仿宋" w:eastAsia="仿宋" w:cs="仿宋"/>
          <w:b/>
          <w:sz w:val="36"/>
          <w:szCs w:val="36"/>
        </w:rPr>
        <w:t>采购合同</w:t>
      </w:r>
    </w:p>
    <w:p w14:paraId="4831C1B4">
      <w:pPr>
        <w:wordWrap/>
        <w:adjustRightInd/>
        <w:snapToGrid/>
        <w:ind w:right="0" w:rightChars="0" w:firstLine="0" w:firstLineChars="0"/>
        <w:rPr>
          <w:rFonts w:hint="eastAsia" w:ascii="仿宋" w:hAnsi="仿宋" w:eastAsia="仿宋" w:cs="仿宋"/>
          <w:sz w:val="24"/>
          <w:szCs w:val="24"/>
        </w:rPr>
      </w:pPr>
      <w:r>
        <w:rPr>
          <w:rFonts w:hint="eastAsia" w:ascii="仿宋" w:hAnsi="仿宋" w:eastAsia="仿宋" w:cs="仿宋"/>
          <w:sz w:val="24"/>
          <w:szCs w:val="24"/>
        </w:rPr>
        <w:br w:type="page"/>
      </w:r>
    </w:p>
    <w:p w14:paraId="24041070">
      <w:pPr>
        <w:wordWrap w:val="0"/>
        <w:adjustRightInd w:val="0"/>
        <w:snapToGrid w:val="0"/>
        <w:ind w:right="-240" w:rightChars="-100" w:firstLine="6000" w:firstLineChars="2500"/>
        <w:rPr>
          <w:rFonts w:ascii="仿宋" w:hAnsi="仿宋" w:eastAsia="仿宋" w:cs="仿宋"/>
          <w:sz w:val="24"/>
          <w:szCs w:val="24"/>
        </w:rPr>
      </w:pPr>
      <w:r>
        <w:rPr>
          <w:rFonts w:hint="eastAsia" w:ascii="仿宋" w:hAnsi="仿宋" w:eastAsia="仿宋" w:cs="仿宋"/>
          <w:sz w:val="24"/>
          <w:szCs w:val="24"/>
        </w:rPr>
        <w:t xml:space="preserve">甲方合同编号：见水印      </w:t>
      </w:r>
    </w:p>
    <w:p w14:paraId="4AF76EEE">
      <w:pPr>
        <w:wordWrap w:val="0"/>
        <w:adjustRightInd w:val="0"/>
        <w:snapToGrid w:val="0"/>
        <w:ind w:right="-240" w:rightChars="-100"/>
        <w:rPr>
          <w:rFonts w:ascii="仿宋" w:hAnsi="仿宋" w:eastAsia="仿宋" w:cs="仿宋"/>
          <w:sz w:val="24"/>
          <w:szCs w:val="24"/>
        </w:rPr>
      </w:pPr>
      <w:r>
        <w:rPr>
          <w:rFonts w:hint="eastAsia" w:ascii="仿宋" w:hAnsi="仿宋" w:eastAsia="仿宋" w:cs="仿宋"/>
          <w:sz w:val="24"/>
          <w:szCs w:val="24"/>
        </w:rPr>
        <w:t xml:space="preserve">                                                  乙方合同编号：</w:t>
      </w:r>
      <w:r>
        <w:rPr>
          <w:rFonts w:hint="eastAsia" w:ascii="仿宋" w:hAnsi="仿宋" w:eastAsia="仿宋" w:cs="仿宋"/>
          <w:b/>
          <w:sz w:val="28"/>
          <w:szCs w:val="28"/>
        </w:rPr>
        <w:t xml:space="preserve">   </w:t>
      </w:r>
    </w:p>
    <w:p w14:paraId="11677CED">
      <w:pPr>
        <w:adjustRightInd w:val="0"/>
        <w:snapToGrid w:val="0"/>
        <w:spacing w:line="480" w:lineRule="exact"/>
        <w:ind w:firstLine="482" w:firstLineChars="200"/>
        <w:jc w:val="left"/>
        <w:rPr>
          <w:rFonts w:ascii="仿宋" w:hAnsi="仿宋" w:eastAsia="仿宋" w:cs="仿宋"/>
          <w:sz w:val="24"/>
          <w:szCs w:val="24"/>
        </w:rPr>
      </w:pPr>
      <w:r>
        <w:rPr>
          <w:rFonts w:hint="eastAsia" w:ascii="仿宋" w:hAnsi="仿宋" w:eastAsia="仿宋" w:cs="仿宋"/>
          <w:b/>
          <w:bCs/>
          <w:sz w:val="24"/>
          <w:szCs w:val="24"/>
        </w:rPr>
        <w:t>甲方（购买方）：</w:t>
      </w:r>
      <w:r>
        <w:rPr>
          <w:rFonts w:hint="eastAsia" w:ascii="仿宋" w:hAnsi="仿宋" w:eastAsia="仿宋" w:cs="仿宋"/>
          <w:sz w:val="24"/>
          <w:szCs w:val="24"/>
        </w:rPr>
        <w:t xml:space="preserve"> </w:t>
      </w:r>
      <w:r>
        <w:rPr>
          <w:rFonts w:hint="eastAsia" w:ascii="仿宋" w:hAnsi="仿宋" w:eastAsia="仿宋" w:cs="仿宋"/>
          <w:sz w:val="24"/>
          <w:szCs w:val="24"/>
          <w:u w:val="single"/>
        </w:rPr>
        <w:t xml:space="preserve">  哈尔滨工业大学（深圳）                  </w:t>
      </w:r>
    </w:p>
    <w:p w14:paraId="4A30491E">
      <w:pPr>
        <w:adjustRightInd w:val="0"/>
        <w:snapToGrid w:val="0"/>
        <w:spacing w:line="480" w:lineRule="exact"/>
        <w:jc w:val="left"/>
        <w:rPr>
          <w:rFonts w:ascii="仿宋" w:hAnsi="仿宋" w:eastAsia="仿宋" w:cs="仿宋"/>
          <w:sz w:val="24"/>
          <w:szCs w:val="24"/>
          <w:u w:val="single"/>
        </w:rPr>
      </w:pPr>
      <w:r>
        <w:rPr>
          <w:rFonts w:hint="eastAsia" w:ascii="仿宋" w:hAnsi="仿宋" w:eastAsia="仿宋" w:cs="仿宋"/>
          <w:sz w:val="24"/>
          <w:szCs w:val="24"/>
        </w:rPr>
        <w:t xml:space="preserve">    法定代表人：</w:t>
      </w:r>
      <w:r>
        <w:rPr>
          <w:rFonts w:hint="eastAsia" w:ascii="仿宋" w:hAnsi="仿宋" w:eastAsia="仿宋" w:cs="仿宋"/>
          <w:sz w:val="24"/>
          <w:szCs w:val="24"/>
          <w:u w:val="single"/>
        </w:rPr>
        <w:t xml:space="preserve">      黄玉东                                   </w:t>
      </w:r>
    </w:p>
    <w:p w14:paraId="61A4BE33">
      <w:pPr>
        <w:adjustRightInd w:val="0"/>
        <w:snapToGrid w:val="0"/>
        <w:spacing w:line="480" w:lineRule="exact"/>
        <w:jc w:val="left"/>
        <w:rPr>
          <w:rFonts w:ascii="仿宋" w:hAnsi="仿宋" w:eastAsia="仿宋" w:cs="仿宋"/>
          <w:sz w:val="24"/>
          <w:szCs w:val="24"/>
          <w:u w:val="single"/>
        </w:rPr>
      </w:pPr>
      <w:r>
        <w:rPr>
          <w:rFonts w:hint="eastAsia" w:ascii="仿宋" w:hAnsi="仿宋" w:eastAsia="仿宋" w:cs="仿宋"/>
          <w:sz w:val="24"/>
          <w:szCs w:val="24"/>
        </w:rPr>
        <w:t xml:space="preserve">    </w:t>
      </w:r>
      <w:r>
        <w:rPr>
          <w:rFonts w:hint="eastAsia" w:ascii="仿宋" w:hAnsi="仿宋" w:eastAsia="仿宋" w:cs="仿宋"/>
          <w:b/>
          <w:bCs/>
          <w:sz w:val="24"/>
          <w:szCs w:val="24"/>
        </w:rPr>
        <w:t>乙方（销售方）：</w:t>
      </w:r>
      <w:r>
        <w:rPr>
          <w:rFonts w:hint="eastAsia" w:ascii="仿宋" w:hAnsi="仿宋" w:eastAsia="仿宋" w:cs="仿宋"/>
          <w:sz w:val="24"/>
          <w:szCs w:val="24"/>
          <w:u w:val="single"/>
        </w:rPr>
        <w:t xml:space="preserve">                                           </w:t>
      </w:r>
    </w:p>
    <w:p w14:paraId="0821947B">
      <w:pPr>
        <w:adjustRightInd w:val="0"/>
        <w:snapToGrid w:val="0"/>
        <w:spacing w:line="480" w:lineRule="exact"/>
        <w:jc w:val="left"/>
        <w:rPr>
          <w:rFonts w:ascii="仿宋" w:hAnsi="仿宋" w:eastAsia="仿宋" w:cs="仿宋"/>
          <w:sz w:val="24"/>
          <w:szCs w:val="24"/>
          <w:u w:val="single"/>
        </w:rPr>
      </w:pPr>
      <w:r>
        <w:rPr>
          <w:rFonts w:hint="eastAsia" w:ascii="仿宋" w:hAnsi="仿宋" w:eastAsia="仿宋" w:cs="仿宋"/>
          <w:sz w:val="24"/>
          <w:szCs w:val="24"/>
        </w:rPr>
        <w:t xml:space="preserve">    法定代表人：</w:t>
      </w:r>
      <w:r>
        <w:rPr>
          <w:rFonts w:hint="eastAsia" w:ascii="仿宋" w:hAnsi="仿宋" w:eastAsia="仿宋" w:cs="仿宋"/>
          <w:sz w:val="24"/>
          <w:szCs w:val="24"/>
          <w:u w:val="single"/>
        </w:rPr>
        <w:t xml:space="preserve">                                               </w:t>
      </w:r>
    </w:p>
    <w:p w14:paraId="0B49E005">
      <w:pPr>
        <w:adjustRightInd w:val="0"/>
        <w:snapToGrid w:val="0"/>
        <w:spacing w:line="480" w:lineRule="exact"/>
        <w:jc w:val="left"/>
        <w:rPr>
          <w:rFonts w:ascii="仿宋" w:hAnsi="仿宋" w:eastAsia="仿宋" w:cs="仿宋"/>
          <w:sz w:val="24"/>
          <w:szCs w:val="24"/>
        </w:rPr>
      </w:pPr>
      <w:r>
        <w:rPr>
          <w:rFonts w:hint="eastAsia" w:ascii="仿宋" w:hAnsi="仿宋" w:eastAsia="仿宋" w:cs="仿宋"/>
          <w:sz w:val="24"/>
          <w:szCs w:val="24"/>
        </w:rPr>
        <w:t xml:space="preserve">    </w:t>
      </w:r>
    </w:p>
    <w:p w14:paraId="2C23CF2C">
      <w:pPr>
        <w:adjustRightInd w:val="0"/>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鉴于甲方拟向乙方采购货物（以下简称“合同货物”或“产品”、“设备”），且乙方同意向甲方供应上述合同货物，甲乙双方为明确各自权利义务，经双方协商一致，依照《中华人民共和国民法典》及有关规定，特订立本合同，以资双方共同遵守执行。</w:t>
      </w:r>
    </w:p>
    <w:p w14:paraId="74CF9D07">
      <w:pPr>
        <w:pStyle w:val="66"/>
        <w:numPr>
          <w:ilvl w:val="0"/>
          <w:numId w:val="1"/>
        </w:numPr>
        <w:adjustRightInd w:val="0"/>
        <w:snapToGrid w:val="0"/>
        <w:spacing w:line="480" w:lineRule="exact"/>
        <w:ind w:left="0" w:firstLine="0" w:firstLineChars="0"/>
        <w:jc w:val="left"/>
        <w:rPr>
          <w:rFonts w:ascii="仿宋" w:hAnsi="仿宋" w:eastAsia="仿宋" w:cs="仿宋"/>
          <w:b/>
          <w:sz w:val="24"/>
          <w:szCs w:val="24"/>
        </w:rPr>
      </w:pPr>
      <w:r>
        <w:rPr>
          <w:rFonts w:hint="eastAsia" w:ascii="仿宋" w:hAnsi="仿宋" w:eastAsia="仿宋" w:cs="仿宋"/>
          <w:b/>
          <w:sz w:val="24"/>
          <w:szCs w:val="24"/>
        </w:rPr>
        <w:t>产品名称、规格型号、数量、价格</w:t>
      </w:r>
    </w:p>
    <w:tbl>
      <w:tblPr>
        <w:tblStyle w:val="29"/>
        <w:tblW w:w="95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8"/>
        <w:gridCol w:w="1923"/>
        <w:gridCol w:w="1514"/>
        <w:gridCol w:w="709"/>
        <w:gridCol w:w="573"/>
        <w:gridCol w:w="1412"/>
        <w:gridCol w:w="1628"/>
        <w:gridCol w:w="724"/>
      </w:tblGrid>
      <w:tr w14:paraId="6953C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vAlign w:val="center"/>
          </w:tcPr>
          <w:p w14:paraId="5BC811C6">
            <w:pPr>
              <w:widowControl w:val="0"/>
              <w:adjustRightInd w:val="0"/>
              <w:snapToGrid w:val="0"/>
              <w:spacing w:line="480" w:lineRule="exact"/>
              <w:jc w:val="center"/>
              <w:rPr>
                <w:rFonts w:ascii="仿宋" w:hAnsi="仿宋" w:eastAsia="仿宋" w:cs="仿宋"/>
                <w:sz w:val="24"/>
                <w:szCs w:val="24"/>
              </w:rPr>
            </w:pPr>
            <w:r>
              <w:rPr>
                <w:rFonts w:hint="eastAsia" w:ascii="仿宋" w:hAnsi="仿宋" w:eastAsia="仿宋" w:cs="仿宋"/>
                <w:sz w:val="24"/>
                <w:szCs w:val="24"/>
              </w:rPr>
              <w:t>序号</w:t>
            </w:r>
          </w:p>
        </w:tc>
        <w:tc>
          <w:tcPr>
            <w:tcW w:w="1923" w:type="dxa"/>
            <w:vAlign w:val="center"/>
          </w:tcPr>
          <w:p w14:paraId="255EB911">
            <w:pPr>
              <w:widowControl w:val="0"/>
              <w:adjustRightInd w:val="0"/>
              <w:snapToGrid w:val="0"/>
              <w:spacing w:line="480" w:lineRule="exact"/>
              <w:jc w:val="center"/>
              <w:rPr>
                <w:rFonts w:ascii="仿宋" w:hAnsi="仿宋" w:eastAsia="仿宋" w:cs="仿宋"/>
                <w:sz w:val="24"/>
                <w:szCs w:val="24"/>
              </w:rPr>
            </w:pPr>
            <w:r>
              <w:rPr>
                <w:rFonts w:hint="eastAsia" w:ascii="仿宋" w:hAnsi="仿宋" w:eastAsia="仿宋" w:cs="仿宋"/>
                <w:sz w:val="24"/>
                <w:szCs w:val="24"/>
              </w:rPr>
              <w:t>产品名称/品牌</w:t>
            </w:r>
          </w:p>
        </w:tc>
        <w:tc>
          <w:tcPr>
            <w:tcW w:w="1514" w:type="dxa"/>
            <w:vAlign w:val="center"/>
          </w:tcPr>
          <w:p w14:paraId="3DEE7660">
            <w:pPr>
              <w:widowControl w:val="0"/>
              <w:adjustRightInd w:val="0"/>
              <w:snapToGrid w:val="0"/>
              <w:spacing w:line="480" w:lineRule="exact"/>
              <w:jc w:val="center"/>
              <w:rPr>
                <w:rFonts w:ascii="仿宋" w:hAnsi="仿宋" w:eastAsia="仿宋" w:cs="仿宋"/>
                <w:sz w:val="24"/>
                <w:szCs w:val="24"/>
              </w:rPr>
            </w:pPr>
            <w:r>
              <w:rPr>
                <w:rFonts w:hint="eastAsia" w:ascii="仿宋" w:hAnsi="仿宋" w:eastAsia="仿宋" w:cs="仿宋"/>
                <w:sz w:val="24"/>
                <w:szCs w:val="24"/>
              </w:rPr>
              <w:t>型号规格</w:t>
            </w:r>
          </w:p>
        </w:tc>
        <w:tc>
          <w:tcPr>
            <w:tcW w:w="709" w:type="dxa"/>
            <w:vAlign w:val="center"/>
          </w:tcPr>
          <w:p w14:paraId="0040195F">
            <w:pPr>
              <w:widowControl w:val="0"/>
              <w:adjustRightInd w:val="0"/>
              <w:snapToGrid w:val="0"/>
              <w:spacing w:line="480" w:lineRule="exact"/>
              <w:jc w:val="center"/>
              <w:rPr>
                <w:rFonts w:ascii="仿宋" w:hAnsi="仿宋" w:eastAsia="仿宋" w:cs="仿宋"/>
                <w:sz w:val="24"/>
                <w:szCs w:val="24"/>
              </w:rPr>
            </w:pPr>
            <w:r>
              <w:rPr>
                <w:rFonts w:hint="eastAsia" w:ascii="仿宋" w:hAnsi="仿宋" w:eastAsia="仿宋" w:cs="仿宋"/>
                <w:sz w:val="24"/>
                <w:szCs w:val="24"/>
              </w:rPr>
              <w:t>数量</w:t>
            </w:r>
          </w:p>
        </w:tc>
        <w:tc>
          <w:tcPr>
            <w:tcW w:w="573" w:type="dxa"/>
            <w:vAlign w:val="center"/>
          </w:tcPr>
          <w:p w14:paraId="3619F27B">
            <w:pPr>
              <w:widowControl w:val="0"/>
              <w:adjustRightInd w:val="0"/>
              <w:snapToGrid w:val="0"/>
              <w:spacing w:line="480" w:lineRule="exact"/>
              <w:jc w:val="center"/>
              <w:rPr>
                <w:rFonts w:ascii="仿宋" w:hAnsi="仿宋" w:eastAsia="仿宋" w:cs="仿宋"/>
                <w:sz w:val="24"/>
                <w:szCs w:val="24"/>
              </w:rPr>
            </w:pPr>
            <w:r>
              <w:rPr>
                <w:rFonts w:hint="eastAsia" w:ascii="仿宋" w:hAnsi="仿宋" w:eastAsia="仿宋" w:cs="仿宋"/>
                <w:sz w:val="24"/>
                <w:szCs w:val="24"/>
              </w:rPr>
              <w:t>单位</w:t>
            </w:r>
          </w:p>
        </w:tc>
        <w:tc>
          <w:tcPr>
            <w:tcW w:w="1412" w:type="dxa"/>
            <w:vAlign w:val="center"/>
          </w:tcPr>
          <w:p w14:paraId="1C782F88">
            <w:pPr>
              <w:widowControl w:val="0"/>
              <w:adjustRightInd w:val="0"/>
              <w:snapToGrid w:val="0"/>
              <w:spacing w:line="480" w:lineRule="exact"/>
              <w:jc w:val="center"/>
              <w:rPr>
                <w:rFonts w:ascii="仿宋" w:hAnsi="仿宋" w:eastAsia="仿宋" w:cs="仿宋"/>
                <w:sz w:val="24"/>
                <w:szCs w:val="24"/>
              </w:rPr>
            </w:pPr>
            <w:r>
              <w:rPr>
                <w:rFonts w:hint="eastAsia" w:ascii="仿宋" w:hAnsi="仿宋" w:eastAsia="仿宋" w:cs="仿宋"/>
                <w:sz w:val="24"/>
                <w:szCs w:val="24"/>
              </w:rPr>
              <w:t>单价(元)</w:t>
            </w:r>
          </w:p>
        </w:tc>
        <w:tc>
          <w:tcPr>
            <w:tcW w:w="1628" w:type="dxa"/>
            <w:vAlign w:val="center"/>
          </w:tcPr>
          <w:p w14:paraId="49C423E9">
            <w:pPr>
              <w:widowControl w:val="0"/>
              <w:adjustRightInd w:val="0"/>
              <w:snapToGrid w:val="0"/>
              <w:spacing w:line="480" w:lineRule="exact"/>
              <w:jc w:val="center"/>
              <w:rPr>
                <w:rFonts w:ascii="仿宋" w:hAnsi="仿宋" w:eastAsia="仿宋" w:cs="仿宋"/>
                <w:sz w:val="24"/>
                <w:szCs w:val="24"/>
              </w:rPr>
            </w:pPr>
            <w:r>
              <w:rPr>
                <w:rFonts w:hint="eastAsia" w:ascii="仿宋" w:hAnsi="仿宋" w:eastAsia="仿宋" w:cs="仿宋"/>
                <w:sz w:val="24"/>
                <w:szCs w:val="24"/>
              </w:rPr>
              <w:t>金额（元）</w:t>
            </w:r>
          </w:p>
        </w:tc>
        <w:tc>
          <w:tcPr>
            <w:tcW w:w="724" w:type="dxa"/>
            <w:vAlign w:val="center"/>
          </w:tcPr>
          <w:p w14:paraId="04A281A2">
            <w:pPr>
              <w:widowControl w:val="0"/>
              <w:adjustRightInd w:val="0"/>
              <w:snapToGrid w:val="0"/>
              <w:spacing w:line="480" w:lineRule="exact"/>
              <w:jc w:val="center"/>
              <w:rPr>
                <w:rFonts w:ascii="仿宋" w:hAnsi="仿宋" w:eastAsia="仿宋" w:cs="仿宋"/>
                <w:sz w:val="24"/>
                <w:szCs w:val="24"/>
              </w:rPr>
            </w:pPr>
            <w:r>
              <w:rPr>
                <w:rFonts w:hint="eastAsia" w:ascii="仿宋" w:hAnsi="仿宋" w:eastAsia="仿宋" w:cs="仿宋"/>
                <w:sz w:val="24"/>
                <w:szCs w:val="24"/>
              </w:rPr>
              <w:t>备注</w:t>
            </w:r>
          </w:p>
        </w:tc>
      </w:tr>
      <w:tr w14:paraId="02912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vAlign w:val="center"/>
          </w:tcPr>
          <w:p w14:paraId="4EA3F844">
            <w:pPr>
              <w:widowControl w:val="0"/>
              <w:adjustRightInd w:val="0"/>
              <w:snapToGrid w:val="0"/>
              <w:spacing w:line="480" w:lineRule="exact"/>
              <w:jc w:val="center"/>
              <w:rPr>
                <w:rFonts w:ascii="仿宋" w:hAnsi="仿宋" w:eastAsia="仿宋" w:cs="仿宋"/>
                <w:sz w:val="24"/>
                <w:szCs w:val="24"/>
              </w:rPr>
            </w:pPr>
            <w:r>
              <w:rPr>
                <w:rFonts w:hint="eastAsia" w:ascii="仿宋" w:hAnsi="仿宋" w:eastAsia="仿宋" w:cs="仿宋"/>
                <w:sz w:val="24"/>
                <w:szCs w:val="24"/>
              </w:rPr>
              <w:t>1</w:t>
            </w:r>
          </w:p>
        </w:tc>
        <w:tc>
          <w:tcPr>
            <w:tcW w:w="1923" w:type="dxa"/>
            <w:vAlign w:val="center"/>
          </w:tcPr>
          <w:p w14:paraId="037835A7">
            <w:pPr>
              <w:widowControl w:val="0"/>
              <w:adjustRightInd w:val="0"/>
              <w:snapToGrid w:val="0"/>
              <w:spacing w:line="480" w:lineRule="exact"/>
              <w:jc w:val="center"/>
              <w:rPr>
                <w:rFonts w:ascii="仿宋" w:hAnsi="仿宋" w:eastAsia="仿宋" w:cs="仿宋"/>
                <w:sz w:val="24"/>
                <w:szCs w:val="24"/>
              </w:rPr>
            </w:pPr>
          </w:p>
        </w:tc>
        <w:tc>
          <w:tcPr>
            <w:tcW w:w="1514" w:type="dxa"/>
            <w:vAlign w:val="center"/>
          </w:tcPr>
          <w:p w14:paraId="35AEFF31">
            <w:pPr>
              <w:widowControl w:val="0"/>
              <w:adjustRightInd w:val="0"/>
              <w:snapToGrid w:val="0"/>
              <w:spacing w:line="480" w:lineRule="exact"/>
              <w:jc w:val="center"/>
              <w:rPr>
                <w:rFonts w:ascii="仿宋" w:hAnsi="仿宋" w:eastAsia="仿宋" w:cs="仿宋"/>
                <w:sz w:val="24"/>
                <w:szCs w:val="24"/>
              </w:rPr>
            </w:pPr>
          </w:p>
        </w:tc>
        <w:tc>
          <w:tcPr>
            <w:tcW w:w="709" w:type="dxa"/>
            <w:vAlign w:val="center"/>
          </w:tcPr>
          <w:p w14:paraId="1580C522">
            <w:pPr>
              <w:widowControl w:val="0"/>
              <w:adjustRightInd w:val="0"/>
              <w:snapToGrid w:val="0"/>
              <w:spacing w:line="480" w:lineRule="exact"/>
              <w:jc w:val="center"/>
              <w:rPr>
                <w:rFonts w:ascii="仿宋" w:hAnsi="仿宋" w:eastAsia="仿宋" w:cs="仿宋"/>
                <w:sz w:val="24"/>
                <w:szCs w:val="24"/>
              </w:rPr>
            </w:pPr>
          </w:p>
        </w:tc>
        <w:tc>
          <w:tcPr>
            <w:tcW w:w="573" w:type="dxa"/>
            <w:vAlign w:val="center"/>
          </w:tcPr>
          <w:p w14:paraId="08176406">
            <w:pPr>
              <w:widowControl w:val="0"/>
              <w:adjustRightInd w:val="0"/>
              <w:snapToGrid w:val="0"/>
              <w:spacing w:line="480" w:lineRule="exact"/>
              <w:jc w:val="center"/>
              <w:rPr>
                <w:rFonts w:ascii="仿宋" w:hAnsi="仿宋" w:eastAsia="仿宋" w:cs="仿宋"/>
                <w:sz w:val="24"/>
                <w:szCs w:val="24"/>
              </w:rPr>
            </w:pPr>
          </w:p>
        </w:tc>
        <w:tc>
          <w:tcPr>
            <w:tcW w:w="1412" w:type="dxa"/>
            <w:vAlign w:val="center"/>
          </w:tcPr>
          <w:p w14:paraId="0464F647">
            <w:pPr>
              <w:widowControl/>
              <w:adjustRightInd w:val="0"/>
              <w:snapToGrid w:val="0"/>
              <w:spacing w:line="480" w:lineRule="exact"/>
              <w:jc w:val="left"/>
              <w:textAlignment w:val="center"/>
              <w:rPr>
                <w:rFonts w:ascii="仿宋" w:hAnsi="仿宋" w:eastAsia="仿宋" w:cs="仿宋"/>
                <w:sz w:val="24"/>
                <w:szCs w:val="24"/>
              </w:rPr>
            </w:pPr>
          </w:p>
        </w:tc>
        <w:tc>
          <w:tcPr>
            <w:tcW w:w="1628" w:type="dxa"/>
            <w:vAlign w:val="center"/>
          </w:tcPr>
          <w:p w14:paraId="3048A8D5">
            <w:pPr>
              <w:widowControl/>
              <w:adjustRightInd w:val="0"/>
              <w:snapToGrid w:val="0"/>
              <w:spacing w:line="480" w:lineRule="exact"/>
              <w:jc w:val="left"/>
              <w:textAlignment w:val="center"/>
              <w:rPr>
                <w:rFonts w:ascii="仿宋" w:hAnsi="仿宋" w:eastAsia="仿宋" w:cs="仿宋"/>
                <w:sz w:val="24"/>
                <w:szCs w:val="24"/>
              </w:rPr>
            </w:pPr>
          </w:p>
        </w:tc>
        <w:tc>
          <w:tcPr>
            <w:tcW w:w="724" w:type="dxa"/>
            <w:vAlign w:val="center"/>
          </w:tcPr>
          <w:p w14:paraId="6E81BF34">
            <w:pPr>
              <w:widowControl w:val="0"/>
              <w:adjustRightInd w:val="0"/>
              <w:snapToGrid w:val="0"/>
              <w:spacing w:line="480" w:lineRule="exact"/>
              <w:jc w:val="center"/>
              <w:rPr>
                <w:rFonts w:ascii="仿宋" w:hAnsi="仿宋" w:eastAsia="仿宋" w:cs="仿宋"/>
                <w:sz w:val="24"/>
                <w:szCs w:val="24"/>
              </w:rPr>
            </w:pPr>
          </w:p>
        </w:tc>
      </w:tr>
      <w:tr w14:paraId="56A9E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tcPr>
          <w:p w14:paraId="1599AC5E">
            <w:pPr>
              <w:widowControl w:val="0"/>
              <w:adjustRightInd w:val="0"/>
              <w:snapToGrid w:val="0"/>
              <w:spacing w:line="480" w:lineRule="exact"/>
              <w:jc w:val="left"/>
              <w:rPr>
                <w:rFonts w:ascii="仿宋" w:hAnsi="仿宋" w:eastAsia="仿宋" w:cs="仿宋"/>
                <w:sz w:val="24"/>
                <w:szCs w:val="24"/>
              </w:rPr>
            </w:pPr>
          </w:p>
        </w:tc>
        <w:tc>
          <w:tcPr>
            <w:tcW w:w="1923" w:type="dxa"/>
          </w:tcPr>
          <w:p w14:paraId="437647A6">
            <w:pPr>
              <w:widowControl w:val="0"/>
              <w:adjustRightInd w:val="0"/>
              <w:snapToGrid w:val="0"/>
              <w:spacing w:line="480" w:lineRule="exact"/>
              <w:jc w:val="left"/>
              <w:rPr>
                <w:rFonts w:ascii="仿宋" w:hAnsi="仿宋" w:eastAsia="仿宋" w:cs="仿宋"/>
                <w:sz w:val="24"/>
                <w:szCs w:val="24"/>
              </w:rPr>
            </w:pPr>
          </w:p>
        </w:tc>
        <w:tc>
          <w:tcPr>
            <w:tcW w:w="1514" w:type="dxa"/>
          </w:tcPr>
          <w:p w14:paraId="2BA7904F">
            <w:pPr>
              <w:widowControl w:val="0"/>
              <w:adjustRightInd w:val="0"/>
              <w:snapToGrid w:val="0"/>
              <w:spacing w:line="480" w:lineRule="exact"/>
              <w:jc w:val="left"/>
              <w:rPr>
                <w:rFonts w:ascii="仿宋" w:hAnsi="仿宋" w:eastAsia="仿宋" w:cs="仿宋"/>
                <w:sz w:val="24"/>
                <w:szCs w:val="24"/>
              </w:rPr>
            </w:pPr>
          </w:p>
        </w:tc>
        <w:tc>
          <w:tcPr>
            <w:tcW w:w="709" w:type="dxa"/>
          </w:tcPr>
          <w:p w14:paraId="5657FAD8">
            <w:pPr>
              <w:widowControl w:val="0"/>
              <w:adjustRightInd w:val="0"/>
              <w:snapToGrid w:val="0"/>
              <w:spacing w:line="480" w:lineRule="exact"/>
              <w:jc w:val="left"/>
              <w:rPr>
                <w:rFonts w:ascii="仿宋" w:hAnsi="仿宋" w:eastAsia="仿宋" w:cs="仿宋"/>
                <w:sz w:val="24"/>
                <w:szCs w:val="24"/>
              </w:rPr>
            </w:pPr>
          </w:p>
        </w:tc>
        <w:tc>
          <w:tcPr>
            <w:tcW w:w="573" w:type="dxa"/>
          </w:tcPr>
          <w:p w14:paraId="083F09A3">
            <w:pPr>
              <w:widowControl w:val="0"/>
              <w:adjustRightInd w:val="0"/>
              <w:snapToGrid w:val="0"/>
              <w:spacing w:line="480" w:lineRule="exact"/>
              <w:jc w:val="left"/>
              <w:rPr>
                <w:rFonts w:ascii="仿宋" w:hAnsi="仿宋" w:eastAsia="仿宋" w:cs="仿宋"/>
                <w:sz w:val="24"/>
                <w:szCs w:val="24"/>
              </w:rPr>
            </w:pPr>
          </w:p>
        </w:tc>
        <w:tc>
          <w:tcPr>
            <w:tcW w:w="1412" w:type="dxa"/>
          </w:tcPr>
          <w:p w14:paraId="75616B88">
            <w:pPr>
              <w:widowControl w:val="0"/>
              <w:adjustRightInd w:val="0"/>
              <w:snapToGrid w:val="0"/>
              <w:spacing w:line="480" w:lineRule="exact"/>
              <w:jc w:val="left"/>
              <w:rPr>
                <w:rFonts w:ascii="仿宋" w:hAnsi="仿宋" w:eastAsia="仿宋" w:cs="仿宋"/>
                <w:sz w:val="24"/>
                <w:szCs w:val="24"/>
              </w:rPr>
            </w:pPr>
          </w:p>
        </w:tc>
        <w:tc>
          <w:tcPr>
            <w:tcW w:w="1628" w:type="dxa"/>
          </w:tcPr>
          <w:p w14:paraId="35673EE3">
            <w:pPr>
              <w:widowControl w:val="0"/>
              <w:adjustRightInd w:val="0"/>
              <w:snapToGrid w:val="0"/>
              <w:spacing w:line="480" w:lineRule="exact"/>
              <w:jc w:val="left"/>
              <w:rPr>
                <w:rFonts w:ascii="仿宋" w:hAnsi="仿宋" w:eastAsia="仿宋" w:cs="仿宋"/>
                <w:sz w:val="24"/>
                <w:szCs w:val="24"/>
              </w:rPr>
            </w:pPr>
          </w:p>
        </w:tc>
        <w:tc>
          <w:tcPr>
            <w:tcW w:w="724" w:type="dxa"/>
          </w:tcPr>
          <w:p w14:paraId="54E45551">
            <w:pPr>
              <w:widowControl w:val="0"/>
              <w:adjustRightInd w:val="0"/>
              <w:snapToGrid w:val="0"/>
              <w:spacing w:line="480" w:lineRule="exact"/>
              <w:jc w:val="left"/>
              <w:rPr>
                <w:rFonts w:ascii="仿宋" w:hAnsi="仿宋" w:eastAsia="仿宋" w:cs="仿宋"/>
                <w:sz w:val="24"/>
                <w:szCs w:val="24"/>
              </w:rPr>
            </w:pPr>
          </w:p>
        </w:tc>
      </w:tr>
      <w:tr w14:paraId="29B8E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tcPr>
          <w:p w14:paraId="506429FC">
            <w:pPr>
              <w:widowControl w:val="0"/>
              <w:adjustRightInd w:val="0"/>
              <w:snapToGrid w:val="0"/>
              <w:spacing w:line="480" w:lineRule="exact"/>
              <w:jc w:val="left"/>
              <w:rPr>
                <w:rFonts w:ascii="仿宋" w:hAnsi="仿宋" w:eastAsia="仿宋" w:cs="仿宋"/>
                <w:sz w:val="24"/>
                <w:szCs w:val="24"/>
              </w:rPr>
            </w:pPr>
          </w:p>
        </w:tc>
        <w:tc>
          <w:tcPr>
            <w:tcW w:w="1923" w:type="dxa"/>
          </w:tcPr>
          <w:p w14:paraId="2DAB7892">
            <w:pPr>
              <w:widowControl w:val="0"/>
              <w:adjustRightInd w:val="0"/>
              <w:snapToGrid w:val="0"/>
              <w:spacing w:line="480" w:lineRule="exact"/>
              <w:jc w:val="left"/>
              <w:rPr>
                <w:rFonts w:ascii="仿宋" w:hAnsi="仿宋" w:eastAsia="仿宋" w:cs="仿宋"/>
                <w:sz w:val="24"/>
                <w:szCs w:val="24"/>
              </w:rPr>
            </w:pPr>
          </w:p>
        </w:tc>
        <w:tc>
          <w:tcPr>
            <w:tcW w:w="1514" w:type="dxa"/>
          </w:tcPr>
          <w:p w14:paraId="263D5295">
            <w:pPr>
              <w:widowControl w:val="0"/>
              <w:adjustRightInd w:val="0"/>
              <w:snapToGrid w:val="0"/>
              <w:spacing w:line="480" w:lineRule="exact"/>
              <w:jc w:val="left"/>
              <w:rPr>
                <w:rFonts w:ascii="仿宋" w:hAnsi="仿宋" w:eastAsia="仿宋" w:cs="仿宋"/>
                <w:sz w:val="24"/>
                <w:szCs w:val="24"/>
              </w:rPr>
            </w:pPr>
          </w:p>
        </w:tc>
        <w:tc>
          <w:tcPr>
            <w:tcW w:w="709" w:type="dxa"/>
          </w:tcPr>
          <w:p w14:paraId="1995D3EE">
            <w:pPr>
              <w:widowControl w:val="0"/>
              <w:adjustRightInd w:val="0"/>
              <w:snapToGrid w:val="0"/>
              <w:spacing w:line="480" w:lineRule="exact"/>
              <w:jc w:val="left"/>
              <w:rPr>
                <w:rFonts w:ascii="仿宋" w:hAnsi="仿宋" w:eastAsia="仿宋" w:cs="仿宋"/>
                <w:sz w:val="24"/>
                <w:szCs w:val="24"/>
              </w:rPr>
            </w:pPr>
          </w:p>
        </w:tc>
        <w:tc>
          <w:tcPr>
            <w:tcW w:w="573" w:type="dxa"/>
          </w:tcPr>
          <w:p w14:paraId="23F014F9">
            <w:pPr>
              <w:widowControl w:val="0"/>
              <w:adjustRightInd w:val="0"/>
              <w:snapToGrid w:val="0"/>
              <w:spacing w:line="480" w:lineRule="exact"/>
              <w:jc w:val="left"/>
              <w:rPr>
                <w:rFonts w:ascii="仿宋" w:hAnsi="仿宋" w:eastAsia="仿宋" w:cs="仿宋"/>
                <w:sz w:val="24"/>
                <w:szCs w:val="24"/>
              </w:rPr>
            </w:pPr>
          </w:p>
        </w:tc>
        <w:tc>
          <w:tcPr>
            <w:tcW w:w="1412" w:type="dxa"/>
          </w:tcPr>
          <w:p w14:paraId="4C61612F">
            <w:pPr>
              <w:widowControl w:val="0"/>
              <w:adjustRightInd w:val="0"/>
              <w:snapToGrid w:val="0"/>
              <w:spacing w:line="480" w:lineRule="exact"/>
              <w:jc w:val="left"/>
              <w:rPr>
                <w:rFonts w:ascii="仿宋" w:hAnsi="仿宋" w:eastAsia="仿宋" w:cs="仿宋"/>
                <w:sz w:val="24"/>
                <w:szCs w:val="24"/>
              </w:rPr>
            </w:pPr>
          </w:p>
        </w:tc>
        <w:tc>
          <w:tcPr>
            <w:tcW w:w="1628" w:type="dxa"/>
          </w:tcPr>
          <w:p w14:paraId="4EDA21EA">
            <w:pPr>
              <w:widowControl w:val="0"/>
              <w:adjustRightInd w:val="0"/>
              <w:snapToGrid w:val="0"/>
              <w:spacing w:line="480" w:lineRule="exact"/>
              <w:jc w:val="left"/>
              <w:rPr>
                <w:rFonts w:ascii="仿宋" w:hAnsi="仿宋" w:eastAsia="仿宋" w:cs="仿宋"/>
                <w:sz w:val="24"/>
                <w:szCs w:val="24"/>
              </w:rPr>
            </w:pPr>
          </w:p>
        </w:tc>
        <w:tc>
          <w:tcPr>
            <w:tcW w:w="724" w:type="dxa"/>
          </w:tcPr>
          <w:p w14:paraId="2153DFAF">
            <w:pPr>
              <w:widowControl w:val="0"/>
              <w:adjustRightInd w:val="0"/>
              <w:snapToGrid w:val="0"/>
              <w:spacing w:line="480" w:lineRule="exact"/>
              <w:jc w:val="left"/>
              <w:rPr>
                <w:rFonts w:ascii="仿宋" w:hAnsi="仿宋" w:eastAsia="仿宋" w:cs="仿宋"/>
                <w:sz w:val="24"/>
                <w:szCs w:val="24"/>
              </w:rPr>
            </w:pPr>
          </w:p>
        </w:tc>
      </w:tr>
      <w:tr w14:paraId="31407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41" w:type="dxa"/>
            <w:gridSpan w:val="2"/>
          </w:tcPr>
          <w:p w14:paraId="36CCB52C">
            <w:pPr>
              <w:widowControl w:val="0"/>
              <w:adjustRightInd w:val="0"/>
              <w:snapToGrid w:val="0"/>
              <w:spacing w:line="480" w:lineRule="exact"/>
              <w:jc w:val="center"/>
              <w:rPr>
                <w:rFonts w:ascii="仿宋" w:hAnsi="仿宋" w:eastAsia="仿宋" w:cs="仿宋"/>
                <w:sz w:val="24"/>
                <w:szCs w:val="24"/>
              </w:rPr>
            </w:pPr>
            <w:r>
              <w:rPr>
                <w:rFonts w:hint="eastAsia" w:ascii="仿宋" w:hAnsi="仿宋" w:eastAsia="仿宋" w:cs="仿宋"/>
                <w:sz w:val="24"/>
                <w:szCs w:val="24"/>
              </w:rPr>
              <w:t>合计</w:t>
            </w:r>
          </w:p>
        </w:tc>
        <w:tc>
          <w:tcPr>
            <w:tcW w:w="5836" w:type="dxa"/>
            <w:gridSpan w:val="5"/>
          </w:tcPr>
          <w:p w14:paraId="664F24BC">
            <w:pPr>
              <w:widowControl w:val="0"/>
              <w:adjustRightInd w:val="0"/>
              <w:snapToGrid w:val="0"/>
              <w:spacing w:line="480" w:lineRule="exact"/>
              <w:jc w:val="left"/>
              <w:rPr>
                <w:rFonts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t>元（大写人民币:</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tc>
        <w:tc>
          <w:tcPr>
            <w:tcW w:w="724" w:type="dxa"/>
          </w:tcPr>
          <w:p w14:paraId="054132A4">
            <w:pPr>
              <w:widowControl w:val="0"/>
              <w:adjustRightInd w:val="0"/>
              <w:snapToGrid w:val="0"/>
              <w:spacing w:line="480" w:lineRule="exact"/>
              <w:jc w:val="left"/>
              <w:rPr>
                <w:rFonts w:ascii="仿宋" w:hAnsi="仿宋" w:eastAsia="仿宋" w:cs="仿宋"/>
                <w:sz w:val="24"/>
                <w:szCs w:val="24"/>
              </w:rPr>
            </w:pPr>
          </w:p>
        </w:tc>
      </w:tr>
    </w:tbl>
    <w:p w14:paraId="2DF92FC5">
      <w:pPr>
        <w:adjustRightInd w:val="0"/>
        <w:snapToGrid w:val="0"/>
        <w:spacing w:line="480" w:lineRule="exact"/>
        <w:ind w:firstLine="465"/>
        <w:rPr>
          <w:rFonts w:ascii="仿宋" w:hAnsi="仿宋" w:eastAsia="仿宋" w:cs="仿宋"/>
          <w:sz w:val="24"/>
          <w:szCs w:val="24"/>
        </w:rPr>
      </w:pPr>
      <w:r>
        <w:rPr>
          <w:rFonts w:hint="eastAsia" w:ascii="仿宋" w:hAnsi="仿宋" w:eastAsia="仿宋" w:cs="仿宋"/>
          <w:sz w:val="24"/>
          <w:szCs w:val="24"/>
        </w:rPr>
        <w:t>以上合同总价</w:t>
      </w:r>
      <w:r>
        <w:rPr>
          <w:rFonts w:hint="eastAsia" w:ascii="仿宋" w:hAnsi="仿宋" w:eastAsia="仿宋" w:cs="仿宋"/>
          <w:bCs/>
          <w:sz w:val="24"/>
          <w:szCs w:val="24"/>
        </w:rPr>
        <w:t>为包干价，是履行本合同的一切费用总和，包括但不限于设备费、外贸服务费、中标服务费、进口环节税费、包装运输费</w:t>
      </w:r>
      <w:r>
        <w:rPr>
          <w:rFonts w:hint="eastAsia" w:ascii="仿宋" w:hAnsi="仿宋" w:eastAsia="仿宋" w:cs="仿宋"/>
          <w:bCs/>
          <w:sz w:val="24"/>
          <w:szCs w:val="24"/>
          <w:lang w:eastAsia="zh-CN"/>
        </w:rPr>
        <w:t>（</w:t>
      </w:r>
      <w:r>
        <w:rPr>
          <w:rFonts w:hint="eastAsia" w:ascii="仿宋" w:hAnsi="仿宋" w:eastAsia="仿宋" w:cs="仿宋"/>
          <w:bCs/>
          <w:sz w:val="24"/>
          <w:szCs w:val="24"/>
          <w:lang w:val="en-US" w:eastAsia="zh-CN"/>
        </w:rPr>
        <w:t>含发货、更换、维修、退货等环节涉及的包装运输费用</w:t>
      </w:r>
      <w:r>
        <w:rPr>
          <w:rFonts w:hint="eastAsia" w:ascii="仿宋" w:hAnsi="仿宋" w:eastAsia="仿宋" w:cs="仿宋"/>
          <w:bCs/>
          <w:sz w:val="24"/>
          <w:szCs w:val="24"/>
          <w:lang w:eastAsia="zh-CN"/>
        </w:rPr>
        <w:t>）</w:t>
      </w:r>
      <w:r>
        <w:rPr>
          <w:rFonts w:hint="eastAsia" w:ascii="仿宋" w:hAnsi="仿宋" w:eastAsia="仿宋" w:cs="仿宋"/>
          <w:bCs/>
          <w:sz w:val="24"/>
          <w:szCs w:val="24"/>
        </w:rPr>
        <w:t>、装卸费、保险费、设备安装费、调试费（含设备调试期间产生的水、电等能源耗费）</w:t>
      </w:r>
      <w:r>
        <w:rPr>
          <w:rFonts w:hint="eastAsia" w:ascii="仿宋" w:hAnsi="仿宋" w:eastAsia="仿宋" w:cs="仿宋"/>
          <w:bCs/>
          <w:sz w:val="24"/>
          <w:szCs w:val="24"/>
          <w:lang w:val="en-US" w:eastAsia="zh-CN"/>
        </w:rPr>
        <w:t>联机联调、验收</w:t>
      </w:r>
      <w:r>
        <w:rPr>
          <w:rFonts w:hint="eastAsia" w:ascii="仿宋" w:hAnsi="仿宋" w:eastAsia="仿宋" w:cs="仿宋"/>
          <w:bCs/>
          <w:sz w:val="24"/>
          <w:szCs w:val="24"/>
        </w:rPr>
        <w:t>、技术培训费、售后服务费等全部费用及国家规定的其他各项税费等，并再额外包含自本合同项下设备最终验收合格之日起6年内一次搬运费用（含拆装、运输、</w:t>
      </w:r>
      <w:r>
        <w:rPr>
          <w:rFonts w:hint="eastAsia" w:ascii="仿宋" w:hAnsi="仿宋" w:eastAsia="仿宋" w:cs="仿宋"/>
          <w:bCs/>
          <w:sz w:val="24"/>
          <w:szCs w:val="24"/>
          <w:lang w:val="en-US" w:eastAsia="zh-CN"/>
        </w:rPr>
        <w:t>包装、</w:t>
      </w:r>
      <w:r>
        <w:rPr>
          <w:rFonts w:hint="eastAsia" w:ascii="仿宋" w:hAnsi="仿宋" w:eastAsia="仿宋" w:cs="仿宋"/>
          <w:bCs/>
          <w:sz w:val="24"/>
          <w:szCs w:val="24"/>
        </w:rPr>
        <w:t>保险等全部费用及国家规定的各项税费</w:t>
      </w:r>
      <w:r>
        <w:rPr>
          <w:rFonts w:hint="eastAsia" w:ascii="仿宋" w:hAnsi="仿宋" w:eastAsia="仿宋" w:cs="仿宋"/>
          <w:bCs/>
          <w:sz w:val="24"/>
          <w:szCs w:val="24"/>
          <w:lang w:eastAsia="zh-CN"/>
        </w:rPr>
        <w:t>，</w:t>
      </w:r>
      <w:r>
        <w:rPr>
          <w:rFonts w:hint="eastAsia" w:ascii="仿宋" w:hAnsi="仿宋" w:eastAsia="仿宋" w:cs="仿宋"/>
          <w:bCs/>
          <w:sz w:val="24"/>
          <w:szCs w:val="24"/>
          <w:lang w:val="en-US" w:eastAsia="zh-CN"/>
        </w:rPr>
        <w:t>该次搬运</w:t>
      </w:r>
      <w:r>
        <w:rPr>
          <w:rFonts w:hint="eastAsia" w:ascii="仿宋" w:hAnsi="仿宋" w:eastAsia="仿宋" w:cs="仿宋"/>
          <w:bCs/>
          <w:sz w:val="24"/>
          <w:szCs w:val="24"/>
          <w:lang w:eastAsia="zh-CN"/>
        </w:rPr>
        <w:t>不受保修期限制</w:t>
      </w:r>
      <w:r>
        <w:rPr>
          <w:rFonts w:hint="eastAsia" w:ascii="仿宋" w:hAnsi="仿宋" w:eastAsia="仿宋" w:cs="仿宋"/>
          <w:bCs/>
          <w:sz w:val="24"/>
          <w:szCs w:val="24"/>
        </w:rPr>
        <w:t>）。</w:t>
      </w:r>
      <w:r>
        <w:rPr>
          <w:rFonts w:hint="eastAsia" w:ascii="仿宋" w:hAnsi="仿宋" w:eastAsia="仿宋" w:cs="仿宋"/>
          <w:sz w:val="24"/>
          <w:szCs w:val="24"/>
        </w:rPr>
        <w:t>该价格为固定不变价格，且不因汇率变动、通货膨胀或其他任何因素，如劳务、材料、机械等成本的价格变动而做任何调整。甲方无需向乙方另行支付该合同总价之外的任何费用。</w:t>
      </w:r>
    </w:p>
    <w:p w14:paraId="746ADFED">
      <w:pPr>
        <w:adjustRightInd w:val="0"/>
        <w:snapToGrid w:val="0"/>
        <w:spacing w:line="480" w:lineRule="exact"/>
        <w:ind w:firstLine="465"/>
        <w:jc w:val="left"/>
        <w:rPr>
          <w:rFonts w:hint="eastAsia" w:ascii="仿宋" w:hAnsi="仿宋" w:eastAsia="仿宋" w:cs="仿宋"/>
          <w:sz w:val="24"/>
          <w:szCs w:val="24"/>
        </w:rPr>
      </w:pPr>
      <w:r>
        <w:rPr>
          <w:rFonts w:hint="eastAsia" w:ascii="仿宋" w:hAnsi="仿宋" w:eastAsia="仿宋" w:cs="仿宋"/>
          <w:sz w:val="24"/>
          <w:szCs w:val="24"/>
        </w:rPr>
        <w:t>合同总价还包含如下服务内容：乙方需配合甲方完成</w:t>
      </w:r>
      <w:r>
        <w:rPr>
          <w:rFonts w:hint="eastAsia" w:ascii="仿宋" w:hAnsi="仿宋" w:eastAsia="仿宋" w:cs="仿宋"/>
          <w:color w:val="FF0000"/>
          <w:sz w:val="24"/>
          <w:szCs w:val="24"/>
          <w:lang w:bidi="ar"/>
        </w:rPr>
        <w:t>满足本合同项下 【】  实施、交付、安装及正常使用所必需的全部</w:t>
      </w:r>
      <w:r>
        <w:rPr>
          <w:rFonts w:hint="eastAsia" w:ascii="仿宋" w:hAnsi="仿宋" w:eastAsia="仿宋" w:cs="仿宋"/>
          <w:sz w:val="24"/>
          <w:szCs w:val="24"/>
        </w:rPr>
        <w:t>土建工程相关需求和配套服务，提交货物与土建工程的接口文件等材料</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FF0000"/>
          <w:sz w:val="24"/>
          <w:szCs w:val="24"/>
          <w:lang w:bidi="ar"/>
        </w:rPr>
        <w:t>包括但不限于：【】、【】</w:t>
      </w:r>
      <w:r>
        <w:rPr>
          <w:rFonts w:hint="eastAsia" w:ascii="仿宋" w:hAnsi="仿宋" w:eastAsia="仿宋" w:cs="仿宋"/>
          <w:sz w:val="24"/>
          <w:szCs w:val="24"/>
        </w:rPr>
        <w:t>；在土建工程实施之前，乙方应按照甲方要求配合甲方办理完毕环境影响评价等相关手续，并提交相关需求资料</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FF0000"/>
          <w:sz w:val="24"/>
          <w:szCs w:val="24"/>
          <w:lang w:bidi="ar"/>
        </w:rPr>
        <w:t>包括但不限于：【】、【】</w:t>
      </w:r>
      <w:r>
        <w:rPr>
          <w:rFonts w:hint="eastAsia" w:ascii="仿宋" w:hAnsi="仿宋" w:eastAsia="仿宋" w:cs="仿宋"/>
          <w:sz w:val="24"/>
          <w:szCs w:val="24"/>
        </w:rPr>
        <w:t>；在货物进场安装、调试的过程中，乙方应配合甲方办理完毕辐射安全许可等相关手续，并提交相关需求资料</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FF0000"/>
          <w:sz w:val="24"/>
          <w:szCs w:val="24"/>
          <w:lang w:bidi="ar"/>
        </w:rPr>
        <w:t>包括但不限于：【】、【】</w:t>
      </w:r>
      <w:r>
        <w:rPr>
          <w:rFonts w:hint="eastAsia" w:ascii="仿宋" w:hAnsi="仿宋" w:eastAsia="仿宋" w:cs="仿宋"/>
          <w:sz w:val="24"/>
          <w:szCs w:val="24"/>
        </w:rPr>
        <w:t>。</w:t>
      </w:r>
    </w:p>
    <w:p w14:paraId="58877B20">
      <w:pPr>
        <w:adjustRightInd w:val="0"/>
        <w:snapToGrid w:val="0"/>
        <w:spacing w:line="480" w:lineRule="exact"/>
        <w:ind w:firstLine="465"/>
        <w:jc w:val="left"/>
        <w:rPr>
          <w:rFonts w:hint="eastAsia" w:ascii="仿宋" w:hAnsi="仿宋" w:eastAsia="仿宋" w:cs="仿宋"/>
          <w:sz w:val="24"/>
          <w:szCs w:val="24"/>
        </w:rPr>
      </w:pPr>
      <w:r>
        <w:rPr>
          <w:rFonts w:hint="eastAsia" w:ascii="仿宋" w:hAnsi="仿宋" w:eastAsia="仿宋" w:cs="仿宋"/>
          <w:sz w:val="24"/>
          <w:szCs w:val="24"/>
        </w:rPr>
        <w:t>乙方不得以工程量增加、现场条件变化、设备安装调试困难、与其他设备联机联调增加工作量或任何其他理由要求甲方增加合同价款。乙方应在签订本合同前充分核实项目现场条件、技术要求、接口条件及履约所需各项成本；因乙方未充分核实或评估不足导致的额外费用，由乙方自行承担。</w:t>
      </w:r>
    </w:p>
    <w:p w14:paraId="32318897">
      <w:pPr>
        <w:pStyle w:val="66"/>
        <w:numPr>
          <w:ilvl w:val="0"/>
          <w:numId w:val="1"/>
        </w:numPr>
        <w:adjustRightInd w:val="0"/>
        <w:snapToGrid w:val="0"/>
        <w:spacing w:line="480" w:lineRule="exact"/>
        <w:ind w:left="0" w:firstLine="0" w:firstLineChars="0"/>
        <w:jc w:val="left"/>
        <w:rPr>
          <w:rFonts w:ascii="仿宋" w:hAnsi="仿宋" w:eastAsia="仿宋" w:cs="仿宋"/>
          <w:b/>
          <w:sz w:val="24"/>
          <w:szCs w:val="24"/>
        </w:rPr>
      </w:pPr>
      <w:r>
        <w:rPr>
          <w:rFonts w:hint="eastAsia" w:ascii="仿宋" w:hAnsi="仿宋" w:eastAsia="仿宋" w:cs="仿宋"/>
          <w:b/>
          <w:sz w:val="24"/>
          <w:szCs w:val="24"/>
        </w:rPr>
        <w:t>价款结算与支付</w:t>
      </w:r>
    </w:p>
    <w:p w14:paraId="3151D3EF">
      <w:pPr>
        <w:adjustRightInd w:val="0"/>
        <w:snapToGrid w:val="0"/>
        <w:spacing w:line="48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1、合同款结算方式：电汇或银行转账；</w:t>
      </w:r>
    </w:p>
    <w:p w14:paraId="2B3C51D1">
      <w:pPr>
        <w:adjustRightInd w:val="0"/>
        <w:snapToGrid w:val="0"/>
        <w:spacing w:line="48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2、由甲方</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（一次或分期）支付乙方。具体支付方式和时间如下：   </w:t>
      </w:r>
    </w:p>
    <w:p w14:paraId="441B782C">
      <w:pPr>
        <w:adjustRightInd w:val="0"/>
        <w:snapToGrid w:val="0"/>
        <w:spacing w:line="480" w:lineRule="exact"/>
        <w:jc w:val="left"/>
        <w:rPr>
          <w:rFonts w:ascii="仿宋" w:hAnsi="仿宋" w:eastAsia="仿宋" w:cs="仿宋"/>
          <w:sz w:val="24"/>
          <w:szCs w:val="24"/>
          <w:u w:val="single"/>
        </w:rPr>
      </w:pPr>
      <w:r>
        <w:rPr>
          <w:rFonts w:hint="eastAsia" w:ascii="仿宋" w:hAnsi="仿宋" w:eastAsia="仿宋" w:cs="仿宋"/>
          <w:sz w:val="24"/>
          <w:szCs w:val="24"/>
        </w:rPr>
        <w:t xml:space="preserve">      （1）</w:t>
      </w:r>
      <w:r>
        <w:rPr>
          <w:rFonts w:hint="eastAsia" w:ascii="仿宋" w:hAnsi="仿宋" w:eastAsia="仿宋" w:cs="仿宋"/>
          <w:sz w:val="24"/>
          <w:szCs w:val="24"/>
          <w:u w:val="single"/>
        </w:rPr>
        <w:t xml:space="preserve">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sz w:val="24"/>
          <w:szCs w:val="24"/>
          <w:u w:val="single"/>
        </w:rPr>
        <w:t xml:space="preserve">                               </w:t>
      </w:r>
    </w:p>
    <w:p w14:paraId="6CDE0121">
      <w:pPr>
        <w:adjustRightInd w:val="0"/>
        <w:snapToGrid w:val="0"/>
        <w:spacing w:line="480" w:lineRule="exact"/>
        <w:jc w:val="left"/>
        <w:rPr>
          <w:rFonts w:ascii="仿宋" w:hAnsi="仿宋" w:eastAsia="仿宋" w:cs="仿宋"/>
          <w:sz w:val="24"/>
          <w:szCs w:val="24"/>
          <w:u w:val="single"/>
        </w:rPr>
      </w:pPr>
      <w:r>
        <w:rPr>
          <w:rFonts w:hint="eastAsia" w:ascii="仿宋" w:hAnsi="仿宋" w:eastAsia="仿宋" w:cs="仿宋"/>
          <w:sz w:val="24"/>
          <w:szCs w:val="24"/>
        </w:rPr>
        <w:t xml:space="preserve">      （2）</w:t>
      </w:r>
      <w:r>
        <w:rPr>
          <w:rFonts w:hint="eastAsia" w:ascii="仿宋" w:hAnsi="仿宋" w:eastAsia="仿宋" w:cs="仿宋"/>
          <w:sz w:val="24"/>
          <w:szCs w:val="24"/>
          <w:u w:val="single"/>
        </w:rPr>
        <w:t xml:space="preserve">                                                  </w:t>
      </w:r>
    </w:p>
    <w:p w14:paraId="1BDE4454">
      <w:pPr>
        <w:adjustRightInd w:val="0"/>
        <w:snapToGrid w:val="0"/>
        <w:spacing w:line="48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3、乙方指定的收款账户为本合同尾部签章处所确认的银行账户，如有任何变更需自变更之日起</w:t>
      </w:r>
      <w:r>
        <w:rPr>
          <w:rFonts w:hint="eastAsia" w:ascii="仿宋" w:hAnsi="仿宋" w:eastAsia="仿宋" w:cs="仿宋"/>
          <w:sz w:val="24"/>
          <w:szCs w:val="24"/>
          <w:u w:val="single"/>
        </w:rPr>
        <w:t>3</w:t>
      </w:r>
      <w:r>
        <w:rPr>
          <w:rFonts w:hint="eastAsia" w:ascii="仿宋" w:hAnsi="仿宋" w:eastAsia="仿宋" w:cs="仿宋"/>
          <w:sz w:val="24"/>
          <w:szCs w:val="24"/>
        </w:rPr>
        <w:t>日内书面通知甲方，否则由乙方自行承担一切不利后果；若甲方在收到乙方的书面通知前已安排付款或存在其他无法变更收款账户的情形，则甲方可继续向本合同尾部签章处所确认的银行账户支付款项。</w:t>
      </w:r>
    </w:p>
    <w:p w14:paraId="38F00F60">
      <w:pPr>
        <w:adjustRightInd w:val="0"/>
        <w:snapToGrid w:val="0"/>
        <w:spacing w:line="48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4、甲方每次付款前，乙方应提交相应的付款申请和等额正规发票；甲方收到乙方的付款申请和发票后【】个工作日内付款到乙方账户，如因乙方迟延申请付款或迟延提供发票等非甲方可控制因素导致迟延付款的，甲方有权相应顺延支付相关费用的时间且无需承担任何违约责任。</w:t>
      </w:r>
    </w:p>
    <w:p w14:paraId="7840468F">
      <w:pPr>
        <w:adjustRightInd w:val="0"/>
        <w:snapToGrid w:val="0"/>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5、甲方付款不视为对乙方任何履约行为、货物质量、技术指标或其他合同义务的最终认可，亦不影响甲方依据本合同约定提出质量异议、索赔、要求维修、更换、退货或解除合同的权利。</w:t>
      </w:r>
    </w:p>
    <w:p w14:paraId="22FC7083">
      <w:pPr>
        <w:adjustRightInd w:val="0"/>
        <w:snapToGrid w:val="0"/>
        <w:spacing w:line="48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如乙方存在逾期交付、产品质量问题、验收不合格、资料未完整交付、售后服务未按约履行或者其他足以影响甲方合同目的实现的违约情形，甲方有权暂缓支付与乙方违约事项相关的应付款项，直至乙方完成整改并经甲方确认。甲方该等暂缓付款不构成逾期付款。</w:t>
      </w:r>
    </w:p>
    <w:p w14:paraId="1F1975F1">
      <w:pPr>
        <w:adjustRightInd w:val="0"/>
        <w:snapToGrid w:val="0"/>
        <w:spacing w:line="480" w:lineRule="exact"/>
        <w:jc w:val="left"/>
        <w:outlineLvl w:val="0"/>
        <w:rPr>
          <w:rFonts w:ascii="仿宋" w:hAnsi="仿宋" w:eastAsia="仿宋" w:cs="仿宋"/>
          <w:b/>
          <w:sz w:val="24"/>
          <w:szCs w:val="24"/>
        </w:rPr>
      </w:pPr>
      <w:r>
        <w:rPr>
          <w:rFonts w:hint="eastAsia" w:ascii="仿宋" w:hAnsi="仿宋" w:eastAsia="仿宋" w:cs="仿宋"/>
          <w:b/>
          <w:sz w:val="24"/>
          <w:szCs w:val="24"/>
        </w:rPr>
        <w:t>三、交货时间、地点</w:t>
      </w:r>
    </w:p>
    <w:p w14:paraId="2ECE50AE">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1、交货时间：合同生效后，</w:t>
      </w:r>
      <w:r>
        <w:rPr>
          <w:rFonts w:hint="eastAsia" w:ascii="仿宋" w:hAnsi="仿宋" w:eastAsia="仿宋" w:cs="仿宋"/>
          <w:sz w:val="24"/>
          <w:szCs w:val="24"/>
          <w:lang w:val="en-US" w:eastAsia="zh-CN"/>
        </w:rPr>
        <w:t>在收到</w:t>
      </w:r>
      <w:r>
        <w:rPr>
          <w:rFonts w:hint="eastAsia" w:ascii="仿宋" w:hAnsi="仿宋" w:eastAsia="仿宋" w:cs="仿宋"/>
          <w:color w:val="FF0000"/>
          <w:sz w:val="24"/>
          <w:szCs w:val="24"/>
          <w:u w:val="single"/>
        </w:rPr>
        <w:t>甲方通知发货后【】个工作日内完成交货</w:t>
      </w:r>
      <w:r>
        <w:rPr>
          <w:rFonts w:hint="eastAsia" w:ascii="仿宋" w:hAnsi="仿宋" w:eastAsia="仿宋" w:cs="仿宋"/>
          <w:sz w:val="24"/>
          <w:szCs w:val="24"/>
        </w:rPr>
        <w:t>发货。若甲方延迟付款，交付期限自动顺延。</w:t>
      </w:r>
    </w:p>
    <w:p w14:paraId="3BF9EA8B">
      <w:pPr>
        <w:adjustRightInd w:val="0"/>
        <w:snapToGrid w:val="0"/>
        <w:spacing w:line="480" w:lineRule="exact"/>
        <w:ind w:firstLine="480" w:firstLineChars="200"/>
        <w:rPr>
          <w:rFonts w:ascii="仿宋" w:hAnsi="仿宋" w:eastAsia="仿宋" w:cs="仿宋"/>
          <w:color w:val="FF0000"/>
          <w:sz w:val="24"/>
          <w:szCs w:val="24"/>
          <w:u w:val="single"/>
        </w:rPr>
      </w:pPr>
      <w:r>
        <w:rPr>
          <w:rFonts w:hint="eastAsia" w:ascii="仿宋" w:hAnsi="仿宋" w:eastAsia="仿宋" w:cs="仿宋"/>
          <w:sz w:val="24"/>
          <w:szCs w:val="24"/>
        </w:rPr>
        <w:t>2、合同货物送达地址：</w:t>
      </w:r>
      <w:r>
        <w:rPr>
          <w:rFonts w:hint="eastAsia" w:ascii="仿宋" w:hAnsi="仿宋" w:eastAsia="仿宋" w:cs="仿宋"/>
          <w:color w:val="FF0000"/>
          <w:sz w:val="24"/>
          <w:szCs w:val="24"/>
          <w:u w:val="single"/>
        </w:rPr>
        <w:t>甲方指定地点。</w:t>
      </w:r>
    </w:p>
    <w:p w14:paraId="2CCF31F2">
      <w:pPr>
        <w:adjustRightInd w:val="0"/>
        <w:snapToGrid w:val="0"/>
        <w:spacing w:line="480" w:lineRule="exact"/>
        <w:ind w:firstLine="465"/>
        <w:rPr>
          <w:rFonts w:ascii="仿宋" w:hAnsi="仿宋" w:eastAsia="仿宋" w:cs="仿宋"/>
          <w:color w:val="FF0000"/>
          <w:sz w:val="24"/>
          <w:szCs w:val="24"/>
          <w:u w:val="single"/>
        </w:rPr>
      </w:pPr>
      <w:r>
        <w:rPr>
          <w:rFonts w:hint="eastAsia" w:ascii="仿宋" w:hAnsi="仿宋" w:eastAsia="仿宋" w:cs="仿宋"/>
          <w:sz w:val="24"/>
          <w:szCs w:val="24"/>
          <w:u w:val="single"/>
        </w:rPr>
        <w:t>3、交付形式及阶段性交付时间详见《技术附件》。</w:t>
      </w:r>
    </w:p>
    <w:p w14:paraId="7DA7AD56">
      <w:pPr>
        <w:adjustRightInd w:val="0"/>
        <w:snapToGrid w:val="0"/>
        <w:spacing w:line="480" w:lineRule="exact"/>
        <w:jc w:val="left"/>
        <w:outlineLvl w:val="0"/>
        <w:rPr>
          <w:rFonts w:ascii="仿宋" w:hAnsi="仿宋" w:eastAsia="仿宋" w:cs="仿宋"/>
          <w:b/>
          <w:sz w:val="24"/>
          <w:szCs w:val="24"/>
        </w:rPr>
      </w:pPr>
      <w:r>
        <w:rPr>
          <w:rFonts w:hint="eastAsia" w:ascii="仿宋" w:hAnsi="仿宋" w:eastAsia="仿宋" w:cs="仿宋"/>
          <w:b/>
          <w:sz w:val="24"/>
          <w:szCs w:val="24"/>
        </w:rPr>
        <w:t>四、合同货物的产地及质量标准</w:t>
      </w:r>
    </w:p>
    <w:p w14:paraId="24B1AA17">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1、合同货物必须为全新（原装）产品，包括产品技术手册、安装资料、产品操作使用说明书、相关图纸、产品出厂检验文件等（印刷版或电子版）。</w:t>
      </w:r>
    </w:p>
    <w:p w14:paraId="4ED6F2EC">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2、合同货物的质量标准按照国家质量标准或行业标准。但若甲方有特殊要求的</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比如甲方在合同、技术附件或招投标文件等资料中约定的或以其他方式提出的要求</w:t>
      </w:r>
      <w:r>
        <w:rPr>
          <w:rFonts w:hint="eastAsia" w:ascii="仿宋" w:hAnsi="仿宋" w:eastAsia="仿宋" w:cs="仿宋"/>
          <w:sz w:val="24"/>
          <w:szCs w:val="24"/>
          <w:lang w:eastAsia="zh-CN"/>
        </w:rPr>
        <w:t>）</w:t>
      </w:r>
      <w:r>
        <w:rPr>
          <w:rFonts w:hint="eastAsia" w:ascii="仿宋" w:hAnsi="仿宋" w:eastAsia="仿宋" w:cs="仿宋"/>
          <w:sz w:val="24"/>
          <w:szCs w:val="24"/>
        </w:rPr>
        <w:t>，以符合甲方的特殊要求为准。没有国家或行业标准且双方没有约定的，按照通常标准或符合合同目的的特定标准并满足甲方使用要求。</w:t>
      </w:r>
    </w:p>
    <w:p w14:paraId="273214EA">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3、合同货物必须具备有效的原产地证明、商检部门的检验证明、合法渠道证明及相关资料。</w:t>
      </w:r>
    </w:p>
    <w:p w14:paraId="47590BEE">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4、国内货物或合资厂的货物必须具备出厂合格证。</w:t>
      </w:r>
    </w:p>
    <w:p w14:paraId="3E2B88C5">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5、乙方交货时应将所供货物经国家有关部门颁发的产品鉴定证书、使用许可证、用户手册、产品（出厂）合格证、保修手册、有关图纸印刷本说明书、资料及配件、随机工具等一并交付给甲方。</w:t>
      </w:r>
    </w:p>
    <w:p w14:paraId="272AC935">
      <w:pPr>
        <w:adjustRightInd w:val="0"/>
        <w:snapToGrid w:val="0"/>
        <w:spacing w:line="480" w:lineRule="exact"/>
        <w:jc w:val="left"/>
        <w:outlineLvl w:val="0"/>
        <w:rPr>
          <w:rFonts w:ascii="仿宋" w:hAnsi="仿宋" w:eastAsia="仿宋" w:cs="仿宋"/>
          <w:b/>
          <w:sz w:val="24"/>
          <w:szCs w:val="24"/>
        </w:rPr>
      </w:pPr>
      <w:r>
        <w:rPr>
          <w:rFonts w:hint="eastAsia" w:ascii="仿宋" w:hAnsi="仿宋" w:eastAsia="仿宋" w:cs="仿宋"/>
          <w:b/>
          <w:sz w:val="24"/>
          <w:szCs w:val="24"/>
        </w:rPr>
        <w:t>五、合同货物包装标准及包装费用</w:t>
      </w:r>
    </w:p>
    <w:p w14:paraId="2F75AF5A">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1、包装必须与运输方式相适应，乙方负责确定包装方式和运输方式；由于不适当的包装和运输造成合同货物有任何损坏以及由此产生的全部额外费用（包括但不限于维修、运输、仓储、保管等费用）由乙方负责。</w:t>
      </w:r>
    </w:p>
    <w:p w14:paraId="33ED793C">
      <w:pPr>
        <w:adjustRightInd w:val="0"/>
        <w:snapToGrid w:val="0"/>
        <w:spacing w:line="480" w:lineRule="exact"/>
        <w:ind w:firstLine="465"/>
        <w:rPr>
          <w:rFonts w:ascii="仿宋" w:hAnsi="仿宋" w:eastAsia="仿宋" w:cs="仿宋"/>
          <w:sz w:val="24"/>
          <w:szCs w:val="24"/>
        </w:rPr>
      </w:pPr>
      <w:r>
        <w:rPr>
          <w:rFonts w:hint="eastAsia" w:ascii="仿宋" w:hAnsi="仿宋" w:eastAsia="仿宋" w:cs="仿宋"/>
          <w:sz w:val="24"/>
          <w:szCs w:val="24"/>
        </w:rPr>
        <w:t>2、设备包装、运输、装卸、保险、安装调试、验收检测等一切费用已包含在合同总价内。</w:t>
      </w:r>
    </w:p>
    <w:p w14:paraId="0FABE580">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3、按符合国家、行业或企业有关标准要求的方式包装，采取防锈、防腐、防雨、防振动、防碰措施，保证产品在运输过程中不受损伤，由于包装不良而造成的任何变形或锈损，乙方承担甲方和乙方的全部损失和费用（包括但不限于维修、运输、仓储、保管等费用）。运输时间包含在供货周期内，乙方负责运输，并承担运输费用。设备到货清单必须详列包装箱内容物及数量。</w:t>
      </w:r>
    </w:p>
    <w:p w14:paraId="50902376">
      <w:pPr>
        <w:adjustRightInd w:val="0"/>
        <w:snapToGrid w:val="0"/>
        <w:spacing w:line="48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4、乙方保证所供货物是用符合要求的材料制成，全新未曾使用过。</w:t>
      </w:r>
    </w:p>
    <w:p w14:paraId="44AD360A">
      <w:pPr>
        <w:adjustRightInd w:val="0"/>
        <w:snapToGrid w:val="0"/>
        <w:spacing w:line="480" w:lineRule="exact"/>
        <w:jc w:val="left"/>
        <w:rPr>
          <w:rFonts w:ascii="仿宋" w:hAnsi="仿宋" w:eastAsia="仿宋" w:cs="仿宋"/>
          <w:sz w:val="24"/>
          <w:szCs w:val="24"/>
        </w:rPr>
      </w:pPr>
      <w:r>
        <w:rPr>
          <w:rFonts w:hint="eastAsia" w:ascii="仿宋" w:hAnsi="仿宋" w:eastAsia="仿宋" w:cs="仿宋"/>
          <w:b/>
          <w:sz w:val="24"/>
          <w:szCs w:val="24"/>
        </w:rPr>
        <w:t>六、发票形式：</w:t>
      </w:r>
      <w:r>
        <w:rPr>
          <w:rFonts w:hint="eastAsia" w:ascii="仿宋" w:hAnsi="仿宋" w:eastAsia="仿宋" w:cs="仿宋"/>
          <w:b/>
          <w:sz w:val="24"/>
          <w:szCs w:val="24"/>
          <w:lang w:val="en-US" w:eastAsia="zh-CN"/>
        </w:rPr>
        <w:t>税率为13%的</w:t>
      </w:r>
      <w:r>
        <w:rPr>
          <w:rFonts w:hint="eastAsia" w:ascii="仿宋" w:hAnsi="仿宋" w:eastAsia="仿宋" w:cs="仿宋"/>
          <w:sz w:val="24"/>
          <w:szCs w:val="24"/>
        </w:rPr>
        <w:t>增值税</w:t>
      </w:r>
      <w:r>
        <w:rPr>
          <w:rFonts w:hint="eastAsia" w:ascii="仿宋" w:hAnsi="仿宋" w:eastAsia="仿宋" w:cs="仿宋"/>
          <w:sz w:val="24"/>
          <w:szCs w:val="24"/>
          <w:lang w:val="en-US" w:eastAsia="zh-CN"/>
        </w:rPr>
        <w:t>专用</w:t>
      </w:r>
      <w:r>
        <w:rPr>
          <w:rFonts w:hint="eastAsia" w:ascii="仿宋" w:hAnsi="仿宋" w:eastAsia="仿宋" w:cs="仿宋"/>
          <w:sz w:val="24"/>
          <w:szCs w:val="24"/>
        </w:rPr>
        <w:t>发票。</w:t>
      </w:r>
    </w:p>
    <w:p w14:paraId="43FF051C">
      <w:pPr>
        <w:adjustRightInd w:val="0"/>
        <w:snapToGrid w:val="0"/>
        <w:spacing w:line="480" w:lineRule="exact"/>
        <w:jc w:val="left"/>
        <w:outlineLvl w:val="0"/>
        <w:rPr>
          <w:rFonts w:ascii="仿宋" w:hAnsi="仿宋" w:eastAsia="仿宋" w:cs="仿宋"/>
          <w:b/>
          <w:sz w:val="24"/>
          <w:szCs w:val="24"/>
        </w:rPr>
      </w:pPr>
      <w:r>
        <w:rPr>
          <w:rFonts w:hint="eastAsia" w:ascii="仿宋" w:hAnsi="仿宋" w:eastAsia="仿宋" w:cs="仿宋"/>
          <w:b/>
          <w:sz w:val="24"/>
          <w:szCs w:val="24"/>
        </w:rPr>
        <w:t>七、验收和交付</w:t>
      </w:r>
    </w:p>
    <w:p w14:paraId="2973D718">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1、验收标准：设备各项技术指标按合同规定技术指标执行，质量标准按照本合同第四条执行；</w:t>
      </w:r>
    </w:p>
    <w:p w14:paraId="5C0F77FA">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2、验收内容：按合同和招标、投标文件约定的要求和标准及中华人民共和国现行的验收规范和评定标准对设备主要规格、基本功能、主要性能和配置、设备制造过程中过程资料、各阶段测试记录、设备技术资料、设备附件、设备清单等内容进行相符性检查和验收。</w:t>
      </w:r>
    </w:p>
    <w:p w14:paraId="587A9DDE">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3、交付条件：乙方将合同所列的全部货物和技术资料、各证明、合格证等文件交甲方验收，买卖双方签署验收单</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非最终验收之验收报告</w:t>
      </w:r>
      <w:r>
        <w:rPr>
          <w:rFonts w:hint="eastAsia" w:ascii="仿宋" w:hAnsi="仿宋" w:eastAsia="仿宋" w:cs="仿宋"/>
          <w:sz w:val="24"/>
          <w:szCs w:val="24"/>
          <w:lang w:eastAsia="zh-CN"/>
        </w:rPr>
        <w:t>）</w:t>
      </w:r>
      <w:r>
        <w:rPr>
          <w:rFonts w:hint="eastAsia" w:ascii="仿宋" w:hAnsi="仿宋" w:eastAsia="仿宋" w:cs="仿宋"/>
          <w:sz w:val="24"/>
          <w:szCs w:val="24"/>
        </w:rPr>
        <w:t>后即完成交付。甲方签署验收单仅为外观验收，并不代表甲方确认货物质量合格。如果发现货物的外观、质量、规格和数量与合同不符，甲方有权拒收货物，并在【15】天内签发拒绝收货通知书，乙方应在收到甲方拒绝收货通知后【15】天内重新提供符合合同约定的货物，相关费用均由乙方承担；甲方也有权决定部分接收符合合同约定的货物，并在【15】天内签发补充发货通知书，乙方应于收到甲方补充发货通知后【15】天内补充提供符合合同约定的货物，相关费用均由乙方承担。乙方重新提供货物或补充提供货物的时间超过本合同约定交货时间的，视为乙方</w:t>
      </w:r>
      <w:r>
        <w:rPr>
          <w:rFonts w:hint="eastAsia" w:ascii="仿宋" w:hAnsi="仿宋" w:eastAsia="仿宋" w:cs="仿宋"/>
          <w:sz w:val="24"/>
          <w:szCs w:val="24"/>
          <w:lang w:val="en-US" w:eastAsia="zh-CN"/>
        </w:rPr>
        <w:t>交付</w:t>
      </w:r>
      <w:r>
        <w:rPr>
          <w:rFonts w:hint="eastAsia" w:ascii="仿宋" w:hAnsi="仿宋" w:eastAsia="仿宋" w:cs="仿宋"/>
          <w:sz w:val="24"/>
          <w:szCs w:val="24"/>
        </w:rPr>
        <w:t>逾期，甲方可</w:t>
      </w:r>
      <w:r>
        <w:rPr>
          <w:rFonts w:hint="eastAsia" w:ascii="仿宋" w:hAnsi="仿宋" w:eastAsia="仿宋" w:cs="仿宋"/>
          <w:sz w:val="24"/>
          <w:szCs w:val="24"/>
          <w:lang w:val="en-US" w:eastAsia="zh-CN"/>
        </w:rPr>
        <w:t>按本合同第九条第2款等内容的约定</w:t>
      </w:r>
      <w:r>
        <w:rPr>
          <w:rFonts w:hint="eastAsia" w:ascii="仿宋" w:hAnsi="仿宋" w:eastAsia="仿宋" w:cs="仿宋"/>
          <w:sz w:val="24"/>
          <w:szCs w:val="24"/>
        </w:rPr>
        <w:t>向乙方提出索赔。若乙方补充提供的货物仍不符合合同约定的，每逾期一日，乙方应按合同总价的万分之【 】支付逾期交货违约金甲方有权决定拒收全部货物（包括已接收的符合合同约定的货物）并解除本合同，同时可要求乙方按合同总价的10%支付违约金并赔偿甲方因此遭受的损失。</w:t>
      </w:r>
    </w:p>
    <w:p w14:paraId="076737B4">
      <w:pPr>
        <w:adjustRightInd w:val="0"/>
        <w:snapToGrid w:val="0"/>
        <w:spacing w:line="480" w:lineRule="exact"/>
        <w:ind w:firstLine="465"/>
        <w:rPr>
          <w:rFonts w:ascii="仿宋" w:hAnsi="仿宋" w:eastAsia="仿宋" w:cs="仿宋"/>
          <w:sz w:val="24"/>
          <w:szCs w:val="24"/>
        </w:rPr>
      </w:pPr>
      <w:r>
        <w:rPr>
          <w:rFonts w:hint="eastAsia" w:ascii="仿宋" w:hAnsi="仿宋" w:eastAsia="仿宋" w:cs="仿宋"/>
          <w:sz w:val="24"/>
          <w:szCs w:val="24"/>
        </w:rPr>
        <w:t>4、安装调试：乙方应按照甲方通知的时间委派有经验的技术人员到现场进行现场卸载、安装、调试，并无偿提供货物安装调试的一切技术支持直至设备正常使用，确保设备达到验收标准。根据实际需要，乙方还需配合甲方完成本合同货物与甲方其他设备（</w:t>
      </w:r>
      <w:r>
        <w:rPr>
          <w:rFonts w:hint="eastAsia" w:ascii="仿宋" w:hAnsi="仿宋" w:eastAsia="仿宋" w:cs="仿宋"/>
          <w:sz w:val="24"/>
          <w:szCs w:val="24"/>
          <w:lang w:val="en-US" w:eastAsia="zh-CN"/>
        </w:rPr>
        <w:t>如</w:t>
      </w:r>
      <w:r>
        <w:rPr>
          <w:rFonts w:hint="eastAsia" w:ascii="仿宋" w:hAnsi="仿宋" w:eastAsia="仿宋" w:cs="仿宋"/>
          <w:sz w:val="24"/>
          <w:szCs w:val="24"/>
        </w:rPr>
        <w:t>实验终端）之间的联机联调，保证甲方整体装置技术指标的实现，文档验收齐全，最终验收通过。安装调试的具体时间由甲方提前【10】天通知乙方</w:t>
      </w:r>
    </w:p>
    <w:p w14:paraId="510F37FB">
      <w:pPr>
        <w:adjustRightInd w:val="0"/>
        <w:snapToGrid w:val="0"/>
        <w:spacing w:line="480" w:lineRule="exact"/>
        <w:ind w:firstLine="465"/>
        <w:rPr>
          <w:rFonts w:ascii="仿宋" w:hAnsi="仿宋" w:eastAsia="仿宋" w:cs="仿宋"/>
          <w:sz w:val="24"/>
          <w:szCs w:val="24"/>
        </w:rPr>
      </w:pPr>
      <w:r>
        <w:rPr>
          <w:rFonts w:hint="eastAsia" w:ascii="仿宋" w:hAnsi="仿宋" w:eastAsia="仿宋" w:cs="仿宋"/>
          <w:sz w:val="24"/>
          <w:szCs w:val="24"/>
        </w:rPr>
        <w:t>乙方应在交货前提供完整的运行操作规程/手册(含安全规范)、试运行记录、培训记录以及其他技术通知单、工作联系单等技术文档。</w:t>
      </w:r>
    </w:p>
    <w:p w14:paraId="74157CFE">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5、乙方应按照甲方通知的时间完成安装和调试工作，并对甲方相关人员进行技术指导，确保货物达到验收标准。乙方安装调试完毕，经过【60】个工作日试运行后，由甲方根据实际准备情况组织人员对货物进行测试检验。因设备故障、性能指标未达标、乙方原因导致的停机或其他乙方原因造成试运行中断的，试运行时间重新起算。如果货物存在缺陷</w:t>
      </w:r>
      <w:r>
        <w:rPr>
          <w:rFonts w:hint="eastAsia" w:ascii="仿宋" w:hAnsi="仿宋" w:eastAsia="仿宋" w:cs="仿宋"/>
          <w:sz w:val="24"/>
          <w:szCs w:val="24"/>
          <w:lang w:val="en-US" w:eastAsia="zh-CN"/>
        </w:rPr>
        <w:t>或不符合本合同约定标准</w:t>
      </w:r>
      <w:r>
        <w:rPr>
          <w:rFonts w:hint="eastAsia" w:ascii="仿宋" w:hAnsi="仿宋" w:eastAsia="仿宋" w:cs="仿宋"/>
          <w:sz w:val="24"/>
          <w:szCs w:val="24"/>
        </w:rPr>
        <w:t>，则该次测试检验不通过，乙方应当根据甲方的要求采取纠正缺陷的措施，并由甲方确定第二次测试检验的时间，相关费用均由乙方承担，若甲方因此遭受损失的，甲方可向乙方提出索赔。若第二次测试检验仍不通过，则甲方有权决定退回全部货物并解除本合同，同时可要求乙方退还已支付的货款并按合同总价的10%支付违约金并</w:t>
      </w:r>
      <w:r>
        <w:rPr>
          <w:rFonts w:hint="eastAsia" w:ascii="仿宋" w:hAnsi="仿宋" w:eastAsia="仿宋" w:cs="仿宋"/>
          <w:sz w:val="24"/>
          <w:szCs w:val="24"/>
          <w:lang w:val="en-US" w:eastAsia="zh-CN"/>
        </w:rPr>
        <w:t>及</w:t>
      </w:r>
      <w:r>
        <w:rPr>
          <w:rFonts w:hint="eastAsia" w:ascii="仿宋" w:hAnsi="仿宋" w:eastAsia="仿宋" w:cs="仿宋"/>
          <w:sz w:val="24"/>
          <w:szCs w:val="24"/>
        </w:rPr>
        <w:t>赔偿甲方因此遭受的损失。</w:t>
      </w:r>
    </w:p>
    <w:p w14:paraId="12C9738A">
      <w:pPr>
        <w:adjustRightInd w:val="0"/>
        <w:snapToGrid w:val="0"/>
        <w:spacing w:line="480" w:lineRule="exact"/>
        <w:ind w:firstLine="465"/>
        <w:rPr>
          <w:rFonts w:ascii="仿宋" w:hAnsi="仿宋" w:eastAsia="仿宋" w:cs="仿宋"/>
          <w:sz w:val="24"/>
          <w:szCs w:val="24"/>
        </w:rPr>
      </w:pPr>
      <w:r>
        <w:rPr>
          <w:rFonts w:ascii="仿宋" w:hAnsi="仿宋" w:eastAsia="仿宋" w:cs="仿宋"/>
          <w:sz w:val="24"/>
          <w:szCs w:val="24"/>
        </w:rPr>
        <w:t>6</w:t>
      </w:r>
      <w:r>
        <w:rPr>
          <w:rFonts w:hint="eastAsia" w:ascii="仿宋" w:hAnsi="仿宋" w:eastAsia="仿宋" w:cs="仿宋"/>
          <w:sz w:val="24"/>
          <w:szCs w:val="24"/>
        </w:rPr>
        <w:t>、验收方法：</w:t>
      </w:r>
    </w:p>
    <w:p w14:paraId="55622C47">
      <w:pPr>
        <w:adjustRightInd w:val="0"/>
        <w:snapToGrid w:val="0"/>
        <w:spacing w:line="480" w:lineRule="exact"/>
        <w:ind w:firstLine="465"/>
        <w:rPr>
          <w:rFonts w:ascii="仿宋" w:hAnsi="仿宋" w:eastAsia="仿宋" w:cs="仿宋"/>
          <w:sz w:val="24"/>
          <w:szCs w:val="24"/>
        </w:rPr>
      </w:pPr>
      <w:r>
        <w:rPr>
          <w:rFonts w:hint="eastAsia" w:ascii="仿宋" w:hAnsi="仿宋" w:eastAsia="仿宋" w:cs="仿宋"/>
          <w:sz w:val="24"/>
          <w:szCs w:val="24"/>
        </w:rPr>
        <w:t>当满足以下条件时，甲方才向乙方签发货物验收报告：</w:t>
      </w:r>
    </w:p>
    <w:p w14:paraId="32499402">
      <w:pPr>
        <w:adjustRightInd w:val="0"/>
        <w:snapToGrid w:val="0"/>
        <w:spacing w:line="480" w:lineRule="exact"/>
        <w:ind w:firstLine="465"/>
        <w:rPr>
          <w:rFonts w:ascii="仿宋" w:hAnsi="仿宋" w:eastAsia="仿宋" w:cs="仿宋"/>
          <w:sz w:val="24"/>
          <w:szCs w:val="24"/>
        </w:rPr>
      </w:pPr>
      <w:r>
        <w:rPr>
          <w:rFonts w:hint="eastAsia" w:ascii="仿宋" w:hAnsi="仿宋" w:eastAsia="仿宋" w:cs="仿宋"/>
          <w:sz w:val="24"/>
          <w:szCs w:val="24"/>
        </w:rPr>
        <w:t>（1）按照合同规定，提交全部产品、备件及完整的技术、证明资料，且设备全新，外观无伤痕变形或明显修饰痕迹。</w:t>
      </w:r>
    </w:p>
    <w:p w14:paraId="4BBFE000">
      <w:pPr>
        <w:adjustRightInd w:val="0"/>
        <w:snapToGrid w:val="0"/>
        <w:spacing w:line="480" w:lineRule="exact"/>
        <w:ind w:firstLine="465"/>
        <w:rPr>
          <w:rFonts w:ascii="仿宋" w:hAnsi="仿宋" w:eastAsia="仿宋" w:cs="仿宋"/>
          <w:sz w:val="24"/>
          <w:szCs w:val="24"/>
        </w:rPr>
      </w:pPr>
      <w:r>
        <w:rPr>
          <w:rFonts w:hint="eastAsia" w:ascii="仿宋" w:hAnsi="仿宋" w:eastAsia="仿宋" w:cs="仿宋"/>
          <w:sz w:val="24"/>
          <w:szCs w:val="24"/>
        </w:rPr>
        <w:t>（2）乙方提供的各种文件载明的内容必须真实，其技术数据甲方有权要求乙方无偿提供甲方认可的第三方按照双方同意的试验方法进行检测。检测结果必须证明乙方提供的技术数据是真实的，否则视为不合格。</w:t>
      </w:r>
    </w:p>
    <w:p w14:paraId="1B014096">
      <w:pPr>
        <w:adjustRightInd w:val="0"/>
        <w:snapToGrid w:val="0"/>
        <w:spacing w:line="480" w:lineRule="exact"/>
        <w:ind w:firstLine="465"/>
        <w:rPr>
          <w:rFonts w:ascii="仿宋" w:hAnsi="仿宋" w:eastAsia="仿宋" w:cs="仿宋"/>
          <w:sz w:val="24"/>
          <w:szCs w:val="24"/>
        </w:rPr>
      </w:pPr>
      <w:r>
        <w:rPr>
          <w:rFonts w:hint="eastAsia" w:ascii="仿宋" w:hAnsi="仿宋" w:eastAsia="仿宋" w:cs="仿宋"/>
          <w:sz w:val="24"/>
          <w:szCs w:val="24"/>
        </w:rPr>
        <w:t>（</w:t>
      </w:r>
      <w:r>
        <w:rPr>
          <w:rFonts w:ascii="仿宋" w:hAnsi="仿宋" w:eastAsia="仿宋" w:cs="仿宋"/>
          <w:sz w:val="24"/>
          <w:szCs w:val="24"/>
        </w:rPr>
        <w:t>3）</w:t>
      </w:r>
      <w:r>
        <w:rPr>
          <w:rFonts w:hint="eastAsia" w:ascii="仿宋" w:hAnsi="仿宋" w:eastAsia="仿宋" w:cs="仿宋"/>
          <w:sz w:val="24"/>
          <w:szCs w:val="24"/>
        </w:rPr>
        <w:t>节点验收：设备加工制造过程中的质量控制点节点验收，经过可靠技术验证检查，技术指标达标、质量检查文件齐全，双方签字齐全。</w:t>
      </w:r>
    </w:p>
    <w:p w14:paraId="1A177324">
      <w:pPr>
        <w:adjustRightInd w:val="0"/>
        <w:snapToGrid w:val="0"/>
        <w:spacing w:line="480" w:lineRule="exact"/>
        <w:ind w:firstLine="465"/>
        <w:rPr>
          <w:rFonts w:ascii="仿宋" w:hAnsi="仿宋" w:eastAsia="仿宋" w:cs="仿宋"/>
          <w:sz w:val="24"/>
          <w:szCs w:val="24"/>
        </w:rPr>
      </w:pPr>
      <w:r>
        <w:rPr>
          <w:rFonts w:hint="eastAsia" w:ascii="仿宋" w:hAnsi="仿宋" w:eastAsia="仿宋" w:cs="仿宋"/>
          <w:sz w:val="24"/>
          <w:szCs w:val="24"/>
        </w:rPr>
        <w:t>（4）预验收：通过组织相关领域的专家人员测试验收，设备参数达到或优于招投标文件及合同《技术附件》规定的所有技术指标后，设备性能满足甲方使用要求，出具书面验收合格评审意见。</w:t>
      </w:r>
    </w:p>
    <w:p w14:paraId="10A8EBD8">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w:t>
      </w:r>
      <w:r>
        <w:rPr>
          <w:rFonts w:ascii="仿宋" w:hAnsi="仿宋" w:eastAsia="仿宋" w:cs="仿宋"/>
          <w:sz w:val="24"/>
          <w:szCs w:val="24"/>
        </w:rPr>
        <w:t>5</w:t>
      </w:r>
      <w:r>
        <w:rPr>
          <w:rFonts w:hint="eastAsia" w:ascii="仿宋" w:hAnsi="仿宋" w:eastAsia="仿宋" w:cs="仿宋"/>
          <w:sz w:val="24"/>
          <w:szCs w:val="24"/>
        </w:rPr>
        <w:t>）最终验收：乙方需要配合甲方完成本合同货物与甲方其他设备（实验终端）在甲方指定场地的最终联机与调试</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试运行</w:t>
      </w:r>
      <w:r>
        <w:rPr>
          <w:rFonts w:hint="eastAsia" w:ascii="仿宋" w:hAnsi="仿宋" w:eastAsia="仿宋" w:cs="仿宋"/>
          <w:sz w:val="24"/>
          <w:szCs w:val="24"/>
        </w:rPr>
        <w:t>，且实现甲方整体装置的最终功能与技术指标，并通过甲方上级主管部门组织的验收后，甲乙双方共同签署货物验收报告。签署当天为验收合格之日，由乙方提供产品保修文件。</w:t>
      </w:r>
    </w:p>
    <w:p w14:paraId="77691F2C">
      <w:pPr>
        <w:adjustRightInd w:val="0"/>
        <w:snapToGrid w:val="0"/>
        <w:spacing w:line="480" w:lineRule="exact"/>
        <w:jc w:val="left"/>
        <w:outlineLvl w:val="0"/>
        <w:rPr>
          <w:rFonts w:ascii="仿宋" w:hAnsi="仿宋" w:eastAsia="仿宋" w:cs="仿宋"/>
          <w:b/>
          <w:sz w:val="24"/>
          <w:szCs w:val="24"/>
        </w:rPr>
      </w:pPr>
      <w:r>
        <w:rPr>
          <w:rFonts w:hint="eastAsia" w:ascii="仿宋" w:hAnsi="仿宋" w:eastAsia="仿宋" w:cs="仿宋"/>
          <w:b/>
          <w:sz w:val="24"/>
          <w:szCs w:val="24"/>
        </w:rPr>
        <w:t>八、保修期和售后服务</w:t>
      </w:r>
    </w:p>
    <w:p w14:paraId="7A2A7B52">
      <w:pPr>
        <w:adjustRightInd w:val="0"/>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1、保修期为产品自最终验收合格并交付甲方使用之日起</w:t>
      </w:r>
      <w:r>
        <w:rPr>
          <w:rFonts w:hint="eastAsia" w:ascii="仿宋" w:hAnsi="仿宋" w:eastAsia="仿宋" w:cs="仿宋"/>
          <w:sz w:val="24"/>
          <w:szCs w:val="24"/>
          <w:u w:val="single"/>
        </w:rPr>
        <w:t xml:space="preserve"> 24 </w:t>
      </w:r>
      <w:r>
        <w:rPr>
          <w:rFonts w:hint="eastAsia" w:ascii="仿宋" w:hAnsi="仿宋" w:eastAsia="仿宋" w:cs="仿宋"/>
          <w:sz w:val="24"/>
          <w:szCs w:val="24"/>
        </w:rPr>
        <w:t>个月内。保修期内提供全部免费保修，包括但不限于人工费、仪器的全部零配件、运输费等均由乙方承担，不额外收费。</w:t>
      </w:r>
    </w:p>
    <w:p w14:paraId="780834AC">
      <w:pPr>
        <w:adjustRightInd w:val="0"/>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乙方提供7×24小时电话/在线技术支持，非工作时间的紧急情况下通过远程诊断为甲方提供解决方案。在保修期内，一旦发生质量问题，乙方保证在接到通知2小时内作出响应，包括通过电话或电子邮件进行远程支持。若乙方确认故障无法通过远程支持予以解决，一般应在确认后36小时内派服务工程师到达最终用户现场查找原因并提供解决方案。但对于紧急故障（如设备停机），乙方需在 1 天内到场排除故障；对于一般故障，乙方需在 2 天内到场排除故障；若遇重大故障不能按期排除，则设备免费保修期顺延，但乙方应在 10 个工作日内排除故障。若乙方确认设备无法通过远程或现场维修解决的，乙方将予以返厂维修或更换，且乙方将承担设备流转所产生的费用，包括但不限于检验费、运费、保险费、仓储费和装卸费等。乙方如不能修理或不能调换，须按产品（指成套设备而非相关零部件）原价赔偿，并赔偿甲方因此遭受的损失；甲方也有权安排第三方进行修理或调换，相关费用由乙方承担。</w:t>
      </w:r>
    </w:p>
    <w:p w14:paraId="7771CC0D">
      <w:pPr>
        <w:adjustRightInd w:val="0"/>
        <w:snapToGrid w:val="0"/>
        <w:spacing w:line="48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在免费保修期外，一旦发生质量问题，乙方保证在接到通知</w:t>
      </w:r>
      <w:r>
        <w:rPr>
          <w:rFonts w:hint="eastAsia" w:ascii="仿宋" w:hAnsi="仿宋" w:eastAsia="仿宋" w:cs="仿宋"/>
          <w:sz w:val="24"/>
          <w:szCs w:val="24"/>
          <w:u w:val="single"/>
        </w:rPr>
        <w:t xml:space="preserve"> 8 </w:t>
      </w:r>
      <w:r>
        <w:rPr>
          <w:rFonts w:hint="eastAsia" w:ascii="仿宋" w:hAnsi="仿宋" w:eastAsia="仿宋" w:cs="仿宋"/>
          <w:sz w:val="24"/>
          <w:szCs w:val="24"/>
        </w:rPr>
        <w:t>小时内作出响应，如不能远程解决问题，需48小时内赶到现场进行修理或更换。乙方需按成本价为售后配件和人工服务进行报价（零配件享受出厂成本价且不得高于本合同约定的单价，维修相关人工服务费用按最优惠标准执行），并在甲方购买完成后在【5】日内开具费用发票。更换的配件应与文档交付清单中零部件明细表一致（包括规格和生产厂家）。如情况紧急，乙方需力争提供临时代用设备。</w:t>
      </w:r>
    </w:p>
    <w:p w14:paraId="09B496FE">
      <w:pPr>
        <w:adjustRightInd w:val="0"/>
        <w:snapToGrid w:val="0"/>
        <w:spacing w:line="48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因故障维修、更换导致设备无法正常使用的期间，不计入保修期；更换的部件自更换并经甲方确认正常运行之日起重新计算【24】个月保修期。</w:t>
      </w:r>
    </w:p>
    <w:p w14:paraId="384A7566">
      <w:pPr>
        <w:adjustRightInd w:val="0"/>
        <w:snapToGrid w:val="0"/>
        <w:spacing w:line="48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对甲方使用产品中由于自身或第三人因故意或者重大过失使用不当带来的任何损失，乙方的责任仅限于保修期内及时的修复产品和尽力帮助甲方减少进一步的损失。乙方对甲方使用产品中自身或第三人因故意或者重大过失使用不当带来的损失不承担任何赔偿责任。但甲方在正常使用产品过程中给他人造成的人身或财产损害的损害赔偿责任均由乙方承担，甲方基于维护自身声誉先行代垫的，有权从质保金中预先扣除，不足以扣除的或合同所有款项中不包含质保金，可向乙方追偿。</w:t>
      </w:r>
    </w:p>
    <w:p w14:paraId="5F0CAB0B">
      <w:pPr>
        <w:adjustRightInd w:val="0"/>
        <w:snapToGrid w:val="0"/>
        <w:spacing w:line="48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3、质保期内，某项货物出现故障的次数达【5】次的，其质保期延长【6】个月；延长期限内，该项货物出现故障的次数达【5】次的，质保期继续延长【6】个月，以后均按此规定执行。</w:t>
      </w:r>
    </w:p>
    <w:p w14:paraId="16618457">
      <w:pPr>
        <w:adjustRightInd w:val="0"/>
        <w:snapToGrid w:val="0"/>
        <w:spacing w:line="48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4、乙方应建立满足本项目运行维护需求的零配件储备机制，确保设备在整个使用周期内的备件供应。乙方承诺终身提供技术支持，并对设备控制软件提供终生免费维护服务（含免费升级）。如乙方停止经营、无法继续履行维护义务或发生其他可能影响甲方正常使用设备的情形，乙方应向甲方提供设备运行维护所必要的技术资料、接口文档及软件源代码</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第三方合法授权</w:t>
      </w:r>
      <w:r>
        <w:rPr>
          <w:rFonts w:hint="eastAsia" w:ascii="仿宋" w:hAnsi="仿宋" w:eastAsia="仿宋" w:cs="仿宋"/>
          <w:sz w:val="24"/>
          <w:szCs w:val="24"/>
        </w:rPr>
        <w:t>等，以保障甲方设备持续运行</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如造成甲方损失或额外支出费用的，乙方应予赔偿</w:t>
      </w:r>
      <w:r>
        <w:rPr>
          <w:rFonts w:hint="eastAsia" w:ascii="仿宋" w:hAnsi="仿宋" w:eastAsia="仿宋" w:cs="仿宋"/>
          <w:sz w:val="24"/>
          <w:szCs w:val="24"/>
        </w:rPr>
        <w:t>。</w:t>
      </w:r>
    </w:p>
    <w:p w14:paraId="50B6403E">
      <w:pPr>
        <w:adjustRightInd w:val="0"/>
        <w:snapToGrid w:val="0"/>
        <w:spacing w:line="48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5、在仪器安装完成后，由乙方派专业工程师对甲方指定的使用人员免费进行技术培训。培训内容包括仪器基本原理和结构介绍、设备电路线路原理、机械结构、仪器操作方法、仪器基本故障诊断排查方法、常规保养维护程序、易损部件和耗材更换方法、工艺操作、紧急事件处理等内容，具体要求详见《技术附件》。乙方应确保使甲方的有关操作人员能熟练、正确操作使用设备，有关的维修人员能独立进行常规维护和排除设备的常见故障。关于培训的时间，根据甲方实际需求指定备选的时间，由乙方从中选择，参加培训的人员数量由甲方自行确定；培训的次数应不少于【  】次。</w:t>
      </w:r>
    </w:p>
    <w:p w14:paraId="4E450D83">
      <w:pPr>
        <w:adjustRightInd w:val="0"/>
        <w:snapToGrid w:val="0"/>
        <w:spacing w:line="480" w:lineRule="exact"/>
        <w:ind w:firstLine="480" w:firstLineChars="200"/>
        <w:jc w:val="left"/>
        <w:rPr>
          <w:rFonts w:hint="eastAsia" w:ascii="仿宋" w:hAnsi="仿宋" w:eastAsia="仿宋" w:cs="仿宋"/>
          <w:sz w:val="24"/>
          <w:szCs w:val="24"/>
          <w:lang w:eastAsia="zh-CN"/>
        </w:rPr>
      </w:pPr>
      <w:r>
        <w:rPr>
          <w:rFonts w:hint="eastAsia" w:ascii="仿宋" w:hAnsi="仿宋" w:eastAsia="仿宋" w:cs="仿宋"/>
          <w:sz w:val="24"/>
          <w:szCs w:val="24"/>
        </w:rPr>
        <w:t>直至保修期满前，乙方有责任和义务免费帮助甲方进行设备维护，并在甲方日常设备运维过程中提供技术支持和人员培训。保修期满后，根据甲乙双方协商，乙方可根据甲方需求提供有偿优惠维护服务</w:t>
      </w:r>
      <w:r>
        <w:rPr>
          <w:rFonts w:hint="eastAsia" w:ascii="仿宋" w:hAnsi="仿宋" w:eastAsia="仿宋" w:cs="仿宋"/>
          <w:sz w:val="24"/>
          <w:szCs w:val="24"/>
          <w:lang w:eastAsia="zh-CN"/>
        </w:rPr>
        <w:t>。</w:t>
      </w:r>
    </w:p>
    <w:p w14:paraId="040AA7AE">
      <w:pPr>
        <w:adjustRightInd w:val="0"/>
        <w:snapToGrid w:val="0"/>
        <w:spacing w:line="480" w:lineRule="exact"/>
        <w:jc w:val="left"/>
        <w:outlineLvl w:val="0"/>
        <w:rPr>
          <w:rFonts w:ascii="仿宋" w:hAnsi="仿宋" w:eastAsia="仿宋" w:cs="仿宋"/>
          <w:b/>
          <w:sz w:val="24"/>
          <w:szCs w:val="24"/>
        </w:rPr>
      </w:pPr>
      <w:r>
        <w:rPr>
          <w:rFonts w:hint="eastAsia" w:ascii="仿宋" w:hAnsi="仿宋" w:eastAsia="仿宋" w:cs="仿宋"/>
          <w:b/>
          <w:sz w:val="24"/>
          <w:szCs w:val="24"/>
        </w:rPr>
        <w:t>九、违约责任</w:t>
      </w:r>
    </w:p>
    <w:p w14:paraId="6B3A1654">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highlight w:val="yellow"/>
        </w:rPr>
        <w:t>1</w:t>
      </w:r>
      <w:r>
        <w:rPr>
          <w:rFonts w:hint="eastAsia" w:ascii="仿宋" w:hAnsi="仿宋" w:eastAsia="仿宋" w:cs="仿宋"/>
          <w:sz w:val="24"/>
          <w:szCs w:val="24"/>
        </w:rPr>
        <w:t>、乙方应充分掌握项目全过程风险，建立风险研判机制和切实可行的风险处置预案，并及时报送甲方止损。因乙方原因造成损失的，应由乙方承担相应责任。</w:t>
      </w:r>
    </w:p>
    <w:p w14:paraId="2E7797F1">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2、在无不可抗力影响的前提下，乙方将按时完成合同内容并确保所有工作均符合国家标准、行业标准及本合同规定的质量标准。若因乙方原因导致</w:t>
      </w:r>
      <w:r>
        <w:rPr>
          <w:rFonts w:hint="eastAsia" w:ascii="仿宋" w:hAnsi="仿宋" w:eastAsia="仿宋" w:cs="仿宋"/>
          <w:sz w:val="24"/>
          <w:szCs w:val="24"/>
          <w:lang w:val="en-US" w:eastAsia="zh-CN"/>
        </w:rPr>
        <w:t>发生</w:t>
      </w:r>
      <w:r>
        <w:rPr>
          <w:rFonts w:hint="eastAsia" w:ascii="仿宋" w:hAnsi="仿宋" w:eastAsia="仿宋" w:cs="仿宋"/>
          <w:sz w:val="24"/>
          <w:szCs w:val="24"/>
        </w:rPr>
        <w:t>设备工期延误</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未按要求完成</w:t>
      </w:r>
      <w:r>
        <w:rPr>
          <w:rFonts w:hint="eastAsia" w:ascii="仿宋" w:hAnsi="仿宋" w:eastAsia="仿宋" w:cs="仿宋"/>
          <w:sz w:val="24"/>
          <w:szCs w:val="24"/>
        </w:rPr>
        <w:t>或无法完成</w:t>
      </w:r>
      <w:r>
        <w:rPr>
          <w:rFonts w:hint="eastAsia" w:ascii="仿宋" w:hAnsi="仿宋" w:eastAsia="仿宋" w:cs="仿宋"/>
          <w:sz w:val="24"/>
          <w:szCs w:val="24"/>
          <w:lang w:val="en-US" w:eastAsia="zh-CN"/>
        </w:rPr>
        <w:t>等违约情形</w:t>
      </w:r>
      <w:r>
        <w:rPr>
          <w:rFonts w:hint="eastAsia" w:ascii="仿宋" w:hAnsi="仿宋" w:eastAsia="仿宋" w:cs="仿宋"/>
          <w:sz w:val="24"/>
          <w:szCs w:val="24"/>
        </w:rPr>
        <w:t>，乙方应在知晓此类情况后</w:t>
      </w:r>
      <w:r>
        <w:rPr>
          <w:rFonts w:ascii="仿宋" w:hAnsi="仿宋" w:eastAsia="仿宋" w:cs="仿宋"/>
          <w:sz w:val="24"/>
          <w:szCs w:val="24"/>
        </w:rPr>
        <w:t>的48小时内</w:t>
      </w:r>
      <w:r>
        <w:rPr>
          <w:rFonts w:hint="eastAsia" w:ascii="仿宋" w:hAnsi="仿宋" w:eastAsia="仿宋" w:cs="仿宋"/>
          <w:sz w:val="24"/>
          <w:szCs w:val="24"/>
        </w:rPr>
        <w:t>书面通知甲方，详细说明延误或无法完成的原因、预计影响程度及已采取或拟采取的补救措施，并承担由此造成的甲方的相应损失：</w:t>
      </w:r>
    </w:p>
    <w:p w14:paraId="3D0CC31B">
      <w:pPr>
        <w:widowControl/>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（1）乙方不能交货，则按合同总价的【10】%支付违约金给甲方。同时，甲方有权单方面解除合同，乙方应当退还甲方已支付的合同款。甲方因乙方违约造成的损失，甲方有权进一步向乙方提出索赔。</w:t>
      </w:r>
    </w:p>
    <w:p w14:paraId="692DC4FD">
      <w:pPr>
        <w:widowControl/>
        <w:adjustRightInd w:val="0"/>
        <w:snapToGrid w:val="0"/>
        <w:spacing w:line="480" w:lineRule="exact"/>
        <w:ind w:firstLine="465"/>
        <w:jc w:val="left"/>
        <w:rPr>
          <w:rFonts w:hint="eastAsia" w:ascii="仿宋" w:hAnsi="仿宋" w:eastAsia="仿宋" w:cs="仿宋"/>
          <w:bCs/>
          <w:sz w:val="24"/>
          <w:szCs w:val="24"/>
        </w:rPr>
      </w:pPr>
      <w:r>
        <w:rPr>
          <w:rFonts w:hint="eastAsia" w:ascii="仿宋" w:hAnsi="仿宋" w:eastAsia="仿宋" w:cs="仿宋"/>
          <w:sz w:val="24"/>
          <w:szCs w:val="24"/>
        </w:rPr>
        <w:t>（2）</w:t>
      </w:r>
      <w:r>
        <w:rPr>
          <w:rFonts w:hint="eastAsia" w:ascii="仿宋" w:hAnsi="仿宋" w:eastAsia="仿宋" w:cs="仿宋"/>
          <w:bCs/>
          <w:sz w:val="24"/>
          <w:szCs w:val="24"/>
        </w:rPr>
        <w:t>乙方未按期完成合同所有系统及设备的到货、安装、调试及验收合格的，构成</w:t>
      </w:r>
      <w:r>
        <w:rPr>
          <w:rFonts w:hint="eastAsia" w:ascii="仿宋" w:hAnsi="仿宋" w:eastAsia="仿宋" w:cs="仿宋"/>
          <w:bCs/>
          <w:sz w:val="24"/>
          <w:szCs w:val="24"/>
          <w:lang w:val="en-US" w:eastAsia="zh-CN"/>
        </w:rPr>
        <w:t>交付</w:t>
      </w:r>
      <w:r>
        <w:rPr>
          <w:rFonts w:hint="eastAsia" w:ascii="仿宋" w:hAnsi="仿宋" w:eastAsia="仿宋" w:cs="仿宋"/>
          <w:bCs/>
          <w:sz w:val="24"/>
          <w:szCs w:val="24"/>
        </w:rPr>
        <w:t>逾期，每逾期一日，甲方有权每日按合同总价的万分之五向乙方计收违约金；在所有系统及设备到货、安装及调试、验收完成后，乙方应按照《技术附件》（包括但不限于“二、设备技术指标及任务分解结构”）及本合同约定，构成逾期交付，每逾期一日，甲方有权每日按合同总价的万分之五向乙方计收违约金；完成与不同实验终端的整体装置平台的联调、搭建、测试、验收及其他相关技术支持工作，并确保整体装置平台达到合同约定的验收标准。</w:t>
      </w:r>
    </w:p>
    <w:p w14:paraId="6934BC9A">
      <w:pPr>
        <w:widowControl/>
        <w:adjustRightInd w:val="0"/>
        <w:snapToGrid w:val="0"/>
        <w:spacing w:line="480" w:lineRule="exact"/>
        <w:ind w:firstLine="465"/>
        <w:jc w:val="left"/>
        <w:rPr>
          <w:rFonts w:hint="eastAsia" w:ascii="仿宋" w:hAnsi="仿宋" w:eastAsia="仿宋" w:cs="仿宋"/>
          <w:bCs/>
          <w:sz w:val="24"/>
          <w:szCs w:val="24"/>
          <w:lang w:eastAsia="zh-CN"/>
        </w:rPr>
      </w:pPr>
      <w:r>
        <w:rPr>
          <w:rFonts w:hint="eastAsia" w:ascii="仿宋" w:hAnsi="仿宋" w:eastAsia="仿宋" w:cs="仿宋"/>
          <w:bCs/>
          <w:sz w:val="24"/>
          <w:szCs w:val="24"/>
        </w:rPr>
        <w:t>因乙方原因导致前述工作未按期完成、未达到验收标准，或未按合同约定配合整体装置平台建设、调试、测试及验收工作的，均构成履约逾期，每逾期一日，甲方有权每日按合同总价的万分之</w:t>
      </w:r>
      <w:r>
        <w:rPr>
          <w:rFonts w:hint="eastAsia" w:ascii="Segoe UI Emoji" w:hAnsi="Segoe UI Emoji" w:eastAsia="仿宋" w:cs="Segoe UI Emoji"/>
          <w:bCs/>
          <w:sz w:val="24"/>
          <w:szCs w:val="24"/>
          <w:lang w:val="en-US" w:eastAsia="zh-CN"/>
        </w:rPr>
        <w:t>五</w:t>
      </w:r>
      <w:r>
        <w:rPr>
          <w:rFonts w:hint="eastAsia" w:ascii="仿宋" w:hAnsi="仿宋" w:eastAsia="仿宋" w:cs="仿宋"/>
          <w:bCs/>
          <w:sz w:val="24"/>
          <w:szCs w:val="24"/>
        </w:rPr>
        <w:t>向乙方计收违约金</w:t>
      </w:r>
      <w:r>
        <w:rPr>
          <w:rFonts w:hint="eastAsia" w:ascii="仿宋" w:hAnsi="仿宋" w:eastAsia="仿宋" w:cs="仿宋"/>
          <w:bCs/>
          <w:sz w:val="24"/>
          <w:szCs w:val="24"/>
          <w:lang w:eastAsia="zh-CN"/>
        </w:rPr>
        <w:t>。</w:t>
      </w:r>
    </w:p>
    <w:p w14:paraId="2DA5B262">
      <w:pPr>
        <w:widowControl/>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bCs/>
          <w:sz w:val="24"/>
          <w:szCs w:val="24"/>
        </w:rPr>
        <w:t>逾期违约金最高不超过合同总价的【5】%。</w:t>
      </w:r>
    </w:p>
    <w:p w14:paraId="5E37EDB9">
      <w:pPr>
        <w:widowControl/>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bCs/>
          <w:sz w:val="24"/>
          <w:szCs w:val="24"/>
        </w:rPr>
        <w:t>乙方因自身原因导致交付逾期或履约逾期的，甲方有权向乙方发出书面催告，逾期超过【30】个日历日，乙方仍未能履行</w:t>
      </w:r>
      <w:r>
        <w:rPr>
          <w:rFonts w:hint="eastAsia" w:ascii="仿宋" w:hAnsi="仿宋" w:eastAsia="仿宋" w:cs="仿宋"/>
          <w:bCs/>
          <w:sz w:val="24"/>
          <w:szCs w:val="24"/>
          <w:lang w:val="en-US" w:eastAsia="zh-CN"/>
        </w:rPr>
        <w:t>或履行不符合约定</w:t>
      </w:r>
      <w:r>
        <w:rPr>
          <w:rFonts w:hint="eastAsia" w:ascii="仿宋" w:hAnsi="仿宋" w:eastAsia="仿宋" w:cs="仿宋"/>
          <w:bCs/>
          <w:sz w:val="24"/>
          <w:szCs w:val="24"/>
        </w:rPr>
        <w:t>的，甲方有权书面通知乙方解除本合同，并要求乙方退还甲方已支付的合同款，合同剩余款项甲方不予支付，乙方按合同总价的【10】%支付解约违约金给甲方，还应赔偿甲方因此导致的相应损失。本合同自甲方书面解除通知送达乙方之日终止。</w:t>
      </w:r>
    </w:p>
    <w:p w14:paraId="2E087DB5">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3、甲方无故逾期付款的，每逾期一日，应按逾期应付而未付款项的万分之五的标准向乙方支付违约金（最高不超过货款总额的百分之五）。</w:t>
      </w:r>
    </w:p>
    <w:p w14:paraId="16CB5AF4">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4、若乙方未按本合同的约定提供保修等售后服务，甲方有权自行委托第三方提供甲方所需要的技术支持和售后服务，所发生的一切费用均由乙方承担，如因此造成甲方损失的，乙方应承担赔偿责任。</w:t>
      </w:r>
    </w:p>
    <w:p w14:paraId="126D0016">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5、乙方未履行本合同项下的其他义务或违反其在本合同中的相关承诺（包括但不限于保密义务）的，应按合同总价的【10】%向甲方支付违约金，该等违约金不足以弥补甲方损失的，甲方有权要求乙方补足。</w:t>
      </w:r>
    </w:p>
    <w:p w14:paraId="7AA8FD5E">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6、乙方在履行售后服务过程中，因整改造成甲方损失的，应承担修复和赔偿责任。</w:t>
      </w:r>
    </w:p>
    <w:p w14:paraId="400CF3E3">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7、本合同项下，乙方应向甲方支付的全部款项，包括但不限于违约金、赔偿金、补偿金等，甲方均可从乙方的剩余货款、质保金中直接扣除（扣除顺序由甲方自行决定）。</w:t>
      </w:r>
    </w:p>
    <w:p w14:paraId="7B5F3680">
      <w:pPr>
        <w:widowControl/>
        <w:adjustRightInd w:val="0"/>
        <w:snapToGrid w:val="0"/>
        <w:spacing w:line="480" w:lineRule="exact"/>
        <w:ind w:firstLine="465"/>
        <w:jc w:val="left"/>
        <w:rPr>
          <w:rFonts w:ascii="仿宋" w:hAnsi="仿宋" w:eastAsia="仿宋" w:cs="仿宋"/>
          <w:sz w:val="24"/>
          <w:szCs w:val="24"/>
          <w:highlight w:val="none"/>
        </w:rPr>
      </w:pPr>
      <w:r>
        <w:rPr>
          <w:rFonts w:hint="eastAsia" w:ascii="仿宋" w:hAnsi="仿宋" w:eastAsia="仿宋" w:cs="仿宋"/>
          <w:sz w:val="24"/>
          <w:szCs w:val="24"/>
        </w:rPr>
        <w:t>8、乙方应保证提交档案的准确性、真实性、完整性、及时性，如因乙方提交档案的原因造成档案验收、设施项目验收延迟，或者造成上级主管部门对甲方项目验收延迟的，每延期一天，乙方应按合同总价的万分之五支付逾期违约金，违约金不足以弥补甲方因此产生的全部经济损失（含直接损失和间接损失），甲方可进一步追索；如因乙方提交档案的原因造成档案验收、设施项目验收未通过，或者造成上级主管部门对甲方项目验收未通过的，或者造成其他严重后果的，甲方有权解除本合同，要求乙方退还甲方已支付的合同款项，合同剩余款项甲方不予支付，乙方</w:t>
      </w:r>
      <w:r>
        <w:rPr>
          <w:rFonts w:hint="eastAsia" w:ascii="仿宋" w:hAnsi="仿宋" w:eastAsia="仿宋" w:cs="仿宋"/>
          <w:bCs/>
          <w:sz w:val="24"/>
          <w:szCs w:val="24"/>
        </w:rPr>
        <w:t>按合同总价的【10%】支付解约违约金给甲方，且</w:t>
      </w:r>
      <w:r>
        <w:rPr>
          <w:rFonts w:hint="eastAsia" w:ascii="仿宋" w:hAnsi="仿宋" w:eastAsia="仿宋" w:cs="仿宋"/>
          <w:sz w:val="24"/>
          <w:szCs w:val="24"/>
        </w:rPr>
        <w:t>应赔偿甲方因此导致的相应损</w:t>
      </w:r>
      <w:r>
        <w:rPr>
          <w:rFonts w:hint="eastAsia" w:ascii="仿宋" w:hAnsi="仿宋" w:eastAsia="仿宋" w:cs="仿宋"/>
          <w:sz w:val="24"/>
          <w:szCs w:val="24"/>
          <w:highlight w:val="none"/>
        </w:rPr>
        <w:t>失。</w:t>
      </w:r>
    </w:p>
    <w:p w14:paraId="3894587C">
      <w:pPr>
        <w:widowControl/>
        <w:adjustRightInd w:val="0"/>
        <w:snapToGrid w:val="0"/>
        <w:spacing w:line="480" w:lineRule="exact"/>
        <w:ind w:firstLine="465"/>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9、乙方在项目验收前未将全部产品合格证、说明书、使用手册、关键节点交付文件、测试和验收报告等本合同约定需交付资料完整交付甲方的，甲方有权不予验收（由此导致的工期延误属乙方违约），并有权要求乙方赔偿甲方因此导致的相关损失。技术资料属于设备交付内容之一，未完整交付的视为设备未完成交付。对研制类设备，具体交付资料可根据项目实际情况调整，调整不得与本合同技术附件约定的核心必备资料冲突，且应经甲方书面确认后方可变更。如因研发进展确需调整资料内容的，应经甲方书面同意后方可调整，不得缺少影响设备使用、维护及验收所必需的技术资料</w:t>
      </w:r>
      <w:r>
        <w:rPr>
          <w:rFonts w:hint="eastAsia" w:ascii="仿宋" w:hAnsi="仿宋" w:eastAsia="仿宋" w:cs="仿宋"/>
          <w:sz w:val="24"/>
          <w:szCs w:val="24"/>
          <w:highlight w:val="none"/>
          <w:lang w:eastAsia="zh-CN"/>
        </w:rPr>
        <w:t>。</w:t>
      </w:r>
    </w:p>
    <w:p w14:paraId="2EA24EB2">
      <w:pPr>
        <w:widowControl/>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10、本合同履行过程中，若乙方有违反与本合同相关的国家、省、市各级法律法规、规章制度、办法条例、行业规范及深圳大设施等相关规定的，由乙方承担责任并负责整改。</w:t>
      </w:r>
    </w:p>
    <w:p w14:paraId="23B1C2A8">
      <w:pPr>
        <w:widowControl/>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11、乙方所交设备质量不能符合其投标承诺的技术要求或质量保证要求的，或者在投标阶段为了中标而盲目虚假承诺、低价恶性竞争的，或者在履约阶段则通过偷工减料、以次充好而获取利润的，甲方有权拒绝接收，并可要求乙方在【10】天内完成整改、交付并申请验收，整改工作不得延误本合同核心关键节点任务的期限要求，若产生赶工费用，由乙方承担，乙方应额外赔偿甲方因此产生的全部经济损失（含直接损失和间接损失）；逾期完成整改、交付或申请验收的，或者验收不通过的，甲方有权解除本合同，要求乙方退还甲方已支付的合同款项，合同剩余款项甲方不予支付，乙方按合同总价的【10%】支付解约违约金给甲方，且应赔偿甲方因此导致的相应损失。</w:t>
      </w:r>
    </w:p>
    <w:p w14:paraId="6203D7D5">
      <w:pPr>
        <w:widowControl/>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12、乙方提供的货物不符合质量标准或存在货物质量缺陷，甲方有权根据具备相应资质的第三方质量检测部门出具的检验证书向乙方提出索赔。如在质量保证期或者保修期内，乙方对缺陷货物负有责任而甲方提出索赔，乙方除应承担甲方产生的全部损失外，乙方应按照甲方同意的下列一种或多种方式解决索赔事宜：</w:t>
      </w:r>
    </w:p>
    <w:p w14:paraId="18A036E2">
      <w:pPr>
        <w:widowControl/>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（1）乙方同意退货并将货款退还给甲方，由此发生的一切费用和损失由乙方承担。</w:t>
      </w:r>
    </w:p>
    <w:p w14:paraId="55663C2A">
      <w:pPr>
        <w:widowControl/>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（2）根据货物的质量状况以及甲方所遭受的损失，经过双方商定降低货物的价格。</w:t>
      </w:r>
    </w:p>
    <w:p w14:paraId="4E1EFCB6">
      <w:pPr>
        <w:widowControl/>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3）乙方应在接到甲方通知后七天内负责采用符合合同规定的规格、质量和性能要求的新零件、部件和设备来替换有缺陷的部分或修补缺陷部分，其费用由乙方负担。同时，乙方应在约定的保修期基础上相应延长修补和/或替换件的保修期。</w:t>
      </w:r>
    </w:p>
    <w:p w14:paraId="75CA0DB8">
      <w:pPr>
        <w:widowControl/>
        <w:adjustRightInd w:val="0"/>
        <w:snapToGrid w:val="0"/>
        <w:spacing w:line="480" w:lineRule="exact"/>
        <w:ind w:firstLine="465"/>
        <w:jc w:val="left"/>
        <w:rPr>
          <w:rFonts w:ascii="仿宋" w:hAnsi="仿宋" w:eastAsia="仿宋" w:cs="仿宋"/>
          <w:sz w:val="24"/>
          <w:szCs w:val="24"/>
        </w:rPr>
      </w:pPr>
      <w:r>
        <w:rPr>
          <w:rFonts w:hint="default" w:ascii="仿宋" w:hAnsi="仿宋" w:eastAsia="仿宋" w:cs="仿宋"/>
          <w:sz w:val="24"/>
          <w:szCs w:val="24"/>
          <w:lang w:val="en-US"/>
        </w:rPr>
        <w:t>13</w:t>
      </w:r>
      <w:r>
        <w:rPr>
          <w:rFonts w:hint="eastAsia" w:ascii="仿宋" w:hAnsi="仿宋" w:eastAsia="仿宋" w:cs="仿宋"/>
          <w:sz w:val="24"/>
          <w:szCs w:val="24"/>
          <w:lang w:val="en-US" w:eastAsia="zh-CN"/>
        </w:rPr>
        <w:t>、</w:t>
      </w:r>
      <w:r>
        <w:rPr>
          <w:rFonts w:hint="eastAsia" w:ascii="仿宋" w:hAnsi="仿宋" w:eastAsia="仿宋" w:cs="仿宋"/>
          <w:sz w:val="24"/>
          <w:szCs w:val="24"/>
        </w:rPr>
        <w:t>如乙方逾期交付、逾期整改、维修或者更换，或者乙方明确表示或者以其行为表明无法继续履行合同，甲方有权自行或者委托第三方完成相关工作、采购替代产品或者采取其他补救措施，由此产生的合理费用及损失由乙方承担。甲方采取前述措施不影响其要求乙方承担违约责任、赔偿损失或者解除合同的权利。</w:t>
      </w:r>
    </w:p>
    <w:p w14:paraId="4BF5254E">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4</w:t>
      </w:r>
      <w:r>
        <w:rPr>
          <w:rFonts w:hint="eastAsia" w:ascii="仿宋" w:hAnsi="仿宋" w:eastAsia="仿宋" w:cs="仿宋"/>
          <w:sz w:val="24"/>
          <w:szCs w:val="24"/>
        </w:rPr>
        <w:t>、违约方未能履行本协议给守约方造成任何经济损失、使守约方遭受第三方追索或受到行政机关处罚的，违约方应当赔偿守约方全部损失，包括但不限于实际损失、因维权或追索而产生的全部开支、律师费、诉讼费、保全费、担保费、差旅费以及其他相关费用等。</w:t>
      </w:r>
    </w:p>
    <w:p w14:paraId="16A4F303">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5</w:t>
      </w:r>
      <w:r>
        <w:rPr>
          <w:rFonts w:hint="eastAsia" w:ascii="仿宋" w:hAnsi="仿宋" w:eastAsia="仿宋" w:cs="仿宋"/>
          <w:sz w:val="24"/>
          <w:szCs w:val="24"/>
        </w:rPr>
        <w:t>、乙方保证与甲方之间发生的一切账务往来，皆以本合同尾部载明的甲方账户为准。因发生乙方逾期交货、不能交货或发生其他情形而使乙方须向甲方赔偿违约金或支付其他任何款项的，应支付至本合同尾部载明的甲方账户。乙方违反上述约定的，除应继续向甲方支付相应款项外，另向甲方支付合同总价百分之十的违约金。</w:t>
      </w:r>
    </w:p>
    <w:p w14:paraId="510B6D1E">
      <w:pPr>
        <w:adjustRightInd w:val="0"/>
        <w:snapToGrid w:val="0"/>
        <w:spacing w:line="480" w:lineRule="exact"/>
        <w:jc w:val="left"/>
        <w:outlineLvl w:val="0"/>
        <w:rPr>
          <w:rFonts w:ascii="仿宋" w:hAnsi="仿宋" w:eastAsia="仿宋" w:cs="仿宋"/>
          <w:b/>
          <w:sz w:val="24"/>
          <w:szCs w:val="24"/>
        </w:rPr>
      </w:pPr>
      <w:r>
        <w:rPr>
          <w:rFonts w:hint="eastAsia" w:ascii="仿宋" w:hAnsi="仿宋" w:eastAsia="仿宋" w:cs="仿宋"/>
          <w:b/>
          <w:sz w:val="24"/>
          <w:szCs w:val="24"/>
        </w:rPr>
        <w:t>十、保险</w:t>
      </w:r>
    </w:p>
    <w:p w14:paraId="5C11CA37">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合同货物到达交货地点并在甲方指定地点完成卸货、安装之前，合同货物发生的毁损、灭失等风险及所有保险</w:t>
      </w:r>
      <w:r>
        <w:rPr>
          <w:rFonts w:hint="eastAsia" w:ascii="仿宋" w:hAnsi="仿宋" w:eastAsia="仿宋" w:cs="仿宋"/>
          <w:sz w:val="24"/>
          <w:szCs w:val="24"/>
          <w:lang w:val="en-US" w:eastAsia="zh-CN"/>
        </w:rPr>
        <w:t>的投保及</w:t>
      </w:r>
      <w:r>
        <w:rPr>
          <w:rFonts w:hint="eastAsia" w:ascii="仿宋" w:hAnsi="仿宋" w:eastAsia="仿宋" w:cs="仿宋"/>
          <w:sz w:val="24"/>
          <w:szCs w:val="24"/>
        </w:rPr>
        <w:t>费用，均由乙方承担。</w:t>
      </w:r>
    </w:p>
    <w:p w14:paraId="1BC1064C">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乙方应自行承担其派往甲方或甲方指定地点进行卸货、安装、检验、调试、培训及售后服务等全部人员的人身险和其他有关险种、工伤等依法或履约所需的全部保险</w:t>
      </w:r>
      <w:r>
        <w:rPr>
          <w:rFonts w:hint="eastAsia" w:ascii="仿宋" w:hAnsi="仿宋" w:eastAsia="仿宋" w:cs="仿宋"/>
          <w:sz w:val="24"/>
          <w:szCs w:val="24"/>
          <w:lang w:val="en-US" w:eastAsia="zh-CN"/>
        </w:rPr>
        <w:t>的投保及</w:t>
      </w:r>
      <w:r>
        <w:rPr>
          <w:rFonts w:hint="eastAsia" w:ascii="仿宋" w:hAnsi="仿宋" w:eastAsia="仿宋" w:cs="仿宋"/>
          <w:sz w:val="24"/>
          <w:szCs w:val="24"/>
        </w:rPr>
        <w:t>费用；保险的投保或理赔不影响乙方依法及依合同应承担的赔偿责任，保险赔付不足的，乙方仍应承担补足赔偿责任。如乙方未按约投保相关保险，或投保金额、保险责任范围不足以覆盖相关风险的，由此产生的一切损失、责任及费用均由乙方自行承担。</w:t>
      </w:r>
    </w:p>
    <w:p w14:paraId="086E71CC">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安全要求：乙方按有关规定，采取严格的安全防护措施，承担由于自身安全措施不力造成事故的责任和因此发生的费用。</w:t>
      </w:r>
    </w:p>
    <w:p w14:paraId="663A2560">
      <w:pPr>
        <w:adjustRightInd w:val="0"/>
        <w:snapToGrid w:val="0"/>
        <w:spacing w:line="480" w:lineRule="exact"/>
        <w:jc w:val="left"/>
        <w:outlineLvl w:val="0"/>
        <w:rPr>
          <w:rFonts w:ascii="仿宋" w:hAnsi="仿宋" w:eastAsia="仿宋" w:cs="仿宋"/>
          <w:b/>
          <w:sz w:val="24"/>
          <w:szCs w:val="24"/>
        </w:rPr>
      </w:pPr>
      <w:r>
        <w:rPr>
          <w:rFonts w:hint="eastAsia" w:ascii="仿宋" w:hAnsi="仿宋" w:eastAsia="仿宋" w:cs="仿宋"/>
          <w:b/>
          <w:sz w:val="24"/>
          <w:szCs w:val="24"/>
        </w:rPr>
        <w:t>十一、不可抗力</w:t>
      </w:r>
    </w:p>
    <w:p w14:paraId="5FB8C637">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1、甲乙双方的任何一方受不可抗力影响不能履行合同时，应在不可抗力事件发生后的3日内向对方通报不能履行或不能完全履行的理由，以减轻可能给对方造成的损失。不可抗力影响合同履行的因素消失后10日内，声称遭遇不可抗力的一方应取得不可抗力发生地有关政府机构或公证机关出具的关于不可抗力发生及其影响情况的证明，并提供给另一方。</w:t>
      </w:r>
    </w:p>
    <w:p w14:paraId="4E990CDD">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2、不可抗力事件发生后，甲方和乙方应当积极寻求以合理的方式履行本合同。如不可抗力无法消除，致使合同目的无法实现的，双方均有权解除合同，且均不互相索赔。</w:t>
      </w:r>
    </w:p>
    <w:p w14:paraId="1D332761">
      <w:pPr>
        <w:adjustRightInd w:val="0"/>
        <w:snapToGrid w:val="0"/>
        <w:spacing w:line="480" w:lineRule="exact"/>
        <w:ind w:firstLine="465"/>
        <w:jc w:val="left"/>
        <w:rPr>
          <w:rFonts w:ascii="仿宋" w:hAnsi="仿宋" w:eastAsia="仿宋" w:cs="仿宋"/>
          <w:sz w:val="24"/>
          <w:szCs w:val="24"/>
        </w:rPr>
      </w:pPr>
      <w:r>
        <w:rPr>
          <w:rFonts w:hint="eastAsia" w:ascii="仿宋" w:hAnsi="仿宋" w:eastAsia="仿宋" w:cs="仿宋"/>
          <w:sz w:val="24"/>
          <w:szCs w:val="24"/>
        </w:rPr>
        <w:t>3、因本条约定情形延期履行、部分履行或终止履行本合同，无需承担违约责任，但违约事项发生在不可抗力前的不免除违约方责任。</w:t>
      </w:r>
    </w:p>
    <w:p w14:paraId="608F4ECD">
      <w:pPr>
        <w:adjustRightInd w:val="0"/>
        <w:snapToGrid w:val="0"/>
        <w:spacing w:line="480" w:lineRule="exact"/>
        <w:jc w:val="left"/>
        <w:outlineLvl w:val="0"/>
        <w:rPr>
          <w:rFonts w:ascii="仿宋" w:hAnsi="仿宋" w:eastAsia="仿宋" w:cs="仿宋"/>
          <w:b/>
          <w:sz w:val="24"/>
          <w:szCs w:val="24"/>
        </w:rPr>
      </w:pPr>
      <w:r>
        <w:rPr>
          <w:rFonts w:hint="eastAsia" w:ascii="仿宋" w:hAnsi="仿宋" w:eastAsia="仿宋" w:cs="仿宋"/>
          <w:b/>
          <w:sz w:val="24"/>
          <w:szCs w:val="24"/>
        </w:rPr>
        <w:t>十二、保密</w:t>
      </w:r>
    </w:p>
    <w:p w14:paraId="01F4C0D5">
      <w:pPr>
        <w:adjustRightInd w:val="0"/>
        <w:snapToGrid w:val="0"/>
        <w:spacing w:line="480" w:lineRule="exact"/>
        <w:ind w:firstLine="465"/>
        <w:rPr>
          <w:rFonts w:ascii="仿宋" w:hAnsi="仿宋" w:eastAsia="仿宋" w:cs="仿宋"/>
          <w:sz w:val="24"/>
          <w:szCs w:val="24"/>
        </w:rPr>
      </w:pPr>
      <w:r>
        <w:rPr>
          <w:rFonts w:hint="eastAsia" w:ascii="仿宋" w:hAnsi="仿宋" w:eastAsia="仿宋" w:cs="仿宋"/>
          <w:sz w:val="24"/>
          <w:szCs w:val="24"/>
        </w:rPr>
        <w:t>合同双方对本合同内容及基于本合同而取得的披露方的保密信息（包括但不限于</w:t>
      </w:r>
      <w:r>
        <w:rPr>
          <w:rFonts w:ascii="仿宋" w:hAnsi="仿宋" w:eastAsia="仿宋" w:cs="仿宋"/>
          <w:sz w:val="24"/>
          <w:szCs w:val="24"/>
        </w:rPr>
        <w:t>商业秘密、技术秘密、经营信息、财务信息、价格信息、图纸、方案、软件、数据、工艺、设备参数、客户信息及其他非公开信息</w:t>
      </w:r>
      <w:r>
        <w:rPr>
          <w:rFonts w:hint="eastAsia" w:ascii="仿宋" w:hAnsi="仿宋" w:eastAsia="仿宋" w:cs="仿宋"/>
          <w:sz w:val="24"/>
          <w:szCs w:val="24"/>
        </w:rPr>
        <w:t>）负有保密义务。未经披露方事先书面同意，接收方不得向任何第三方透露，不得以任何形式许可第三方利用该等保密信息，不得为本合同之外的目的而自行和/或许可第三方利用该等保密信息。但任何一方出于履行法定强制性义务或为了维护其在本合同项下合法权益或执行其上级主管单位的管理要求，而向相关司法机关、政府部门、仲裁机构、上级主管行政单位或双方聘请的律师、会计师、税务师、资产评估师等承担执业保密责任的外部专业顾问，适当披露本合同内容，不视为泄密。</w:t>
      </w:r>
    </w:p>
    <w:p w14:paraId="3188DBF3">
      <w:pPr>
        <w:adjustRightInd w:val="0"/>
        <w:snapToGrid w:val="0"/>
        <w:spacing w:line="480" w:lineRule="exact"/>
        <w:ind w:firstLine="465"/>
        <w:rPr>
          <w:rFonts w:ascii="仿宋" w:hAnsi="仿宋" w:eastAsia="仿宋" w:cs="仿宋"/>
          <w:sz w:val="24"/>
          <w:szCs w:val="24"/>
        </w:rPr>
      </w:pPr>
      <w:r>
        <w:rPr>
          <w:rFonts w:hint="eastAsia" w:ascii="仿宋" w:hAnsi="仿宋" w:eastAsia="仿宋" w:cs="仿宋"/>
          <w:sz w:val="24"/>
          <w:szCs w:val="24"/>
        </w:rPr>
        <w:t>如一方违反保密义务的约定，违反保密义务的一方应向对方支付【10】万元违约金，若违约金不足以弥补实际损失的，还需承担违约赔偿责任。违约赔偿责任范围为：相对方由此所遭受到的损失和违约方因知悉需保密的信息而所得到的利益。</w:t>
      </w:r>
    </w:p>
    <w:p w14:paraId="45D1DBC3">
      <w:pPr>
        <w:adjustRightInd w:val="0"/>
        <w:snapToGrid w:val="0"/>
        <w:spacing w:line="480" w:lineRule="exact"/>
        <w:jc w:val="left"/>
        <w:outlineLvl w:val="0"/>
        <w:rPr>
          <w:rFonts w:ascii="仿宋" w:hAnsi="仿宋" w:eastAsia="仿宋" w:cs="仿宋"/>
          <w:b/>
          <w:sz w:val="24"/>
          <w:szCs w:val="24"/>
        </w:rPr>
      </w:pPr>
      <w:r>
        <w:rPr>
          <w:rFonts w:hint="eastAsia" w:ascii="仿宋" w:hAnsi="仿宋" w:eastAsia="仿宋" w:cs="仿宋"/>
          <w:b/>
          <w:sz w:val="24"/>
          <w:szCs w:val="24"/>
        </w:rPr>
        <w:t>十三、知识产权和权利瑕疵担保</w:t>
      </w:r>
    </w:p>
    <w:p w14:paraId="1EE8A1FB">
      <w:pPr>
        <w:adjustRightInd w:val="0"/>
        <w:snapToGrid w:val="0"/>
        <w:spacing w:line="48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1、本合同签订之前原属于一方的知识产权并不因本合同而转移至另一方。</w:t>
      </w:r>
    </w:p>
    <w:p w14:paraId="20425E17">
      <w:pPr>
        <w:adjustRightInd w:val="0"/>
        <w:snapToGrid w:val="0"/>
        <w:spacing w:line="48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本合同所提供货物知识产权属甲方所有。甲方提供的技术方案、技术协议、工程图纸等技术资料的知识产权均归甲方所有，未经甲方书面同意，乙方仅能在履行本合同目的范围内使用上述资料，不得将甲方所提供的技术方案、技术协议、工程图纸等技术资料提供给任何第三方或利用该技术仿造，否则甲方保留向乙方索取因乙方侵权而导致甲方损失的权利。</w:t>
      </w:r>
    </w:p>
    <w:p w14:paraId="19C49C0E">
      <w:pPr>
        <w:adjustRightInd w:val="0"/>
        <w:snapToGrid w:val="0"/>
        <w:spacing w:line="48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3、乙方应保证，甲方在中华人民共和国境内使用合同货物或货物的任何一部分时，免受第三方提出的侵犯其专利权、商标权、著作权或其他知识产权、侵犯其所有权、抵押权等物权及其他任何合法权利的起诉或指控、主张。如发生此类纠纷，由乙方承担一切责任，造成甲方损失的（包括但不限于直接或间接经济损失、商誉损害等），乙方需承担全部赔偿责任。如导致甲方无法正常使用货物的，甲方可以解除本合同，要求乙方退还甲方已支付的合同款项，合同剩余款项甲方不予支付，乙方按合同总价的【10%】支付解约违约金给甲方，且应赔偿甲方因此导致的相应损失。</w:t>
      </w:r>
    </w:p>
    <w:p w14:paraId="26A394D0">
      <w:pPr>
        <w:adjustRightInd w:val="0"/>
        <w:snapToGrid w:val="0"/>
        <w:spacing w:line="480" w:lineRule="exact"/>
        <w:outlineLvl w:val="0"/>
        <w:rPr>
          <w:rFonts w:ascii="仿宋" w:hAnsi="仿宋" w:eastAsia="仿宋" w:cs="仿宋"/>
          <w:b/>
          <w:sz w:val="24"/>
          <w:szCs w:val="24"/>
        </w:rPr>
      </w:pPr>
      <w:r>
        <w:rPr>
          <w:rFonts w:hint="eastAsia" w:ascii="仿宋" w:hAnsi="仿宋" w:eastAsia="仿宋" w:cs="仿宋"/>
          <w:b/>
          <w:sz w:val="24"/>
          <w:szCs w:val="24"/>
        </w:rPr>
        <w:t>十四、风险负担</w:t>
      </w:r>
    </w:p>
    <w:p w14:paraId="6C90AD3A">
      <w:pPr>
        <w:adjustRightInd w:val="0"/>
        <w:snapToGrid w:val="0"/>
        <w:spacing w:line="480" w:lineRule="exact"/>
        <w:ind w:firstLine="465"/>
        <w:outlineLvl w:val="0"/>
        <w:rPr>
          <w:rFonts w:ascii="仿宋" w:hAnsi="仿宋" w:eastAsia="仿宋" w:cs="仿宋"/>
          <w:sz w:val="24"/>
          <w:szCs w:val="24"/>
        </w:rPr>
      </w:pPr>
      <w:r>
        <w:rPr>
          <w:rFonts w:hint="eastAsia" w:ascii="仿宋" w:hAnsi="仿宋" w:eastAsia="仿宋" w:cs="仿宋"/>
          <w:sz w:val="24"/>
          <w:szCs w:val="24"/>
        </w:rPr>
        <w:t>1、本合同项下货物毁损、灭失的风险，在货物经甲方书面最终验收合格且正式交付甲方使用以前由乙方承担，在货物经甲方书面最终验收合格且正式交付甲方使用以后由甲方承担。甲方对货物进行测试、试运行、阶段性使用或局部使用的，不视为风险转移。</w:t>
      </w:r>
    </w:p>
    <w:p w14:paraId="055276B8">
      <w:pPr>
        <w:adjustRightInd w:val="0"/>
        <w:snapToGrid w:val="0"/>
        <w:spacing w:line="480" w:lineRule="exact"/>
        <w:ind w:firstLine="465"/>
        <w:outlineLvl w:val="0"/>
        <w:rPr>
          <w:rFonts w:ascii="仿宋" w:hAnsi="仿宋" w:eastAsia="仿宋" w:cs="仿宋"/>
          <w:sz w:val="24"/>
          <w:szCs w:val="24"/>
        </w:rPr>
      </w:pPr>
      <w:r>
        <w:rPr>
          <w:rFonts w:hint="eastAsia" w:ascii="仿宋" w:hAnsi="仿宋" w:eastAsia="仿宋" w:cs="仿宋"/>
          <w:sz w:val="24"/>
          <w:szCs w:val="24"/>
        </w:rPr>
        <w:t>2、甲方因货物不符合约定的质量要求而拒绝接受货物、退回货物或解除合同的，货物毁损、灭失的风险始终由乙方承担，包括货物退回乙方过程中的风险。</w:t>
      </w:r>
    </w:p>
    <w:p w14:paraId="47A13301">
      <w:pPr>
        <w:adjustRightInd w:val="0"/>
        <w:snapToGrid w:val="0"/>
        <w:spacing w:line="480" w:lineRule="exact"/>
        <w:ind w:firstLine="465"/>
        <w:outlineLvl w:val="0"/>
        <w:rPr>
          <w:rFonts w:ascii="仿宋" w:hAnsi="仿宋" w:eastAsia="仿宋" w:cs="仿宋"/>
          <w:sz w:val="24"/>
          <w:szCs w:val="24"/>
        </w:rPr>
      </w:pPr>
      <w:r>
        <w:rPr>
          <w:rFonts w:hint="eastAsia" w:ascii="仿宋" w:hAnsi="仿宋" w:eastAsia="仿宋" w:cs="仿宋"/>
          <w:sz w:val="24"/>
          <w:szCs w:val="24"/>
        </w:rPr>
        <w:t>3、由乙方承担货物毁损、灭失风险的，如货物毁损或灭失，乙方应在甲方指定的期限内重新提供符合合同规定的货物，否则，视为乙方逾期交货，甲方有权解除本合同，要求乙方退还甲方已支付的合同款且不承担任何违约责任，造成甲方损害的甲方有权要求乙方赔偿。</w:t>
      </w:r>
    </w:p>
    <w:p w14:paraId="0E2E961E">
      <w:pPr>
        <w:adjustRightInd w:val="0"/>
        <w:snapToGrid w:val="0"/>
        <w:spacing w:line="480" w:lineRule="exact"/>
        <w:outlineLvl w:val="0"/>
        <w:rPr>
          <w:rFonts w:ascii="仿宋" w:hAnsi="仿宋" w:eastAsia="仿宋" w:cs="仿宋"/>
          <w:b/>
          <w:sz w:val="24"/>
          <w:szCs w:val="24"/>
        </w:rPr>
      </w:pPr>
      <w:r>
        <w:rPr>
          <w:rFonts w:hint="eastAsia" w:ascii="仿宋" w:hAnsi="仿宋" w:eastAsia="仿宋" w:cs="仿宋"/>
          <w:b/>
          <w:sz w:val="24"/>
          <w:szCs w:val="24"/>
        </w:rPr>
        <w:t>十五、项目负责人</w:t>
      </w:r>
    </w:p>
    <w:p w14:paraId="2C41ADD4">
      <w:pPr>
        <w:adjustRightInd w:val="0"/>
        <w:snapToGrid w:val="0"/>
        <w:spacing w:line="480" w:lineRule="exact"/>
        <w:ind w:firstLine="465"/>
        <w:outlineLvl w:val="0"/>
        <w:rPr>
          <w:rFonts w:ascii="仿宋" w:hAnsi="仿宋" w:eastAsia="仿宋" w:cs="仿宋"/>
          <w:sz w:val="24"/>
          <w:szCs w:val="24"/>
        </w:rPr>
      </w:pPr>
      <w:r>
        <w:rPr>
          <w:rFonts w:hint="eastAsia" w:ascii="仿宋" w:hAnsi="仿宋" w:eastAsia="仿宋" w:cs="仿宋"/>
          <w:sz w:val="24"/>
          <w:szCs w:val="24"/>
        </w:rPr>
        <w:t>在本合同的履行过程中，甲方的项目负责人为</w:t>
      </w:r>
      <w:r>
        <w:rPr>
          <w:rFonts w:hint="eastAsia" w:ascii="仿宋" w:hAnsi="仿宋" w:eastAsia="仿宋" w:cs="仿宋"/>
          <w:sz w:val="24"/>
          <w:szCs w:val="24"/>
          <w:u w:val="single"/>
        </w:rPr>
        <w:t xml:space="preserve">         </w:t>
      </w:r>
      <w:r>
        <w:rPr>
          <w:rFonts w:hint="eastAsia" w:ascii="仿宋" w:hAnsi="仿宋" w:eastAsia="仿宋" w:cs="仿宋"/>
          <w:sz w:val="24"/>
          <w:szCs w:val="24"/>
        </w:rPr>
        <w:t>，联系方式：</w:t>
      </w:r>
      <w:r>
        <w:rPr>
          <w:rFonts w:hint="eastAsia" w:ascii="仿宋" w:hAnsi="仿宋" w:eastAsia="仿宋" w:cs="仿宋"/>
          <w:sz w:val="24"/>
          <w:szCs w:val="24"/>
          <w:u w:val="single"/>
        </w:rPr>
        <w:t xml:space="preserve">          </w:t>
      </w:r>
      <w:r>
        <w:rPr>
          <w:rFonts w:hint="eastAsia" w:ascii="仿宋" w:hAnsi="仿宋" w:eastAsia="仿宋" w:cs="仿宋"/>
          <w:sz w:val="24"/>
          <w:szCs w:val="24"/>
        </w:rPr>
        <w:t>。乙方的项目负责人为</w:t>
      </w:r>
      <w:r>
        <w:rPr>
          <w:rFonts w:hint="eastAsia" w:ascii="仿宋" w:hAnsi="仿宋" w:eastAsia="仿宋" w:cs="仿宋"/>
          <w:sz w:val="24"/>
          <w:szCs w:val="24"/>
          <w:u w:val="single"/>
        </w:rPr>
        <w:t xml:space="preserve">         </w:t>
      </w:r>
      <w:r>
        <w:rPr>
          <w:rFonts w:hint="eastAsia" w:ascii="仿宋" w:hAnsi="仿宋" w:eastAsia="仿宋" w:cs="仿宋"/>
          <w:sz w:val="24"/>
          <w:szCs w:val="24"/>
        </w:rPr>
        <w:t>，联系方式：</w:t>
      </w:r>
      <w:r>
        <w:rPr>
          <w:rFonts w:hint="eastAsia" w:ascii="仿宋" w:hAnsi="仿宋" w:eastAsia="仿宋" w:cs="仿宋"/>
          <w:sz w:val="24"/>
          <w:szCs w:val="24"/>
          <w:u w:val="single"/>
        </w:rPr>
        <w:t xml:space="preserve">          </w:t>
      </w:r>
      <w:r>
        <w:rPr>
          <w:rFonts w:hint="eastAsia" w:ascii="仿宋" w:hAnsi="仿宋" w:eastAsia="仿宋" w:cs="仿宋"/>
          <w:sz w:val="24"/>
          <w:szCs w:val="24"/>
        </w:rPr>
        <w:t>。项目负责人为主要负责人，负责甲、乙双方为执行本合同内容，负责转达双方的指示要求，负责向对方提供或接收对方交付的文件、资料等，任何一方更换联系人应当通知对方。如因一方更换联系人未提前通知导致信息沟通不畅或给对方造成损失的，由该方承担责任。</w:t>
      </w:r>
    </w:p>
    <w:p w14:paraId="6EB668F1">
      <w:pPr>
        <w:adjustRightInd w:val="0"/>
        <w:snapToGrid w:val="0"/>
        <w:spacing w:line="480" w:lineRule="exact"/>
        <w:outlineLvl w:val="0"/>
        <w:rPr>
          <w:rFonts w:ascii="仿宋" w:hAnsi="仿宋" w:eastAsia="仿宋" w:cs="仿宋"/>
          <w:b/>
          <w:sz w:val="24"/>
          <w:szCs w:val="24"/>
        </w:rPr>
      </w:pPr>
      <w:r>
        <w:rPr>
          <w:rFonts w:hint="eastAsia" w:ascii="仿宋" w:hAnsi="仿宋" w:eastAsia="仿宋" w:cs="仿宋"/>
          <w:b/>
          <w:sz w:val="24"/>
          <w:szCs w:val="24"/>
        </w:rPr>
        <w:t>十六、争议解决</w:t>
      </w:r>
    </w:p>
    <w:p w14:paraId="66E4D7F7">
      <w:pPr>
        <w:adjustRightInd w:val="0"/>
        <w:snapToGrid w:val="0"/>
        <w:spacing w:line="480" w:lineRule="exact"/>
        <w:ind w:firstLine="465"/>
        <w:rPr>
          <w:rFonts w:ascii="仿宋" w:hAnsi="仿宋" w:eastAsia="仿宋" w:cs="仿宋"/>
          <w:sz w:val="24"/>
          <w:szCs w:val="24"/>
        </w:rPr>
      </w:pPr>
      <w:r>
        <w:rPr>
          <w:rFonts w:hint="eastAsia" w:ascii="仿宋" w:hAnsi="仿宋" w:eastAsia="仿宋" w:cs="仿宋"/>
          <w:sz w:val="24"/>
          <w:szCs w:val="24"/>
        </w:rPr>
        <w:t>1、因合同货物的质量问题而发生的争议，由广东省或深圳市有资质的质检部门进行质量鉴定。经检验，质量符合标准的，鉴定费用由甲方承担；质量不符合标准的，鉴定费用由乙方承担，并且乙方负责重新提供符合合同要求的货物给甲方，由此造成延期供货的，乙方承担延期供货的违约责任。</w:t>
      </w:r>
    </w:p>
    <w:p w14:paraId="743E06A7">
      <w:pPr>
        <w:adjustRightInd w:val="0"/>
        <w:snapToGrid w:val="0"/>
        <w:spacing w:line="480" w:lineRule="exact"/>
        <w:ind w:firstLine="465"/>
        <w:rPr>
          <w:rFonts w:ascii="仿宋" w:hAnsi="仿宋" w:eastAsia="仿宋" w:cs="仿宋"/>
          <w:sz w:val="24"/>
          <w:szCs w:val="24"/>
        </w:rPr>
      </w:pPr>
      <w:r>
        <w:rPr>
          <w:rFonts w:hint="eastAsia" w:ascii="仿宋" w:hAnsi="仿宋" w:eastAsia="仿宋" w:cs="仿宋"/>
          <w:sz w:val="24"/>
          <w:szCs w:val="24"/>
        </w:rPr>
        <w:t>2、因本合同履行过程中所产生的纠纷和争议，应本着互谅互让、互相尊重、和平友好的原则协商解决。如经协商</w:t>
      </w:r>
      <w:r>
        <w:rPr>
          <w:rFonts w:hint="eastAsia" w:ascii="仿宋" w:hAnsi="仿宋" w:eastAsia="仿宋" w:cs="仿宋"/>
          <w:bCs/>
          <w:sz w:val="24"/>
          <w:szCs w:val="24"/>
        </w:rPr>
        <w:t>开始【30个日历日】</w:t>
      </w:r>
      <w:r>
        <w:rPr>
          <w:rFonts w:hint="eastAsia" w:ascii="仿宋" w:hAnsi="仿宋" w:eastAsia="仿宋" w:cs="仿宋"/>
          <w:sz w:val="24"/>
          <w:szCs w:val="24"/>
        </w:rPr>
        <w:t>仍不能达成协议时，双方同意提交甲方所在地有管辖权的人民法院通过诉讼的方式解决。</w:t>
      </w:r>
    </w:p>
    <w:p w14:paraId="0A923267">
      <w:pPr>
        <w:adjustRightInd w:val="0"/>
        <w:snapToGrid w:val="0"/>
        <w:spacing w:line="480" w:lineRule="exact"/>
        <w:ind w:firstLine="465"/>
        <w:rPr>
          <w:rFonts w:ascii="仿宋" w:hAnsi="仿宋" w:eastAsia="仿宋" w:cs="仿宋"/>
          <w:sz w:val="24"/>
          <w:szCs w:val="24"/>
        </w:rPr>
      </w:pPr>
      <w:r>
        <w:rPr>
          <w:rFonts w:hint="eastAsia" w:ascii="仿宋" w:hAnsi="仿宋" w:eastAsia="仿宋" w:cs="仿宋"/>
          <w:sz w:val="24"/>
          <w:szCs w:val="24"/>
        </w:rPr>
        <w:t>3、在诉讼期间，除有争议部分的事项外，合同其他部分仍应继续履行。</w:t>
      </w:r>
    </w:p>
    <w:p w14:paraId="25A4451A">
      <w:pPr>
        <w:adjustRightInd w:val="0"/>
        <w:snapToGrid w:val="0"/>
        <w:spacing w:line="480" w:lineRule="exact"/>
        <w:ind w:firstLine="465"/>
        <w:rPr>
          <w:rFonts w:ascii="仿宋" w:hAnsi="仿宋" w:eastAsia="仿宋" w:cs="仿宋"/>
          <w:sz w:val="24"/>
          <w:szCs w:val="24"/>
        </w:rPr>
      </w:pPr>
      <w:r>
        <w:rPr>
          <w:rFonts w:hint="eastAsia" w:ascii="仿宋" w:hAnsi="仿宋" w:eastAsia="仿宋" w:cs="仿宋"/>
          <w:sz w:val="24"/>
          <w:szCs w:val="24"/>
        </w:rPr>
        <w:t>4、乙方提供的所有软件必须为正版或取得合理使用授权，甲方不承担知识产权纠纷带来的任何侵权责任，由此造成的损失由乙方负责赔偿。</w:t>
      </w:r>
    </w:p>
    <w:p w14:paraId="29FBCC51">
      <w:pPr>
        <w:adjustRightInd w:val="0"/>
        <w:snapToGrid w:val="0"/>
        <w:spacing w:line="480" w:lineRule="exact"/>
        <w:outlineLvl w:val="0"/>
        <w:rPr>
          <w:rFonts w:ascii="仿宋" w:hAnsi="仿宋" w:eastAsia="仿宋" w:cs="仿宋"/>
          <w:b/>
          <w:sz w:val="24"/>
          <w:szCs w:val="24"/>
        </w:rPr>
      </w:pPr>
      <w:r>
        <w:rPr>
          <w:rFonts w:hint="eastAsia" w:ascii="仿宋" w:hAnsi="仿宋" w:eastAsia="仿宋" w:cs="仿宋"/>
          <w:b/>
          <w:sz w:val="24"/>
          <w:szCs w:val="24"/>
        </w:rPr>
        <w:t>十七、其他</w:t>
      </w:r>
    </w:p>
    <w:p w14:paraId="3BD9F90C">
      <w:pPr>
        <w:adjustRightInd w:val="0"/>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1、除甲方事先书面同意外，乙方不得部分或全部转让其应履行的合同义务。</w:t>
      </w:r>
    </w:p>
    <w:p w14:paraId="224F10BF">
      <w:pPr>
        <w:adjustRightInd w:val="0"/>
        <w:snapToGrid w:val="0"/>
        <w:spacing w:line="480" w:lineRule="exact"/>
        <w:ind w:firstLine="465"/>
        <w:rPr>
          <w:rFonts w:ascii="仿宋" w:hAnsi="仿宋" w:eastAsia="仿宋" w:cs="仿宋"/>
          <w:sz w:val="24"/>
          <w:szCs w:val="24"/>
        </w:rPr>
      </w:pPr>
      <w:r>
        <w:rPr>
          <w:rFonts w:hint="eastAsia" w:ascii="仿宋" w:hAnsi="仿宋" w:eastAsia="仿宋" w:cs="仿宋"/>
          <w:sz w:val="24"/>
          <w:szCs w:val="24"/>
        </w:rPr>
        <w:t>2、除非在投标文件中提出的分包项目和建议的分包人，乙方不得采用分包方式履行合同。</w:t>
      </w:r>
    </w:p>
    <w:p w14:paraId="4E423E36">
      <w:pPr>
        <w:adjustRightInd w:val="0"/>
        <w:snapToGrid w:val="0"/>
        <w:spacing w:line="480" w:lineRule="exact"/>
        <w:ind w:firstLine="465" w:firstLineChars="0"/>
        <w:rPr>
          <w:rFonts w:ascii="仿宋" w:hAnsi="仿宋" w:eastAsia="仿宋" w:cs="仿宋"/>
          <w:sz w:val="24"/>
          <w:szCs w:val="24"/>
        </w:rPr>
      </w:pPr>
      <w:r>
        <w:rPr>
          <w:rFonts w:hint="eastAsia" w:ascii="仿宋" w:hAnsi="仿宋" w:eastAsia="仿宋" w:cs="仿宋"/>
          <w:sz w:val="24"/>
          <w:szCs w:val="24"/>
        </w:rPr>
        <w:t>3、在合同实施过程中，除非乙方违约，甲方不得指定分包人。</w:t>
      </w:r>
    </w:p>
    <w:p w14:paraId="5E597AC0">
      <w:pPr>
        <w:adjustRightInd w:val="0"/>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4、技术附件为本合同不可分割的有效组成部分，具有同等法律效力；若技术附件与本合同有矛盾，按照以下原则处理：（1）</w:t>
      </w:r>
      <w:r>
        <w:rPr>
          <w:rFonts w:ascii="仿宋" w:hAnsi="仿宋" w:eastAsia="仿宋" w:cs="仿宋"/>
          <w:sz w:val="24"/>
          <w:szCs w:val="24"/>
        </w:rPr>
        <w:t>涉及商务条款、付款、违约责任、争议解决、知识产权、保密、风险负担的，</w:t>
      </w:r>
      <w:r>
        <w:rPr>
          <w:rFonts w:hint="eastAsia" w:ascii="仿宋" w:hAnsi="仿宋" w:eastAsia="仿宋" w:cs="仿宋"/>
          <w:sz w:val="24"/>
          <w:szCs w:val="24"/>
        </w:rPr>
        <w:t>以本合同正文为准。</w:t>
      </w:r>
      <w:r>
        <w:rPr>
          <w:rFonts w:ascii="仿宋" w:hAnsi="仿宋" w:eastAsia="仿宋" w:cs="仿宋"/>
          <w:sz w:val="24"/>
          <w:szCs w:val="24"/>
        </w:rPr>
        <w:t>（2）涉及设备技术指标、交付资料的，以《技术附件》中的专门约定为准</w:t>
      </w:r>
      <w:r>
        <w:rPr>
          <w:rFonts w:hint="eastAsia" w:ascii="仿宋" w:hAnsi="仿宋" w:eastAsia="仿宋" w:cs="仿宋"/>
          <w:sz w:val="24"/>
          <w:szCs w:val="24"/>
        </w:rPr>
        <w:t>。</w:t>
      </w:r>
    </w:p>
    <w:p w14:paraId="4C2FBA47">
      <w:pPr>
        <w:adjustRightInd w:val="0"/>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5、合同涂改无效、在合同执行过程中如有变动或其它未尽事宜，须经双方签订补充协议。</w:t>
      </w:r>
    </w:p>
    <w:p w14:paraId="54A9EBED">
      <w:pPr>
        <w:adjustRightInd w:val="0"/>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6、除了双方签署书面协议，并成为合同不可分割的一部分之外，本合同条件不得有任何变更。</w:t>
      </w:r>
    </w:p>
    <w:p w14:paraId="5E0A22BD">
      <w:pPr>
        <w:adjustRightInd w:val="0"/>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7、本合同一式六份，甲方执四份，乙方执两份，，具有同等法律效力，本合同经双方法定代表人（负责人）或授权代表签字并加盖公章或合同章后生效。</w:t>
      </w:r>
    </w:p>
    <w:p w14:paraId="45E38A8C">
      <w:pPr>
        <w:adjustRightInd w:val="0"/>
        <w:snapToGrid w:val="0"/>
        <w:spacing w:line="480" w:lineRule="exact"/>
        <w:jc w:val="center"/>
        <w:rPr>
          <w:rFonts w:ascii="仿宋" w:hAnsi="仿宋" w:eastAsia="仿宋" w:cs="仿宋"/>
          <w:sz w:val="24"/>
          <w:szCs w:val="24"/>
        </w:rPr>
      </w:pPr>
    </w:p>
    <w:p w14:paraId="4546E730">
      <w:pPr>
        <w:adjustRightInd w:val="0"/>
        <w:snapToGrid w:val="0"/>
        <w:spacing w:line="480" w:lineRule="exact"/>
        <w:rPr>
          <w:rFonts w:ascii="仿宋" w:hAnsi="仿宋" w:eastAsia="仿宋" w:cs="仿宋"/>
          <w:sz w:val="24"/>
          <w:szCs w:val="24"/>
        </w:rPr>
      </w:pPr>
      <w:r>
        <w:rPr>
          <w:rFonts w:hint="eastAsia" w:ascii="仿宋" w:hAnsi="仿宋" w:eastAsia="仿宋" w:cs="仿宋"/>
          <w:sz w:val="24"/>
          <w:szCs w:val="24"/>
        </w:rPr>
        <w:t>（以下无正文，为合同签署部分）</w:t>
      </w:r>
    </w:p>
    <w:tbl>
      <w:tblPr>
        <w:tblStyle w:val="28"/>
        <w:tblpPr w:leftFromText="180" w:rightFromText="180" w:vertAnchor="text" w:horzAnchor="page" w:tblpX="1412" w:tblpY="426"/>
        <w:tblOverlap w:val="never"/>
        <w:tblW w:w="9180" w:type="dxa"/>
        <w:tblInd w:w="0" w:type="dxa"/>
        <w:tblLayout w:type="fixed"/>
        <w:tblCellMar>
          <w:top w:w="0" w:type="dxa"/>
          <w:left w:w="108" w:type="dxa"/>
          <w:bottom w:w="0" w:type="dxa"/>
          <w:right w:w="108" w:type="dxa"/>
        </w:tblCellMar>
      </w:tblPr>
      <w:tblGrid>
        <w:gridCol w:w="4487"/>
        <w:gridCol w:w="4693"/>
      </w:tblGrid>
      <w:tr w14:paraId="3333CA17">
        <w:tblPrEx>
          <w:tblCellMar>
            <w:top w:w="0" w:type="dxa"/>
            <w:left w:w="108" w:type="dxa"/>
            <w:bottom w:w="0" w:type="dxa"/>
            <w:right w:w="108" w:type="dxa"/>
          </w:tblCellMar>
        </w:tblPrEx>
        <w:trPr>
          <w:cantSplit/>
        </w:trPr>
        <w:tc>
          <w:tcPr>
            <w:tcW w:w="4487" w:type="dxa"/>
          </w:tcPr>
          <w:p w14:paraId="4C1FFD78">
            <w:pPr>
              <w:adjustRightInd w:val="0"/>
              <w:snapToGrid w:val="0"/>
              <w:rPr>
                <w:rFonts w:ascii="仿宋" w:hAnsi="仿宋" w:eastAsia="仿宋" w:cs="仿宋"/>
                <w:sz w:val="24"/>
                <w:szCs w:val="24"/>
              </w:rPr>
            </w:pPr>
            <w:r>
              <w:rPr>
                <w:rFonts w:hint="eastAsia" w:ascii="仿宋" w:hAnsi="仿宋" w:eastAsia="仿宋" w:cs="仿宋"/>
                <w:color w:val="000000"/>
                <w:sz w:val="24"/>
                <w:szCs w:val="24"/>
              </w:rPr>
              <w:t>甲方：</w:t>
            </w:r>
            <w:r>
              <w:rPr>
                <w:rFonts w:hint="eastAsia" w:ascii="仿宋" w:hAnsi="仿宋" w:eastAsia="仿宋" w:cs="仿宋"/>
                <w:sz w:val="24"/>
                <w:szCs w:val="24"/>
              </w:rPr>
              <w:t>哈尔滨工业大学（深圳）</w:t>
            </w:r>
          </w:p>
          <w:p w14:paraId="024BC70E">
            <w:pPr>
              <w:adjustRightInd w:val="0"/>
              <w:snapToGrid w:val="0"/>
              <w:rPr>
                <w:rFonts w:ascii="仿宋" w:hAnsi="仿宋" w:eastAsia="仿宋" w:cs="仿宋"/>
                <w:color w:val="000000"/>
                <w:sz w:val="24"/>
                <w:szCs w:val="24"/>
              </w:rPr>
            </w:pPr>
            <w:r>
              <w:rPr>
                <w:rFonts w:hint="eastAsia" w:ascii="仿宋" w:hAnsi="仿宋" w:eastAsia="仿宋" w:cs="仿宋"/>
                <w:color w:val="000000"/>
                <w:sz w:val="24"/>
                <w:szCs w:val="24"/>
              </w:rPr>
              <w:t>（盖章）</w:t>
            </w:r>
          </w:p>
        </w:tc>
        <w:tc>
          <w:tcPr>
            <w:tcW w:w="4693" w:type="dxa"/>
          </w:tcPr>
          <w:p w14:paraId="30200B20">
            <w:pPr>
              <w:pStyle w:val="88"/>
              <w:adjustRightInd w:val="0"/>
              <w:snapToGrid w:val="0"/>
              <w:rPr>
                <w:rFonts w:ascii="仿宋" w:hAnsi="仿宋" w:eastAsia="仿宋" w:cs="仿宋"/>
                <w:color w:val="000000"/>
                <w:sz w:val="24"/>
                <w:szCs w:val="24"/>
              </w:rPr>
            </w:pPr>
            <w:r>
              <w:rPr>
                <w:rFonts w:hint="eastAsia" w:ascii="仿宋" w:hAnsi="仿宋" w:eastAsia="仿宋" w:cs="仿宋"/>
                <w:color w:val="000000"/>
                <w:sz w:val="24"/>
                <w:szCs w:val="24"/>
              </w:rPr>
              <w:t xml:space="preserve">乙方：                     </w:t>
            </w:r>
          </w:p>
          <w:p w14:paraId="58579674">
            <w:pPr>
              <w:pStyle w:val="88"/>
              <w:adjustRightInd w:val="0"/>
              <w:snapToGrid w:val="0"/>
              <w:rPr>
                <w:rFonts w:ascii="仿宋" w:hAnsi="仿宋" w:eastAsia="仿宋" w:cs="仿宋"/>
                <w:sz w:val="24"/>
                <w:szCs w:val="24"/>
              </w:rPr>
            </w:pPr>
            <w:r>
              <w:rPr>
                <w:rFonts w:hint="eastAsia" w:ascii="仿宋" w:hAnsi="仿宋" w:eastAsia="仿宋" w:cs="仿宋"/>
                <w:color w:val="000000"/>
                <w:sz w:val="24"/>
                <w:szCs w:val="24"/>
              </w:rPr>
              <w:t xml:space="preserve">(盖章) </w:t>
            </w:r>
          </w:p>
        </w:tc>
      </w:tr>
      <w:tr w14:paraId="324FB5A1">
        <w:tblPrEx>
          <w:tblCellMar>
            <w:top w:w="0" w:type="dxa"/>
            <w:left w:w="108" w:type="dxa"/>
            <w:bottom w:w="0" w:type="dxa"/>
            <w:right w:w="108" w:type="dxa"/>
          </w:tblCellMar>
        </w:tblPrEx>
        <w:trPr>
          <w:cantSplit/>
        </w:trPr>
        <w:tc>
          <w:tcPr>
            <w:tcW w:w="4487" w:type="dxa"/>
          </w:tcPr>
          <w:p w14:paraId="64DCA80C">
            <w:pPr>
              <w:adjustRightInd w:val="0"/>
              <w:snapToGrid w:val="0"/>
              <w:rPr>
                <w:rFonts w:ascii="仿宋" w:hAnsi="仿宋" w:eastAsia="仿宋" w:cs="仿宋"/>
                <w:color w:val="000000"/>
                <w:sz w:val="24"/>
                <w:szCs w:val="24"/>
              </w:rPr>
            </w:pPr>
            <w:r>
              <w:rPr>
                <w:rFonts w:hint="eastAsia" w:ascii="仿宋" w:hAnsi="仿宋" w:eastAsia="仿宋" w:cs="仿宋"/>
                <w:color w:val="000000"/>
                <w:sz w:val="24"/>
                <w:szCs w:val="24"/>
              </w:rPr>
              <w:t>法定代表人（负责人）或</w:t>
            </w:r>
          </w:p>
          <w:p w14:paraId="0027D072">
            <w:pPr>
              <w:adjustRightInd w:val="0"/>
              <w:snapToGrid w:val="0"/>
              <w:rPr>
                <w:rFonts w:ascii="仿宋" w:hAnsi="仿宋" w:eastAsia="仿宋" w:cs="仿宋"/>
                <w:color w:val="000000"/>
                <w:sz w:val="24"/>
                <w:szCs w:val="24"/>
              </w:rPr>
            </w:pPr>
            <w:r>
              <w:rPr>
                <w:rFonts w:hint="eastAsia" w:ascii="仿宋" w:hAnsi="仿宋" w:eastAsia="仿宋" w:cs="仿宋"/>
                <w:color w:val="000000"/>
                <w:sz w:val="24"/>
                <w:szCs w:val="24"/>
              </w:rPr>
              <w:t>授权代表（签字）：</w:t>
            </w:r>
          </w:p>
        </w:tc>
        <w:tc>
          <w:tcPr>
            <w:tcW w:w="4693" w:type="dxa"/>
          </w:tcPr>
          <w:p w14:paraId="1274511A">
            <w:pPr>
              <w:adjustRightInd w:val="0"/>
              <w:snapToGrid w:val="0"/>
              <w:rPr>
                <w:rFonts w:ascii="仿宋" w:hAnsi="仿宋" w:eastAsia="仿宋" w:cs="仿宋"/>
                <w:color w:val="000000"/>
                <w:sz w:val="24"/>
                <w:szCs w:val="24"/>
              </w:rPr>
            </w:pPr>
            <w:r>
              <w:rPr>
                <w:rFonts w:hint="eastAsia" w:ascii="仿宋" w:hAnsi="仿宋" w:eastAsia="仿宋" w:cs="仿宋"/>
                <w:color w:val="000000"/>
                <w:sz w:val="24"/>
                <w:szCs w:val="24"/>
              </w:rPr>
              <w:t>法定代表人（负责人）或</w:t>
            </w:r>
          </w:p>
          <w:p w14:paraId="135801F4">
            <w:pPr>
              <w:adjustRightInd w:val="0"/>
              <w:snapToGrid w:val="0"/>
              <w:rPr>
                <w:rFonts w:ascii="仿宋" w:hAnsi="仿宋" w:eastAsia="仿宋" w:cs="仿宋"/>
                <w:color w:val="000000"/>
                <w:sz w:val="24"/>
                <w:szCs w:val="24"/>
              </w:rPr>
            </w:pPr>
            <w:r>
              <w:rPr>
                <w:rFonts w:hint="eastAsia" w:ascii="仿宋" w:hAnsi="仿宋" w:eastAsia="仿宋" w:cs="仿宋"/>
                <w:color w:val="000000"/>
                <w:sz w:val="24"/>
                <w:szCs w:val="24"/>
              </w:rPr>
              <w:t>授权代表（签字）：</w:t>
            </w:r>
          </w:p>
        </w:tc>
      </w:tr>
      <w:tr w14:paraId="22304CAA">
        <w:tblPrEx>
          <w:tblCellMar>
            <w:top w:w="0" w:type="dxa"/>
            <w:left w:w="108" w:type="dxa"/>
            <w:bottom w:w="0" w:type="dxa"/>
            <w:right w:w="108" w:type="dxa"/>
          </w:tblCellMar>
        </w:tblPrEx>
        <w:trPr>
          <w:cantSplit/>
        </w:trPr>
        <w:tc>
          <w:tcPr>
            <w:tcW w:w="4487" w:type="dxa"/>
          </w:tcPr>
          <w:p w14:paraId="36F7B22B">
            <w:pPr>
              <w:adjustRightInd w:val="0"/>
              <w:snapToGrid w:val="0"/>
              <w:rPr>
                <w:rFonts w:ascii="仿宋" w:hAnsi="仿宋" w:eastAsia="仿宋" w:cs="仿宋"/>
                <w:color w:val="000000"/>
                <w:sz w:val="24"/>
                <w:szCs w:val="24"/>
              </w:rPr>
            </w:pPr>
            <w:r>
              <w:rPr>
                <w:rFonts w:hint="eastAsia" w:ascii="仿宋" w:hAnsi="仿宋" w:eastAsia="仿宋" w:cs="仿宋"/>
                <w:color w:val="000000"/>
                <w:sz w:val="24"/>
                <w:szCs w:val="24"/>
              </w:rPr>
              <w:t>签订日期：</w:t>
            </w:r>
          </w:p>
        </w:tc>
        <w:tc>
          <w:tcPr>
            <w:tcW w:w="4693" w:type="dxa"/>
          </w:tcPr>
          <w:p w14:paraId="577AEF04">
            <w:pPr>
              <w:adjustRightInd w:val="0"/>
              <w:snapToGrid w:val="0"/>
              <w:rPr>
                <w:rFonts w:ascii="仿宋" w:hAnsi="仿宋" w:eastAsia="仿宋" w:cs="仿宋"/>
                <w:color w:val="000000"/>
                <w:sz w:val="24"/>
                <w:szCs w:val="24"/>
              </w:rPr>
            </w:pPr>
            <w:r>
              <w:rPr>
                <w:rFonts w:hint="eastAsia" w:ascii="仿宋" w:hAnsi="仿宋" w:eastAsia="仿宋" w:cs="仿宋"/>
                <w:color w:val="000000"/>
                <w:sz w:val="24"/>
                <w:szCs w:val="24"/>
              </w:rPr>
              <w:t>签订日期：</w:t>
            </w:r>
          </w:p>
        </w:tc>
      </w:tr>
      <w:tr w14:paraId="4430D44D">
        <w:tblPrEx>
          <w:tblCellMar>
            <w:top w:w="0" w:type="dxa"/>
            <w:left w:w="108" w:type="dxa"/>
            <w:bottom w:w="0" w:type="dxa"/>
            <w:right w:w="108" w:type="dxa"/>
          </w:tblCellMar>
        </w:tblPrEx>
        <w:trPr>
          <w:cantSplit/>
        </w:trPr>
        <w:tc>
          <w:tcPr>
            <w:tcW w:w="4487" w:type="dxa"/>
          </w:tcPr>
          <w:p w14:paraId="31F9D1ED">
            <w:pPr>
              <w:adjustRightInd w:val="0"/>
              <w:snapToGrid w:val="0"/>
              <w:rPr>
                <w:rFonts w:ascii="仿宋" w:hAnsi="仿宋" w:eastAsia="仿宋" w:cs="仿宋"/>
                <w:color w:val="000000"/>
                <w:sz w:val="24"/>
                <w:szCs w:val="24"/>
              </w:rPr>
            </w:pPr>
            <w:r>
              <w:rPr>
                <w:rFonts w:hint="eastAsia" w:ascii="仿宋" w:hAnsi="仿宋" w:eastAsia="仿宋" w:cs="仿宋"/>
                <w:color w:val="000000"/>
                <w:sz w:val="24"/>
                <w:szCs w:val="24"/>
              </w:rPr>
              <w:t>地址：广东深圳西丽大学城哈工大园区</w:t>
            </w:r>
          </w:p>
        </w:tc>
        <w:tc>
          <w:tcPr>
            <w:tcW w:w="4693" w:type="dxa"/>
          </w:tcPr>
          <w:p w14:paraId="57F74577">
            <w:pPr>
              <w:pStyle w:val="88"/>
              <w:adjustRightInd w:val="0"/>
              <w:snapToGrid w:val="0"/>
              <w:rPr>
                <w:rFonts w:ascii="仿宋" w:hAnsi="仿宋" w:eastAsia="仿宋" w:cs="仿宋"/>
                <w:sz w:val="24"/>
                <w:szCs w:val="24"/>
              </w:rPr>
            </w:pPr>
            <w:r>
              <w:rPr>
                <w:rFonts w:hint="eastAsia" w:ascii="仿宋" w:hAnsi="仿宋" w:eastAsia="仿宋" w:cs="仿宋"/>
                <w:color w:val="000000"/>
                <w:sz w:val="24"/>
                <w:szCs w:val="24"/>
              </w:rPr>
              <w:t xml:space="preserve">地址： </w:t>
            </w:r>
          </w:p>
        </w:tc>
      </w:tr>
      <w:tr w14:paraId="6281A2B2">
        <w:tblPrEx>
          <w:tblCellMar>
            <w:top w:w="0" w:type="dxa"/>
            <w:left w:w="108" w:type="dxa"/>
            <w:bottom w:w="0" w:type="dxa"/>
            <w:right w:w="108" w:type="dxa"/>
          </w:tblCellMar>
        </w:tblPrEx>
        <w:trPr>
          <w:cantSplit/>
        </w:trPr>
        <w:tc>
          <w:tcPr>
            <w:tcW w:w="4487" w:type="dxa"/>
          </w:tcPr>
          <w:p w14:paraId="204D614C">
            <w:pPr>
              <w:adjustRightInd w:val="0"/>
              <w:snapToGrid w:val="0"/>
              <w:rPr>
                <w:rFonts w:ascii="仿宋" w:hAnsi="仿宋" w:eastAsia="仿宋" w:cs="仿宋"/>
                <w:color w:val="000000"/>
                <w:sz w:val="24"/>
                <w:szCs w:val="24"/>
              </w:rPr>
            </w:pPr>
            <w:r>
              <w:rPr>
                <w:rFonts w:hint="eastAsia" w:ascii="仿宋" w:hAnsi="仿宋" w:eastAsia="仿宋" w:cs="仿宋"/>
                <w:color w:val="000000"/>
                <w:sz w:val="24"/>
                <w:szCs w:val="24"/>
              </w:rPr>
              <w:t>联系人：</w:t>
            </w:r>
          </w:p>
        </w:tc>
        <w:tc>
          <w:tcPr>
            <w:tcW w:w="4693" w:type="dxa"/>
          </w:tcPr>
          <w:p w14:paraId="539A537C">
            <w:pPr>
              <w:adjustRightInd w:val="0"/>
              <w:snapToGrid w:val="0"/>
              <w:rPr>
                <w:rFonts w:ascii="仿宋" w:hAnsi="仿宋" w:eastAsia="仿宋" w:cs="仿宋"/>
                <w:color w:val="000000"/>
                <w:sz w:val="24"/>
                <w:szCs w:val="24"/>
              </w:rPr>
            </w:pPr>
            <w:r>
              <w:rPr>
                <w:rFonts w:hint="eastAsia" w:ascii="仿宋" w:hAnsi="仿宋" w:eastAsia="仿宋" w:cs="仿宋"/>
                <w:color w:val="000000"/>
                <w:sz w:val="24"/>
                <w:szCs w:val="24"/>
              </w:rPr>
              <w:t>联系人：</w:t>
            </w:r>
          </w:p>
        </w:tc>
      </w:tr>
      <w:tr w14:paraId="61E113B4">
        <w:tblPrEx>
          <w:tblCellMar>
            <w:top w:w="0" w:type="dxa"/>
            <w:left w:w="108" w:type="dxa"/>
            <w:bottom w:w="0" w:type="dxa"/>
            <w:right w:w="108" w:type="dxa"/>
          </w:tblCellMar>
        </w:tblPrEx>
        <w:trPr>
          <w:cantSplit/>
        </w:trPr>
        <w:tc>
          <w:tcPr>
            <w:tcW w:w="4487" w:type="dxa"/>
          </w:tcPr>
          <w:p w14:paraId="224B8106">
            <w:pPr>
              <w:adjustRightInd w:val="0"/>
              <w:snapToGrid w:val="0"/>
              <w:rPr>
                <w:rFonts w:ascii="仿宋" w:hAnsi="仿宋" w:eastAsia="仿宋" w:cs="仿宋"/>
                <w:color w:val="000000"/>
                <w:sz w:val="24"/>
                <w:szCs w:val="24"/>
              </w:rPr>
            </w:pPr>
            <w:r>
              <w:rPr>
                <w:rFonts w:hint="eastAsia" w:ascii="仿宋" w:hAnsi="仿宋" w:eastAsia="仿宋" w:cs="仿宋"/>
                <w:color w:val="000000"/>
                <w:sz w:val="24"/>
                <w:szCs w:val="24"/>
              </w:rPr>
              <w:t>电话：</w:t>
            </w:r>
          </w:p>
        </w:tc>
        <w:tc>
          <w:tcPr>
            <w:tcW w:w="4693" w:type="dxa"/>
          </w:tcPr>
          <w:p w14:paraId="45A18E68">
            <w:pPr>
              <w:adjustRightInd w:val="0"/>
              <w:snapToGrid w:val="0"/>
              <w:rPr>
                <w:rFonts w:ascii="仿宋" w:hAnsi="仿宋" w:eastAsia="仿宋" w:cs="仿宋"/>
                <w:color w:val="000000"/>
                <w:sz w:val="24"/>
                <w:szCs w:val="24"/>
              </w:rPr>
            </w:pPr>
            <w:r>
              <w:rPr>
                <w:rFonts w:hint="eastAsia" w:ascii="仿宋" w:hAnsi="仿宋" w:eastAsia="仿宋" w:cs="仿宋"/>
                <w:color w:val="000000"/>
                <w:sz w:val="24"/>
                <w:szCs w:val="24"/>
              </w:rPr>
              <w:t>电话：</w:t>
            </w:r>
          </w:p>
        </w:tc>
      </w:tr>
      <w:tr w14:paraId="16FA0F9E">
        <w:tblPrEx>
          <w:tblCellMar>
            <w:top w:w="0" w:type="dxa"/>
            <w:left w:w="108" w:type="dxa"/>
            <w:bottom w:w="0" w:type="dxa"/>
            <w:right w:w="108" w:type="dxa"/>
          </w:tblCellMar>
        </w:tblPrEx>
        <w:trPr>
          <w:cantSplit/>
        </w:trPr>
        <w:tc>
          <w:tcPr>
            <w:tcW w:w="4487" w:type="dxa"/>
          </w:tcPr>
          <w:p w14:paraId="12BDDE20">
            <w:pPr>
              <w:adjustRightInd w:val="0"/>
              <w:snapToGrid w:val="0"/>
              <w:rPr>
                <w:rFonts w:ascii="仿宋" w:hAnsi="仿宋" w:eastAsia="仿宋" w:cs="仿宋"/>
                <w:color w:val="000000"/>
                <w:sz w:val="24"/>
                <w:szCs w:val="24"/>
              </w:rPr>
            </w:pPr>
            <w:r>
              <w:rPr>
                <w:rFonts w:hint="eastAsia" w:ascii="仿宋" w:hAnsi="仿宋" w:eastAsia="仿宋" w:cs="仿宋"/>
                <w:color w:val="000000"/>
                <w:sz w:val="24"/>
                <w:szCs w:val="24"/>
              </w:rPr>
              <w:t>传真：</w:t>
            </w:r>
          </w:p>
          <w:p w14:paraId="18FF1D29">
            <w:pPr>
              <w:adjustRightInd w:val="0"/>
              <w:snapToGrid w:val="0"/>
              <w:rPr>
                <w:rFonts w:ascii="仿宋" w:hAnsi="仿宋" w:eastAsia="仿宋" w:cs="仿宋"/>
                <w:color w:val="000000"/>
                <w:sz w:val="24"/>
                <w:szCs w:val="24"/>
              </w:rPr>
            </w:pPr>
            <w:r>
              <w:rPr>
                <w:rFonts w:hint="eastAsia" w:ascii="仿宋" w:hAnsi="仿宋" w:eastAsia="仿宋" w:cs="仿宋"/>
                <w:color w:val="000000"/>
                <w:sz w:val="24"/>
                <w:szCs w:val="24"/>
              </w:rPr>
              <w:t>Email:</w:t>
            </w:r>
          </w:p>
        </w:tc>
        <w:tc>
          <w:tcPr>
            <w:tcW w:w="4693" w:type="dxa"/>
          </w:tcPr>
          <w:p w14:paraId="0E0E75D4">
            <w:pPr>
              <w:adjustRightInd w:val="0"/>
              <w:snapToGrid w:val="0"/>
              <w:rPr>
                <w:rFonts w:ascii="仿宋" w:hAnsi="仿宋" w:eastAsia="仿宋" w:cs="仿宋"/>
                <w:color w:val="000000"/>
                <w:sz w:val="24"/>
                <w:szCs w:val="24"/>
              </w:rPr>
            </w:pPr>
            <w:r>
              <w:rPr>
                <w:rFonts w:hint="eastAsia" w:ascii="仿宋" w:hAnsi="仿宋" w:eastAsia="仿宋" w:cs="仿宋"/>
                <w:color w:val="000000"/>
                <w:sz w:val="24"/>
                <w:szCs w:val="24"/>
              </w:rPr>
              <w:t>传真：</w:t>
            </w:r>
          </w:p>
          <w:p w14:paraId="5BCB07E0">
            <w:pPr>
              <w:adjustRightInd w:val="0"/>
              <w:snapToGrid w:val="0"/>
              <w:rPr>
                <w:rFonts w:ascii="仿宋" w:hAnsi="仿宋" w:eastAsia="仿宋" w:cs="仿宋"/>
                <w:color w:val="000000"/>
                <w:sz w:val="24"/>
                <w:szCs w:val="24"/>
              </w:rPr>
            </w:pPr>
            <w:r>
              <w:rPr>
                <w:rFonts w:hint="eastAsia" w:ascii="仿宋" w:hAnsi="仿宋" w:eastAsia="仿宋" w:cs="仿宋"/>
                <w:color w:val="000000"/>
                <w:sz w:val="24"/>
                <w:szCs w:val="24"/>
              </w:rPr>
              <w:t>Email:</w:t>
            </w:r>
          </w:p>
        </w:tc>
      </w:tr>
      <w:tr w14:paraId="72CD3769">
        <w:tblPrEx>
          <w:tblCellMar>
            <w:top w:w="0" w:type="dxa"/>
            <w:left w:w="108" w:type="dxa"/>
            <w:bottom w:w="0" w:type="dxa"/>
            <w:right w:w="108" w:type="dxa"/>
          </w:tblCellMar>
        </w:tblPrEx>
        <w:trPr>
          <w:cantSplit/>
        </w:trPr>
        <w:tc>
          <w:tcPr>
            <w:tcW w:w="4487" w:type="dxa"/>
          </w:tcPr>
          <w:p w14:paraId="1235E1D0">
            <w:pPr>
              <w:pStyle w:val="23"/>
              <w:adjustRightInd w:val="0"/>
              <w:snapToGrid w:val="0"/>
              <w:spacing w:before="0" w:beforeAutospacing="0" w:after="0" w:afterAutospacing="0"/>
              <w:jc w:val="both"/>
              <w:rPr>
                <w:rFonts w:ascii="仿宋" w:hAnsi="仿宋" w:eastAsia="仿宋" w:cs="仿宋"/>
                <w:color w:val="000000"/>
              </w:rPr>
            </w:pPr>
            <w:r>
              <w:rPr>
                <w:rFonts w:hint="eastAsia" w:ascii="仿宋" w:hAnsi="仿宋" w:eastAsia="仿宋" w:cs="仿宋"/>
                <w:color w:val="000000"/>
              </w:rPr>
              <w:t>开户银行：平安银行深圳大学城支行</w:t>
            </w:r>
          </w:p>
        </w:tc>
        <w:tc>
          <w:tcPr>
            <w:tcW w:w="4693" w:type="dxa"/>
          </w:tcPr>
          <w:p w14:paraId="3824B1FE">
            <w:pPr>
              <w:adjustRightInd w:val="0"/>
              <w:snapToGrid w:val="0"/>
              <w:rPr>
                <w:rFonts w:ascii="仿宋" w:hAnsi="仿宋" w:eastAsia="仿宋" w:cs="仿宋"/>
                <w:color w:val="000000"/>
                <w:sz w:val="24"/>
                <w:szCs w:val="24"/>
              </w:rPr>
            </w:pPr>
            <w:r>
              <w:rPr>
                <w:rFonts w:hint="eastAsia" w:ascii="仿宋" w:hAnsi="仿宋" w:eastAsia="仿宋" w:cs="仿宋"/>
                <w:color w:val="000000"/>
                <w:sz w:val="24"/>
                <w:szCs w:val="24"/>
              </w:rPr>
              <w:t>开户银行：</w:t>
            </w:r>
          </w:p>
        </w:tc>
      </w:tr>
      <w:tr w14:paraId="3D5BF7B8">
        <w:tblPrEx>
          <w:tblCellMar>
            <w:top w:w="0" w:type="dxa"/>
            <w:left w:w="108" w:type="dxa"/>
            <w:bottom w:w="0" w:type="dxa"/>
            <w:right w:w="108" w:type="dxa"/>
          </w:tblCellMar>
        </w:tblPrEx>
        <w:trPr>
          <w:cantSplit/>
        </w:trPr>
        <w:tc>
          <w:tcPr>
            <w:tcW w:w="4487" w:type="dxa"/>
          </w:tcPr>
          <w:p w14:paraId="45D3A4B1">
            <w:pPr>
              <w:pStyle w:val="23"/>
              <w:adjustRightInd w:val="0"/>
              <w:snapToGrid w:val="0"/>
              <w:spacing w:before="0" w:beforeAutospacing="0" w:after="0" w:afterAutospacing="0"/>
              <w:jc w:val="both"/>
              <w:rPr>
                <w:rFonts w:ascii="仿宋" w:hAnsi="仿宋" w:eastAsia="仿宋" w:cs="仿宋"/>
              </w:rPr>
            </w:pPr>
            <w:r>
              <w:rPr>
                <w:rFonts w:hint="eastAsia" w:ascii="仿宋" w:hAnsi="仿宋" w:eastAsia="仿宋" w:cs="仿宋"/>
                <w:color w:val="000000"/>
              </w:rPr>
              <w:t>账号：0142100327638</w:t>
            </w:r>
          </w:p>
        </w:tc>
        <w:tc>
          <w:tcPr>
            <w:tcW w:w="4693" w:type="dxa"/>
          </w:tcPr>
          <w:p w14:paraId="6361E35B">
            <w:pPr>
              <w:adjustRightInd w:val="0"/>
              <w:snapToGrid w:val="0"/>
              <w:rPr>
                <w:rFonts w:ascii="仿宋" w:hAnsi="仿宋" w:eastAsia="仿宋" w:cs="仿宋"/>
                <w:color w:val="000000"/>
                <w:sz w:val="24"/>
                <w:szCs w:val="24"/>
              </w:rPr>
            </w:pPr>
            <w:r>
              <w:rPr>
                <w:rFonts w:hint="eastAsia" w:ascii="仿宋" w:hAnsi="仿宋" w:eastAsia="仿宋" w:cs="仿宋"/>
                <w:color w:val="000000"/>
                <w:sz w:val="24"/>
                <w:szCs w:val="24"/>
              </w:rPr>
              <w:t>账号：</w:t>
            </w:r>
          </w:p>
        </w:tc>
      </w:tr>
      <w:tr w14:paraId="564AA96F">
        <w:tblPrEx>
          <w:tblCellMar>
            <w:top w:w="0" w:type="dxa"/>
            <w:left w:w="108" w:type="dxa"/>
            <w:bottom w:w="0" w:type="dxa"/>
            <w:right w:w="108" w:type="dxa"/>
          </w:tblCellMar>
        </w:tblPrEx>
        <w:trPr>
          <w:cantSplit/>
        </w:trPr>
        <w:tc>
          <w:tcPr>
            <w:tcW w:w="4487" w:type="dxa"/>
          </w:tcPr>
          <w:p w14:paraId="0C3B29A2">
            <w:pPr>
              <w:pStyle w:val="23"/>
              <w:adjustRightInd w:val="0"/>
              <w:snapToGrid w:val="0"/>
              <w:spacing w:before="0" w:beforeAutospacing="0" w:after="0" w:afterAutospacing="0"/>
              <w:jc w:val="both"/>
              <w:rPr>
                <w:rFonts w:ascii="仿宋" w:hAnsi="仿宋" w:eastAsia="仿宋" w:cs="仿宋"/>
                <w:color w:val="000000"/>
              </w:rPr>
            </w:pPr>
            <w:r>
              <w:rPr>
                <w:rFonts w:hint="eastAsia" w:ascii="仿宋" w:hAnsi="仿宋" w:eastAsia="仿宋" w:cs="仿宋"/>
              </w:rPr>
              <w:t>统一社会信用代码</w:t>
            </w:r>
            <w:r>
              <w:rPr>
                <w:rFonts w:hint="eastAsia" w:ascii="仿宋" w:hAnsi="仿宋" w:eastAsia="仿宋" w:cs="仿宋"/>
                <w:color w:val="000000"/>
              </w:rPr>
              <w:t xml:space="preserve">：12440300MB2C762027 </w:t>
            </w:r>
          </w:p>
        </w:tc>
        <w:tc>
          <w:tcPr>
            <w:tcW w:w="4693" w:type="dxa"/>
          </w:tcPr>
          <w:p w14:paraId="54B8F2E2">
            <w:pPr>
              <w:adjustRightInd w:val="0"/>
              <w:snapToGrid w:val="0"/>
              <w:rPr>
                <w:rFonts w:ascii="仿宋" w:hAnsi="仿宋" w:eastAsia="仿宋" w:cs="仿宋"/>
                <w:color w:val="000000"/>
                <w:sz w:val="24"/>
                <w:szCs w:val="24"/>
              </w:rPr>
            </w:pPr>
            <w:r>
              <w:rPr>
                <w:rFonts w:hint="eastAsia" w:ascii="仿宋" w:hAnsi="仿宋" w:eastAsia="仿宋" w:cs="仿宋"/>
                <w:color w:val="000000"/>
                <w:sz w:val="24"/>
                <w:szCs w:val="24"/>
              </w:rPr>
              <w:t>税号：</w:t>
            </w:r>
          </w:p>
        </w:tc>
      </w:tr>
      <w:tr w14:paraId="7FDE9C59">
        <w:tblPrEx>
          <w:tblCellMar>
            <w:top w:w="0" w:type="dxa"/>
            <w:left w:w="108" w:type="dxa"/>
            <w:bottom w:w="0" w:type="dxa"/>
            <w:right w:w="108" w:type="dxa"/>
          </w:tblCellMar>
        </w:tblPrEx>
        <w:trPr>
          <w:cantSplit/>
        </w:trPr>
        <w:tc>
          <w:tcPr>
            <w:tcW w:w="4487" w:type="dxa"/>
          </w:tcPr>
          <w:p w14:paraId="0952DF4B">
            <w:pPr>
              <w:pStyle w:val="23"/>
              <w:adjustRightInd w:val="0"/>
              <w:snapToGrid w:val="0"/>
              <w:spacing w:before="0" w:beforeAutospacing="0" w:after="0" w:afterAutospacing="0"/>
              <w:jc w:val="both"/>
              <w:rPr>
                <w:rFonts w:ascii="仿宋" w:hAnsi="仿宋" w:eastAsia="仿宋" w:cs="仿宋"/>
                <w:color w:val="000000"/>
              </w:rPr>
            </w:pPr>
            <w:r>
              <w:rPr>
                <w:rFonts w:hint="eastAsia" w:ascii="仿宋" w:hAnsi="仿宋" w:eastAsia="仿宋" w:cs="仿宋"/>
                <w:color w:val="000000"/>
              </w:rPr>
              <w:t>开户行地址：深圳市南山区西丽大学城图书馆南侧一楼</w:t>
            </w:r>
          </w:p>
          <w:p w14:paraId="4B4CFD2A">
            <w:pPr>
              <w:adjustRightInd w:val="0"/>
              <w:snapToGrid w:val="0"/>
              <w:rPr>
                <w:rFonts w:ascii="仿宋" w:hAnsi="仿宋" w:eastAsia="仿宋" w:cs="仿宋"/>
                <w:color w:val="000000"/>
                <w:sz w:val="24"/>
                <w:szCs w:val="24"/>
              </w:rPr>
            </w:pPr>
          </w:p>
        </w:tc>
        <w:tc>
          <w:tcPr>
            <w:tcW w:w="4693" w:type="dxa"/>
          </w:tcPr>
          <w:p w14:paraId="63990195">
            <w:pPr>
              <w:pStyle w:val="88"/>
              <w:adjustRightInd w:val="0"/>
              <w:snapToGrid w:val="0"/>
              <w:rPr>
                <w:rFonts w:ascii="仿宋" w:hAnsi="仿宋" w:eastAsia="仿宋" w:cs="仿宋"/>
                <w:sz w:val="24"/>
                <w:szCs w:val="24"/>
              </w:rPr>
            </w:pPr>
            <w:r>
              <w:rPr>
                <w:rFonts w:hint="eastAsia" w:ascii="仿宋" w:hAnsi="仿宋" w:eastAsia="仿宋" w:cs="仿宋"/>
                <w:color w:val="000000"/>
                <w:sz w:val="24"/>
                <w:szCs w:val="24"/>
              </w:rPr>
              <w:t>开户行地址：</w:t>
            </w:r>
          </w:p>
        </w:tc>
      </w:tr>
    </w:tbl>
    <w:p w14:paraId="3217243E"/>
    <w:p w14:paraId="3CD63C8F">
      <w:pPr>
        <w:rPr>
          <w:rFonts w:ascii="仿宋" w:hAnsi="仿宋" w:eastAsia="仿宋"/>
          <w:b/>
          <w:color w:val="000000"/>
          <w:szCs w:val="21"/>
        </w:rPr>
      </w:pPr>
    </w:p>
    <w:p w14:paraId="01DE1238">
      <w:pPr>
        <w:rPr>
          <w:rFonts w:ascii="仿宋" w:hAnsi="仿宋" w:eastAsia="仿宋"/>
          <w:b/>
          <w:color w:val="000000"/>
          <w:szCs w:val="21"/>
        </w:rPr>
      </w:pPr>
    </w:p>
    <w:p w14:paraId="3F6DA0C5">
      <w:pPr>
        <w:rPr>
          <w:rFonts w:ascii="仿宋" w:hAnsi="仿宋" w:eastAsia="仿宋"/>
          <w:b/>
          <w:color w:val="000000"/>
          <w:szCs w:val="21"/>
        </w:rPr>
      </w:pPr>
    </w:p>
    <w:p w14:paraId="6BBD88C5">
      <w:pPr>
        <w:rPr>
          <w:rFonts w:ascii="仿宋" w:hAnsi="仿宋" w:eastAsia="仿宋"/>
        </w:rPr>
      </w:pPr>
    </w:p>
    <w:p w14:paraId="6134F14A">
      <w:pPr>
        <w:snapToGrid w:val="0"/>
        <w:spacing w:line="360" w:lineRule="auto"/>
        <w:ind w:firstLine="480" w:firstLineChars="200"/>
        <w:rPr>
          <w:rFonts w:ascii="宋体"/>
        </w:rPr>
      </w:pPr>
    </w:p>
    <w:p w14:paraId="47198A4F">
      <w:pPr>
        <w:pStyle w:val="23"/>
        <w:widowControl w:val="0"/>
        <w:spacing w:before="0" w:beforeAutospacing="0" w:after="0" w:afterAutospacing="0"/>
        <w:jc w:val="center"/>
        <w:outlineLvl w:val="0"/>
        <w:rPr>
          <w:b/>
          <w:bCs/>
          <w:color w:val="000000"/>
          <w:sz w:val="44"/>
          <w:szCs w:val="44"/>
        </w:rPr>
      </w:pPr>
      <w:r>
        <w:rPr>
          <w:rFonts w:hint="eastAsia"/>
          <w:b/>
          <w:bCs/>
          <w:color w:val="000000"/>
          <w:sz w:val="44"/>
          <w:szCs w:val="44"/>
        </w:rPr>
        <w:t>第二册  通用条款</w:t>
      </w:r>
    </w:p>
    <w:p w14:paraId="39DBDE27">
      <w:pPr>
        <w:widowControl w:val="0"/>
        <w:jc w:val="center"/>
        <w:rPr>
          <w:b/>
          <w:bCs/>
          <w:sz w:val="28"/>
          <w:szCs w:val="28"/>
        </w:rPr>
      </w:pPr>
    </w:p>
    <w:p w14:paraId="42E655C2">
      <w:pPr>
        <w:pStyle w:val="3"/>
        <w:rPr>
          <w:szCs w:val="28"/>
        </w:rPr>
      </w:pPr>
      <w:r>
        <w:rPr>
          <w:rFonts w:hint="eastAsia" w:ascii="宋体" w:hAnsi="宋体" w:eastAsia="宋体" w:cs="宋体"/>
          <w:szCs w:val="28"/>
        </w:rPr>
        <w:t>第</w:t>
      </w:r>
      <w:r>
        <w:rPr>
          <w:rFonts w:hint="eastAsia"/>
          <w:szCs w:val="28"/>
        </w:rPr>
        <w:t>一章  总则</w:t>
      </w:r>
    </w:p>
    <w:p w14:paraId="1974DA48">
      <w:pPr>
        <w:spacing w:line="288" w:lineRule="auto"/>
        <w:rPr>
          <w:rFonts w:ascii="宋体" w:hAnsi="宋体" w:eastAsia="宋体" w:cs="宋体"/>
          <w:b/>
          <w:bCs/>
          <w:sz w:val="21"/>
          <w:szCs w:val="21"/>
        </w:rPr>
      </w:pPr>
      <w:r>
        <w:rPr>
          <w:rFonts w:hint="eastAsia" w:ascii="宋体" w:hAnsi="宋体" w:eastAsia="宋体" w:cs="宋体"/>
          <w:b/>
          <w:bCs/>
          <w:sz w:val="21"/>
          <w:szCs w:val="21"/>
        </w:rPr>
        <w:t>1. 通用条款说明</w:t>
      </w:r>
    </w:p>
    <w:p w14:paraId="32E6B7BA">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1.1政府采购代理机构发出招标文件通用条款版本，列出深圳市政府采购项目进行招标采购所适用的通用条款内容。如有需要，政府采购代理机构可以对通用条款增加附录或补充内容。</w:t>
      </w:r>
    </w:p>
    <w:p w14:paraId="58231D8E">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1.2招标文件分为第一册“专用条款”和第二册“通用条款”。</w:t>
      </w:r>
    </w:p>
    <w:p w14:paraId="5631B942">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1.3“专用条款”是对本次采购项目的具体要求，包含招标公告、对通用条款的补充内容及其他关键信息、用户需求书、投标文件组成要求及格式、合同条款及参考格式等内容。</w:t>
      </w:r>
    </w:p>
    <w:p w14:paraId="4C9D0FAA">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1.4“通用条款”是适用于政府采购项目的基础性条款，具有普遍性和通用性。</w:t>
      </w:r>
    </w:p>
    <w:p w14:paraId="406EBBCF">
      <w:pPr>
        <w:ind w:firstLine="411" w:firstLineChars="196"/>
        <w:rPr>
          <w:rFonts w:ascii="宋体" w:hAnsi="宋体" w:eastAsia="宋体" w:cs="宋体"/>
          <w:sz w:val="21"/>
          <w:szCs w:val="21"/>
        </w:rPr>
      </w:pPr>
      <w:r>
        <w:rPr>
          <w:rFonts w:hint="eastAsia" w:ascii="宋体" w:hAnsi="宋体" w:eastAsia="宋体" w:cs="宋体"/>
          <w:sz w:val="21"/>
          <w:szCs w:val="21"/>
        </w:rPr>
        <w:t>1.5“专用条款”和“通用条款”表述不一致或有冲突时，以“专用条款”为准。</w:t>
      </w:r>
    </w:p>
    <w:p w14:paraId="7327BFE0">
      <w:pPr>
        <w:spacing w:line="288" w:lineRule="auto"/>
        <w:rPr>
          <w:rFonts w:ascii="宋体" w:hAnsi="宋体" w:eastAsia="宋体" w:cs="宋体"/>
          <w:b/>
          <w:bCs/>
          <w:sz w:val="21"/>
          <w:szCs w:val="21"/>
        </w:rPr>
      </w:pPr>
      <w:r>
        <w:rPr>
          <w:rFonts w:hint="eastAsia" w:ascii="宋体" w:hAnsi="宋体" w:eastAsia="宋体" w:cs="宋体"/>
          <w:b/>
          <w:bCs/>
          <w:sz w:val="21"/>
          <w:szCs w:val="21"/>
        </w:rPr>
        <w:t>2．招标说明</w:t>
      </w:r>
    </w:p>
    <w:p w14:paraId="56F8DFBF">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本项目按照《深圳经济特区政府采购条例》 《深圳经济特区政府采购条例实施细则》等规定，并参考有关法规，通过招标方式确定中标供应商。</w:t>
      </w:r>
    </w:p>
    <w:p w14:paraId="24AC8778">
      <w:pPr>
        <w:widowControl w:val="0"/>
        <w:spacing w:line="288" w:lineRule="auto"/>
        <w:rPr>
          <w:rFonts w:ascii="宋体" w:hAnsi="宋体" w:eastAsia="宋体" w:cs="宋体"/>
          <w:b/>
          <w:bCs/>
          <w:sz w:val="21"/>
          <w:szCs w:val="21"/>
        </w:rPr>
      </w:pPr>
      <w:r>
        <w:rPr>
          <w:rFonts w:hint="eastAsia" w:ascii="宋体" w:hAnsi="宋体" w:eastAsia="宋体" w:cs="宋体"/>
          <w:b/>
          <w:bCs/>
          <w:sz w:val="21"/>
          <w:szCs w:val="21"/>
        </w:rPr>
        <w:t>3．定义</w:t>
      </w:r>
    </w:p>
    <w:p w14:paraId="09D5BB59">
      <w:pPr>
        <w:widowControl w:val="0"/>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招标文件中下列术语应解释为：</w:t>
      </w:r>
    </w:p>
    <w:p w14:paraId="6780F403">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 xml:space="preserve">3.1“采购人”或“招标人”：指利用财政性资金依法进行政府采购的国家机关、事业单位、团体组织； </w:t>
      </w:r>
    </w:p>
    <w:p w14:paraId="591DF726">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3.2“政府采购代理机构”是依照国家法规设立的，从事对政府采购活动提供服务的专门机构；本文件所述的“政府采购代理机构”指中国远东国际招标有限公司（深圳分公司）；</w:t>
      </w:r>
    </w:p>
    <w:p w14:paraId="6D9F4165">
      <w:pPr>
        <w:widowControl w:val="0"/>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3.3“投标人”或“投标方”，即供应商，指参加投标竞争并愿意按照招标文件要求向采购人提供货物、工程或者服务的依法成立的法人、其他组织或者自然人；</w:t>
      </w:r>
    </w:p>
    <w:p w14:paraId="119CC2AB">
      <w:pPr>
        <w:widowControl w:val="0"/>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3.4“评审委员会”是依据《深圳经济特区政府采购条例》《深圳经济特区政府采购条例实施细则》等有关规定组建的专门负责本次招标其评标工作的临时性机构；</w:t>
      </w:r>
    </w:p>
    <w:p w14:paraId="45E4E114">
      <w:pPr>
        <w:widowControl w:val="0"/>
        <w:spacing w:line="288" w:lineRule="auto"/>
        <w:ind w:firstLine="411" w:firstLineChars="196"/>
        <w:rPr>
          <w:rFonts w:ascii="宋体" w:hAnsi="宋体" w:eastAsia="宋体" w:cs="宋体"/>
          <w:bCs/>
          <w:kern w:val="2"/>
          <w:sz w:val="21"/>
          <w:szCs w:val="21"/>
        </w:rPr>
      </w:pPr>
      <w:r>
        <w:rPr>
          <w:rFonts w:hint="eastAsia" w:ascii="宋体" w:hAnsi="宋体" w:eastAsia="宋体" w:cs="宋体"/>
          <w:sz w:val="21"/>
          <w:szCs w:val="21"/>
        </w:rPr>
        <w:t>3.5</w:t>
      </w:r>
      <w:r>
        <w:rPr>
          <w:rFonts w:hint="eastAsia" w:ascii="宋体" w:hAnsi="宋体" w:eastAsia="宋体" w:cs="宋体"/>
          <w:bCs/>
          <w:kern w:val="2"/>
          <w:sz w:val="21"/>
          <w:szCs w:val="21"/>
        </w:rPr>
        <w:t>“中标候选人”即“候选中标供应商”；</w:t>
      </w:r>
    </w:p>
    <w:p w14:paraId="789B96A0">
      <w:pPr>
        <w:widowControl w:val="0"/>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3.6“日期”指公历日；</w:t>
      </w:r>
    </w:p>
    <w:p w14:paraId="03EE7A94">
      <w:pPr>
        <w:widowControl w:val="0"/>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3.7“合同”指由本次招标所产生的合同或合约文件；</w:t>
      </w:r>
    </w:p>
    <w:p w14:paraId="6EE13C61">
      <w:pPr>
        <w:widowControl w:val="0"/>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3.8“电子投标文件”指在深圳政府采购智慧平台网站上传并加密后的电子投标文件,适用于网上投标；深圳政府采购智慧平台-投标文件制作专用软件操作手册下载地址：http://zfcg.szggzy.com:8081/cgxy/013001/20211208/5fd5d5c2-bcf4-42d4-aabc-56ad0607f856.html；投标文件制作软件下载地址：http://zfcg.szggzy.com:8081/cgxy/013002/20210923/173e0b2c-7a4c-4246-a0c7-e0ea75d84dd6.html；</w:t>
      </w:r>
    </w:p>
    <w:p w14:paraId="51D6536B">
      <w:pPr>
        <w:widowControl w:val="0"/>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3.9“网上投标”指通过深圳政府采购智慧平台网站上传电子投标文件；</w:t>
      </w:r>
    </w:p>
    <w:p w14:paraId="264B0537">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3.10招标文件中的标题或题名仅起引导作用，而不应视为对招标文件内容的理解和解释。</w:t>
      </w:r>
    </w:p>
    <w:p w14:paraId="2713E48D">
      <w:pPr>
        <w:spacing w:line="288" w:lineRule="auto"/>
        <w:rPr>
          <w:rFonts w:ascii="宋体" w:hAnsi="宋体" w:eastAsia="宋体" w:cs="宋体"/>
          <w:b/>
          <w:bCs/>
          <w:sz w:val="21"/>
          <w:szCs w:val="21"/>
        </w:rPr>
      </w:pPr>
      <w:r>
        <w:rPr>
          <w:rFonts w:hint="eastAsia" w:ascii="宋体" w:hAnsi="宋体" w:eastAsia="宋体" w:cs="宋体"/>
          <w:b/>
          <w:bCs/>
          <w:sz w:val="21"/>
          <w:szCs w:val="21"/>
        </w:rPr>
        <w:t>4. 政府采购供应商责任</w:t>
      </w:r>
    </w:p>
    <w:p w14:paraId="4133B955">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4.1欢迎诚信、有实力和有社会责任心的供应商参与政府采购事业。</w:t>
      </w:r>
    </w:p>
    <w:p w14:paraId="7859CFFC">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4.2投标人应当遵循公平竞争的原则，不得恶意串通，不得妨碍其他投标人的竞争行为，不得损害采购人或者其他投标人的合法权益。如违反上述要求，经核实后，供应商的投标无效。</w:t>
      </w:r>
    </w:p>
    <w:p w14:paraId="288CFC25">
      <w:pPr>
        <w:spacing w:line="288" w:lineRule="auto"/>
        <w:rPr>
          <w:rFonts w:ascii="宋体" w:hAnsi="宋体" w:eastAsia="宋体" w:cs="宋体"/>
          <w:b/>
          <w:bCs/>
          <w:sz w:val="21"/>
          <w:szCs w:val="21"/>
        </w:rPr>
      </w:pPr>
      <w:r>
        <w:rPr>
          <w:rFonts w:hint="eastAsia" w:ascii="宋体" w:hAnsi="宋体" w:eastAsia="宋体" w:cs="宋体"/>
          <w:b/>
          <w:bCs/>
          <w:sz w:val="21"/>
          <w:szCs w:val="21"/>
        </w:rPr>
        <w:t>5．投标人参加政府采购的条件</w:t>
      </w:r>
    </w:p>
    <w:p w14:paraId="43B1EC2F">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5.1投标人应在投标前联系深圳政府采购智慧平台工作人员进行注册并办理电子密钥。《</w:t>
      </w:r>
      <w:r>
        <w:fldChar w:fldCharType="begin"/>
      </w:r>
      <w:r>
        <w:instrText xml:space="preserve"> HYPERLINK "http://www.szzfcg.cn/viewer.do?id=2455258" \t "documentViewer2455258" </w:instrText>
      </w:r>
      <w:r>
        <w:fldChar w:fldCharType="separate"/>
      </w:r>
      <w:r>
        <w:rPr>
          <w:rFonts w:hint="eastAsia" w:ascii="宋体" w:hAnsi="宋体" w:eastAsia="宋体" w:cs="宋体"/>
          <w:sz w:val="21"/>
          <w:szCs w:val="21"/>
        </w:rPr>
        <w:t>供应商注册及电子密钥新申请指引</w:t>
      </w:r>
      <w:r>
        <w:rPr>
          <w:rFonts w:hint="eastAsia" w:ascii="宋体" w:hAnsi="宋体" w:eastAsia="宋体" w:cs="宋体"/>
          <w:sz w:val="21"/>
          <w:szCs w:val="21"/>
        </w:rPr>
        <w:fldChar w:fldCharType="end"/>
      </w:r>
      <w:r>
        <w:rPr>
          <w:rFonts w:hint="eastAsia" w:ascii="宋体" w:hAnsi="宋体" w:eastAsia="宋体" w:cs="宋体"/>
          <w:sz w:val="21"/>
          <w:szCs w:val="21"/>
        </w:rPr>
        <w:t>》详见http://zfcg.szggzy.com:8081/。</w:t>
      </w:r>
    </w:p>
    <w:p w14:paraId="1BBEB1A0">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5.2投标人的资格要求</w:t>
      </w:r>
    </w:p>
    <w:p w14:paraId="7DB105D6">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参加本项目的投标人应具备的资格条件详见本项目招标公告中 “投标人资格要求（即申请人的资格要求）”的内容。</w:t>
      </w:r>
    </w:p>
    <w:p w14:paraId="0B39E439">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5.3联合体投标</w:t>
      </w:r>
    </w:p>
    <w:p w14:paraId="46F50D63">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5.3.1　以下有关联合体投标的条款仅适用于允许投标人组成联合体投标的项目。</w:t>
      </w:r>
    </w:p>
    <w:p w14:paraId="420F6F06">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5.3.2  由两个或两个以上的自然人、法人或者其他组织可以组成一个联合体，以一个供应商的身份共同投标时，应符合以下原则：</w:t>
      </w:r>
    </w:p>
    <w:p w14:paraId="65230DC6">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（1）投标联合体各方参加政府采购活动应当具备下列条件：</w:t>
      </w:r>
    </w:p>
    <w:p w14:paraId="0CD4418B">
      <w:pPr>
        <w:spacing w:line="288" w:lineRule="auto"/>
        <w:ind w:left="480" w:leftChars="200" w:firstLine="411" w:firstLineChars="196"/>
        <w:rPr>
          <w:rFonts w:ascii="宋体" w:hAnsi="宋体" w:eastAsia="宋体" w:cs="宋体"/>
          <w:sz w:val="21"/>
          <w:szCs w:val="21"/>
        </w:rPr>
      </w:pPr>
      <w:r>
        <w:rPr>
          <w:rFonts w:hint="eastAsia" w:ascii="宋体" w:hAnsi="宋体" w:eastAsia="宋体" w:cs="宋体"/>
          <w:sz w:val="21"/>
          <w:szCs w:val="21"/>
        </w:rPr>
        <w:t>1、具有独立承担民事责任的能力；</w:t>
      </w:r>
    </w:p>
    <w:p w14:paraId="45E33874">
      <w:pPr>
        <w:spacing w:line="288" w:lineRule="auto"/>
        <w:ind w:left="420" w:firstLine="411" w:firstLineChars="196"/>
        <w:rPr>
          <w:rFonts w:ascii="宋体" w:hAnsi="宋体" w:eastAsia="宋体" w:cs="宋体"/>
          <w:sz w:val="21"/>
          <w:szCs w:val="21"/>
        </w:rPr>
      </w:pPr>
      <w:r>
        <w:rPr>
          <w:rFonts w:hint="eastAsia" w:ascii="宋体" w:hAnsi="宋体" w:eastAsia="宋体" w:cs="宋体"/>
          <w:sz w:val="21"/>
          <w:szCs w:val="21"/>
        </w:rPr>
        <w:t>2、有良好的商业信誉和健全的财务会计制度；</w:t>
      </w:r>
    </w:p>
    <w:p w14:paraId="38F99481">
      <w:pPr>
        <w:spacing w:line="288" w:lineRule="auto"/>
        <w:ind w:left="480" w:leftChars="200" w:firstLine="411" w:firstLineChars="196"/>
        <w:rPr>
          <w:rFonts w:ascii="宋体" w:hAnsi="宋体" w:eastAsia="宋体" w:cs="宋体"/>
          <w:sz w:val="21"/>
          <w:szCs w:val="21"/>
        </w:rPr>
      </w:pPr>
      <w:r>
        <w:rPr>
          <w:rFonts w:hint="eastAsia" w:ascii="宋体" w:hAnsi="宋体" w:eastAsia="宋体" w:cs="宋体"/>
          <w:sz w:val="21"/>
          <w:szCs w:val="21"/>
        </w:rPr>
        <w:t>3、具有履行合同所必需的设备和专业技术能力；</w:t>
      </w:r>
    </w:p>
    <w:p w14:paraId="59C2F4F3">
      <w:pPr>
        <w:spacing w:line="288" w:lineRule="auto"/>
        <w:ind w:left="480" w:leftChars="200" w:firstLine="411" w:firstLineChars="196"/>
        <w:rPr>
          <w:rFonts w:ascii="宋体" w:hAnsi="宋体" w:eastAsia="宋体" w:cs="宋体"/>
          <w:sz w:val="21"/>
          <w:szCs w:val="21"/>
        </w:rPr>
      </w:pPr>
      <w:r>
        <w:rPr>
          <w:rFonts w:hint="eastAsia" w:ascii="宋体" w:hAnsi="宋体" w:eastAsia="宋体" w:cs="宋体"/>
          <w:sz w:val="21"/>
          <w:szCs w:val="21"/>
        </w:rPr>
        <w:t>4、有依法缴纳税收和社会保障资金的良好记录；</w:t>
      </w:r>
    </w:p>
    <w:p w14:paraId="273BF12F">
      <w:pPr>
        <w:spacing w:line="288" w:lineRule="auto"/>
        <w:ind w:left="480" w:leftChars="200" w:firstLine="411" w:firstLineChars="196"/>
        <w:rPr>
          <w:rFonts w:ascii="宋体" w:hAnsi="宋体" w:eastAsia="宋体" w:cs="宋体"/>
          <w:sz w:val="21"/>
          <w:szCs w:val="21"/>
        </w:rPr>
      </w:pPr>
      <w:r>
        <w:rPr>
          <w:rFonts w:hint="eastAsia" w:ascii="宋体" w:hAnsi="宋体" w:eastAsia="宋体" w:cs="宋体"/>
          <w:sz w:val="21"/>
          <w:szCs w:val="21"/>
        </w:rPr>
        <w:t>5、参加政府采购活动前三年内，在经营活动中没有重大违法记录；</w:t>
      </w:r>
    </w:p>
    <w:p w14:paraId="41A068EC">
      <w:pPr>
        <w:spacing w:line="288" w:lineRule="auto"/>
        <w:ind w:left="480" w:leftChars="200" w:firstLine="411" w:firstLineChars="196"/>
        <w:rPr>
          <w:rFonts w:ascii="宋体" w:hAnsi="宋体" w:eastAsia="宋体" w:cs="宋体"/>
          <w:sz w:val="21"/>
          <w:szCs w:val="21"/>
        </w:rPr>
      </w:pPr>
      <w:r>
        <w:rPr>
          <w:rFonts w:hint="eastAsia" w:ascii="宋体" w:hAnsi="宋体" w:eastAsia="宋体" w:cs="宋体"/>
          <w:sz w:val="21"/>
          <w:szCs w:val="21"/>
        </w:rPr>
        <w:t>6、法律、行政法规规定的其他条件。</w:t>
      </w:r>
    </w:p>
    <w:p w14:paraId="41E5FF33">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（2）投标联合体各方必须先行注册成政府采购供应商。在投标响应前，投标联合体各方均应注册成政府采购供应商；</w:t>
      </w:r>
    </w:p>
    <w:p w14:paraId="2F7C1CB9">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（3）联合体中有同类资质的供应商按照联合体分工承担相同工作的，应当按照资质等级较低的供应商确定资质等级；</w:t>
      </w:r>
    </w:p>
    <w:p w14:paraId="4766ACD7">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（4）是否允许联合体参加投标，应当由采购人和政府采购代理机构根据项目的实际情况和潜在供应商的数量自主决定，如果决定接受联合体投标则应当在采购公告中明示；</w:t>
      </w:r>
    </w:p>
    <w:p w14:paraId="49018075">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（5）投标人的投标文件及中标后签署的合同协议对联合体各方均具法律约束力；</w:t>
      </w:r>
    </w:p>
    <w:p w14:paraId="59A9E5DD">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（6）联合体各方应当签订共同投标协议，明确约定各方拟承担的工作和责任，并将该共同投标协议随投标文件一并递交给政府采购代理机构；</w:t>
      </w:r>
    </w:p>
    <w:p w14:paraId="65E4358F">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（7）联合体中标后，联合体各方应当共同与采购人签订合同，就中标项目向采购人承担连带责任；</w:t>
      </w:r>
    </w:p>
    <w:p w14:paraId="7EE7ACD3">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18DE20DA">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（9）本通用条款中“投标人”一词亦指联合体各方，专用条款另有规定或说明的除外。</w:t>
      </w:r>
    </w:p>
    <w:p w14:paraId="1C9F0AF6">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5.3.3  不符合上述要求的投标，将被视为无效投标被拒绝。</w:t>
      </w:r>
    </w:p>
    <w:p w14:paraId="1C7448F3">
      <w:pPr>
        <w:spacing w:line="288" w:lineRule="auto"/>
        <w:rPr>
          <w:rFonts w:ascii="宋体" w:hAnsi="宋体" w:eastAsia="宋体" w:cs="宋体"/>
          <w:b/>
          <w:bCs/>
          <w:sz w:val="21"/>
          <w:szCs w:val="21"/>
        </w:rPr>
      </w:pPr>
      <w:r>
        <w:rPr>
          <w:rFonts w:hint="eastAsia" w:ascii="宋体" w:hAnsi="宋体" w:eastAsia="宋体" w:cs="宋体"/>
          <w:b/>
          <w:bCs/>
          <w:sz w:val="21"/>
          <w:szCs w:val="21"/>
        </w:rPr>
        <w:t>6．政策导向</w:t>
      </w:r>
    </w:p>
    <w:p w14:paraId="341F53FE">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6.1政府采购扶持贫困地区、中小企业、监狱企业和残疾人福利性单位发展，支持节能减排、环境保护。</w:t>
      </w:r>
    </w:p>
    <w:p w14:paraId="30E5F637">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6.2本项目落实深圳市政府采购供应商诚信管理政策要求。</w:t>
      </w:r>
    </w:p>
    <w:p w14:paraId="012365A4">
      <w:pPr>
        <w:spacing w:line="288" w:lineRule="auto"/>
        <w:rPr>
          <w:rFonts w:ascii="宋体" w:hAnsi="宋体" w:eastAsia="宋体" w:cs="宋体"/>
          <w:b/>
          <w:bCs/>
          <w:sz w:val="21"/>
          <w:szCs w:val="21"/>
        </w:rPr>
      </w:pPr>
      <w:r>
        <w:rPr>
          <w:rFonts w:hint="eastAsia" w:ascii="宋体" w:hAnsi="宋体" w:eastAsia="宋体" w:cs="宋体"/>
          <w:b/>
          <w:bCs/>
          <w:sz w:val="21"/>
          <w:szCs w:val="21"/>
        </w:rPr>
        <w:t>7. 本项目若涉及采购货物，则合格的货物及相应服务应满足以下要求：</w:t>
      </w:r>
    </w:p>
    <w:p w14:paraId="45FEE6E5">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7.1  必须是全新、未使用过的原装合格正品（包括零部件），如安装或配置了软件的，须为正版软件。</w:t>
      </w:r>
    </w:p>
    <w:p w14:paraId="5EECC05F">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7.2  国产的货物及其有关服务必须符合中华人民共和国的设计、制造生产标准及行业标准。招标公告有其他要求的，亦应符合其要求。</w:t>
      </w:r>
    </w:p>
    <w:p w14:paraId="3B9CF85E">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7.3进口货物及其有关服务必须符合原产地和中华人民共和国的设计、制造生产标准及行业标准。进口的货物必须具有合法的进口手续和途径，并通过中华人民共和国商检部门检验。采购公告有其他要求的，亦应符合其要求。</w:t>
      </w:r>
    </w:p>
    <w:p w14:paraId="0FF111A8">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7.4投标人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2E3F15E6">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7.5  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4537F76A">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7.6  对工期的要求：投标人在投标时对其所投项目应提交交货进度、交货计划等，在合同规定的时间完成项目实施工作。</w:t>
      </w:r>
    </w:p>
    <w:p w14:paraId="0F1B75B4">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7.7  投标人必须承担的设备运输、安装调试、验收检测和提供设备操作说明书、图纸等其他相关及类似的义务。</w:t>
      </w:r>
    </w:p>
    <w:p w14:paraId="2B7F25DA">
      <w:pPr>
        <w:spacing w:line="288" w:lineRule="auto"/>
        <w:rPr>
          <w:rFonts w:ascii="宋体" w:hAnsi="宋体" w:eastAsia="宋体" w:cs="宋体"/>
          <w:b/>
          <w:bCs/>
          <w:sz w:val="21"/>
          <w:szCs w:val="21"/>
        </w:rPr>
      </w:pPr>
      <w:r>
        <w:rPr>
          <w:rFonts w:hint="eastAsia" w:ascii="宋体" w:hAnsi="宋体" w:eastAsia="宋体" w:cs="宋体"/>
          <w:b/>
          <w:bCs/>
          <w:sz w:val="21"/>
          <w:szCs w:val="21"/>
        </w:rPr>
        <w:t>8．投标费用</w:t>
      </w:r>
    </w:p>
    <w:p w14:paraId="47DBDD28">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不论投标结果如何，投标人应承担其编制投标文件与递交投标文件所涉及的一切费用。</w:t>
      </w:r>
    </w:p>
    <w:p w14:paraId="58C033E0">
      <w:pPr>
        <w:spacing w:line="288" w:lineRule="auto"/>
        <w:rPr>
          <w:rFonts w:ascii="宋体" w:hAnsi="宋体" w:eastAsia="宋体" w:cs="宋体"/>
          <w:b/>
          <w:bCs/>
          <w:sz w:val="21"/>
          <w:szCs w:val="21"/>
        </w:rPr>
      </w:pPr>
      <w:r>
        <w:rPr>
          <w:rFonts w:hint="eastAsia" w:ascii="宋体" w:hAnsi="宋体" w:eastAsia="宋体" w:cs="宋体"/>
          <w:b/>
          <w:bCs/>
          <w:sz w:val="21"/>
          <w:szCs w:val="21"/>
        </w:rPr>
        <w:t>9．踏勘现场</w:t>
      </w:r>
    </w:p>
    <w:p w14:paraId="60930B3D">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9.1如有需要（详见专用条款），采购人或政府采购代理机构将组织投标人对项目现场及周围环境进行踏勘，以便投标人获取有关编制投标文件和签署合同所需的资料。踏勘现场所发生的费用由投标人自行承担。投标人应按招标公告所约定的时间、地点踏勘现场。</w:t>
      </w:r>
    </w:p>
    <w:p w14:paraId="04230E76">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9.2投标人及其人员经过采购人的允许，可以进入采购人的项目现场踏勘。若招标文件要求投标人于统一时间地点踏勘现场的，投标人应当按时前往。</w:t>
      </w:r>
    </w:p>
    <w:p w14:paraId="4FEE7C8A">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9.3采购人必须通过政府采购代理机构向投标人提供有关现场的资料和数据。</w:t>
      </w:r>
    </w:p>
    <w:p w14:paraId="0B2C9267">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9.4任何人或任何组织在踏勘现场时向投标人提交的任何书面资料或口头承诺，未经政府采购代理机构在网上发布或书面通知，均作无效处理。</w:t>
      </w:r>
    </w:p>
    <w:p w14:paraId="47F92BD8">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9.5未参与踏勘现场不作为否定投标人资格的理由。</w:t>
      </w:r>
    </w:p>
    <w:p w14:paraId="3D13E0AD">
      <w:pPr>
        <w:tabs>
          <w:tab w:val="left" w:pos="426"/>
        </w:tabs>
        <w:spacing w:line="288" w:lineRule="auto"/>
        <w:rPr>
          <w:rFonts w:ascii="宋体" w:hAnsi="宋体" w:eastAsia="宋体" w:cs="宋体"/>
          <w:b/>
          <w:bCs/>
          <w:sz w:val="21"/>
          <w:szCs w:val="21"/>
        </w:rPr>
      </w:pPr>
      <w:r>
        <w:rPr>
          <w:rFonts w:hint="eastAsia" w:ascii="宋体" w:hAnsi="宋体" w:eastAsia="宋体" w:cs="宋体"/>
          <w:b/>
          <w:bCs/>
          <w:sz w:val="21"/>
          <w:szCs w:val="21"/>
        </w:rPr>
        <w:t>10．招标采购的询问、质疑、投诉。</w:t>
      </w:r>
    </w:p>
    <w:p w14:paraId="3E9F1335">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10.1询问与澄清：供应商如果认为采购文件存在不明确、不清晰和前后不一致等问题，可登录深圳公共资源交易中心网（http://zfcg.szggzy.com:8081/）→“深圳政府采购智慧平台用户网上办事子系统（http://zfcg.szggzy.com:8081/TPBidder/memberLogin）”，在“【我的项目】→【项目流程】→【提问】”功能点中填写需澄清内容。202*年*月*日*时*分（具体时间详见“深圳公共资源交易网”招标（采购）公告）前将采购文件澄清/修改情况在“【我的项目】→【项目流程】→【答疑澄清文件下载】”中公布，望投标人予以关注。</w:t>
      </w:r>
    </w:p>
    <w:p w14:paraId="77B0A13B">
      <w:pPr>
        <w:pStyle w:val="23"/>
        <w:spacing w:before="0" w:beforeAutospacing="0" w:after="0" w:afterAutospacing="0" w:line="288" w:lineRule="auto"/>
        <w:ind w:firstLine="420" w:firstLineChars="200"/>
        <w:rPr>
          <w:rFonts w:ascii="宋体" w:hAnsi="宋体" w:eastAsia="宋体" w:cs="宋体"/>
          <w:sz w:val="21"/>
          <w:szCs w:val="21"/>
        </w:rPr>
      </w:pPr>
      <w:r>
        <w:rPr>
          <w:rFonts w:hint="eastAsia" w:ascii="宋体" w:hAnsi="宋体" w:eastAsia="宋体" w:cs="宋体"/>
          <w:sz w:val="21"/>
          <w:szCs w:val="21"/>
        </w:rPr>
        <w:t>10.2质疑：供应商如认为采购文件存在限制性、倾向性、其权益受到损害，应在采购文件公布之日起七个工作日内以书面形式提出质疑。请质疑供应商根据深圳公共资源交易网站（https://www.szggzy.com/globalSearch/details.html?contentId=1211037）所发布的质疑指引、质疑函模板填写质疑函并提交质疑材料。质疑材料可以采用现场或邮寄方式提交，采用邮寄方式提交的，交邮时间应在本公告发布之日起七个工作日内。现场提交、邮寄地址：深圳市福田区上步南路1001号锦峰大厦2</w:t>
      </w:r>
      <w:r>
        <w:rPr>
          <w:rFonts w:hint="eastAsia" w:ascii="宋体" w:hAnsi="宋体" w:eastAsia="宋体" w:cs="宋体"/>
          <w:sz w:val="21"/>
          <w:szCs w:val="21"/>
          <w:lang w:val="en-US" w:eastAsia="zh-CN"/>
        </w:rPr>
        <w:t>4</w:t>
      </w:r>
      <w:r>
        <w:rPr>
          <w:rFonts w:hint="eastAsia" w:ascii="宋体" w:hAnsi="宋体" w:eastAsia="宋体" w:cs="宋体"/>
          <w:sz w:val="21"/>
          <w:szCs w:val="21"/>
        </w:rPr>
        <w:t xml:space="preserve">楼。根据《深圳经济特区政府采购条例》第四十二条“供应商投诉的事项应当是经过质疑的事项”的规定，未经正式质疑的，将影响供应商行使向财政部门提起投诉的权利。 </w:t>
      </w:r>
    </w:p>
    <w:p w14:paraId="4E26517D">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参与供应商应在在法定质疑期内一次性提出针对同一采购程序环节的质疑。参与供应商提出质疑应当提交质疑函和必要的证明材料。质疑函应当包括下列内容：</w:t>
      </w:r>
    </w:p>
    <w:p w14:paraId="2F110865">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（一）供应商的姓名或者名称、地址、邮编、联系人及联系电话；</w:t>
      </w:r>
    </w:p>
    <w:p w14:paraId="3B7BD851">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（二）质疑项目的名称、编号；</w:t>
      </w:r>
    </w:p>
    <w:p w14:paraId="19267C29">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（三）具体、明确的质疑事项和与质疑事项相关的请求；</w:t>
      </w:r>
    </w:p>
    <w:p w14:paraId="7475F779">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（四）事实依据；</w:t>
      </w:r>
    </w:p>
    <w:p w14:paraId="6CA3E134">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（五）必要的法律依据；</w:t>
      </w:r>
    </w:p>
    <w:p w14:paraId="660378A8">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（六）提出质疑的日期。</w:t>
      </w:r>
    </w:p>
    <w:p w14:paraId="2E38AD1C">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供应商为自然人的，应当由本人签字；供应商为法人或者其他组织的，应当由法定代表人、主要负责人，或者其授权代表签字或者盖章，并加盖公章。</w:t>
      </w:r>
    </w:p>
    <w:p w14:paraId="4F55CA1C">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质疑函现场提交、邮寄地址：深圳市福田区上步南路1001号锦峰大厦2</w:t>
      </w:r>
      <w:r>
        <w:rPr>
          <w:rFonts w:hint="eastAsia" w:ascii="宋体" w:hAnsi="宋体" w:eastAsia="宋体" w:cs="宋体"/>
          <w:sz w:val="21"/>
          <w:szCs w:val="21"/>
          <w:lang w:val="en-US" w:eastAsia="zh-CN"/>
        </w:rPr>
        <w:t>4</w:t>
      </w:r>
      <w:r>
        <w:rPr>
          <w:rFonts w:hint="eastAsia" w:ascii="宋体" w:hAnsi="宋体" w:eastAsia="宋体" w:cs="宋体"/>
          <w:sz w:val="21"/>
          <w:szCs w:val="21"/>
        </w:rPr>
        <w:t>楼。</w:t>
      </w:r>
    </w:p>
    <w:p w14:paraId="29378431">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10.3政府采购代理机构对疑问所做出的澄清和解答，以书面答复（包括网站发布信息）为准。答疑纪要的有效性规定按照本通用条款第13.3、13.4款规定执行。</w:t>
      </w:r>
    </w:p>
    <w:p w14:paraId="51D7147B">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10.4如政府采购代理机构认为有必要组织现场答疑会，投标人应按照招标文件规定的时间或政府采购代理机构另行书面通知（包括网站发布的通知）的时间和地点，参与现场答疑会。</w:t>
      </w:r>
    </w:p>
    <w:p w14:paraId="433993DE">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10.5投诉</w:t>
      </w:r>
    </w:p>
    <w:p w14:paraId="12EA75AE">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质疑供应商对采购人、采购代理机构的答复不满意，或者采购人、采购代理机构未在规定时间内作出答复的，可以在答复期满后15个工作日内向法规规定的资金预算监管部门（财政部门）提起投诉。</w:t>
      </w:r>
    </w:p>
    <w:p w14:paraId="47B1595F">
      <w:pPr>
        <w:pStyle w:val="3"/>
        <w:rPr>
          <w:szCs w:val="28"/>
        </w:rPr>
      </w:pPr>
      <w:r>
        <w:rPr>
          <w:rFonts w:hint="eastAsia" w:ascii="宋体" w:hAnsi="宋体" w:eastAsia="宋体" w:cs="宋体"/>
          <w:szCs w:val="28"/>
        </w:rPr>
        <w:t>第</w:t>
      </w:r>
      <w:r>
        <w:rPr>
          <w:rFonts w:hint="eastAsia"/>
          <w:szCs w:val="28"/>
        </w:rPr>
        <w:t>二章  招标文件</w:t>
      </w:r>
    </w:p>
    <w:p w14:paraId="79BE5E16">
      <w:pPr>
        <w:spacing w:line="288" w:lineRule="auto"/>
        <w:rPr>
          <w:rFonts w:ascii="宋体" w:hAnsi="宋体" w:eastAsia="宋体" w:cs="宋体"/>
          <w:b/>
          <w:bCs/>
          <w:sz w:val="21"/>
          <w:szCs w:val="21"/>
        </w:rPr>
      </w:pPr>
      <w:r>
        <w:rPr>
          <w:rFonts w:hint="eastAsia" w:ascii="宋体" w:hAnsi="宋体" w:eastAsia="宋体" w:cs="宋体"/>
          <w:b/>
          <w:bCs/>
          <w:sz w:val="21"/>
          <w:szCs w:val="21"/>
        </w:rPr>
        <w:t>11．招标文件的编制与组成</w:t>
      </w:r>
    </w:p>
    <w:p w14:paraId="172C6443">
      <w:pPr>
        <w:snapToGrid w:val="0"/>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11.1招标文件除以下内容外，政府采购代理机构在招标期间发出的答疑、澄清或修改等相关公告或通知内容，均是招标文件的组成部分，对投标人起约束作用；</w:t>
      </w:r>
    </w:p>
    <w:p w14:paraId="1D0F11F8">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招标文件包括下列内容：</w:t>
      </w:r>
    </w:p>
    <w:p w14:paraId="66311056">
      <w:pPr>
        <w:spacing w:line="288" w:lineRule="auto"/>
        <w:ind w:left="480" w:leftChars="200" w:firstLine="413" w:firstLineChars="196"/>
        <w:rPr>
          <w:rFonts w:ascii="宋体" w:hAnsi="宋体" w:eastAsia="宋体" w:cs="宋体"/>
          <w:b/>
          <w:sz w:val="21"/>
          <w:szCs w:val="21"/>
        </w:rPr>
      </w:pPr>
      <w:r>
        <w:rPr>
          <w:rFonts w:hint="eastAsia" w:ascii="宋体" w:hAnsi="宋体" w:eastAsia="宋体" w:cs="宋体"/>
          <w:b/>
          <w:sz w:val="21"/>
          <w:szCs w:val="21"/>
        </w:rPr>
        <w:t>第一册  专用条款</w:t>
      </w:r>
      <w:r>
        <w:rPr>
          <w:rFonts w:hint="eastAsia" w:ascii="宋体" w:hAnsi="宋体" w:eastAsia="宋体" w:cs="宋体"/>
          <w:b/>
          <w:bCs/>
          <w:sz w:val="21"/>
          <w:szCs w:val="21"/>
        </w:rPr>
        <w:t>（以本项目的排序为准）</w:t>
      </w:r>
    </w:p>
    <w:p w14:paraId="034CAAC2">
      <w:pPr>
        <w:spacing w:line="288" w:lineRule="auto"/>
        <w:ind w:left="480" w:leftChars="200" w:firstLine="413" w:firstLineChars="196"/>
        <w:rPr>
          <w:rFonts w:ascii="宋体" w:hAnsi="宋体" w:eastAsia="宋体" w:cs="宋体"/>
          <w:b/>
          <w:sz w:val="21"/>
          <w:szCs w:val="21"/>
        </w:rPr>
      </w:pPr>
      <w:r>
        <w:rPr>
          <w:rFonts w:hint="eastAsia" w:ascii="宋体" w:hAnsi="宋体" w:eastAsia="宋体" w:cs="宋体"/>
          <w:b/>
          <w:sz w:val="21"/>
          <w:szCs w:val="21"/>
        </w:rPr>
        <w:t>关键信息</w:t>
      </w:r>
    </w:p>
    <w:p w14:paraId="2F3F7D17">
      <w:pPr>
        <w:spacing w:line="288" w:lineRule="auto"/>
        <w:ind w:left="720" w:leftChars="300" w:firstLine="411" w:firstLineChars="196"/>
        <w:rPr>
          <w:rFonts w:ascii="宋体" w:hAnsi="宋体" w:eastAsia="宋体" w:cs="宋体"/>
          <w:sz w:val="21"/>
          <w:szCs w:val="21"/>
        </w:rPr>
      </w:pPr>
      <w:r>
        <w:rPr>
          <w:rFonts w:hint="eastAsia" w:ascii="宋体" w:hAnsi="宋体" w:eastAsia="宋体" w:cs="宋体"/>
          <w:sz w:val="21"/>
          <w:szCs w:val="21"/>
        </w:rPr>
        <w:t>第一章  招标公告</w:t>
      </w:r>
    </w:p>
    <w:p w14:paraId="31AEA011">
      <w:pPr>
        <w:spacing w:line="288" w:lineRule="auto"/>
        <w:ind w:left="720" w:leftChars="300" w:firstLine="411" w:firstLineChars="196"/>
        <w:rPr>
          <w:rFonts w:ascii="宋体" w:hAnsi="宋体" w:eastAsia="宋体" w:cs="宋体"/>
          <w:sz w:val="21"/>
          <w:szCs w:val="21"/>
        </w:rPr>
      </w:pPr>
      <w:r>
        <w:rPr>
          <w:rFonts w:hint="eastAsia" w:ascii="宋体" w:hAnsi="宋体" w:eastAsia="宋体" w:cs="宋体"/>
          <w:sz w:val="21"/>
          <w:szCs w:val="21"/>
        </w:rPr>
        <w:t>第二章  对通用条款的补充内容及其他关键信息</w:t>
      </w:r>
    </w:p>
    <w:p w14:paraId="133F8C50">
      <w:pPr>
        <w:spacing w:line="288" w:lineRule="auto"/>
        <w:ind w:left="720" w:leftChars="300" w:firstLine="411" w:firstLineChars="196"/>
        <w:rPr>
          <w:rFonts w:ascii="宋体" w:hAnsi="宋体" w:eastAsia="宋体" w:cs="宋体"/>
          <w:sz w:val="21"/>
          <w:szCs w:val="21"/>
        </w:rPr>
      </w:pPr>
      <w:r>
        <w:rPr>
          <w:rFonts w:hint="eastAsia" w:ascii="宋体" w:hAnsi="宋体" w:eastAsia="宋体" w:cs="宋体"/>
          <w:sz w:val="21"/>
          <w:szCs w:val="21"/>
        </w:rPr>
        <w:t>第三章  用户需求书</w:t>
      </w:r>
    </w:p>
    <w:p w14:paraId="07F68E44">
      <w:pPr>
        <w:spacing w:line="288" w:lineRule="auto"/>
        <w:ind w:left="720" w:leftChars="300" w:firstLine="411" w:firstLineChars="196"/>
        <w:rPr>
          <w:rFonts w:ascii="宋体" w:hAnsi="宋体" w:eastAsia="宋体" w:cs="宋体"/>
          <w:sz w:val="21"/>
          <w:szCs w:val="21"/>
        </w:rPr>
      </w:pPr>
      <w:r>
        <w:rPr>
          <w:rFonts w:hint="eastAsia" w:ascii="宋体" w:hAnsi="宋体" w:eastAsia="宋体" w:cs="宋体"/>
          <w:sz w:val="21"/>
          <w:szCs w:val="21"/>
        </w:rPr>
        <w:t>第四章  投标文件组成要求及格式</w:t>
      </w:r>
    </w:p>
    <w:p w14:paraId="18BC78D5">
      <w:pPr>
        <w:spacing w:line="288" w:lineRule="auto"/>
        <w:ind w:left="720" w:leftChars="300" w:firstLine="411" w:firstLineChars="196"/>
        <w:rPr>
          <w:rFonts w:ascii="宋体" w:hAnsi="宋体" w:eastAsia="宋体" w:cs="宋体"/>
          <w:sz w:val="21"/>
          <w:szCs w:val="21"/>
        </w:rPr>
      </w:pPr>
      <w:r>
        <w:rPr>
          <w:rFonts w:hint="eastAsia" w:ascii="宋体" w:hAnsi="宋体" w:eastAsia="宋体" w:cs="宋体"/>
          <w:sz w:val="21"/>
          <w:szCs w:val="21"/>
        </w:rPr>
        <w:t>第五章  合同条款及参考格式</w:t>
      </w:r>
    </w:p>
    <w:p w14:paraId="11744AB7">
      <w:pPr>
        <w:spacing w:line="288" w:lineRule="auto"/>
        <w:ind w:left="480" w:leftChars="200" w:firstLine="413" w:firstLineChars="196"/>
        <w:rPr>
          <w:rFonts w:ascii="宋体" w:hAnsi="宋体" w:eastAsia="宋体" w:cs="宋体"/>
          <w:b/>
          <w:sz w:val="21"/>
          <w:szCs w:val="21"/>
        </w:rPr>
      </w:pPr>
    </w:p>
    <w:p w14:paraId="3562FEF6">
      <w:pPr>
        <w:spacing w:line="288" w:lineRule="auto"/>
        <w:ind w:left="480" w:leftChars="200" w:firstLine="413" w:firstLineChars="196"/>
        <w:rPr>
          <w:rFonts w:ascii="宋体" w:hAnsi="宋体" w:eastAsia="宋体" w:cs="宋体"/>
          <w:b/>
          <w:sz w:val="21"/>
          <w:szCs w:val="21"/>
        </w:rPr>
      </w:pPr>
      <w:r>
        <w:rPr>
          <w:rFonts w:hint="eastAsia" w:ascii="宋体" w:hAnsi="宋体" w:eastAsia="宋体" w:cs="宋体"/>
          <w:b/>
          <w:sz w:val="21"/>
          <w:szCs w:val="21"/>
        </w:rPr>
        <w:t>第二册  通用条款</w:t>
      </w:r>
    </w:p>
    <w:p w14:paraId="31DBEADA">
      <w:pPr>
        <w:spacing w:line="288" w:lineRule="auto"/>
        <w:ind w:left="720" w:leftChars="300" w:firstLine="411" w:firstLineChars="196"/>
        <w:rPr>
          <w:rFonts w:ascii="宋体" w:hAnsi="宋体" w:eastAsia="宋体" w:cs="宋体"/>
          <w:sz w:val="21"/>
          <w:szCs w:val="21"/>
        </w:rPr>
      </w:pPr>
      <w:r>
        <w:rPr>
          <w:rFonts w:hint="eastAsia" w:ascii="宋体" w:hAnsi="宋体" w:eastAsia="宋体" w:cs="宋体"/>
          <w:sz w:val="21"/>
          <w:szCs w:val="21"/>
        </w:rPr>
        <w:t>第一章  总则</w:t>
      </w:r>
    </w:p>
    <w:p w14:paraId="5CCD6B9C">
      <w:pPr>
        <w:spacing w:line="288" w:lineRule="auto"/>
        <w:ind w:left="720" w:leftChars="300" w:firstLine="411" w:firstLineChars="196"/>
        <w:rPr>
          <w:rFonts w:ascii="宋体" w:hAnsi="宋体" w:eastAsia="宋体" w:cs="宋体"/>
          <w:sz w:val="21"/>
          <w:szCs w:val="21"/>
        </w:rPr>
      </w:pPr>
      <w:r>
        <w:rPr>
          <w:rFonts w:hint="eastAsia" w:ascii="宋体" w:hAnsi="宋体" w:eastAsia="宋体" w:cs="宋体"/>
          <w:sz w:val="21"/>
          <w:szCs w:val="21"/>
        </w:rPr>
        <w:t>第二章  招标文件</w:t>
      </w:r>
    </w:p>
    <w:p w14:paraId="4FA62546">
      <w:pPr>
        <w:spacing w:line="288" w:lineRule="auto"/>
        <w:ind w:left="720" w:leftChars="300" w:firstLine="411" w:firstLineChars="196"/>
        <w:rPr>
          <w:rFonts w:ascii="宋体" w:hAnsi="宋体" w:eastAsia="宋体" w:cs="宋体"/>
          <w:sz w:val="21"/>
          <w:szCs w:val="21"/>
        </w:rPr>
      </w:pPr>
      <w:r>
        <w:rPr>
          <w:rFonts w:hint="eastAsia" w:ascii="宋体" w:hAnsi="宋体" w:eastAsia="宋体" w:cs="宋体"/>
          <w:sz w:val="21"/>
          <w:szCs w:val="21"/>
        </w:rPr>
        <w:t>第三章  投标文件的编制</w:t>
      </w:r>
    </w:p>
    <w:p w14:paraId="33F0D3F5">
      <w:pPr>
        <w:spacing w:line="288" w:lineRule="auto"/>
        <w:ind w:left="720" w:leftChars="300" w:firstLine="411" w:firstLineChars="196"/>
        <w:rPr>
          <w:rFonts w:ascii="宋体" w:hAnsi="宋体" w:eastAsia="宋体" w:cs="宋体"/>
          <w:sz w:val="21"/>
          <w:szCs w:val="21"/>
        </w:rPr>
      </w:pPr>
      <w:r>
        <w:rPr>
          <w:rFonts w:hint="eastAsia" w:ascii="宋体" w:hAnsi="宋体" w:eastAsia="宋体" w:cs="宋体"/>
          <w:sz w:val="21"/>
          <w:szCs w:val="21"/>
        </w:rPr>
        <w:t>第四章  投标文件的递交</w:t>
      </w:r>
    </w:p>
    <w:p w14:paraId="39003C90">
      <w:pPr>
        <w:spacing w:line="288" w:lineRule="auto"/>
        <w:ind w:left="720" w:leftChars="300" w:firstLine="411" w:firstLineChars="196"/>
        <w:rPr>
          <w:rFonts w:ascii="宋体" w:hAnsi="宋体" w:eastAsia="宋体" w:cs="宋体"/>
          <w:sz w:val="21"/>
          <w:szCs w:val="21"/>
        </w:rPr>
      </w:pPr>
      <w:r>
        <w:rPr>
          <w:rFonts w:hint="eastAsia" w:ascii="宋体" w:hAnsi="宋体" w:eastAsia="宋体" w:cs="宋体"/>
          <w:sz w:val="21"/>
          <w:szCs w:val="21"/>
        </w:rPr>
        <w:t>第五章  开标</w:t>
      </w:r>
    </w:p>
    <w:p w14:paraId="592042FE">
      <w:pPr>
        <w:spacing w:line="288" w:lineRule="auto"/>
        <w:ind w:left="720" w:leftChars="300" w:firstLine="411" w:firstLineChars="196"/>
        <w:rPr>
          <w:rFonts w:ascii="宋体" w:hAnsi="宋体" w:eastAsia="宋体" w:cs="宋体"/>
          <w:sz w:val="21"/>
          <w:szCs w:val="21"/>
        </w:rPr>
      </w:pPr>
      <w:r>
        <w:rPr>
          <w:rFonts w:hint="eastAsia" w:ascii="宋体" w:hAnsi="宋体" w:eastAsia="宋体" w:cs="宋体"/>
          <w:sz w:val="21"/>
          <w:szCs w:val="21"/>
        </w:rPr>
        <w:t>第六章  评标要求</w:t>
      </w:r>
    </w:p>
    <w:p w14:paraId="45B6EC94">
      <w:pPr>
        <w:spacing w:line="288" w:lineRule="auto"/>
        <w:ind w:left="720" w:leftChars="300" w:firstLine="411" w:firstLineChars="196"/>
        <w:rPr>
          <w:rFonts w:ascii="宋体" w:hAnsi="宋体" w:eastAsia="宋体" w:cs="宋体"/>
          <w:sz w:val="21"/>
          <w:szCs w:val="21"/>
        </w:rPr>
      </w:pPr>
      <w:r>
        <w:rPr>
          <w:rFonts w:hint="eastAsia" w:ascii="宋体" w:hAnsi="宋体" w:eastAsia="宋体" w:cs="宋体"/>
          <w:sz w:val="21"/>
          <w:szCs w:val="21"/>
        </w:rPr>
        <w:t>第七章  评标程序及评标方法</w:t>
      </w:r>
    </w:p>
    <w:p w14:paraId="159ECF99">
      <w:pPr>
        <w:spacing w:line="288" w:lineRule="auto"/>
        <w:ind w:left="720" w:leftChars="300" w:firstLine="411" w:firstLineChars="196"/>
        <w:rPr>
          <w:rFonts w:ascii="宋体" w:hAnsi="宋体" w:eastAsia="宋体" w:cs="宋体"/>
          <w:sz w:val="21"/>
          <w:szCs w:val="21"/>
        </w:rPr>
      </w:pPr>
      <w:r>
        <w:rPr>
          <w:rFonts w:hint="eastAsia" w:ascii="宋体" w:hAnsi="宋体" w:eastAsia="宋体" w:cs="宋体"/>
          <w:sz w:val="21"/>
          <w:szCs w:val="21"/>
        </w:rPr>
        <w:t>第八章  定标及公示</w:t>
      </w:r>
    </w:p>
    <w:p w14:paraId="088ECE4B">
      <w:pPr>
        <w:spacing w:line="288" w:lineRule="auto"/>
        <w:ind w:left="720" w:leftChars="300" w:firstLine="411" w:firstLineChars="196"/>
        <w:rPr>
          <w:rFonts w:ascii="宋体" w:hAnsi="宋体" w:eastAsia="宋体" w:cs="宋体"/>
          <w:sz w:val="21"/>
          <w:szCs w:val="21"/>
        </w:rPr>
      </w:pPr>
      <w:r>
        <w:rPr>
          <w:rFonts w:hint="eastAsia" w:ascii="宋体" w:hAnsi="宋体" w:eastAsia="宋体" w:cs="宋体"/>
          <w:sz w:val="21"/>
          <w:szCs w:val="21"/>
        </w:rPr>
        <w:t>第九章  公开招标失败的后续处理</w:t>
      </w:r>
    </w:p>
    <w:p w14:paraId="698CBF14">
      <w:pPr>
        <w:spacing w:line="288" w:lineRule="auto"/>
        <w:ind w:left="720" w:leftChars="300" w:firstLine="411" w:firstLineChars="196"/>
        <w:rPr>
          <w:rFonts w:ascii="宋体" w:hAnsi="宋体" w:eastAsia="宋体" w:cs="宋体"/>
          <w:sz w:val="21"/>
          <w:szCs w:val="21"/>
        </w:rPr>
      </w:pPr>
      <w:r>
        <w:rPr>
          <w:rFonts w:hint="eastAsia" w:ascii="宋体" w:hAnsi="宋体" w:eastAsia="宋体" w:cs="宋体"/>
          <w:sz w:val="21"/>
          <w:szCs w:val="21"/>
        </w:rPr>
        <w:t>第十章  合同的授予与备案</w:t>
      </w:r>
    </w:p>
    <w:p w14:paraId="578B4612">
      <w:pPr>
        <w:spacing w:line="288" w:lineRule="auto"/>
        <w:ind w:left="720" w:leftChars="300" w:firstLine="411" w:firstLineChars="196"/>
        <w:rPr>
          <w:rFonts w:ascii="宋体" w:hAnsi="宋体" w:eastAsia="宋体" w:cs="宋体"/>
          <w:sz w:val="21"/>
          <w:szCs w:val="21"/>
        </w:rPr>
      </w:pPr>
      <w:r>
        <w:rPr>
          <w:rFonts w:hint="eastAsia" w:ascii="宋体" w:hAnsi="宋体" w:eastAsia="宋体" w:cs="宋体"/>
          <w:sz w:val="21"/>
          <w:szCs w:val="21"/>
        </w:rPr>
        <w:t>第十一章  质疑处理</w:t>
      </w:r>
    </w:p>
    <w:p w14:paraId="150BF848">
      <w:pPr>
        <w:spacing w:line="288" w:lineRule="auto"/>
        <w:ind w:left="720" w:leftChars="300" w:firstLine="411" w:firstLineChars="196"/>
        <w:rPr>
          <w:rFonts w:hint="eastAsia" w:ascii="宋体" w:hAnsi="宋体" w:eastAsia="宋体" w:cs="宋体"/>
          <w:sz w:val="21"/>
          <w:szCs w:val="21"/>
        </w:rPr>
      </w:pPr>
      <w:r>
        <w:rPr>
          <w:rFonts w:hint="eastAsia" w:ascii="宋体" w:hAnsi="宋体" w:eastAsia="宋体" w:cs="宋体"/>
          <w:sz w:val="21"/>
          <w:szCs w:val="21"/>
        </w:rPr>
        <w:t>第十二章  附录（相关政策）</w:t>
      </w:r>
    </w:p>
    <w:p w14:paraId="0740B089">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11.2 投标人下载招标文件后，应仔细检查招标文件的所有内容，如有疑问应在答疑截止时间之前向政府采购代理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57C12B18">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11.3任何人或任何组织向投标人提交的任何书面或口头资料，未经政府采购代理机构在网上发布或书面通知，均作无效处理，不得作为招标文件的组成部分。政府采购代理机构对投标人由此而做出的推论、理解和结论概不负责。</w:t>
      </w:r>
    </w:p>
    <w:p w14:paraId="289F21D2">
      <w:pPr>
        <w:spacing w:line="288" w:lineRule="auto"/>
        <w:rPr>
          <w:rFonts w:ascii="宋体" w:hAnsi="宋体" w:eastAsia="宋体" w:cs="宋体"/>
          <w:b/>
          <w:bCs/>
          <w:sz w:val="21"/>
          <w:szCs w:val="21"/>
        </w:rPr>
      </w:pPr>
      <w:r>
        <w:rPr>
          <w:rFonts w:hint="eastAsia" w:ascii="宋体" w:hAnsi="宋体" w:eastAsia="宋体" w:cs="宋体"/>
          <w:b/>
          <w:bCs/>
          <w:sz w:val="21"/>
          <w:szCs w:val="21"/>
        </w:rPr>
        <w:t>12．招标文件的澄清</w:t>
      </w:r>
    </w:p>
    <w:p w14:paraId="7BE1308E">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12.1投标人如对招标文件内容有疑问，必须在招标文件规定的答疑截止时间前以网上提问形式提交给政府采购代理机构。不论是政府采购代理机构根据需要主动对招标文件进行必要的澄清或是根据投标人的要求对招标文件做出澄清，政府采购代理机构都将在投标截止日期前以书面形式（包括政府采购代理机构网站公开发布方式）答复或发送给所有投标人。澄清纪要作为招标文件的组成部分，对投标人起约束作用；</w:t>
      </w:r>
    </w:p>
    <w:p w14:paraId="0910AB6E">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12.2对于没有提出澄清又参与了该项目投标的供应商将被视为完全认同该招标文件（含澄清纪要），投标截止期后不再受理针对招标文件的相关质疑或投诉。</w:t>
      </w:r>
    </w:p>
    <w:p w14:paraId="5F8D478B">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12.3 对招标文件中描述有歧意或前后不一致的地方，评审委员会有权进行评判，但对同一条款的评判应适用于每个投标人。</w:t>
      </w:r>
    </w:p>
    <w:p w14:paraId="49FE7C42">
      <w:pPr>
        <w:widowControl w:val="0"/>
        <w:spacing w:line="288" w:lineRule="auto"/>
        <w:rPr>
          <w:rFonts w:ascii="宋体" w:hAnsi="宋体" w:eastAsia="宋体" w:cs="宋体"/>
          <w:b/>
          <w:bCs/>
          <w:sz w:val="21"/>
          <w:szCs w:val="21"/>
        </w:rPr>
      </w:pPr>
      <w:r>
        <w:rPr>
          <w:rFonts w:hint="eastAsia" w:ascii="宋体" w:hAnsi="宋体" w:eastAsia="宋体" w:cs="宋体"/>
          <w:b/>
          <w:bCs/>
          <w:sz w:val="21"/>
          <w:szCs w:val="21"/>
        </w:rPr>
        <w:t>13．招标文件的修改</w:t>
      </w:r>
    </w:p>
    <w:p w14:paraId="42F1C4DF">
      <w:pPr>
        <w:widowControl w:val="0"/>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13.1招标文件发出后，在投标截止日期前任何时候，确需要变更招标内容的，政府采购代理机构可主动或在解答投标人提出的澄清问题时对招标文件进行修改；</w:t>
      </w:r>
    </w:p>
    <w:p w14:paraId="501A7122">
      <w:pPr>
        <w:widowControl w:val="0"/>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13.2招标文件的修改以书面形式（包括网站公开发布方式）发送给所有投标人，招标文件的修改内容作为招标文件的组成部分，并具有约束力。任何有关澄清、变更或者修改等一经在原公告媒体上发布即视为已送达。</w:t>
      </w:r>
    </w:p>
    <w:p w14:paraId="21730231">
      <w:pPr>
        <w:widowControl w:val="0"/>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13.3招标文件、招标文件澄清（答疑）纪要、招标文件修改补充通知内容均以书面（包括网站公开发布方式）明确的内容为准。当招标文件、修改补充通知、澄清（答疑）纪要内容相互矛盾时，以最后发出的内容为准；</w:t>
      </w:r>
    </w:p>
    <w:p w14:paraId="5427C74C">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13.4政府采购代理机构保证招标文件澄清（答疑）纪要和招标文件修改补充通知在投标截止时间前以网站公开发布形式或书面形式发送给所有投标人。为使投标人在编写投标文件时有充分时间对招标文件的修改部分进行研究，政府采购代理机构可以酌情延长递交投标文件的截止日期，具体时间将在修改补充通知中明确。</w:t>
      </w:r>
    </w:p>
    <w:p w14:paraId="1515A2FA">
      <w:pPr>
        <w:pStyle w:val="3"/>
        <w:rPr>
          <w:szCs w:val="28"/>
        </w:rPr>
      </w:pPr>
      <w:r>
        <w:rPr>
          <w:rFonts w:hint="eastAsia" w:ascii="宋体" w:hAnsi="宋体" w:eastAsia="宋体" w:cs="宋体"/>
          <w:szCs w:val="28"/>
        </w:rPr>
        <w:t>第</w:t>
      </w:r>
      <w:r>
        <w:rPr>
          <w:rFonts w:hint="eastAsia"/>
          <w:szCs w:val="28"/>
        </w:rPr>
        <w:t>三章  投标文件的编制</w:t>
      </w:r>
    </w:p>
    <w:p w14:paraId="7A1A07AA">
      <w:pPr>
        <w:spacing w:line="288" w:lineRule="auto"/>
        <w:rPr>
          <w:rFonts w:ascii="宋体" w:hAnsi="宋体" w:eastAsia="宋体" w:cs="宋体"/>
          <w:b/>
          <w:bCs/>
          <w:sz w:val="21"/>
          <w:szCs w:val="21"/>
        </w:rPr>
      </w:pPr>
      <w:r>
        <w:rPr>
          <w:rFonts w:hint="eastAsia" w:ascii="宋体" w:hAnsi="宋体" w:eastAsia="宋体" w:cs="宋体"/>
          <w:b/>
          <w:bCs/>
          <w:sz w:val="21"/>
          <w:szCs w:val="21"/>
        </w:rPr>
        <w:t>14．投标文件的编制、语言及度量单位</w:t>
      </w:r>
    </w:p>
    <w:p w14:paraId="53A50376">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14.1 投标人应在认真阅读招标文件所有内容的基础上，按照招标文件的要求编制完整的投标文件。招标文件中对投标文件格式有要求的，投标人必须全部填写格式中要求的所有内容。无相应内容可填的项应填写“无”、“没有相应指标”等明确的回答文字。有具体数值的应填写具体数值，而不能笼统地响应为“符合”、“满足”等结论性内容。</w:t>
      </w:r>
    </w:p>
    <w:p w14:paraId="7C82A5B2">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14.2投标人必须保证投标文件所提供的全部信息和资料是真实的和正确的，并接受评标委员会对其中任何资料进一步审查的要求。投标人投标文件所提供的有关证明文件，包括但不限于营业执照、机构登记证、经营许可证、生产许可证、产品注册证、第三方检测报告、质量体系证书、荣誉证书、奖励奖项等，都必须是国家机关签发、或在中国合法登记设立并有权颁发相关证明文件的机构签发。</w:t>
      </w:r>
    </w:p>
    <w:p w14:paraId="3B1BAA15">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14.3  投标文件须对招标文件中的内容做出实质性和完整的响应，否则其投标将被视为无效标被拒绝。</w:t>
      </w:r>
    </w:p>
    <w:p w14:paraId="2F58AA64">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14.4  投标文件的编制可在招标文件提供的格式基础上扩展加页。需投标人自行编写的投标内容，投标人应采用简洁、清晰的文件格式。投标文件编制格式其它特殊要求详见</w:t>
      </w:r>
      <w:r>
        <w:rPr>
          <w:rFonts w:hint="eastAsia" w:ascii="宋体" w:hAnsi="宋体" w:eastAsia="宋体" w:cs="宋体"/>
          <w:b/>
          <w:bCs/>
          <w:sz w:val="21"/>
          <w:szCs w:val="21"/>
        </w:rPr>
        <w:t>本须知前附表</w:t>
      </w:r>
      <w:r>
        <w:rPr>
          <w:rFonts w:hint="eastAsia" w:ascii="宋体" w:hAnsi="宋体" w:eastAsia="宋体" w:cs="宋体"/>
          <w:sz w:val="21"/>
          <w:szCs w:val="21"/>
        </w:rPr>
        <w:t>。</w:t>
      </w:r>
    </w:p>
    <w:p w14:paraId="778D9218">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14.5 投标人在投标文件中提供的有关证明文件（如营业执照、经营许可证、生产许可证、产品注册证、第三方检测报告、质量体系证书、产品说明书和样本等）等应为原件的复印件或者清晰的扫描件。</w:t>
      </w:r>
    </w:p>
    <w:p w14:paraId="0D2AA5C6">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14.6 投标人与政府采购代理机构之间与投标有关的所有往来通知、函件和投标文件均用中文表述。投标人随投标文件提供的证明文件和资料可以为其它语言，但必须附中文译文。翻译的中文资料与外文资料如果出现差异时，以中文为准，但翻译错误的除外。</w:t>
      </w:r>
    </w:p>
    <w:p w14:paraId="38264491">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14.7 除技术规范另有规定外，投标文件使用的度量单位，均采用中华人民共和国法定计量单位。</w:t>
      </w:r>
    </w:p>
    <w:p w14:paraId="2F214BE3">
      <w:pPr>
        <w:spacing w:line="288" w:lineRule="auto"/>
        <w:rPr>
          <w:rFonts w:ascii="宋体" w:hAnsi="宋体" w:eastAsia="宋体" w:cs="宋体"/>
          <w:b/>
          <w:bCs/>
          <w:sz w:val="21"/>
          <w:szCs w:val="21"/>
        </w:rPr>
      </w:pPr>
      <w:r>
        <w:rPr>
          <w:rFonts w:hint="eastAsia" w:ascii="宋体" w:hAnsi="宋体" w:eastAsia="宋体" w:cs="宋体"/>
          <w:b/>
          <w:bCs/>
          <w:sz w:val="21"/>
          <w:szCs w:val="21"/>
        </w:rPr>
        <w:t>15．投标文件的组成</w:t>
      </w:r>
    </w:p>
    <w:p w14:paraId="2B691BCF">
      <w:pPr>
        <w:spacing w:line="288" w:lineRule="auto"/>
        <w:ind w:firstLine="413" w:firstLineChars="196"/>
        <w:rPr>
          <w:rFonts w:ascii="宋体" w:hAnsi="宋体" w:eastAsia="宋体" w:cs="宋体"/>
          <w:b/>
          <w:sz w:val="21"/>
          <w:szCs w:val="21"/>
        </w:rPr>
      </w:pPr>
      <w:r>
        <w:rPr>
          <w:rFonts w:hint="eastAsia" w:ascii="宋体" w:hAnsi="宋体" w:eastAsia="宋体" w:cs="宋体"/>
          <w:b/>
          <w:sz w:val="21"/>
          <w:szCs w:val="21"/>
        </w:rPr>
        <w:t>具体内容请详见本项目</w:t>
      </w:r>
      <w:r>
        <w:rPr>
          <w:rFonts w:hint="eastAsia" w:ascii="宋体" w:hAnsi="宋体" w:eastAsia="宋体" w:cs="宋体"/>
          <w:b/>
          <w:bCs/>
          <w:sz w:val="21"/>
          <w:szCs w:val="21"/>
        </w:rPr>
        <w:t>招标文件第一册“专用条款”</w:t>
      </w:r>
      <w:r>
        <w:rPr>
          <w:rFonts w:hint="eastAsia" w:ascii="宋体" w:hAnsi="宋体" w:eastAsia="宋体" w:cs="宋体"/>
          <w:b/>
          <w:sz w:val="21"/>
          <w:szCs w:val="21"/>
        </w:rPr>
        <w:t>的相关内容。</w:t>
      </w:r>
    </w:p>
    <w:p w14:paraId="7A5C8D97">
      <w:pPr>
        <w:spacing w:line="288" w:lineRule="auto"/>
        <w:rPr>
          <w:rFonts w:ascii="宋体" w:hAnsi="宋体" w:eastAsia="宋体" w:cs="宋体"/>
          <w:b/>
          <w:bCs/>
          <w:sz w:val="21"/>
          <w:szCs w:val="21"/>
        </w:rPr>
      </w:pPr>
      <w:r>
        <w:rPr>
          <w:rFonts w:hint="eastAsia" w:ascii="宋体" w:hAnsi="宋体" w:eastAsia="宋体" w:cs="宋体"/>
          <w:b/>
          <w:bCs/>
          <w:sz w:val="21"/>
          <w:szCs w:val="21"/>
        </w:rPr>
        <w:t>16．投标文件格式</w:t>
      </w:r>
    </w:p>
    <w:p w14:paraId="4BB0DF4D">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投标文件包括本通用条款第15条中规定的内容。如招标文件提供了投标文件格式，则</w:t>
      </w:r>
      <w:r>
        <w:rPr>
          <w:rFonts w:hint="eastAsia" w:ascii="宋体" w:hAnsi="宋体" w:eastAsia="宋体" w:cs="宋体"/>
          <w:b/>
          <w:bCs/>
          <w:sz w:val="21"/>
          <w:szCs w:val="21"/>
        </w:rPr>
        <w:t>投标人提交的投标文件应毫无例外地使用招标文件所提供的相应格式</w:t>
      </w:r>
      <w:r>
        <w:rPr>
          <w:rFonts w:hint="eastAsia" w:ascii="宋体" w:hAnsi="宋体" w:eastAsia="宋体" w:cs="宋体"/>
          <w:sz w:val="21"/>
          <w:szCs w:val="21"/>
        </w:rPr>
        <w:t>（表格可以按同样格式扩展）。</w:t>
      </w:r>
    </w:p>
    <w:p w14:paraId="5B737A24">
      <w:pPr>
        <w:spacing w:line="288" w:lineRule="auto"/>
        <w:rPr>
          <w:rFonts w:ascii="宋体" w:hAnsi="宋体" w:eastAsia="宋体" w:cs="宋体"/>
          <w:b/>
          <w:bCs/>
          <w:sz w:val="21"/>
          <w:szCs w:val="21"/>
        </w:rPr>
      </w:pPr>
      <w:r>
        <w:rPr>
          <w:rFonts w:hint="eastAsia" w:ascii="宋体" w:hAnsi="宋体" w:eastAsia="宋体" w:cs="宋体"/>
          <w:b/>
          <w:bCs/>
          <w:sz w:val="21"/>
          <w:szCs w:val="21"/>
        </w:rPr>
        <w:t>17．投标货币</w:t>
      </w:r>
    </w:p>
    <w:p w14:paraId="7821A9DD">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本项目的投标应以人民币计。</w:t>
      </w:r>
    </w:p>
    <w:p w14:paraId="3E7E8DFA">
      <w:pPr>
        <w:spacing w:line="288" w:lineRule="auto"/>
        <w:rPr>
          <w:rFonts w:ascii="宋体" w:hAnsi="宋体" w:eastAsia="宋体" w:cs="宋体"/>
          <w:b/>
          <w:bCs/>
          <w:sz w:val="21"/>
          <w:szCs w:val="21"/>
        </w:rPr>
      </w:pPr>
      <w:r>
        <w:rPr>
          <w:rFonts w:hint="eastAsia" w:ascii="宋体" w:hAnsi="宋体" w:eastAsia="宋体" w:cs="宋体"/>
          <w:b/>
          <w:bCs/>
          <w:sz w:val="21"/>
          <w:szCs w:val="21"/>
        </w:rPr>
        <w:t>18．证明投标文件投标技术方案的合格性和符合招标文件规定的文件要求</w:t>
      </w:r>
    </w:p>
    <w:p w14:paraId="1819920E">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18.1 投标人应提交证明文件，证明其投标技术方案项下的货物、工程和服务的合格性符合招标文件规定。该投标技术方案及其证明文件作为投标文件的一部分。</w:t>
      </w:r>
    </w:p>
    <w:p w14:paraId="2804DB95">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18.2 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5D68BB51">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18.2.1主要技术指标和性能的详细说明。</w:t>
      </w:r>
    </w:p>
    <w:p w14:paraId="15E70A9D">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18.2.2投标产品从采购人开始使用至招标文件中规定的周期内正常、连续地使用所必须的备件和专用工具清单，包括备件和专用工具的货源及现行价格。</w:t>
      </w:r>
    </w:p>
    <w:p w14:paraId="5B8EE9FF">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18.2.3对照招标文件技术规格，逐条说明投标技术方案已对采购人的技术规格做出了实质性的响应，或申明与技术规格条文的偏差和例外。投标人应详细说明投标技术方案中产品的具体参数，不得不合理的照搬照抄招标文件的技术要求。</w:t>
      </w:r>
    </w:p>
    <w:p w14:paraId="14B3C7FC">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清晰度要求能够使用电脑阅读、识别和判断。</w:t>
      </w:r>
    </w:p>
    <w:p w14:paraId="500BDB0C">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18.2.5我国政府机构出具的产品检验和核准证件应为证件正面、背面和附件标注的全部具体内容；产品检验和核准证件的尺寸和清晰度应该能够在电脑上被阅读、识别和判断，提供原件扫描件。</w:t>
      </w:r>
    </w:p>
    <w:p w14:paraId="71DF46A7">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18.3相关资料不符合18.2款要求的，评审委员会有权认定为投标技术方案不合格响应，其相关分数予以扣减或作投标无效处理。</w:t>
      </w:r>
    </w:p>
    <w:p w14:paraId="1DA67912">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18.4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满足要求，由评审委员会来评判。</w:t>
      </w:r>
    </w:p>
    <w:p w14:paraId="167F5985">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18.5为保证公平公正，除非另有规定或说明，投标人对同一项目投标时，不得同时提供两套或两套以上的投标方案。</w:t>
      </w:r>
    </w:p>
    <w:p w14:paraId="2E99FCB6">
      <w:pPr>
        <w:spacing w:line="288" w:lineRule="auto"/>
        <w:rPr>
          <w:rFonts w:ascii="宋体" w:hAnsi="宋体" w:eastAsia="宋体" w:cs="宋体"/>
          <w:b/>
          <w:bCs/>
          <w:sz w:val="21"/>
          <w:szCs w:val="21"/>
        </w:rPr>
      </w:pPr>
      <w:r>
        <w:rPr>
          <w:rFonts w:hint="eastAsia" w:ascii="宋体" w:hAnsi="宋体" w:eastAsia="宋体" w:cs="宋体"/>
          <w:b/>
          <w:bCs/>
          <w:sz w:val="21"/>
          <w:szCs w:val="21"/>
        </w:rPr>
        <w:t>19．投标文件其他证明文件的要求</w:t>
      </w:r>
    </w:p>
    <w:p w14:paraId="6480B133">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19.1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若投标人未按要求提供证明材料或提供的是部分证明材料或提供不清晰的扫描件（或照片）或有意涂改遮挡的，评审委员会有权认定其投标文件未对招标文件有关需求进行响应，涉及资格性检查或符合性检查的予以投标无效处理，涉及《评标信息》打分项的则该项评分予以0分处理。评审委员会对供应商投标资料是否异常、是否有效问题进行核查和判定，如认为供应商投标资料有异常或无效的，若涉及资格审查或符合性审查条款的，则应作投标无效处理；若涉及评分的，则作不得分处理。投标资料异常核查范围为：质疑函、被质疑供应商投标文件资料、被质疑供应商答辩说明、被质疑资料原件、被质疑资料相应官方查询渠道查询到的信息等。以下情形可由评审委员会判定投标资料无效：</w:t>
      </w:r>
    </w:p>
    <w:p w14:paraId="381ADEA0">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（1）被质疑供应商未能在合理时间内提供资料原件核对，且不能合理说明的；</w:t>
      </w:r>
    </w:p>
    <w:p w14:paraId="79DB6595">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（2）被质疑供应商提供的资料原件与投标文件资料不一致的；</w:t>
      </w:r>
    </w:p>
    <w:p w14:paraId="70D4ED94">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（3）被质疑供应商投标文件资料信息与在相应官方查询渠道查询到的信息不一致，且不能合理说明的。</w:t>
      </w:r>
    </w:p>
    <w:p w14:paraId="33AB28B3">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19.2本项目涉及提供的有关资质证书，若原有资质（资格）证书处于年审期间，须提供证书颁发部门提供的回执，并且回执须证明该证书依然有效（若在法规范围不需提供的，供应商应做书面说明并提供证明文件，否则该证书无效），则该投标人提供年审证明的可按原资质（资格）投标；若投标人正在申报上一级别资质，在未获批准之前，仍按原级别资质投标。</w:t>
      </w:r>
    </w:p>
    <w:p w14:paraId="48451E17">
      <w:pPr>
        <w:spacing w:line="288" w:lineRule="auto"/>
        <w:rPr>
          <w:rFonts w:ascii="宋体" w:hAnsi="宋体" w:eastAsia="宋体" w:cs="宋体"/>
          <w:b/>
          <w:bCs/>
          <w:sz w:val="21"/>
          <w:szCs w:val="21"/>
        </w:rPr>
      </w:pPr>
      <w:r>
        <w:rPr>
          <w:rFonts w:hint="eastAsia" w:ascii="宋体" w:hAnsi="宋体" w:eastAsia="宋体" w:cs="宋体"/>
          <w:b/>
          <w:bCs/>
          <w:sz w:val="21"/>
          <w:szCs w:val="21"/>
        </w:rPr>
        <w:t>20．投标有效期</w:t>
      </w:r>
    </w:p>
    <w:p w14:paraId="1EA021A3">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20.1 投标有效期为从投标截止之日算起的日历天数，具体见</w:t>
      </w:r>
      <w:r>
        <w:rPr>
          <w:rFonts w:hint="eastAsia" w:ascii="宋体" w:hAnsi="宋体" w:eastAsia="宋体" w:cs="宋体"/>
          <w:b/>
          <w:bCs/>
          <w:sz w:val="21"/>
          <w:szCs w:val="21"/>
        </w:rPr>
        <w:t>专用条款</w:t>
      </w:r>
      <w:r>
        <w:rPr>
          <w:rFonts w:hint="eastAsia" w:ascii="宋体" w:hAnsi="宋体" w:eastAsia="宋体" w:cs="宋体"/>
          <w:sz w:val="21"/>
          <w:szCs w:val="21"/>
        </w:rPr>
        <w:t>中投标有效期的天数要求。在此期限内，所有投标文件均保持有效；</w:t>
      </w:r>
    </w:p>
    <w:p w14:paraId="0037366C">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20.2 在特殊的情况下，政府采购代理机构在原定的投标有效期满之前，政府采购代理机构可以根据需要以书面形式（包括网站公开发布方式）向投标人提出延长投标有效期的要求，对此要求投标人须以书面形式予以答复，投标人可以拒绝政府采购代理机构此项要求，其投标在原投标有效期满后不再有效。同意延长投标有效期的投标人不能要求也不允许修改其投标文件，但应当相应的延长投标担保有效期；</w:t>
      </w:r>
    </w:p>
    <w:p w14:paraId="612F764B">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20.3 中标供应商的投标文件有效期，截止于完成本招标文件规定的全部项目内容，并通过竣工验收及保修结束。</w:t>
      </w:r>
    </w:p>
    <w:p w14:paraId="74DA09C4">
      <w:pPr>
        <w:spacing w:line="288" w:lineRule="auto"/>
        <w:rPr>
          <w:rFonts w:ascii="宋体" w:hAnsi="宋体" w:eastAsia="宋体" w:cs="宋体"/>
          <w:b/>
          <w:bCs/>
          <w:sz w:val="21"/>
          <w:szCs w:val="21"/>
        </w:rPr>
      </w:pPr>
      <w:r>
        <w:rPr>
          <w:rFonts w:hint="eastAsia" w:ascii="宋体" w:hAnsi="宋体" w:eastAsia="宋体" w:cs="宋体"/>
          <w:b/>
          <w:bCs/>
          <w:sz w:val="21"/>
          <w:szCs w:val="21"/>
        </w:rPr>
        <w:t xml:space="preserve">21．关于投标保证金 </w:t>
      </w:r>
    </w:p>
    <w:p w14:paraId="6BB5895B">
      <w:pPr>
        <w:spacing w:line="288" w:lineRule="auto"/>
        <w:ind w:firstLine="420"/>
        <w:rPr>
          <w:rFonts w:ascii="宋体" w:hAnsi="宋体" w:eastAsia="宋体" w:cs="宋体"/>
          <w:sz w:val="21"/>
          <w:szCs w:val="21"/>
        </w:rPr>
      </w:pPr>
      <w:r>
        <w:rPr>
          <w:rFonts w:hint="eastAsia" w:ascii="宋体" w:hAnsi="宋体" w:eastAsia="宋体" w:cs="宋体"/>
          <w:sz w:val="21"/>
          <w:szCs w:val="21"/>
        </w:rPr>
        <w:t>21.1 根据《深圳市财政局关于明确政府采购保证金管理工作的通知》（深财购[2019]42号）文的规定，本项目不收取投标保证金。</w:t>
      </w:r>
    </w:p>
    <w:p w14:paraId="2E634A4A">
      <w:pPr>
        <w:spacing w:line="288" w:lineRule="auto"/>
        <w:rPr>
          <w:rFonts w:ascii="宋体" w:hAnsi="宋体" w:eastAsia="宋体" w:cs="宋体"/>
          <w:b/>
          <w:bCs/>
          <w:sz w:val="21"/>
          <w:szCs w:val="21"/>
        </w:rPr>
      </w:pPr>
      <w:r>
        <w:rPr>
          <w:rFonts w:hint="eastAsia" w:ascii="宋体" w:hAnsi="宋体" w:eastAsia="宋体" w:cs="宋体"/>
          <w:b/>
          <w:bCs/>
          <w:sz w:val="21"/>
          <w:szCs w:val="21"/>
        </w:rPr>
        <w:t>22．投标人的替代方案</w:t>
      </w:r>
    </w:p>
    <w:p w14:paraId="3225D7D1">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22.1投标人所提交的投标文件应完全满足招标文件（包括图纸和技术规范所示的基本技术设计）的要求。除非招标的项目明确允许投标人提交替代方案，否则投标人有关替代方案的条款将初审不通过，投标无效。</w:t>
      </w:r>
    </w:p>
    <w:p w14:paraId="70D54C15">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p w14:paraId="41D4B5B1">
      <w:pPr>
        <w:spacing w:line="288" w:lineRule="auto"/>
        <w:rPr>
          <w:rFonts w:ascii="宋体" w:hAnsi="宋体" w:eastAsia="宋体" w:cs="宋体"/>
          <w:b/>
          <w:bCs/>
          <w:sz w:val="21"/>
          <w:szCs w:val="21"/>
        </w:rPr>
      </w:pPr>
      <w:r>
        <w:rPr>
          <w:rFonts w:hint="eastAsia" w:ascii="宋体" w:hAnsi="宋体" w:eastAsia="宋体" w:cs="宋体"/>
          <w:b/>
          <w:bCs/>
          <w:sz w:val="21"/>
          <w:szCs w:val="21"/>
        </w:rPr>
        <w:t>23．投标文件的制作要求</w:t>
      </w:r>
    </w:p>
    <w:p w14:paraId="184B2F14">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23.1投标人应准备所投项目的电子投标文件一份。此电子投标文件须由投标人根据政府采购代理机构提供的后缀名为.szczf的电子招标文件，下载并使用相应的深圳智慧采购平台投标文件制作专用软件打开招标文件（.szczf格式）【下载地址：http://zfcg.szggzy.com:8081/cgxy/013002/20210923/173e0b2c-7a4c-4246-a0c7-e0ea75d84dd6.html】。</w:t>
      </w:r>
    </w:p>
    <w:p w14:paraId="1759DBB3">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23.2投标人在使用《投标文件制作软件》编制投标书时须注意：</w:t>
      </w:r>
    </w:p>
    <w:p w14:paraId="6D4E15CD">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23.2.1导入《投标文件制作软件》的招标文件项目编号、包号应与以此制作的投标文件项目编号、包号一致。例如，不能将甲项目A包的招标书导入《投标文件制作软件》，制作乙项目B包的投标书。</w:t>
      </w:r>
    </w:p>
    <w:p w14:paraId="67A74704">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23.2.2不能用非本公司的电子密钥加密本公司的投标文件，或者用其它公司的登录用户上传本公司的投标文件。</w:t>
      </w:r>
    </w:p>
    <w:p w14:paraId="175C53E0">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23.2.3要求用《投标文件制作软件》编制投标书的包，不能用其它方式编制投标书。编制投标文件时，电脑须连通互联网。</w:t>
      </w:r>
    </w:p>
    <w:p w14:paraId="4C0A6FAC">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23.2.4投标文件不能带病毒。政府采购代理机构将用专业杀毒软件对投标文件进行病毒检测，如果这两种软件均报告发现病毒，则政府采购代理机构认为该投标文件带病毒。</w:t>
      </w:r>
    </w:p>
    <w:p w14:paraId="476AF545">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23.2.5完整填写“投标关键信息”，如下图所示：</w:t>
      </w:r>
    </w:p>
    <w:p w14:paraId="6D504576">
      <w:pPr>
        <w:jc w:val="center"/>
        <w:rPr>
          <w:rFonts w:ascii="宋体" w:hAnsi="宋体" w:eastAsia="宋体" w:cs="宋体"/>
          <w:sz w:val="21"/>
          <w:szCs w:val="21"/>
        </w:rPr>
      </w:pPr>
      <w:r>
        <w:rPr>
          <w:rFonts w:hint="eastAsia" w:ascii="宋体" w:hAnsi="宋体" w:eastAsia="宋体" w:cs="宋体"/>
          <w:sz w:val="21"/>
          <w:szCs w:val="21"/>
        </w:rPr>
        <w:drawing>
          <wp:inline distT="0" distB="0" distL="114300" distR="114300">
            <wp:extent cx="5278755" cy="2721610"/>
            <wp:effectExtent l="0" t="0" r="17145" b="2540"/>
            <wp:docPr id="9" name="图片 1"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图形用户界面, 应用程序&#10;&#10;描述已自动生成"/>
                    <pic:cNvPicPr>
                      <a:picLocks noChangeAspect="1"/>
                    </pic:cNvPicPr>
                  </pic:nvPicPr>
                  <pic:blipFill>
                    <a:blip r:embed="rId10"/>
                    <a:stretch>
                      <a:fillRect/>
                    </a:stretch>
                  </pic:blipFill>
                  <pic:spPr>
                    <a:xfrm>
                      <a:off x="0" y="0"/>
                      <a:ext cx="5278755" cy="2721610"/>
                    </a:xfrm>
                    <a:prstGeom prst="rect">
                      <a:avLst/>
                    </a:prstGeom>
                    <a:noFill/>
                    <a:ln>
                      <a:noFill/>
                    </a:ln>
                  </pic:spPr>
                </pic:pic>
              </a:graphicData>
            </a:graphic>
          </wp:inline>
        </w:drawing>
      </w:r>
    </w:p>
    <w:p w14:paraId="3B85A133">
      <w:pPr>
        <w:spacing w:line="288" w:lineRule="auto"/>
        <w:ind w:firstLine="413" w:firstLineChars="196"/>
        <w:rPr>
          <w:rFonts w:ascii="宋体" w:hAnsi="宋体" w:eastAsia="宋体" w:cs="宋体"/>
          <w:b/>
          <w:sz w:val="21"/>
          <w:szCs w:val="21"/>
        </w:rPr>
      </w:pPr>
      <w:r>
        <w:rPr>
          <w:rFonts w:hint="eastAsia" w:ascii="宋体" w:hAnsi="宋体" w:eastAsia="宋体" w:cs="宋体"/>
          <w:b/>
          <w:sz w:val="21"/>
          <w:szCs w:val="21"/>
        </w:rPr>
        <w:t>备注：上述“开标一览表”中的“投标报价”将作为价格分计算依据；其它信息仅是对投标文件相关内容的概括性表述，不作为评审依据。</w:t>
      </w:r>
    </w:p>
    <w:p w14:paraId="1085F992">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23.2.6投标人在编辑投标文件时，</w:t>
      </w:r>
      <w:r>
        <w:rPr>
          <w:rFonts w:hint="eastAsia" w:ascii="宋体" w:hAnsi="宋体" w:eastAsia="宋体" w:cs="宋体"/>
          <w:b/>
          <w:sz w:val="21"/>
          <w:szCs w:val="21"/>
        </w:rPr>
        <w:t>在投标文件目录中属于本节点内容的必须在本节点中填写，填写到其他节点或附件，</w:t>
      </w:r>
      <w:r>
        <w:rPr>
          <w:rFonts w:hint="eastAsia" w:ascii="宋体" w:hAnsi="宋体" w:eastAsia="宋体" w:cs="宋体"/>
          <w:sz w:val="21"/>
          <w:szCs w:val="21"/>
        </w:rPr>
        <w:t>一切后果由供应商自行承担。</w:t>
      </w:r>
    </w:p>
    <w:p w14:paraId="7EC419EC">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23.2.7投标文件编写完成后，</w:t>
      </w:r>
      <w:r>
        <w:rPr>
          <w:rFonts w:hint="eastAsia" w:ascii="宋体" w:hAnsi="宋体" w:eastAsia="宋体" w:cs="宋体"/>
          <w:b/>
          <w:sz w:val="21"/>
          <w:szCs w:val="21"/>
        </w:rPr>
        <w:t>必须用属于投标人的电子密钥进行加密，否则视同未盖公章，将导致投标文件无效。</w:t>
      </w:r>
    </w:p>
    <w:p w14:paraId="4423624D">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23.2.8政府采购代理机构不接受投标截止时间后递交的纸质、电子、传真等所有形式的投标文件。由于对网上政府采购系统操作不熟悉或自身电脑、网络等原因导致不能在投标截止时间之前上传投标文件，政府采购代理机构概不负责。建议于开标前一个工作日完成投标文件的制作与上传，如上传确有困难，请及时咨询。</w:t>
      </w:r>
    </w:p>
    <w:p w14:paraId="1C7F0FA6">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23.2.9如果开标时出现网络故障、技术故障，影响了政府采购活动，政府采购代理机构有权采取措施如延期、接受无法从网上上传的投标书等，以保障政府采购活动的公开、公平和公正。</w:t>
      </w:r>
    </w:p>
    <w:p w14:paraId="51880774">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23.3电报、电话、传真形式的投标概不接受。</w:t>
      </w:r>
    </w:p>
    <w:p w14:paraId="6A92D729">
      <w:pPr>
        <w:spacing w:line="288" w:lineRule="auto"/>
        <w:ind w:firstLine="413" w:firstLineChars="196"/>
        <w:rPr>
          <w:rFonts w:ascii="宋体" w:hAnsi="宋体" w:eastAsia="宋体" w:cs="宋体"/>
          <w:b/>
          <w:sz w:val="21"/>
          <w:szCs w:val="21"/>
        </w:rPr>
      </w:pPr>
      <w:r>
        <w:rPr>
          <w:rFonts w:hint="eastAsia" w:ascii="宋体" w:hAnsi="宋体" w:eastAsia="宋体" w:cs="宋体"/>
          <w:b/>
          <w:sz w:val="21"/>
          <w:szCs w:val="21"/>
        </w:rPr>
        <w:t>23.4经投标人电子密钥加密的投标文件无须盖章或签字，</w:t>
      </w:r>
      <w:r>
        <w:rPr>
          <w:rFonts w:hint="eastAsia" w:ascii="宋体" w:hAnsi="宋体" w:eastAsia="宋体" w:cs="宋体"/>
          <w:sz w:val="21"/>
          <w:szCs w:val="21"/>
        </w:rPr>
        <w:t>专用条款另有要求的除外。</w:t>
      </w:r>
    </w:p>
    <w:p w14:paraId="1E5540EC">
      <w:pPr>
        <w:spacing w:line="288" w:lineRule="auto"/>
        <w:ind w:firstLine="413" w:firstLineChars="196"/>
        <w:rPr>
          <w:rFonts w:ascii="宋体" w:hAnsi="宋体" w:eastAsia="宋体" w:cs="宋体"/>
          <w:sz w:val="21"/>
          <w:szCs w:val="21"/>
        </w:rPr>
      </w:pPr>
      <w:r>
        <w:rPr>
          <w:rFonts w:hint="eastAsia" w:ascii="宋体" w:hAnsi="宋体" w:eastAsia="宋体" w:cs="宋体"/>
          <w:b/>
          <w:sz w:val="21"/>
          <w:szCs w:val="21"/>
        </w:rPr>
        <w:t>23.5</w:t>
      </w:r>
      <w:r>
        <w:rPr>
          <w:rFonts w:hint="eastAsia" w:ascii="宋体" w:hAnsi="宋体" w:eastAsia="宋体" w:cs="宋体"/>
          <w:sz w:val="21"/>
          <w:szCs w:val="21"/>
        </w:rPr>
        <w:t xml:space="preserve"> 各类资格（资质）文件提供扫描件，专用条款另有要求的除外。</w:t>
      </w:r>
    </w:p>
    <w:p w14:paraId="47A86F55">
      <w:pPr>
        <w:pStyle w:val="3"/>
        <w:rPr>
          <w:szCs w:val="28"/>
        </w:rPr>
      </w:pPr>
      <w:r>
        <w:rPr>
          <w:rFonts w:hint="eastAsia" w:ascii="宋体" w:hAnsi="宋体" w:eastAsia="宋体" w:cs="宋体"/>
          <w:szCs w:val="28"/>
        </w:rPr>
        <w:t>第</w:t>
      </w:r>
      <w:r>
        <w:rPr>
          <w:rFonts w:hint="eastAsia"/>
          <w:szCs w:val="28"/>
        </w:rPr>
        <w:t>四章  投标文件的递交</w:t>
      </w:r>
    </w:p>
    <w:p w14:paraId="23C3E24D">
      <w:pPr>
        <w:spacing w:line="288" w:lineRule="auto"/>
        <w:rPr>
          <w:rFonts w:ascii="宋体" w:hAnsi="宋体" w:eastAsia="宋体" w:cs="宋体"/>
          <w:b/>
          <w:bCs/>
          <w:sz w:val="21"/>
          <w:szCs w:val="21"/>
        </w:rPr>
      </w:pPr>
      <w:r>
        <w:rPr>
          <w:rFonts w:hint="eastAsia" w:ascii="宋体" w:hAnsi="宋体" w:eastAsia="宋体" w:cs="宋体"/>
          <w:b/>
          <w:bCs/>
          <w:sz w:val="21"/>
          <w:szCs w:val="21"/>
        </w:rPr>
        <w:t>24．投标书的保密</w:t>
      </w:r>
    </w:p>
    <w:p w14:paraId="2CCD7652">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24.1在投标文件制作完成后，在投标文件制作软件点击【生成标书】按钮进入【填写开标一览表界面】界面，在该界面填写完开标一览表信息后点击【确定】，进入投标文件生成环节。投标文件制作软件会在投标文件生成过程中，提示用户输入密码，输入密码后对标文件自动进行加密，此加密程序确保投标文件在到达开标时间后才能解密查看。在加密过程中，请按照软件提示进行操作。加密操作界面如下图所示：</w:t>
      </w:r>
    </w:p>
    <w:p w14:paraId="6140F32A">
      <w:pPr>
        <w:spacing w:line="288" w:lineRule="auto"/>
        <w:rPr>
          <w:rFonts w:ascii="宋体" w:hAnsi="宋体" w:eastAsia="宋体" w:cs="宋体"/>
          <w:sz w:val="21"/>
          <w:szCs w:val="21"/>
        </w:rPr>
      </w:pPr>
      <w:r>
        <w:rPr>
          <w:rFonts w:hint="eastAsia" w:ascii="宋体" w:hAnsi="宋体" w:eastAsia="宋体" w:cs="宋体"/>
          <w:sz w:val="21"/>
          <w:szCs w:val="21"/>
        </w:rPr>
        <w:drawing>
          <wp:inline distT="0" distB="0" distL="114300" distR="114300">
            <wp:extent cx="5278755" cy="2721610"/>
            <wp:effectExtent l="0" t="0" r="17145" b="2540"/>
            <wp:docPr id="10" name="图片 2"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descr="图形用户界面, 应用程序&#10;&#10;描述已自动生成"/>
                    <pic:cNvPicPr>
                      <a:picLocks noChangeAspect="1"/>
                    </pic:cNvPicPr>
                  </pic:nvPicPr>
                  <pic:blipFill>
                    <a:blip r:embed="rId10"/>
                    <a:stretch>
                      <a:fillRect/>
                    </a:stretch>
                  </pic:blipFill>
                  <pic:spPr>
                    <a:xfrm>
                      <a:off x="0" y="0"/>
                      <a:ext cx="5278755" cy="2721610"/>
                    </a:xfrm>
                    <a:prstGeom prst="rect">
                      <a:avLst/>
                    </a:prstGeom>
                    <a:noFill/>
                    <a:ln>
                      <a:noFill/>
                    </a:ln>
                  </pic:spPr>
                </pic:pic>
              </a:graphicData>
            </a:graphic>
          </wp:inline>
        </w:drawing>
      </w:r>
    </w:p>
    <w:p w14:paraId="13BD881F">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在投标文件制作软件点击【生成标书】按钮进入【填写开标一览表界面】界面，在该界面填写完开标一览表信息后点击【确定】，进入投标文件生成环节</w:t>
      </w:r>
    </w:p>
    <w:p w14:paraId="691BDC62">
      <w:pPr>
        <w:spacing w:line="288" w:lineRule="auto"/>
        <w:rPr>
          <w:rFonts w:ascii="宋体" w:hAnsi="宋体" w:eastAsia="宋体" w:cs="宋体"/>
          <w:sz w:val="21"/>
          <w:szCs w:val="21"/>
        </w:rPr>
      </w:pPr>
      <w:r>
        <w:rPr>
          <w:rFonts w:hint="eastAsia" w:ascii="宋体" w:hAnsi="宋体" w:eastAsia="宋体" w:cs="宋体"/>
          <w:sz w:val="21"/>
          <w:szCs w:val="21"/>
        </w:rPr>
        <w:drawing>
          <wp:inline distT="0" distB="0" distL="114300" distR="114300">
            <wp:extent cx="5278755" cy="2732405"/>
            <wp:effectExtent l="0" t="0" r="17145" b="10795"/>
            <wp:docPr id="11" name="图片 3"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descr="图形用户界面&#10;&#10;描述已自动生成"/>
                    <pic:cNvPicPr>
                      <a:picLocks noChangeAspect="1"/>
                    </pic:cNvPicPr>
                  </pic:nvPicPr>
                  <pic:blipFill>
                    <a:blip r:embed="rId11"/>
                    <a:stretch>
                      <a:fillRect/>
                    </a:stretch>
                  </pic:blipFill>
                  <pic:spPr>
                    <a:xfrm>
                      <a:off x="0" y="0"/>
                      <a:ext cx="5278755" cy="2732405"/>
                    </a:xfrm>
                    <a:prstGeom prst="rect">
                      <a:avLst/>
                    </a:prstGeom>
                    <a:noFill/>
                    <a:ln>
                      <a:noFill/>
                    </a:ln>
                  </pic:spPr>
                </pic:pic>
              </a:graphicData>
            </a:graphic>
          </wp:inline>
        </w:drawing>
      </w:r>
    </w:p>
    <w:p w14:paraId="6CE2949C">
      <w:pPr>
        <w:spacing w:line="288" w:lineRule="auto"/>
        <w:ind w:firstLine="413" w:firstLineChars="196"/>
        <w:rPr>
          <w:rFonts w:ascii="宋体" w:hAnsi="宋体" w:eastAsia="宋体" w:cs="宋体"/>
          <w:sz w:val="21"/>
          <w:szCs w:val="21"/>
        </w:rPr>
      </w:pPr>
      <w:r>
        <w:rPr>
          <w:rFonts w:hint="eastAsia" w:ascii="宋体" w:hAnsi="宋体" w:eastAsia="宋体" w:cs="宋体"/>
          <w:b/>
          <w:sz w:val="21"/>
          <w:szCs w:val="21"/>
        </w:rPr>
        <w:t xml:space="preserve"> </w:t>
      </w:r>
      <w:r>
        <w:rPr>
          <w:rFonts w:hint="eastAsia" w:ascii="宋体" w:hAnsi="宋体" w:eastAsia="宋体" w:cs="宋体"/>
          <w:sz w:val="21"/>
          <w:szCs w:val="21"/>
        </w:rPr>
        <w:t>投标文件制作软件会在投标文件生成过程中，提示用户输入密码，输入密码后对标文件自动进行加密。</w:t>
      </w:r>
    </w:p>
    <w:p w14:paraId="4B6C0BEC">
      <w:pPr>
        <w:spacing w:line="288" w:lineRule="auto"/>
        <w:ind w:firstLine="422" w:firstLineChars="200"/>
        <w:rPr>
          <w:rFonts w:ascii="宋体" w:hAnsi="宋体" w:eastAsia="宋体" w:cs="宋体"/>
          <w:b/>
          <w:sz w:val="21"/>
          <w:szCs w:val="21"/>
        </w:rPr>
      </w:pPr>
      <w:r>
        <w:rPr>
          <w:rFonts w:hint="eastAsia" w:ascii="宋体" w:hAnsi="宋体" w:eastAsia="宋体" w:cs="宋体"/>
          <w:b/>
          <w:sz w:val="21"/>
          <w:szCs w:val="21"/>
        </w:rPr>
        <w:t>24.2若采购项目出现延期情况：</w:t>
      </w:r>
    </w:p>
    <w:p w14:paraId="0B124244">
      <w:pPr>
        <w:spacing w:line="288" w:lineRule="auto"/>
        <w:ind w:firstLine="413" w:firstLineChars="196"/>
        <w:rPr>
          <w:rFonts w:ascii="宋体" w:hAnsi="宋体" w:eastAsia="宋体" w:cs="宋体"/>
          <w:sz w:val="21"/>
          <w:szCs w:val="21"/>
        </w:rPr>
      </w:pPr>
      <w:r>
        <w:rPr>
          <w:rFonts w:hint="eastAsia" w:ascii="宋体" w:hAnsi="宋体" w:eastAsia="宋体" w:cs="宋体"/>
          <w:b/>
          <w:sz w:val="21"/>
          <w:szCs w:val="21"/>
        </w:rPr>
        <w:t>如果供下载的招标文件（后缀名为.szczf）有更新，投标人必须重新下载招标文件、重新制作投标文件、重新加密投标文件、重新上传投标文件；如果供下载的招标文件（后缀名为.szczf）没有更新，投标人必须重新加密投标文件、重新上传投标文件（是否重新制作投标文件根据项目实际情况定）。否则，投标人自行承担投标文件无法解密导致投标无效的后果。</w:t>
      </w:r>
    </w:p>
    <w:p w14:paraId="5684E2E6">
      <w:pPr>
        <w:spacing w:line="288" w:lineRule="auto"/>
        <w:rPr>
          <w:rFonts w:ascii="宋体" w:hAnsi="宋体" w:eastAsia="宋体" w:cs="宋体"/>
          <w:b/>
          <w:bCs/>
          <w:sz w:val="21"/>
          <w:szCs w:val="21"/>
        </w:rPr>
      </w:pPr>
      <w:r>
        <w:rPr>
          <w:rFonts w:hint="eastAsia" w:ascii="宋体" w:hAnsi="宋体" w:eastAsia="宋体" w:cs="宋体"/>
          <w:b/>
          <w:bCs/>
          <w:sz w:val="21"/>
          <w:szCs w:val="21"/>
        </w:rPr>
        <w:t>25．投标截止日期</w:t>
      </w:r>
    </w:p>
    <w:p w14:paraId="4301743C">
      <w:pPr>
        <w:spacing w:line="288" w:lineRule="auto"/>
        <w:ind w:firstLine="411" w:firstLineChars="196"/>
        <w:rPr>
          <w:rFonts w:ascii="宋体" w:hAnsi="宋体" w:eastAsia="宋体" w:cs="宋体"/>
          <w:sz w:val="21"/>
          <w:szCs w:val="21"/>
          <w:u w:val="single"/>
        </w:rPr>
      </w:pPr>
      <w:r>
        <w:rPr>
          <w:rFonts w:hint="eastAsia" w:ascii="宋体" w:hAnsi="宋体" w:eastAsia="宋体" w:cs="宋体"/>
          <w:sz w:val="21"/>
          <w:szCs w:val="21"/>
        </w:rPr>
        <w:t>25.1实行网上投标，投标人必须在招标文件规定的投标截止时间前用电子密钥登录“深圳政府采购智慧平台用户网上办事子系统（http://zfcg.szggzy.com:8081/TPBidder/memberLogin）”，用“【我的项目】→【项目流程】→【递交投标(应答)文件】”功能点上传投标文件。如上传过程中遇到问题，可拨打技术支持电话，联系方式：0755-88653300，转6。</w:t>
      </w:r>
    </w:p>
    <w:p w14:paraId="29D5041B">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25.2政府采购代理机构可以按本通用条款第13条规定，通过修改招标文件自行决定酌情延长投标截止期。在此情况下，政府采购代理机构、采购人和投标人受投标截止期制约的所有权利和义务均应延长至新的截止期。</w:t>
      </w:r>
    </w:p>
    <w:p w14:paraId="6C0B3F45">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25.3投标截止时间以后不得上传投标文件。</w:t>
      </w:r>
    </w:p>
    <w:p w14:paraId="06873481">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25.4.投标人须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0BF5E4DA">
      <w:pPr>
        <w:spacing w:line="288" w:lineRule="auto"/>
        <w:rPr>
          <w:rFonts w:ascii="宋体" w:hAnsi="宋体" w:eastAsia="宋体" w:cs="宋体"/>
          <w:b/>
          <w:bCs/>
          <w:sz w:val="21"/>
          <w:szCs w:val="21"/>
        </w:rPr>
      </w:pPr>
      <w:r>
        <w:rPr>
          <w:rFonts w:hint="eastAsia" w:ascii="宋体" w:hAnsi="宋体" w:eastAsia="宋体" w:cs="宋体"/>
          <w:b/>
          <w:bCs/>
          <w:sz w:val="21"/>
          <w:szCs w:val="21"/>
        </w:rPr>
        <w:t>26. 样品、演示、方案讲解</w:t>
      </w:r>
    </w:p>
    <w:p w14:paraId="73592435">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26.1 样品、演示、方案讲解等事项在招标文件专用条款中进行规定。</w:t>
      </w:r>
    </w:p>
    <w:p w14:paraId="3DCEFB1E">
      <w:pPr>
        <w:spacing w:line="288" w:lineRule="auto"/>
        <w:rPr>
          <w:rFonts w:ascii="宋体" w:hAnsi="宋体" w:eastAsia="宋体" w:cs="宋体"/>
          <w:b/>
          <w:bCs/>
          <w:sz w:val="21"/>
          <w:szCs w:val="21"/>
        </w:rPr>
      </w:pPr>
      <w:r>
        <w:rPr>
          <w:rFonts w:hint="eastAsia" w:ascii="宋体" w:hAnsi="宋体" w:eastAsia="宋体" w:cs="宋体"/>
          <w:b/>
          <w:bCs/>
          <w:sz w:val="21"/>
          <w:szCs w:val="21"/>
        </w:rPr>
        <w:t>27．投标文件的修改和撤销</w:t>
      </w:r>
    </w:p>
    <w:p w14:paraId="48847D19">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27.1投标方在提交投标文件后可对其投标文件进行修改并重新上传投标文件或在网上进行撤销投标的操作。</w:t>
      </w:r>
    </w:p>
    <w:p w14:paraId="1DC001B3">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27.2投标截止时间以后不得修改投标文件。</w:t>
      </w:r>
    </w:p>
    <w:p w14:paraId="6A0DECCB">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27.3从投标截止期至投标人在投标文件中确定的投标有效期之间的这段时间内，投标人不得撤回其投标。</w:t>
      </w:r>
    </w:p>
    <w:p w14:paraId="33420D80">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27.4政府采购代理机构不退还投标文件，专用条款另有规定的除外。</w:t>
      </w:r>
    </w:p>
    <w:p w14:paraId="080CB49B">
      <w:pPr>
        <w:pStyle w:val="3"/>
        <w:rPr>
          <w:szCs w:val="28"/>
        </w:rPr>
      </w:pPr>
      <w:r>
        <w:rPr>
          <w:rFonts w:hint="eastAsia" w:ascii="宋体" w:hAnsi="宋体" w:eastAsia="宋体" w:cs="宋体"/>
          <w:szCs w:val="28"/>
        </w:rPr>
        <w:t>第</w:t>
      </w:r>
      <w:r>
        <w:rPr>
          <w:rFonts w:hint="eastAsia"/>
          <w:szCs w:val="28"/>
        </w:rPr>
        <w:t>五章  开标</w:t>
      </w:r>
    </w:p>
    <w:p w14:paraId="6A794E43">
      <w:pPr>
        <w:tabs>
          <w:tab w:val="left" w:pos="360"/>
        </w:tabs>
        <w:spacing w:before="120" w:beforeLines="50" w:after="120" w:afterLines="50" w:line="288" w:lineRule="auto"/>
        <w:rPr>
          <w:rFonts w:ascii="宋体" w:hAnsi="宋体" w:eastAsia="宋体" w:cs="宋体"/>
          <w:b/>
          <w:bCs/>
          <w:sz w:val="21"/>
          <w:szCs w:val="21"/>
        </w:rPr>
      </w:pPr>
      <w:r>
        <w:rPr>
          <w:rFonts w:hint="eastAsia" w:ascii="宋体" w:hAnsi="宋体" w:eastAsia="宋体" w:cs="宋体"/>
          <w:b/>
          <w:bCs/>
          <w:sz w:val="21"/>
          <w:szCs w:val="21"/>
        </w:rPr>
        <w:t>28．开标</w:t>
      </w:r>
    </w:p>
    <w:p w14:paraId="4ABC43C5">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28.1投标人须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3380B7D5">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28.2 政府采购代理机构将在满足开标条件（①解密时间结束，解密后的投标供应商数量满足开标要求或②解密时间结束前所有投标供应商均完成投标文件解密）后，对投标文件进行开标，并在网上公布开标结果。</w:t>
      </w:r>
    </w:p>
    <w:p w14:paraId="6C1922FE">
      <w:pPr>
        <w:pStyle w:val="3"/>
        <w:rPr>
          <w:szCs w:val="28"/>
        </w:rPr>
      </w:pPr>
      <w:r>
        <w:rPr>
          <w:rFonts w:hint="eastAsia" w:ascii="宋体" w:hAnsi="宋体" w:eastAsia="宋体" w:cs="宋体"/>
          <w:szCs w:val="28"/>
        </w:rPr>
        <w:t>第</w:t>
      </w:r>
      <w:r>
        <w:rPr>
          <w:rFonts w:hint="eastAsia"/>
          <w:szCs w:val="28"/>
        </w:rPr>
        <w:t>六章  评标要求</w:t>
      </w:r>
    </w:p>
    <w:p w14:paraId="1B606875">
      <w:pPr>
        <w:spacing w:line="288" w:lineRule="auto"/>
        <w:rPr>
          <w:rFonts w:ascii="宋体" w:hAnsi="宋体" w:eastAsia="宋体" w:cs="宋体"/>
          <w:b/>
          <w:bCs/>
          <w:sz w:val="21"/>
          <w:szCs w:val="21"/>
        </w:rPr>
      </w:pPr>
      <w:r>
        <w:rPr>
          <w:rFonts w:hint="eastAsia" w:ascii="宋体" w:hAnsi="宋体" w:eastAsia="宋体" w:cs="宋体"/>
          <w:b/>
          <w:bCs/>
          <w:sz w:val="21"/>
          <w:szCs w:val="21"/>
        </w:rPr>
        <w:t>29．评审委员会组成</w:t>
      </w:r>
    </w:p>
    <w:p w14:paraId="5C93FF7C">
      <w:pPr>
        <w:spacing w:line="288" w:lineRule="auto"/>
        <w:ind w:firstLine="411" w:firstLineChars="196"/>
        <w:rPr>
          <w:rFonts w:ascii="宋体" w:hAnsi="宋体" w:eastAsia="宋体" w:cs="宋体"/>
          <w:bCs/>
          <w:sz w:val="21"/>
          <w:szCs w:val="21"/>
        </w:rPr>
      </w:pPr>
      <w:r>
        <w:rPr>
          <w:rFonts w:hint="eastAsia" w:ascii="宋体" w:hAnsi="宋体" w:eastAsia="宋体" w:cs="宋体"/>
          <w:bCs/>
          <w:sz w:val="21"/>
          <w:szCs w:val="21"/>
        </w:rPr>
        <w:t>29.1网上开标结束后召开评审会议，评审委员会由政府采购代理机构依法组建，负责评审活动。</w:t>
      </w:r>
    </w:p>
    <w:p w14:paraId="34BD0D9E">
      <w:pPr>
        <w:spacing w:line="288" w:lineRule="auto"/>
        <w:ind w:firstLine="411" w:firstLineChars="196"/>
        <w:rPr>
          <w:rFonts w:ascii="宋体" w:hAnsi="宋体" w:eastAsia="宋体" w:cs="宋体"/>
          <w:bCs/>
          <w:sz w:val="21"/>
          <w:szCs w:val="21"/>
        </w:rPr>
      </w:pPr>
      <w:r>
        <w:rPr>
          <w:rFonts w:hint="eastAsia" w:ascii="宋体" w:hAnsi="宋体" w:eastAsia="宋体" w:cs="宋体"/>
          <w:bCs/>
          <w:sz w:val="21"/>
          <w:szCs w:val="21"/>
        </w:rPr>
        <w:t>评审委员会由采购人代表和评审专家组成，成员人数应当为5人以上单数（部分条件下为7人以上单数），其中评审专家不得少于成员总数的三分之二。评定分离项目评审专家均由评审专家组成。评审专家一般是从深圳市政府采购评审专家库中随机抽取。采购人代表须持</w:t>
      </w:r>
      <w:r>
        <w:rPr>
          <w:rFonts w:hint="eastAsia" w:ascii="宋体" w:hAnsi="宋体" w:eastAsia="宋体" w:cs="宋体"/>
          <w:sz w:val="21"/>
          <w:szCs w:val="21"/>
        </w:rPr>
        <w:t>本单位</w:t>
      </w:r>
      <w:r>
        <w:rPr>
          <w:rFonts w:hint="eastAsia" w:ascii="宋体" w:hAnsi="宋体" w:eastAsia="宋体" w:cs="宋体"/>
          <w:bCs/>
          <w:sz w:val="21"/>
          <w:szCs w:val="21"/>
        </w:rPr>
        <w:t>签发的《评标授权书》参加评审。</w:t>
      </w:r>
    </w:p>
    <w:p w14:paraId="53C02A82">
      <w:pPr>
        <w:spacing w:line="288" w:lineRule="auto"/>
        <w:ind w:firstLine="411" w:firstLineChars="196"/>
        <w:rPr>
          <w:rFonts w:ascii="宋体" w:hAnsi="宋体" w:eastAsia="宋体" w:cs="宋体"/>
          <w:bCs/>
          <w:sz w:val="21"/>
          <w:szCs w:val="21"/>
        </w:rPr>
      </w:pPr>
      <w:r>
        <w:rPr>
          <w:rFonts w:hint="eastAsia" w:ascii="宋体" w:hAnsi="宋体" w:eastAsia="宋体" w:cs="宋体"/>
          <w:bCs/>
          <w:sz w:val="21"/>
          <w:szCs w:val="21"/>
        </w:rPr>
        <w:t>29.2评审定标应当遵循公平、公正、科学、择优的原则。</w:t>
      </w:r>
    </w:p>
    <w:p w14:paraId="0E2B9B57">
      <w:pPr>
        <w:spacing w:line="288" w:lineRule="auto"/>
        <w:ind w:firstLine="411" w:firstLineChars="196"/>
        <w:rPr>
          <w:rFonts w:ascii="宋体" w:hAnsi="宋体" w:eastAsia="宋体" w:cs="宋体"/>
          <w:bCs/>
          <w:sz w:val="21"/>
          <w:szCs w:val="21"/>
        </w:rPr>
      </w:pPr>
      <w:r>
        <w:rPr>
          <w:rFonts w:hint="eastAsia" w:ascii="宋体" w:hAnsi="宋体" w:eastAsia="宋体" w:cs="宋体"/>
          <w:bCs/>
          <w:sz w:val="21"/>
          <w:szCs w:val="21"/>
        </w:rPr>
        <w:t>29.3评审活动依法进行，任何单位和个人不得非法干预评标过程和结果。</w:t>
      </w:r>
    </w:p>
    <w:p w14:paraId="39F3117A">
      <w:pPr>
        <w:spacing w:line="288" w:lineRule="auto"/>
        <w:ind w:firstLine="411" w:firstLineChars="196"/>
        <w:rPr>
          <w:rFonts w:ascii="宋体" w:hAnsi="宋体" w:eastAsia="宋体" w:cs="宋体"/>
          <w:bCs/>
          <w:sz w:val="21"/>
          <w:szCs w:val="21"/>
        </w:rPr>
      </w:pPr>
      <w:r>
        <w:rPr>
          <w:rFonts w:hint="eastAsia" w:ascii="宋体" w:hAnsi="宋体" w:eastAsia="宋体" w:cs="宋体"/>
          <w:bCs/>
          <w:sz w:val="21"/>
          <w:szCs w:val="21"/>
        </w:rPr>
        <w:t>29.4评审过程中不允许违背评标程序或采用招标文件未载明的评标方法或评标因素进行评标。</w:t>
      </w:r>
    </w:p>
    <w:p w14:paraId="3CF249FD">
      <w:pPr>
        <w:spacing w:line="288" w:lineRule="auto"/>
        <w:ind w:firstLine="411" w:firstLineChars="196"/>
        <w:rPr>
          <w:rFonts w:ascii="宋体" w:hAnsi="宋体" w:eastAsia="宋体" w:cs="宋体"/>
          <w:bCs/>
          <w:sz w:val="21"/>
          <w:szCs w:val="21"/>
        </w:rPr>
      </w:pPr>
      <w:r>
        <w:rPr>
          <w:rFonts w:hint="eastAsia" w:ascii="宋体" w:hAnsi="宋体" w:eastAsia="宋体" w:cs="宋体"/>
          <w:bCs/>
          <w:sz w:val="21"/>
          <w:szCs w:val="21"/>
        </w:rPr>
        <w:t>29.5 开标后，直到签订合同为止，凡属于对投标文件的审查、澄清、评价和比较的有关资料以及中标候选人的推荐情况、与评审有关的其他任何情况均严格保密（信息公开的内容除外）。</w:t>
      </w:r>
    </w:p>
    <w:p w14:paraId="360D527E">
      <w:pPr>
        <w:spacing w:line="288" w:lineRule="auto"/>
        <w:rPr>
          <w:rFonts w:ascii="宋体" w:hAnsi="宋体" w:eastAsia="宋体" w:cs="宋体"/>
          <w:b/>
          <w:bCs/>
          <w:sz w:val="21"/>
          <w:szCs w:val="21"/>
        </w:rPr>
      </w:pPr>
      <w:r>
        <w:rPr>
          <w:rFonts w:hint="eastAsia" w:ascii="宋体" w:hAnsi="宋体" w:eastAsia="宋体" w:cs="宋体"/>
          <w:b/>
          <w:bCs/>
          <w:sz w:val="21"/>
          <w:szCs w:val="21"/>
        </w:rPr>
        <w:t>30．向评审委员会提供的资料</w:t>
      </w:r>
    </w:p>
    <w:p w14:paraId="38226E9C">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30.1公开发布的招标文件，包括图纸、服务清单、答疑文件等；</w:t>
      </w:r>
    </w:p>
    <w:p w14:paraId="1BFA316A">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30.2其他评标必须的资料。</w:t>
      </w:r>
    </w:p>
    <w:p w14:paraId="684661B5">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30.3评审委员会应当认真研究招标文件，至少应了解熟悉以下内容：</w:t>
      </w:r>
    </w:p>
    <w:p w14:paraId="6F1F516A">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（1）招标的目的；</w:t>
      </w:r>
    </w:p>
    <w:p w14:paraId="1F834898">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（2）招标项目需求的范围和性质；</w:t>
      </w:r>
    </w:p>
    <w:p w14:paraId="0A84B714">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（3）招标文件规定的投标人的资格、财政预算限额、商务条款；</w:t>
      </w:r>
    </w:p>
    <w:p w14:paraId="20703529">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（4）招标文件规定的评标程序、评标方法和评标因素；</w:t>
      </w:r>
    </w:p>
    <w:p w14:paraId="0BB436E5">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（5）招标文件所列示的资格性审查表及符合性审查表。</w:t>
      </w:r>
    </w:p>
    <w:p w14:paraId="1BAAB03B">
      <w:pPr>
        <w:spacing w:line="288" w:lineRule="auto"/>
        <w:rPr>
          <w:rFonts w:ascii="宋体" w:hAnsi="宋体" w:eastAsia="宋体" w:cs="宋体"/>
          <w:b/>
          <w:bCs/>
          <w:sz w:val="21"/>
          <w:szCs w:val="21"/>
        </w:rPr>
      </w:pPr>
      <w:r>
        <w:rPr>
          <w:rFonts w:hint="eastAsia" w:ascii="宋体" w:hAnsi="宋体" w:eastAsia="宋体" w:cs="宋体"/>
          <w:b/>
          <w:bCs/>
          <w:sz w:val="21"/>
          <w:szCs w:val="21"/>
        </w:rPr>
        <w:t>31．独立评标</w:t>
      </w:r>
    </w:p>
    <w:p w14:paraId="7E379462">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30.1评审委员会成员的评标活动应当独立进行，并应遵循投标文件初审、澄清有关问题、比较与评价、确定中标供应商、编写评标报告的工作程序。</w:t>
      </w:r>
    </w:p>
    <w:p w14:paraId="35446259">
      <w:pPr>
        <w:pStyle w:val="3"/>
        <w:rPr>
          <w:szCs w:val="28"/>
        </w:rPr>
      </w:pPr>
      <w:r>
        <w:rPr>
          <w:rFonts w:hint="eastAsia" w:ascii="宋体" w:hAnsi="宋体" w:eastAsia="宋体" w:cs="宋体"/>
          <w:szCs w:val="28"/>
        </w:rPr>
        <w:t>第</w:t>
      </w:r>
      <w:r>
        <w:rPr>
          <w:rFonts w:hint="eastAsia"/>
          <w:szCs w:val="28"/>
        </w:rPr>
        <w:t>七章  评标程序及评标方法</w:t>
      </w:r>
    </w:p>
    <w:p w14:paraId="1B7DB5CB">
      <w:pPr>
        <w:spacing w:line="288" w:lineRule="auto"/>
        <w:rPr>
          <w:rFonts w:ascii="宋体" w:hAnsi="宋体" w:cs="宋体"/>
          <w:b/>
          <w:bCs/>
          <w:sz w:val="21"/>
          <w:szCs w:val="21"/>
        </w:rPr>
      </w:pPr>
      <w:r>
        <w:rPr>
          <w:rFonts w:hint="eastAsia" w:ascii="宋体" w:hAnsi="宋体" w:cs="宋体"/>
          <w:b/>
          <w:bCs/>
          <w:sz w:val="21"/>
          <w:szCs w:val="21"/>
        </w:rPr>
        <w:t>32．投标文件初审</w:t>
      </w:r>
    </w:p>
    <w:p w14:paraId="40B3EED5">
      <w:pPr>
        <w:spacing w:line="288" w:lineRule="auto"/>
        <w:ind w:firstLine="411" w:firstLineChars="196"/>
        <w:rPr>
          <w:rFonts w:ascii="宋体" w:hAnsi="宋体" w:cs="宋体"/>
          <w:sz w:val="21"/>
          <w:szCs w:val="21"/>
        </w:rPr>
      </w:pPr>
      <w:r>
        <w:rPr>
          <w:rFonts w:hint="eastAsia" w:ascii="宋体" w:hAnsi="宋体" w:cs="宋体"/>
          <w:sz w:val="21"/>
          <w:szCs w:val="21"/>
        </w:rPr>
        <w:t>32.1投标文件初审包括资格性审查和符合性审查。</w:t>
      </w:r>
    </w:p>
    <w:p w14:paraId="51DE4329">
      <w:pPr>
        <w:spacing w:line="288" w:lineRule="auto"/>
        <w:ind w:firstLine="411" w:firstLineChars="196"/>
        <w:rPr>
          <w:rFonts w:ascii="宋体" w:hAnsi="宋体" w:cs="宋体"/>
          <w:sz w:val="21"/>
          <w:szCs w:val="21"/>
        </w:rPr>
      </w:pPr>
      <w:r>
        <w:rPr>
          <w:rFonts w:hint="eastAsia" w:ascii="宋体" w:hAnsi="宋体" w:cs="宋体"/>
          <w:sz w:val="21"/>
          <w:szCs w:val="21"/>
        </w:rPr>
        <w:t>资格性审查：依据法律法规和招标文件的规定，对投标文件中的资格证明等进行审查，以确定投标供应商是否具备投标资格。</w:t>
      </w:r>
    </w:p>
    <w:p w14:paraId="56C3574E">
      <w:pPr>
        <w:spacing w:line="288" w:lineRule="auto"/>
        <w:ind w:firstLine="411" w:firstLineChars="196"/>
        <w:rPr>
          <w:rFonts w:ascii="宋体" w:hAnsi="宋体" w:cs="宋体"/>
          <w:sz w:val="21"/>
          <w:szCs w:val="21"/>
        </w:rPr>
      </w:pPr>
      <w:r>
        <w:rPr>
          <w:rFonts w:hint="eastAsia" w:ascii="宋体" w:hAnsi="宋体" w:cs="宋体"/>
          <w:sz w:val="21"/>
          <w:szCs w:val="21"/>
        </w:rPr>
        <w:t>符合性审查：依据招标文件的规定，对投标文件的有效性、完整性和对招标文件的响应程度进行审查，以确定是否满足符合性审查的要求。</w:t>
      </w:r>
    </w:p>
    <w:p w14:paraId="1EF93C41">
      <w:pPr>
        <w:autoSpaceDE w:val="0"/>
        <w:autoSpaceDN w:val="0"/>
        <w:adjustRightInd w:val="0"/>
        <w:spacing w:line="288" w:lineRule="auto"/>
        <w:rPr>
          <w:rFonts w:ascii="宋体" w:hAnsi="宋体" w:cs="宋体"/>
          <w:sz w:val="21"/>
          <w:szCs w:val="21"/>
        </w:rPr>
      </w:pPr>
      <w:r>
        <w:rPr>
          <w:rFonts w:hint="eastAsia" w:ascii="宋体" w:hAnsi="宋体" w:cs="宋体"/>
          <w:sz w:val="21"/>
          <w:szCs w:val="21"/>
        </w:rPr>
        <w:t xml:space="preserve">    32.2 投标文件初审内容请详见《资格性审查表》和《符合性审查表》部分。投标人若有一条审查不通过则按投标无效处理。</w:t>
      </w:r>
    </w:p>
    <w:p w14:paraId="5A895930">
      <w:pPr>
        <w:spacing w:line="288" w:lineRule="auto"/>
        <w:ind w:firstLine="411" w:firstLineChars="196"/>
        <w:rPr>
          <w:rFonts w:ascii="宋体" w:hAnsi="宋体" w:eastAsia="宋体" w:cs="宋体"/>
          <w:sz w:val="21"/>
          <w:szCs w:val="21"/>
        </w:rPr>
      </w:pPr>
      <w:r>
        <w:rPr>
          <w:rFonts w:hint="eastAsia" w:ascii="宋体" w:hAnsi="宋体" w:cs="宋体"/>
          <w:sz w:val="21"/>
          <w:szCs w:val="21"/>
        </w:rPr>
        <w:t>32.3 投标文件初审中关于供应商家数的计算：</w:t>
      </w:r>
    </w:p>
    <w:p w14:paraId="622F5C87">
      <w:pPr>
        <w:spacing w:line="288" w:lineRule="auto"/>
        <w:ind w:firstLine="411" w:firstLineChars="196"/>
        <w:rPr>
          <w:rFonts w:ascii="宋体" w:hAnsi="宋体" w:cs="宋体"/>
          <w:sz w:val="21"/>
          <w:szCs w:val="21"/>
        </w:rPr>
      </w:pPr>
      <w:r>
        <w:rPr>
          <w:rFonts w:hint="eastAsia" w:ascii="宋体" w:hAnsi="宋体" w:cs="宋体"/>
          <w:sz w:val="21"/>
          <w:szCs w:val="21"/>
        </w:rPr>
        <w:t>32.3.1采用</w:t>
      </w:r>
      <w:r>
        <w:rPr>
          <w:rFonts w:hint="eastAsia" w:ascii="宋体" w:hAnsi="宋体" w:cs="宋体"/>
          <w:sz w:val="21"/>
          <w:szCs w:val="21"/>
          <w:u w:val="single"/>
        </w:rPr>
        <w:t>最低价法</w:t>
      </w:r>
      <w:r>
        <w:rPr>
          <w:rFonts w:hint="eastAsia" w:ascii="宋体" w:hAnsi="宋体" w:cs="宋体"/>
          <w:sz w:val="21"/>
          <w:szCs w:val="21"/>
        </w:rPr>
        <w:t>的采购项目，提供相同品牌产品的不同投标人参加同一合同项下投标的，以其中通过资格审查、符合性审查且报价最低的参加评标；报价相同的，由采购人或者采购人委托评审委员会按照招标文件规定的方式确定一个参加评标的投标人，招标文件未规定的采取随机抽取方式确定，其他投标无效。</w:t>
      </w:r>
    </w:p>
    <w:p w14:paraId="4DFD9BEE">
      <w:pPr>
        <w:spacing w:line="288" w:lineRule="auto"/>
        <w:ind w:firstLine="411" w:firstLineChars="196"/>
        <w:rPr>
          <w:rFonts w:ascii="宋体" w:hAnsi="宋体" w:cs="宋体"/>
          <w:sz w:val="21"/>
          <w:szCs w:val="21"/>
        </w:rPr>
      </w:pPr>
      <w:r>
        <w:rPr>
          <w:rFonts w:hint="eastAsia" w:ascii="宋体" w:hAnsi="宋体" w:cs="宋体"/>
          <w:sz w:val="21"/>
          <w:szCs w:val="21"/>
        </w:rPr>
        <w:t>32.3.2采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审委员会按照招标文件规定的方式确定一个投标人获得中标人推荐资格，招标文件未规定的采取随机抽取方式确定，其他同品牌投标人不作为中标候选人。</w:t>
      </w:r>
    </w:p>
    <w:p w14:paraId="1553E117">
      <w:pPr>
        <w:spacing w:line="288" w:lineRule="auto"/>
        <w:ind w:firstLine="411" w:firstLineChars="196"/>
        <w:rPr>
          <w:rFonts w:ascii="宋体" w:hAnsi="宋体" w:cs="宋体"/>
          <w:sz w:val="21"/>
          <w:szCs w:val="21"/>
        </w:rPr>
      </w:pPr>
      <w:r>
        <w:rPr>
          <w:rFonts w:hint="eastAsia" w:ascii="宋体" w:hAnsi="宋体" w:cs="宋体"/>
          <w:sz w:val="21"/>
          <w:szCs w:val="21"/>
        </w:rPr>
        <w:t>32.3.3非单一产品采购项目，采购人应当根据采购项目技术构成、产品价格比重等合理确定核心产品，并在招标文件中载明。多家投标人提供的核心产品品牌相同的，按前两款规定处理。</w:t>
      </w:r>
    </w:p>
    <w:p w14:paraId="4DEEEAD9">
      <w:pPr>
        <w:spacing w:line="288" w:lineRule="auto"/>
        <w:ind w:firstLine="411" w:firstLineChars="196"/>
        <w:rPr>
          <w:rFonts w:ascii="宋体" w:hAnsi="宋体" w:cs="宋体"/>
          <w:sz w:val="21"/>
          <w:szCs w:val="21"/>
        </w:rPr>
      </w:pPr>
      <w:r>
        <w:rPr>
          <w:rFonts w:hint="eastAsia" w:ascii="宋体" w:hAnsi="宋体" w:cs="宋体"/>
          <w:sz w:val="21"/>
          <w:szCs w:val="21"/>
        </w:rPr>
        <w:t>32.4投标人投标文件作无效处理的情形，具体包括但不限于以下：</w:t>
      </w:r>
    </w:p>
    <w:p w14:paraId="61B46936">
      <w:pPr>
        <w:spacing w:line="288" w:lineRule="auto"/>
        <w:ind w:firstLine="411" w:firstLineChars="196"/>
        <w:rPr>
          <w:rFonts w:ascii="宋体" w:hAnsi="宋体" w:cs="宋体"/>
          <w:sz w:val="21"/>
          <w:szCs w:val="21"/>
        </w:rPr>
      </w:pPr>
      <w:r>
        <w:rPr>
          <w:rFonts w:hint="eastAsia" w:ascii="宋体" w:hAnsi="宋体" w:cs="宋体"/>
          <w:sz w:val="21"/>
          <w:szCs w:val="21"/>
        </w:rPr>
        <w:t>32.4.1不同投标人的投标文件由同一单位或者同一个人编制，或者由同一个人分阶段参与编制；</w:t>
      </w:r>
    </w:p>
    <w:p w14:paraId="61352969">
      <w:pPr>
        <w:spacing w:line="288" w:lineRule="auto"/>
        <w:ind w:firstLine="411" w:firstLineChars="196"/>
        <w:rPr>
          <w:rFonts w:ascii="宋体" w:hAnsi="宋体" w:cs="宋体"/>
          <w:sz w:val="21"/>
          <w:szCs w:val="21"/>
        </w:rPr>
      </w:pPr>
      <w:r>
        <w:rPr>
          <w:rFonts w:hint="eastAsia" w:ascii="宋体" w:hAnsi="宋体" w:cs="宋体"/>
          <w:sz w:val="21"/>
          <w:szCs w:val="21"/>
        </w:rPr>
        <w:t>32.4.2不同投标人委托同一单位或者个人办理投标事宜；</w:t>
      </w:r>
    </w:p>
    <w:p w14:paraId="4F829775">
      <w:pPr>
        <w:spacing w:line="288" w:lineRule="auto"/>
        <w:ind w:firstLine="411" w:firstLineChars="196"/>
        <w:rPr>
          <w:rFonts w:ascii="宋体" w:hAnsi="宋体" w:cs="宋体"/>
          <w:sz w:val="21"/>
          <w:szCs w:val="21"/>
        </w:rPr>
      </w:pPr>
      <w:r>
        <w:rPr>
          <w:rFonts w:hint="eastAsia" w:ascii="宋体" w:hAnsi="宋体" w:cs="宋体"/>
          <w:sz w:val="21"/>
          <w:szCs w:val="21"/>
        </w:rPr>
        <w:t>32.4.3不同投标人的投标文件载明的项目管理成员或者联系人员为同一人；</w:t>
      </w:r>
    </w:p>
    <w:p w14:paraId="5FF93613">
      <w:pPr>
        <w:spacing w:line="288" w:lineRule="auto"/>
        <w:ind w:firstLine="411" w:firstLineChars="196"/>
        <w:rPr>
          <w:rFonts w:ascii="宋体" w:hAnsi="宋体" w:cs="宋体"/>
          <w:sz w:val="21"/>
          <w:szCs w:val="21"/>
        </w:rPr>
      </w:pPr>
      <w:r>
        <w:rPr>
          <w:rFonts w:hint="eastAsia" w:ascii="宋体" w:hAnsi="宋体" w:cs="宋体"/>
          <w:sz w:val="21"/>
          <w:szCs w:val="21"/>
        </w:rPr>
        <w:t>32.4.4不同投标人的投标文件异常一致或者投标报价呈规律性差异；</w:t>
      </w:r>
    </w:p>
    <w:p w14:paraId="769C572F">
      <w:pPr>
        <w:spacing w:line="288" w:lineRule="auto"/>
        <w:ind w:firstLine="411" w:firstLineChars="196"/>
        <w:rPr>
          <w:rFonts w:ascii="宋体" w:hAnsi="宋体" w:cs="宋体"/>
          <w:sz w:val="21"/>
          <w:szCs w:val="21"/>
        </w:rPr>
      </w:pPr>
      <w:r>
        <w:rPr>
          <w:rFonts w:hint="eastAsia" w:ascii="宋体" w:hAnsi="宋体" w:cs="宋体"/>
          <w:sz w:val="21"/>
          <w:szCs w:val="21"/>
        </w:rPr>
        <w:t>32.4.5不同投标供应商的投标文件或部分投标文件相互混装；</w:t>
      </w:r>
    </w:p>
    <w:p w14:paraId="66C98F92">
      <w:pPr>
        <w:spacing w:line="288" w:lineRule="auto"/>
        <w:ind w:firstLine="411" w:firstLineChars="196"/>
        <w:rPr>
          <w:rFonts w:ascii="宋体" w:hAnsi="宋体" w:cs="宋体"/>
          <w:sz w:val="21"/>
          <w:szCs w:val="21"/>
        </w:rPr>
      </w:pPr>
      <w:r>
        <w:rPr>
          <w:rFonts w:hint="eastAsia" w:ascii="宋体" w:hAnsi="宋体" w:cs="宋体"/>
          <w:sz w:val="21"/>
          <w:szCs w:val="21"/>
        </w:rPr>
        <w:t>32.4.6投标供应商之间相互约定给予未中标的供应商利益补偿；</w:t>
      </w:r>
    </w:p>
    <w:p w14:paraId="5D95CAA6">
      <w:pPr>
        <w:spacing w:line="288" w:lineRule="auto"/>
        <w:ind w:firstLine="411" w:firstLineChars="196"/>
        <w:rPr>
          <w:rFonts w:ascii="宋体" w:hAnsi="宋体" w:cs="宋体"/>
          <w:sz w:val="21"/>
          <w:szCs w:val="21"/>
        </w:rPr>
      </w:pPr>
      <w:r>
        <w:rPr>
          <w:rFonts w:hint="eastAsia" w:ascii="宋体" w:hAnsi="宋体" w:cs="宋体"/>
          <w:sz w:val="21"/>
          <w:szCs w:val="21"/>
        </w:rPr>
        <w:t>32.4.7不同投标供应商的法定代表人、主要经营负责人、项目投标授权代表人、项目负责人、主要技术人员为同一人、属同一单位或者同一单位缴纳社会保险；</w:t>
      </w:r>
    </w:p>
    <w:p w14:paraId="568C30BF">
      <w:pPr>
        <w:spacing w:line="288" w:lineRule="auto"/>
        <w:ind w:firstLine="411" w:firstLineChars="196"/>
        <w:rPr>
          <w:rFonts w:ascii="宋体" w:hAnsi="宋体" w:cs="宋体"/>
          <w:sz w:val="21"/>
          <w:szCs w:val="21"/>
        </w:rPr>
      </w:pPr>
      <w:r>
        <w:rPr>
          <w:rFonts w:hint="eastAsia" w:ascii="宋体" w:hAnsi="宋体" w:cs="宋体"/>
          <w:sz w:val="21"/>
          <w:szCs w:val="21"/>
        </w:rPr>
        <w:t>32.4.8不同投标供应商的投标文件内容存在非正常一致；</w:t>
      </w:r>
    </w:p>
    <w:p w14:paraId="5B37058C">
      <w:pPr>
        <w:spacing w:line="288" w:lineRule="auto"/>
        <w:ind w:firstLine="411" w:firstLineChars="196"/>
        <w:rPr>
          <w:rFonts w:ascii="宋体" w:hAnsi="宋体" w:cs="宋体"/>
          <w:sz w:val="21"/>
          <w:szCs w:val="21"/>
        </w:rPr>
      </w:pPr>
      <w:r>
        <w:rPr>
          <w:rFonts w:hint="eastAsia" w:ascii="宋体" w:hAnsi="宋体" w:cs="宋体"/>
          <w:sz w:val="21"/>
          <w:szCs w:val="21"/>
        </w:rPr>
        <w:t>32.4.9在同一单位工作人员为两家以上（含两家）供应商进行同一项投标活动；</w:t>
      </w:r>
    </w:p>
    <w:p w14:paraId="68DCB6DB">
      <w:pPr>
        <w:spacing w:line="288" w:lineRule="auto"/>
        <w:ind w:firstLine="411" w:firstLineChars="196"/>
        <w:rPr>
          <w:rFonts w:ascii="宋体" w:hAnsi="宋体" w:cs="宋体"/>
          <w:sz w:val="21"/>
          <w:szCs w:val="21"/>
        </w:rPr>
      </w:pPr>
      <w:r>
        <w:rPr>
          <w:rFonts w:hint="eastAsia" w:ascii="宋体" w:hAnsi="宋体" w:cs="宋体"/>
          <w:sz w:val="21"/>
          <w:szCs w:val="21"/>
        </w:rPr>
        <w:t>32.4.10主管部门依照法律、法规认定的其他情形。</w:t>
      </w:r>
    </w:p>
    <w:p w14:paraId="765FD815">
      <w:pPr>
        <w:spacing w:line="288" w:lineRule="auto"/>
        <w:ind w:firstLine="420" w:firstLineChars="200"/>
        <w:rPr>
          <w:rFonts w:ascii="宋体" w:hAnsi="宋体" w:cs="宋体"/>
          <w:sz w:val="21"/>
          <w:szCs w:val="21"/>
        </w:rPr>
      </w:pPr>
      <w:r>
        <w:rPr>
          <w:rFonts w:hint="eastAsia" w:ascii="宋体" w:hAnsi="宋体" w:cs="宋体"/>
          <w:sz w:val="21"/>
          <w:szCs w:val="21"/>
        </w:rPr>
        <w:t>32.5对不属于《资格性审查表》和《符合性审查表》所列的其他情形，除专用条款另有规定和32.4条款所列情形外，不得作为投标无效的理由。</w:t>
      </w:r>
    </w:p>
    <w:p w14:paraId="55F18661">
      <w:pPr>
        <w:spacing w:line="288" w:lineRule="auto"/>
        <w:rPr>
          <w:rFonts w:ascii="宋体" w:hAnsi="宋体" w:eastAsia="宋体" w:cs="宋体"/>
          <w:b/>
          <w:bCs/>
          <w:sz w:val="21"/>
          <w:szCs w:val="21"/>
        </w:rPr>
      </w:pPr>
      <w:r>
        <w:rPr>
          <w:rFonts w:hint="eastAsia" w:ascii="宋体" w:hAnsi="宋体" w:eastAsia="宋体" w:cs="宋体"/>
          <w:b/>
          <w:bCs/>
          <w:sz w:val="21"/>
          <w:szCs w:val="21"/>
        </w:rPr>
        <w:t>33．澄清有关问题</w:t>
      </w:r>
    </w:p>
    <w:p w14:paraId="2DBD0EAE">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33.1对招标文件中描述有歧义或前后不一致的地方（不含招标文件存在歧义、重大缺陷导致评审工作无法进行的情况），评审委员会有权进行评判，但对同一条款的评判应适用于每个投标人。</w:t>
      </w:r>
    </w:p>
    <w:p w14:paraId="48E90213">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33.2评审委员会发现招标文件存在歧义、重大缺陷导致评审工作无法进行，或者招标文件内容违反国家有关强制性规定的，应当停止评审工作，与政府采购代理机构沟通并作书面记录。经确认后，应当修改招标文件，重新组织采购活动。</w:t>
      </w:r>
    </w:p>
    <w:p w14:paraId="2E017D14">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33.3对于投标文件中含义不明确、同类问题表述不一致或者有明显文字和计算错误的内容，评审委员会应当以书面形式要求投标人作出必要的澄清、说明或者补正。</w:t>
      </w:r>
    </w:p>
    <w:p w14:paraId="0A282A81">
      <w:pPr>
        <w:spacing w:line="288" w:lineRule="auto"/>
        <w:textAlignment w:val="baseline"/>
        <w:rPr>
          <w:rFonts w:ascii="宋体" w:hAnsi="宋体" w:eastAsia="宋体" w:cs="宋体"/>
          <w:sz w:val="21"/>
          <w:szCs w:val="21"/>
        </w:rPr>
      </w:pPr>
      <w:r>
        <w:rPr>
          <w:rFonts w:hint="eastAsia" w:ascii="宋体" w:hAnsi="宋体" w:eastAsia="宋体" w:cs="宋体"/>
          <w:sz w:val="21"/>
          <w:szCs w:val="21"/>
        </w:rPr>
        <w:t>　　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41F36038">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根据本通用条款第34条，凡属于评审委员会在评审中发现的算术错误进行核实的修改不在此列。</w:t>
      </w:r>
    </w:p>
    <w:p w14:paraId="30BF1784">
      <w:pPr>
        <w:spacing w:line="288" w:lineRule="auto"/>
        <w:rPr>
          <w:rFonts w:ascii="宋体" w:hAnsi="宋体" w:eastAsia="宋体" w:cs="宋体"/>
          <w:b/>
          <w:bCs/>
          <w:sz w:val="21"/>
          <w:szCs w:val="21"/>
        </w:rPr>
      </w:pPr>
      <w:r>
        <w:rPr>
          <w:rFonts w:hint="eastAsia" w:ascii="宋体" w:hAnsi="宋体" w:eastAsia="宋体" w:cs="宋体"/>
          <w:b/>
          <w:bCs/>
          <w:sz w:val="21"/>
          <w:szCs w:val="21"/>
        </w:rPr>
        <w:t>34．错误的修正</w:t>
      </w:r>
    </w:p>
    <w:p w14:paraId="2DF5EE42">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投标文件报价出现前后不一致的，除专用条款另有规定外，按照下列规定修正：</w:t>
      </w:r>
    </w:p>
    <w:p w14:paraId="4EC22282">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34.1投标文件中开标一览表投标报价内容与投标文件中投标报价相应内容不一致的，以开标一览表为准；</w:t>
      </w:r>
    </w:p>
    <w:p w14:paraId="08B2A87A">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34.2大写金额和小写金额不一致的，以大写金额为准；</w:t>
      </w:r>
    </w:p>
    <w:p w14:paraId="48F5FC3A">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34.3单价金额小数点或者百分比有明显错位，以开标一览表的总价为准，并修改单价；</w:t>
      </w:r>
    </w:p>
    <w:p w14:paraId="1FDA27D8">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34.4总价金额与按单价汇总金额不一致的，以单价金额计算结果为准；</w:t>
      </w:r>
    </w:p>
    <w:p w14:paraId="0F375D18">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34.5同时出现两种以上不一致的，按照前款规定的顺序修正。修正后的报价按照本通用条款33条的规定，经投标人确认后产生约束力，投标人不确认的，其投标无效。</w:t>
      </w:r>
    </w:p>
    <w:p w14:paraId="59FB0A1B">
      <w:pPr>
        <w:spacing w:line="288" w:lineRule="auto"/>
        <w:rPr>
          <w:rFonts w:ascii="宋体" w:hAnsi="宋体" w:eastAsia="宋体" w:cs="宋体"/>
          <w:b/>
          <w:bCs/>
          <w:sz w:val="21"/>
          <w:szCs w:val="21"/>
        </w:rPr>
      </w:pPr>
      <w:r>
        <w:rPr>
          <w:rFonts w:hint="eastAsia" w:ascii="宋体" w:hAnsi="宋体" w:eastAsia="宋体" w:cs="宋体"/>
          <w:b/>
          <w:bCs/>
          <w:sz w:val="21"/>
          <w:szCs w:val="21"/>
        </w:rPr>
        <w:t>35．投标文件的比较与评价</w:t>
      </w:r>
    </w:p>
    <w:p w14:paraId="0EBF83FB">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评审委员会将按照《深圳经济特区政府采购条例》《深圳经济特区政府采购条例实施细则》《深圳市政府采购评标定标分离管理办法》及政府采购其他法律法规，仅对通过资格性审查和符合性审查的投标文件进行综合比较与评价。</w:t>
      </w:r>
    </w:p>
    <w:p w14:paraId="6436E350">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评审委员会成员对需要共同认定的事项存在争议的，应当按照少数服从多数的原则作出结论。持不同意见的评审委员会成员书面作出说明，否则视为无异议。</w:t>
      </w:r>
    </w:p>
    <w:p w14:paraId="28BB5792">
      <w:pPr>
        <w:spacing w:line="288" w:lineRule="auto"/>
        <w:rPr>
          <w:rFonts w:ascii="宋体" w:hAnsi="宋体" w:eastAsia="宋体" w:cs="宋体"/>
          <w:b/>
          <w:bCs/>
          <w:sz w:val="21"/>
          <w:szCs w:val="21"/>
        </w:rPr>
      </w:pPr>
      <w:r>
        <w:rPr>
          <w:rFonts w:hint="eastAsia" w:ascii="宋体" w:hAnsi="宋体" w:eastAsia="宋体" w:cs="宋体"/>
          <w:b/>
          <w:bCs/>
          <w:sz w:val="21"/>
          <w:szCs w:val="21"/>
        </w:rPr>
        <w:t>36. 实地考察、演示或设备测试</w:t>
      </w:r>
    </w:p>
    <w:p w14:paraId="361B37E8">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36.1在招标过程中，评审委员会有权决定是否对本项目投标人进行现场勘察或实地考察或检验有关证明材料的原件。投标人应随时做好接受检查的准备。</w:t>
      </w:r>
    </w:p>
    <w:p w14:paraId="4D3C9E24">
      <w:pPr>
        <w:spacing w:line="288" w:lineRule="auto"/>
        <w:rPr>
          <w:rFonts w:ascii="宋体" w:hAnsi="宋体" w:eastAsia="宋体" w:cs="宋体"/>
          <w:b/>
          <w:bCs/>
          <w:sz w:val="21"/>
          <w:szCs w:val="21"/>
        </w:rPr>
      </w:pPr>
      <w:r>
        <w:rPr>
          <w:rFonts w:hint="eastAsia" w:ascii="宋体" w:hAnsi="宋体" w:eastAsia="宋体" w:cs="宋体"/>
          <w:b/>
          <w:bCs/>
          <w:sz w:val="21"/>
          <w:szCs w:val="21"/>
        </w:rPr>
        <w:t>37．评标方法</w:t>
      </w:r>
    </w:p>
    <w:p w14:paraId="298BA345">
      <w:pPr>
        <w:spacing w:line="288" w:lineRule="auto"/>
        <w:ind w:firstLine="413" w:firstLineChars="196"/>
        <w:rPr>
          <w:rFonts w:ascii="宋体" w:hAnsi="宋体" w:eastAsia="宋体" w:cs="宋体"/>
          <w:b/>
          <w:bCs/>
          <w:sz w:val="21"/>
          <w:szCs w:val="21"/>
        </w:rPr>
      </w:pPr>
      <w:r>
        <w:rPr>
          <w:rFonts w:hint="eastAsia" w:ascii="宋体" w:hAnsi="宋体" w:eastAsia="宋体" w:cs="宋体"/>
          <w:b/>
          <w:bCs/>
          <w:sz w:val="21"/>
          <w:szCs w:val="21"/>
        </w:rPr>
        <w:t>37.1.1最低价法</w:t>
      </w:r>
    </w:p>
    <w:p w14:paraId="6D035FE3">
      <w:pPr>
        <w:spacing w:line="288" w:lineRule="auto"/>
        <w:ind w:firstLine="411" w:firstLineChars="196"/>
        <w:rPr>
          <w:rFonts w:ascii="宋体" w:hAnsi="宋体" w:eastAsia="宋体" w:cs="宋体"/>
          <w:sz w:val="21"/>
          <w:szCs w:val="21"/>
          <w:u w:val="single"/>
        </w:rPr>
      </w:pPr>
      <w:r>
        <w:rPr>
          <w:rFonts w:hint="eastAsia" w:ascii="宋体" w:hAnsi="宋体" w:eastAsia="宋体" w:cs="宋体"/>
          <w:sz w:val="21"/>
          <w:szCs w:val="21"/>
        </w:rPr>
        <w:t>最低价法，是指完全满足招标文件实质性要求，按照报价由低到高的顺序，依据招标文件中规定的数量或者比例推荐候选中标供应商。</w:t>
      </w:r>
    </w:p>
    <w:p w14:paraId="35826ECB">
      <w:pPr>
        <w:spacing w:line="288" w:lineRule="auto"/>
        <w:ind w:firstLine="413" w:firstLineChars="196"/>
        <w:rPr>
          <w:rFonts w:ascii="宋体" w:hAnsi="宋体" w:eastAsia="宋体" w:cs="宋体"/>
          <w:b/>
          <w:bCs/>
          <w:sz w:val="21"/>
          <w:szCs w:val="21"/>
        </w:rPr>
      </w:pPr>
      <w:r>
        <w:rPr>
          <w:rFonts w:hint="eastAsia" w:ascii="宋体" w:hAnsi="宋体" w:eastAsia="宋体" w:cs="宋体"/>
          <w:b/>
          <w:bCs/>
          <w:sz w:val="21"/>
          <w:szCs w:val="21"/>
        </w:rPr>
        <w:t>37.1.2综合评分法</w:t>
      </w:r>
    </w:p>
    <w:p w14:paraId="67E127CD">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综合评分法，是指在满足招标文件实质性要求的前提下，按照招标文件中规定的各项因素进行综合评审，评标总得分排名前列的投标人，作为推荐的候选中标供应商。</w:t>
      </w:r>
    </w:p>
    <w:p w14:paraId="43C0DD4E">
      <w:pPr>
        <w:spacing w:line="288" w:lineRule="auto"/>
        <w:ind w:firstLine="413" w:firstLineChars="196"/>
        <w:rPr>
          <w:rFonts w:ascii="宋体" w:hAnsi="宋体" w:eastAsia="宋体" w:cs="宋体"/>
          <w:b/>
          <w:bCs/>
          <w:sz w:val="21"/>
          <w:szCs w:val="21"/>
        </w:rPr>
      </w:pPr>
      <w:r>
        <w:rPr>
          <w:rFonts w:hint="eastAsia" w:ascii="宋体" w:hAnsi="宋体" w:eastAsia="宋体" w:cs="宋体"/>
          <w:b/>
          <w:bCs/>
          <w:sz w:val="21"/>
          <w:szCs w:val="21"/>
        </w:rPr>
        <w:t>37.2 本项目采用的评标方法见本项目招标文件第一册“专用条款”的相关内容。</w:t>
      </w:r>
    </w:p>
    <w:p w14:paraId="58F6E083">
      <w:pPr>
        <w:spacing w:line="288" w:lineRule="auto"/>
        <w:ind w:firstLine="413" w:firstLineChars="196"/>
        <w:rPr>
          <w:rFonts w:ascii="宋体" w:hAnsi="宋体" w:eastAsia="宋体" w:cs="宋体"/>
          <w:b/>
          <w:bCs/>
          <w:sz w:val="21"/>
          <w:szCs w:val="21"/>
        </w:rPr>
      </w:pPr>
      <w:r>
        <w:rPr>
          <w:rFonts w:hint="eastAsia" w:ascii="宋体" w:hAnsi="宋体" w:eastAsia="宋体" w:cs="宋体"/>
          <w:b/>
          <w:bCs/>
          <w:sz w:val="21"/>
          <w:szCs w:val="21"/>
        </w:rPr>
        <w:t>37.3重新评审的情形</w:t>
      </w:r>
    </w:p>
    <w:p w14:paraId="120FE001">
      <w:pPr>
        <w:spacing w:line="288" w:lineRule="auto"/>
        <w:ind w:firstLine="411" w:firstLineChars="196"/>
        <w:rPr>
          <w:rFonts w:ascii="宋体" w:hAnsi="宋体" w:eastAsia="宋体" w:cs="宋体"/>
          <w:b/>
          <w:bCs/>
          <w:sz w:val="21"/>
          <w:szCs w:val="21"/>
        </w:rPr>
      </w:pPr>
      <w:r>
        <w:rPr>
          <w:rFonts w:hint="eastAsia" w:ascii="宋体" w:hAnsi="宋体" w:eastAsia="宋体" w:cs="宋体"/>
          <w:sz w:val="21"/>
          <w:szCs w:val="21"/>
        </w:rPr>
        <w:t>评标结果汇总完成后，除下列情形外，任何人不得修改评标结果：</w:t>
      </w:r>
    </w:p>
    <w:p w14:paraId="061134BF">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37.3.1分值汇总计算错误的；</w:t>
      </w:r>
    </w:p>
    <w:p w14:paraId="5D214792">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37.3.2分项评分超出评分标准范围的；</w:t>
      </w:r>
    </w:p>
    <w:p w14:paraId="60C3911E">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37.3.3评审委员会成员对客观评审因素评分不一致的；</w:t>
      </w:r>
    </w:p>
    <w:p w14:paraId="49A30703">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37.3.4经评审委员会认定评分畸高、畸低的。</w:t>
      </w:r>
    </w:p>
    <w:p w14:paraId="0E50D323">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评标报告签署前，经复核发现存在以上情形之一的，评审委员会应当当场修改评标结果，并在评标报告中记载；评标报告签署后，采购人或者采购代理机构发现存在以上情形之一的，应当组织原评审委员会进行重新评审，重新评审改变评标结果的，书面报告本级财政部门。</w:t>
      </w:r>
    </w:p>
    <w:p w14:paraId="4DC09F69">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投标人对本条第一款情形提出质疑的，采购人或者采购代理机构可以组织原评审委员会进行重新评审，重新评审改变评标结果的，应当书面报告本级财政部门。</w:t>
      </w:r>
    </w:p>
    <w:p w14:paraId="71B053BC">
      <w:pPr>
        <w:spacing w:line="288" w:lineRule="auto"/>
        <w:ind w:firstLine="413" w:firstLineChars="196"/>
        <w:rPr>
          <w:rFonts w:ascii="宋体" w:hAnsi="宋体" w:eastAsia="宋体" w:cs="宋体"/>
          <w:b/>
          <w:bCs/>
          <w:sz w:val="21"/>
          <w:szCs w:val="21"/>
        </w:rPr>
      </w:pPr>
      <w:r>
        <w:rPr>
          <w:rFonts w:hint="eastAsia" w:ascii="宋体" w:hAnsi="宋体" w:eastAsia="宋体" w:cs="宋体"/>
          <w:b/>
          <w:bCs/>
          <w:sz w:val="21"/>
          <w:szCs w:val="21"/>
        </w:rPr>
        <w:t xml:space="preserve"> 37.4重新组建评审委员会的情形</w:t>
      </w:r>
    </w:p>
    <w:p w14:paraId="14895646">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评审委员会或者其成员存在下列情形导致评标结果无效的，重新组建评审委员会进行评标，并书面报告本级财政部门：</w:t>
      </w:r>
    </w:p>
    <w:p w14:paraId="73BF8262">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37.4.1评审委员会组成不符合《政府采购货物和服务招标投标管理办法》规定的；</w:t>
      </w:r>
    </w:p>
    <w:p w14:paraId="14F9EA55">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37.4.2有《政府采购货物和服务招标投标管理办法》第六十二条第一至五项情形的；</w:t>
      </w:r>
    </w:p>
    <w:p w14:paraId="529F74C0">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37.4.3评审委员会及其成员独立评标受到非法干预的；</w:t>
      </w:r>
    </w:p>
    <w:p w14:paraId="4A4EDA97">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37.4.4有政府采购法实施条例第七十五条规定的违法行为的。</w:t>
      </w:r>
    </w:p>
    <w:p w14:paraId="4E24C1D3">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有违法违规行为的原评审委员会成员不得参加重新组建的评审委员会。</w:t>
      </w:r>
    </w:p>
    <w:p w14:paraId="732C95DD">
      <w:pPr>
        <w:pStyle w:val="3"/>
        <w:rPr>
          <w:szCs w:val="28"/>
        </w:rPr>
      </w:pPr>
      <w:r>
        <w:rPr>
          <w:rFonts w:hint="eastAsia" w:ascii="宋体" w:hAnsi="宋体" w:eastAsia="宋体" w:cs="宋体"/>
          <w:szCs w:val="28"/>
        </w:rPr>
        <w:t>第</w:t>
      </w:r>
      <w:r>
        <w:rPr>
          <w:rFonts w:hint="eastAsia"/>
          <w:szCs w:val="28"/>
        </w:rPr>
        <w:t>八章  定标及公示</w:t>
      </w:r>
    </w:p>
    <w:p w14:paraId="107E33CD">
      <w:pPr>
        <w:spacing w:line="360" w:lineRule="auto"/>
        <w:rPr>
          <w:rFonts w:ascii="宋体" w:hAnsi="宋体" w:eastAsia="宋体" w:cs="宋体"/>
          <w:b/>
          <w:bCs/>
          <w:sz w:val="21"/>
          <w:szCs w:val="21"/>
        </w:rPr>
      </w:pPr>
      <w:r>
        <w:rPr>
          <w:rFonts w:hint="eastAsia" w:ascii="宋体" w:hAnsi="宋体" w:eastAsia="宋体" w:cs="宋体"/>
          <w:b/>
          <w:bCs/>
          <w:sz w:val="21"/>
          <w:szCs w:val="21"/>
        </w:rPr>
        <w:t>38．定标方法</w:t>
      </w:r>
    </w:p>
    <w:p w14:paraId="54960455">
      <w:pPr>
        <w:spacing w:line="360" w:lineRule="auto"/>
        <w:ind w:firstLine="411" w:firstLineChars="196"/>
        <w:rPr>
          <w:rFonts w:ascii="宋体" w:hAnsi="宋体" w:eastAsia="宋体" w:cs="宋体"/>
          <w:sz w:val="21"/>
          <w:szCs w:val="21"/>
        </w:rPr>
      </w:pPr>
      <w:r>
        <w:rPr>
          <w:rFonts w:hint="eastAsia" w:ascii="宋体" w:hAnsi="宋体" w:eastAsia="宋体" w:cs="宋体"/>
          <w:sz w:val="21"/>
          <w:szCs w:val="21"/>
        </w:rPr>
        <w:t>38.1非评定分离项目定标方法</w:t>
      </w:r>
    </w:p>
    <w:p w14:paraId="1A3107F3">
      <w:pPr>
        <w:spacing w:line="360" w:lineRule="auto"/>
        <w:ind w:firstLine="411" w:firstLineChars="196"/>
        <w:rPr>
          <w:rFonts w:ascii="宋体" w:hAnsi="宋体" w:eastAsia="宋体" w:cs="宋体"/>
          <w:sz w:val="21"/>
          <w:szCs w:val="21"/>
        </w:rPr>
      </w:pPr>
      <w:r>
        <w:rPr>
          <w:rFonts w:hint="eastAsia" w:ascii="宋体" w:hAnsi="宋体" w:eastAsia="宋体" w:cs="宋体"/>
          <w:sz w:val="21"/>
          <w:szCs w:val="21"/>
        </w:rPr>
        <w:t>38.1.1评审委员会依据本项目招标文件所约定的评标方法进行评审和比较，向政府采购代理机构提交书面评标报告，并根据评标方法比较评价结果从优到劣进行排序，确定候选中标供应商。</w:t>
      </w:r>
    </w:p>
    <w:p w14:paraId="660AAB4C">
      <w:pPr>
        <w:spacing w:line="360" w:lineRule="auto"/>
        <w:ind w:firstLine="411" w:firstLineChars="196"/>
        <w:rPr>
          <w:rFonts w:ascii="宋体" w:hAnsi="宋体" w:eastAsia="宋体" w:cs="宋体"/>
          <w:sz w:val="21"/>
          <w:szCs w:val="21"/>
        </w:rPr>
      </w:pPr>
      <w:r>
        <w:rPr>
          <w:rFonts w:hint="eastAsia" w:ascii="宋体" w:hAnsi="宋体" w:eastAsia="宋体" w:cs="宋体"/>
          <w:sz w:val="21"/>
          <w:szCs w:val="21"/>
        </w:rPr>
        <w:t>38.1.2采用最低价法的，评标结果按投标报价由低到高顺序排列。投标报价相同的并列。投标文件满足招标文件全部实质性要求且投标报价最低的投标人为排名第一的中标候选人（排名第二的投标人为第一递补中标候选人、排名第三的投标人为第二递补中标候选人）。</w:t>
      </w:r>
    </w:p>
    <w:p w14:paraId="425A8163">
      <w:pPr>
        <w:spacing w:line="360" w:lineRule="auto"/>
        <w:ind w:firstLine="411" w:firstLineChars="196"/>
        <w:rPr>
          <w:rFonts w:ascii="宋体" w:hAnsi="宋体" w:eastAsia="宋体" w:cs="宋体"/>
          <w:sz w:val="21"/>
          <w:szCs w:val="21"/>
        </w:rPr>
      </w:pPr>
      <w:r>
        <w:rPr>
          <w:rFonts w:hint="eastAsia" w:ascii="宋体" w:hAnsi="宋体" w:eastAsia="宋体" w:cs="宋体"/>
          <w:sz w:val="21"/>
          <w:szCs w:val="21"/>
        </w:rPr>
        <w:t>38.1.3采用综合评分法的，评标结果按评审后得分由高到低顺序排列。得分相同的，按投标报价由低到高顺序排列。得分且投标报价相同的并列。投标文件满足招标文件全部实质性要求，且按照评审因素的量化指标评审得分最高的N名（N为中标供应商数量）投标人为中标供应商（排名N+1的投标人为第一替补中标候选人、排名N+2的投标人为第二替补中标候选人）。出现得分且投标报价相同的并列情况时，采取随机抽取的方式确定，具体操作办法及流程由评审委员会确定。</w:t>
      </w:r>
    </w:p>
    <w:p w14:paraId="252299B2">
      <w:pPr>
        <w:spacing w:line="360" w:lineRule="auto"/>
        <w:ind w:firstLine="411" w:firstLineChars="196"/>
        <w:rPr>
          <w:rFonts w:ascii="宋体" w:hAnsi="宋体" w:eastAsia="宋体" w:cs="宋体"/>
          <w:sz w:val="21"/>
          <w:szCs w:val="21"/>
        </w:rPr>
      </w:pPr>
      <w:r>
        <w:rPr>
          <w:rFonts w:hint="eastAsia" w:ascii="宋体" w:hAnsi="宋体" w:eastAsia="宋体" w:cs="宋体"/>
          <w:sz w:val="21"/>
          <w:szCs w:val="21"/>
        </w:rPr>
        <w:t>38.2评定分离项目定标方法</w:t>
      </w:r>
    </w:p>
    <w:p w14:paraId="3B6EF644">
      <w:pPr>
        <w:spacing w:line="360" w:lineRule="auto"/>
        <w:ind w:firstLine="411" w:firstLineChars="196"/>
        <w:rPr>
          <w:rFonts w:ascii="宋体" w:hAnsi="宋体" w:eastAsia="宋体" w:cs="宋体"/>
          <w:sz w:val="21"/>
          <w:szCs w:val="21"/>
        </w:rPr>
      </w:pPr>
      <w:r>
        <w:rPr>
          <w:rFonts w:hint="eastAsia" w:ascii="宋体" w:hAnsi="宋体" w:eastAsia="宋体" w:cs="宋体"/>
          <w:sz w:val="21"/>
          <w:szCs w:val="21"/>
        </w:rPr>
        <w:t>38.2.1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2AEA55D0">
      <w:pPr>
        <w:spacing w:line="360" w:lineRule="auto"/>
        <w:ind w:firstLine="411" w:firstLineChars="196"/>
        <w:rPr>
          <w:rFonts w:ascii="宋体" w:hAnsi="宋体" w:eastAsia="宋体" w:cs="宋体"/>
          <w:sz w:val="21"/>
          <w:szCs w:val="21"/>
        </w:rPr>
      </w:pPr>
      <w:r>
        <w:rPr>
          <w:rFonts w:hint="eastAsia" w:ascii="宋体" w:hAnsi="宋体" w:eastAsia="宋体" w:cs="宋体"/>
          <w:sz w:val="21"/>
          <w:szCs w:val="21"/>
        </w:rPr>
        <w:t>38.2.2 适用评定分离的政府采购项目，采用综合评分法评审。评审委员会按照评审结果，推荐三个合格的候选中标供应商。</w:t>
      </w:r>
    </w:p>
    <w:p w14:paraId="7AEACE7F">
      <w:pPr>
        <w:spacing w:line="360" w:lineRule="auto"/>
        <w:ind w:firstLine="411" w:firstLineChars="196"/>
        <w:rPr>
          <w:rFonts w:ascii="宋体" w:hAnsi="宋体" w:eastAsia="宋体" w:cs="宋体"/>
          <w:sz w:val="21"/>
          <w:szCs w:val="21"/>
        </w:rPr>
      </w:pPr>
      <w:r>
        <w:rPr>
          <w:rFonts w:hint="eastAsia" w:ascii="宋体" w:hAnsi="宋体" w:eastAsia="宋体" w:cs="宋体"/>
          <w:sz w:val="21"/>
          <w:szCs w:val="21"/>
        </w:rPr>
        <w:t>38.2.3适用评定分离的政府采购项目，按照自定法确定中标供应商：自定法是指采购人组织定标委员会，由定标委员会在三家候选中标供应商中确定中标供应商。</w:t>
      </w:r>
    </w:p>
    <w:p w14:paraId="1D00D859">
      <w:pPr>
        <w:spacing w:line="360" w:lineRule="auto"/>
        <w:ind w:firstLine="411" w:firstLineChars="196"/>
        <w:rPr>
          <w:rFonts w:ascii="宋体" w:hAnsi="宋体" w:eastAsia="宋体" w:cs="宋体"/>
          <w:sz w:val="21"/>
          <w:szCs w:val="21"/>
        </w:rPr>
      </w:pPr>
      <w:r>
        <w:rPr>
          <w:rFonts w:hint="eastAsia" w:ascii="宋体" w:hAnsi="宋体" w:eastAsia="宋体" w:cs="宋体"/>
          <w:sz w:val="21"/>
          <w:szCs w:val="21"/>
        </w:rPr>
        <w:t>38.2.4</w:t>
      </w:r>
      <w:r>
        <w:rPr>
          <w:rFonts w:hint="eastAsia" w:ascii="宋体" w:hAnsi="宋体" w:eastAsia="宋体" w:cs="宋体"/>
          <w:b/>
          <w:bCs/>
          <w:sz w:val="21"/>
          <w:szCs w:val="21"/>
        </w:rPr>
        <w:t>政府采购代理机构</w:t>
      </w:r>
      <w:r>
        <w:rPr>
          <w:rFonts w:hint="eastAsia" w:ascii="宋体" w:hAnsi="宋体" w:eastAsia="宋体" w:cs="宋体"/>
          <w:sz w:val="21"/>
          <w:szCs w:val="21"/>
        </w:rPr>
        <w:t>应当自评审结束之日起两个工作日内将候选中标供应商名单及其投标文件、评审报告送交采购人。采购人应当安排专人对定标过程进行书面记录，形成定标报告，作为采购文件的组成部分存档，并及时将定标结果反馈</w:t>
      </w:r>
      <w:r>
        <w:rPr>
          <w:rFonts w:hint="eastAsia" w:ascii="宋体" w:hAnsi="宋体" w:eastAsia="宋体" w:cs="宋体"/>
          <w:b/>
          <w:bCs/>
          <w:sz w:val="21"/>
          <w:szCs w:val="21"/>
        </w:rPr>
        <w:t>政府采购代理机构</w:t>
      </w:r>
      <w:r>
        <w:rPr>
          <w:rFonts w:hint="eastAsia" w:ascii="宋体" w:hAnsi="宋体" w:eastAsia="宋体" w:cs="宋体"/>
          <w:sz w:val="21"/>
          <w:szCs w:val="21"/>
        </w:rPr>
        <w:t>。具体定标程序及相关要求以按照《深圳市财政局关于印发〈深圳市政府采购评标定标分离管理办法〉的通知》（深财规【2020】1号）执行。</w:t>
      </w:r>
    </w:p>
    <w:p w14:paraId="44788BB3">
      <w:pPr>
        <w:spacing w:line="360" w:lineRule="auto"/>
        <w:ind w:firstLine="411" w:firstLineChars="196"/>
        <w:rPr>
          <w:rFonts w:ascii="宋体" w:hAnsi="宋体" w:eastAsia="宋体" w:cs="宋体"/>
          <w:sz w:val="21"/>
          <w:szCs w:val="21"/>
        </w:rPr>
      </w:pPr>
      <w:r>
        <w:rPr>
          <w:rFonts w:hint="eastAsia" w:ascii="宋体" w:hAnsi="宋体" w:eastAsia="宋体" w:cs="宋体"/>
          <w:sz w:val="21"/>
          <w:szCs w:val="21"/>
        </w:rPr>
        <w:t>说明：采购人及投标供应商应按照上述方法提前做好相关准备。</w:t>
      </w:r>
    </w:p>
    <w:p w14:paraId="5F9422CC">
      <w:pPr>
        <w:spacing w:line="360" w:lineRule="auto"/>
        <w:ind w:firstLine="411" w:firstLineChars="196"/>
        <w:rPr>
          <w:rFonts w:ascii="宋体" w:hAnsi="宋体" w:eastAsia="宋体" w:cs="宋体"/>
          <w:sz w:val="21"/>
          <w:szCs w:val="21"/>
        </w:rPr>
      </w:pPr>
      <w:r>
        <w:rPr>
          <w:rFonts w:hint="eastAsia" w:ascii="宋体" w:hAnsi="宋体" w:eastAsia="宋体" w:cs="宋体"/>
          <w:sz w:val="21"/>
          <w:szCs w:val="21"/>
        </w:rPr>
        <w:t>38.3专用条款另有规定的，按专用条款相关要求定标。</w:t>
      </w:r>
    </w:p>
    <w:p w14:paraId="5107E4F8">
      <w:pPr>
        <w:spacing w:line="360" w:lineRule="auto"/>
        <w:rPr>
          <w:rFonts w:ascii="宋体" w:hAnsi="宋体" w:eastAsia="宋体" w:cs="宋体"/>
          <w:b/>
          <w:bCs/>
          <w:sz w:val="21"/>
          <w:szCs w:val="21"/>
        </w:rPr>
      </w:pPr>
      <w:r>
        <w:rPr>
          <w:rFonts w:hint="eastAsia" w:ascii="宋体" w:hAnsi="宋体" w:eastAsia="宋体" w:cs="宋体"/>
          <w:b/>
          <w:bCs/>
          <w:sz w:val="21"/>
          <w:szCs w:val="21"/>
        </w:rPr>
        <w:t>39．编写评标报告</w:t>
      </w:r>
    </w:p>
    <w:p w14:paraId="36E7D769">
      <w:pPr>
        <w:spacing w:line="360" w:lineRule="auto"/>
        <w:ind w:firstLine="411" w:firstLineChars="196"/>
        <w:rPr>
          <w:rFonts w:ascii="宋体" w:hAnsi="宋体" w:eastAsia="宋体" w:cs="宋体"/>
          <w:sz w:val="21"/>
          <w:szCs w:val="21"/>
        </w:rPr>
      </w:pPr>
      <w:r>
        <w:rPr>
          <w:rFonts w:hint="eastAsia" w:ascii="宋体" w:hAnsi="宋体" w:eastAsia="宋体" w:cs="宋体"/>
          <w:sz w:val="21"/>
          <w:szCs w:val="21"/>
        </w:rPr>
        <w:t>评标报告是评审委员会根据全体评标成员签字的原始评标记录和评标结果编写的报告，评标报告由评审委员会全体成员签字。对评标结论持有异议的评审委员会成员可以书面方式阐述其不同意见和理由。评审委员会成员拒绝在评标报告上签字且不陈述其不同意见和理由的，视为同意评标结论。评审委员会应当对此作出书面说明并记录存档。</w:t>
      </w:r>
    </w:p>
    <w:p w14:paraId="773F9E66">
      <w:pPr>
        <w:spacing w:line="360" w:lineRule="auto"/>
        <w:rPr>
          <w:rFonts w:ascii="宋体" w:hAnsi="宋体" w:eastAsia="宋体" w:cs="宋体"/>
          <w:b/>
          <w:bCs/>
          <w:sz w:val="21"/>
          <w:szCs w:val="21"/>
        </w:rPr>
      </w:pPr>
      <w:r>
        <w:rPr>
          <w:rFonts w:hint="eastAsia" w:ascii="宋体" w:hAnsi="宋体" w:eastAsia="宋体" w:cs="宋体"/>
          <w:b/>
          <w:bCs/>
          <w:sz w:val="21"/>
          <w:szCs w:val="21"/>
        </w:rPr>
        <w:t>40．中标公告</w:t>
      </w:r>
    </w:p>
    <w:p w14:paraId="5EACA54A">
      <w:pPr>
        <w:spacing w:line="360" w:lineRule="auto"/>
        <w:ind w:firstLine="411" w:firstLineChars="196"/>
        <w:rPr>
          <w:rFonts w:ascii="宋体" w:hAnsi="宋体" w:eastAsia="宋体" w:cs="宋体"/>
          <w:sz w:val="21"/>
          <w:szCs w:val="21"/>
        </w:rPr>
      </w:pPr>
      <w:r>
        <w:rPr>
          <w:rFonts w:hint="eastAsia" w:ascii="宋体" w:hAnsi="宋体" w:eastAsia="宋体" w:cs="宋体"/>
          <w:sz w:val="21"/>
          <w:szCs w:val="21"/>
        </w:rPr>
        <w:t>40.1为体现“公开、公平、公正”的原则，评审结束后经采购人确认（确定）评审结果，政府采购代理机构将在“深圳政府采购智慧平台（http://zfcg.szggzy.com:8081/）”上发布中标结果公告。供应商如对评审结果有异议，可在发布公示日期起七个工作日内向政府采购代理机构提出。 监督电话：0755-83948143。若在公示期内未提出质疑，则视为认同该评审结果。</w:t>
      </w:r>
    </w:p>
    <w:p w14:paraId="204DFA00">
      <w:pPr>
        <w:spacing w:line="360" w:lineRule="auto"/>
        <w:ind w:firstLine="411" w:firstLineChars="196"/>
        <w:rPr>
          <w:rFonts w:ascii="宋体" w:hAnsi="宋体" w:eastAsia="宋体" w:cs="宋体"/>
          <w:sz w:val="21"/>
          <w:szCs w:val="21"/>
        </w:rPr>
      </w:pPr>
      <w:r>
        <w:rPr>
          <w:rFonts w:hint="eastAsia" w:ascii="宋体" w:hAnsi="宋体" w:eastAsia="宋体" w:cs="宋体"/>
          <w:sz w:val="21"/>
          <w:szCs w:val="21"/>
        </w:rPr>
        <w:t>40.2质疑、投诉供应商应保证质疑、投诉内容的真实性和可靠性，并承担相应的法律责任。</w:t>
      </w:r>
    </w:p>
    <w:p w14:paraId="6A7C9DFA">
      <w:pPr>
        <w:spacing w:line="360" w:lineRule="auto"/>
        <w:rPr>
          <w:rFonts w:ascii="宋体" w:hAnsi="宋体" w:eastAsia="宋体" w:cs="宋体"/>
          <w:sz w:val="21"/>
          <w:szCs w:val="21"/>
        </w:rPr>
      </w:pPr>
      <w:r>
        <w:rPr>
          <w:rFonts w:hint="eastAsia" w:ascii="宋体" w:hAnsi="宋体" w:eastAsia="宋体" w:cs="宋体"/>
          <w:sz w:val="21"/>
          <w:szCs w:val="21"/>
        </w:rPr>
        <w:t>41．中标通知书</w:t>
      </w:r>
    </w:p>
    <w:p w14:paraId="49C560B4">
      <w:pPr>
        <w:pStyle w:val="10"/>
        <w:spacing w:line="360" w:lineRule="auto"/>
        <w:rPr>
          <w:rFonts w:ascii="宋体" w:hAnsi="宋体" w:eastAsia="宋体" w:cs="宋体"/>
          <w:sz w:val="21"/>
          <w:szCs w:val="21"/>
        </w:rPr>
      </w:pPr>
      <w:r>
        <w:rPr>
          <w:rFonts w:hint="eastAsia" w:ascii="宋体" w:hAnsi="宋体" w:eastAsia="宋体" w:cs="宋体"/>
          <w:sz w:val="21"/>
          <w:szCs w:val="21"/>
        </w:rPr>
        <w:t>41.1中标公告公布以后无异常的情况下,中标供应商和采购人可自行在“深圳政府采购智慧平台（http://zfcg.szggzy.com:8081/）”上打印《数字中标通知书》（咨询电话：0755-88653300，转6）。</w:t>
      </w:r>
    </w:p>
    <w:p w14:paraId="341BADE9">
      <w:pPr>
        <w:spacing w:line="360" w:lineRule="auto"/>
        <w:ind w:firstLine="411" w:firstLineChars="196"/>
        <w:rPr>
          <w:rFonts w:ascii="宋体" w:hAnsi="宋体" w:eastAsia="宋体" w:cs="宋体"/>
          <w:sz w:val="21"/>
          <w:szCs w:val="21"/>
        </w:rPr>
      </w:pPr>
      <w:r>
        <w:rPr>
          <w:rFonts w:hint="eastAsia" w:ascii="宋体" w:hAnsi="宋体" w:eastAsia="宋体" w:cs="宋体"/>
          <w:sz w:val="21"/>
          <w:szCs w:val="21"/>
        </w:rPr>
        <w:t>41.2中标通知书是合同的重要组成部分。</w:t>
      </w:r>
    </w:p>
    <w:p w14:paraId="24EB994A">
      <w:pPr>
        <w:spacing w:line="360" w:lineRule="auto"/>
        <w:ind w:firstLine="411" w:firstLineChars="196"/>
        <w:rPr>
          <w:rFonts w:ascii="宋体" w:hAnsi="宋体" w:eastAsia="宋体" w:cs="宋体"/>
          <w:sz w:val="21"/>
          <w:szCs w:val="21"/>
        </w:rPr>
      </w:pPr>
      <w:r>
        <w:rPr>
          <w:rFonts w:hint="eastAsia" w:ascii="宋体" w:hAnsi="宋体" w:eastAsia="宋体" w:cs="宋体"/>
          <w:sz w:val="21"/>
          <w:szCs w:val="21"/>
        </w:rPr>
        <w:t>41.3因质疑投诉或其它原因导致项目结果变更或采购终止的，政府采购代理机构有权吊销中标通知书。</w:t>
      </w:r>
    </w:p>
    <w:p w14:paraId="7D6476F5">
      <w:pPr>
        <w:pStyle w:val="3"/>
        <w:rPr>
          <w:szCs w:val="28"/>
        </w:rPr>
      </w:pPr>
      <w:r>
        <w:rPr>
          <w:rFonts w:hint="eastAsia" w:ascii="宋体" w:hAnsi="宋体" w:eastAsia="宋体" w:cs="宋体"/>
          <w:szCs w:val="28"/>
        </w:rPr>
        <w:t>第</w:t>
      </w:r>
      <w:r>
        <w:rPr>
          <w:rFonts w:hint="eastAsia"/>
          <w:szCs w:val="28"/>
        </w:rPr>
        <w:t>九章  公开招标失败的后续处理</w:t>
      </w:r>
    </w:p>
    <w:p w14:paraId="1234955C">
      <w:pPr>
        <w:spacing w:line="360" w:lineRule="auto"/>
        <w:rPr>
          <w:rFonts w:ascii="宋体" w:hAnsi="宋体" w:eastAsia="宋体" w:cs="宋体"/>
          <w:b/>
          <w:bCs/>
          <w:sz w:val="21"/>
          <w:szCs w:val="21"/>
        </w:rPr>
      </w:pPr>
      <w:r>
        <w:rPr>
          <w:rFonts w:hint="eastAsia" w:ascii="宋体" w:hAnsi="宋体" w:eastAsia="宋体" w:cs="宋体"/>
          <w:b/>
          <w:bCs/>
          <w:sz w:val="21"/>
          <w:szCs w:val="21"/>
        </w:rPr>
        <w:t>42．公开招标失败的处理</w:t>
      </w:r>
    </w:p>
    <w:p w14:paraId="0652A3BF">
      <w:pPr>
        <w:spacing w:line="360" w:lineRule="auto"/>
        <w:ind w:firstLine="411" w:firstLineChars="196"/>
        <w:rPr>
          <w:rFonts w:ascii="宋体" w:hAnsi="宋体" w:eastAsia="宋体" w:cs="宋体"/>
          <w:sz w:val="21"/>
          <w:szCs w:val="21"/>
        </w:rPr>
      </w:pPr>
      <w:r>
        <w:rPr>
          <w:rFonts w:hint="eastAsia" w:ascii="宋体" w:hAnsi="宋体" w:eastAsia="宋体" w:cs="宋体"/>
          <w:sz w:val="21"/>
          <w:szCs w:val="21"/>
        </w:rPr>
        <w:t>42.1本项目公开招标过程中若由于投标截止后实际递交投标文件的供应商数量不足、经评审委员会评审对招标文件作实质响应的供应商不足等原因造成公开招标失败，可由政府采购代理机构重新组织采购。</w:t>
      </w:r>
    </w:p>
    <w:p w14:paraId="2B608824">
      <w:pPr>
        <w:spacing w:line="360" w:lineRule="auto"/>
        <w:ind w:firstLine="411" w:firstLineChars="196"/>
        <w:rPr>
          <w:rFonts w:ascii="宋体" w:hAnsi="宋体" w:eastAsia="宋体" w:cs="宋体"/>
          <w:sz w:val="21"/>
          <w:szCs w:val="21"/>
        </w:rPr>
      </w:pPr>
      <w:r>
        <w:rPr>
          <w:rFonts w:hint="eastAsia" w:ascii="宋体" w:hAnsi="宋体" w:eastAsia="宋体" w:cs="宋体"/>
          <w:sz w:val="21"/>
          <w:szCs w:val="21"/>
        </w:rPr>
        <w:t>42.2对公开招标失败的项目，评审委员会在出具该项目招标失败结论的同时，提出重新采购组织形式的建议，以及进一步完善招标文件的资格、技术、商务要求的修改建议。</w:t>
      </w:r>
    </w:p>
    <w:p w14:paraId="315397EF">
      <w:pPr>
        <w:spacing w:line="360" w:lineRule="auto"/>
        <w:ind w:firstLine="411" w:firstLineChars="196"/>
        <w:rPr>
          <w:rFonts w:ascii="宋体" w:hAnsi="宋体" w:eastAsia="宋体" w:cs="宋体"/>
          <w:sz w:val="21"/>
          <w:szCs w:val="21"/>
        </w:rPr>
      </w:pPr>
      <w:r>
        <w:rPr>
          <w:rFonts w:hint="eastAsia" w:ascii="宋体" w:hAnsi="宋体" w:eastAsia="宋体" w:cs="宋体"/>
          <w:sz w:val="21"/>
          <w:szCs w:val="21"/>
        </w:rPr>
        <w:t>42.3重新组织采购有以下两种组织形式：</w:t>
      </w:r>
    </w:p>
    <w:p w14:paraId="6EF870E8">
      <w:pPr>
        <w:spacing w:line="360" w:lineRule="auto"/>
        <w:ind w:firstLine="411" w:firstLineChars="196"/>
        <w:rPr>
          <w:rFonts w:ascii="宋体" w:hAnsi="宋体" w:eastAsia="宋体" w:cs="宋体"/>
          <w:sz w:val="21"/>
          <w:szCs w:val="21"/>
        </w:rPr>
      </w:pPr>
      <w:r>
        <w:rPr>
          <w:rFonts w:hint="eastAsia" w:ascii="宋体" w:hAnsi="宋体" w:eastAsia="宋体" w:cs="宋体"/>
          <w:sz w:val="21"/>
          <w:szCs w:val="21"/>
        </w:rPr>
        <w:t>（1）由政府采购代理机构重新组织公开招标；</w:t>
      </w:r>
    </w:p>
    <w:p w14:paraId="4C106041">
      <w:pPr>
        <w:spacing w:line="360" w:lineRule="auto"/>
        <w:ind w:firstLine="411" w:firstLineChars="196"/>
        <w:rPr>
          <w:rFonts w:ascii="宋体" w:hAnsi="宋体" w:eastAsia="宋体" w:cs="宋体"/>
          <w:sz w:val="21"/>
          <w:szCs w:val="21"/>
        </w:rPr>
      </w:pPr>
      <w:r>
        <w:rPr>
          <w:rFonts w:hint="eastAsia" w:ascii="宋体" w:hAnsi="宋体" w:eastAsia="宋体" w:cs="宋体"/>
          <w:sz w:val="21"/>
          <w:szCs w:val="21"/>
        </w:rPr>
        <w:t>（2）根据实际情况需要向政府采购监督管理部门提出非公开招标方式申请，经政府采购监督管理部门批准，公开招标失败采购项目可转为竞争性谈判或单一来源谈判方式采购。</w:t>
      </w:r>
    </w:p>
    <w:p w14:paraId="2B496DB7">
      <w:pPr>
        <w:spacing w:line="360" w:lineRule="auto"/>
        <w:ind w:firstLine="411" w:firstLineChars="196"/>
        <w:rPr>
          <w:rFonts w:ascii="宋体" w:hAnsi="宋体" w:eastAsia="宋体" w:cs="宋体"/>
          <w:sz w:val="21"/>
          <w:szCs w:val="21"/>
        </w:rPr>
      </w:pPr>
      <w:r>
        <w:rPr>
          <w:rFonts w:hint="eastAsia" w:ascii="宋体" w:hAnsi="宋体" w:eastAsia="宋体" w:cs="宋体"/>
          <w:sz w:val="21"/>
          <w:szCs w:val="21"/>
        </w:rPr>
        <w:t>42.4公开招标失败的采购项目重新组织公开招标，由政府采购代理机构重新按公开招标流程组织采购活动。</w:t>
      </w:r>
    </w:p>
    <w:p w14:paraId="3B02BFA0">
      <w:pPr>
        <w:spacing w:line="360" w:lineRule="auto"/>
        <w:ind w:firstLine="411" w:firstLineChars="196"/>
        <w:rPr>
          <w:rFonts w:ascii="宋体" w:hAnsi="宋体" w:eastAsia="宋体" w:cs="宋体"/>
          <w:sz w:val="21"/>
          <w:szCs w:val="21"/>
        </w:rPr>
      </w:pPr>
      <w:r>
        <w:rPr>
          <w:rFonts w:hint="eastAsia" w:ascii="宋体" w:hAnsi="宋体" w:eastAsia="宋体" w:cs="宋体"/>
          <w:sz w:val="21"/>
          <w:szCs w:val="21"/>
        </w:rPr>
        <w:t>42.5公开招标失败的采购项目经政府采购监督管理部门批准转为竞争性谈判或单一来源谈判方式采购的，按规定要求组织政府采购工作。</w:t>
      </w:r>
    </w:p>
    <w:p w14:paraId="737E352A">
      <w:pPr>
        <w:pStyle w:val="3"/>
        <w:rPr>
          <w:szCs w:val="28"/>
        </w:rPr>
      </w:pPr>
      <w:r>
        <w:rPr>
          <w:rFonts w:hint="eastAsia" w:ascii="宋体" w:hAnsi="宋体" w:eastAsia="宋体" w:cs="宋体"/>
          <w:szCs w:val="28"/>
        </w:rPr>
        <w:t>第</w:t>
      </w:r>
      <w:r>
        <w:rPr>
          <w:rFonts w:hint="eastAsia"/>
          <w:szCs w:val="28"/>
        </w:rPr>
        <w:t>十章  合同的授予与备案</w:t>
      </w:r>
    </w:p>
    <w:p w14:paraId="4BCA7681">
      <w:pPr>
        <w:spacing w:line="288" w:lineRule="auto"/>
        <w:rPr>
          <w:rFonts w:ascii="宋体" w:hAnsi="宋体" w:eastAsia="宋体" w:cs="宋体"/>
          <w:b/>
          <w:bCs/>
          <w:sz w:val="21"/>
          <w:szCs w:val="21"/>
        </w:rPr>
      </w:pPr>
      <w:r>
        <w:rPr>
          <w:rFonts w:hint="eastAsia" w:ascii="宋体" w:hAnsi="宋体" w:eastAsia="宋体" w:cs="宋体"/>
          <w:b/>
          <w:bCs/>
          <w:sz w:val="21"/>
          <w:szCs w:val="21"/>
        </w:rPr>
        <w:t>43．合同授予标准</w:t>
      </w:r>
    </w:p>
    <w:p w14:paraId="31312295">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本项目的合同将授予按本招标文件规定评审确定的中标人。</w:t>
      </w:r>
    </w:p>
    <w:p w14:paraId="4508814D">
      <w:pPr>
        <w:spacing w:line="288" w:lineRule="auto"/>
        <w:rPr>
          <w:rFonts w:ascii="宋体" w:hAnsi="宋体" w:eastAsia="宋体" w:cs="宋体"/>
          <w:b/>
          <w:bCs/>
          <w:sz w:val="21"/>
          <w:szCs w:val="21"/>
        </w:rPr>
      </w:pPr>
      <w:r>
        <w:rPr>
          <w:rFonts w:hint="eastAsia" w:ascii="宋体" w:hAnsi="宋体" w:eastAsia="宋体" w:cs="宋体"/>
          <w:b/>
          <w:bCs/>
          <w:sz w:val="21"/>
          <w:szCs w:val="21"/>
        </w:rPr>
        <w:t>44．接受和拒绝任何或所有投标的权力</w:t>
      </w:r>
    </w:p>
    <w:p w14:paraId="72553246">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政府采购代理机构和采购人保留在投标之前任何时候接受或拒绝任何投标或所有投标，以及宣布招标无效的权力，对受影响的投标人不承担任何责任，也无义务向受影响的投标人解释采取这一行动的理由。</w:t>
      </w:r>
    </w:p>
    <w:p w14:paraId="49769653">
      <w:pPr>
        <w:spacing w:line="288" w:lineRule="auto"/>
        <w:rPr>
          <w:rFonts w:ascii="宋体" w:hAnsi="宋体" w:eastAsia="宋体" w:cs="宋体"/>
          <w:b/>
          <w:bCs/>
          <w:sz w:val="21"/>
          <w:szCs w:val="21"/>
        </w:rPr>
      </w:pPr>
      <w:r>
        <w:rPr>
          <w:rFonts w:hint="eastAsia" w:ascii="宋体" w:hAnsi="宋体" w:eastAsia="宋体" w:cs="宋体"/>
          <w:b/>
          <w:bCs/>
          <w:sz w:val="21"/>
          <w:szCs w:val="21"/>
        </w:rPr>
        <w:t>45．合同协议书的签订</w:t>
      </w:r>
    </w:p>
    <w:p w14:paraId="6571C165">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45.1中标人将于中标通知书发出之日起十个工作日内，按照采购文件（招标文件和投标文件等）内容与采购人签订政府采购合同；合同的实质性内容应当符合招标文件的规定；</w:t>
      </w:r>
    </w:p>
    <w:p w14:paraId="58153853">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45.2中标人如不按本通用条款第45.1款的规定与采购人签订合同，情节严重的，并由主管部门记入供应商诚信档案，予以通报；</w:t>
      </w:r>
    </w:p>
    <w:p w14:paraId="411EB2ED">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45.3中标人应当按照合同约定履行义务，完成中标项目，不得将中标项目转让（转包）给他人。</w:t>
      </w:r>
    </w:p>
    <w:p w14:paraId="51C301B8">
      <w:pPr>
        <w:spacing w:line="288" w:lineRule="auto"/>
        <w:rPr>
          <w:rFonts w:ascii="宋体" w:hAnsi="宋体" w:eastAsia="宋体" w:cs="宋体"/>
          <w:b/>
          <w:bCs/>
          <w:sz w:val="21"/>
          <w:szCs w:val="21"/>
        </w:rPr>
      </w:pPr>
      <w:r>
        <w:rPr>
          <w:rFonts w:hint="eastAsia" w:ascii="宋体" w:hAnsi="宋体" w:eastAsia="宋体" w:cs="宋体"/>
          <w:b/>
          <w:bCs/>
          <w:sz w:val="21"/>
          <w:szCs w:val="21"/>
        </w:rPr>
        <w:t>46．履约担保</w:t>
      </w:r>
    </w:p>
    <w:p w14:paraId="4125BE98">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46.1在签订项目合同的同时，中标人应按“对通用条款的补充内容”中规定的金额向采购人提交履约保证金（除现金方式外，允许供应商自主选择以支票、汇票、本票、保函等非现金方式缴纳或提交保证金）；</w:t>
      </w:r>
    </w:p>
    <w:p w14:paraId="600DA362">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46.2如果中标人不能按“对通用条款的补充内容”中规定的金额向采购人提交履约保证金，采购人将有充分的理由通过政府采购监督管理部门废除中标，给采购人造成的损失应当予以赔偿；</w:t>
      </w:r>
    </w:p>
    <w:p w14:paraId="0641E276">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46.3项目服务期满之后,经验收合格后，采购人在七日内办理解除履约担保手续。</w:t>
      </w:r>
    </w:p>
    <w:p w14:paraId="28998603">
      <w:pPr>
        <w:spacing w:line="288" w:lineRule="auto"/>
        <w:rPr>
          <w:rFonts w:ascii="宋体" w:hAnsi="宋体" w:eastAsia="宋体" w:cs="宋体"/>
          <w:b/>
          <w:bCs/>
          <w:sz w:val="21"/>
          <w:szCs w:val="21"/>
        </w:rPr>
      </w:pPr>
      <w:r>
        <w:rPr>
          <w:rFonts w:hint="eastAsia" w:ascii="宋体" w:hAnsi="宋体" w:eastAsia="宋体" w:cs="宋体"/>
          <w:b/>
          <w:bCs/>
          <w:sz w:val="21"/>
          <w:szCs w:val="21"/>
        </w:rPr>
        <w:t>47. 合同的备案</w:t>
      </w:r>
    </w:p>
    <w:p w14:paraId="24B6DCF6">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采购人与中标人应于合同签订之日起十日内，由采购人或委托中标人将采购合同副本抄送合同备案工作实施机构备案。</w:t>
      </w:r>
    </w:p>
    <w:p w14:paraId="164781DE">
      <w:pPr>
        <w:spacing w:line="288" w:lineRule="auto"/>
        <w:rPr>
          <w:rFonts w:ascii="宋体" w:hAnsi="宋体" w:eastAsia="宋体" w:cs="宋体"/>
          <w:b/>
          <w:bCs/>
          <w:sz w:val="21"/>
          <w:szCs w:val="21"/>
        </w:rPr>
      </w:pPr>
      <w:r>
        <w:rPr>
          <w:rFonts w:hint="eastAsia" w:ascii="宋体" w:hAnsi="宋体" w:eastAsia="宋体" w:cs="宋体"/>
          <w:b/>
          <w:bCs/>
          <w:sz w:val="21"/>
          <w:szCs w:val="21"/>
        </w:rPr>
        <w:t>48. 合同的变更</w:t>
      </w:r>
    </w:p>
    <w:p w14:paraId="504DD37A">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合同变更事宜按</w:t>
      </w:r>
      <w:r>
        <w:rPr>
          <w:rFonts w:hint="eastAsia" w:ascii="宋体" w:hAnsi="宋体" w:eastAsia="宋体" w:cs="宋体"/>
          <w:sz w:val="21"/>
          <w:szCs w:val="21"/>
          <w:u w:val="single"/>
        </w:rPr>
        <w:t>《深圳市财政局关于优化政府采购合同备案的通知》（深财发保〔2022〕2号）</w:t>
      </w:r>
      <w:r>
        <w:rPr>
          <w:rFonts w:hint="eastAsia" w:ascii="宋体" w:hAnsi="宋体" w:eastAsia="宋体" w:cs="宋体"/>
          <w:sz w:val="21"/>
          <w:szCs w:val="21"/>
        </w:rPr>
        <w:t>相关规定执行。</w:t>
      </w:r>
    </w:p>
    <w:p w14:paraId="54B6C124">
      <w:pPr>
        <w:spacing w:line="288" w:lineRule="auto"/>
        <w:rPr>
          <w:rFonts w:ascii="宋体" w:hAnsi="宋体" w:eastAsia="宋体" w:cs="宋体"/>
          <w:sz w:val="21"/>
          <w:szCs w:val="21"/>
        </w:rPr>
      </w:pPr>
      <w:r>
        <w:rPr>
          <w:rFonts w:hint="eastAsia" w:ascii="宋体" w:hAnsi="宋体" w:eastAsia="宋体" w:cs="宋体"/>
          <w:sz w:val="21"/>
          <w:szCs w:val="21"/>
        </w:rPr>
        <w:t>49. 项目验收</w:t>
      </w:r>
    </w:p>
    <w:p w14:paraId="021C6969">
      <w:pPr>
        <w:spacing w:line="288" w:lineRule="auto"/>
        <w:ind w:right="176" w:firstLine="420"/>
        <w:rPr>
          <w:rFonts w:ascii="宋体" w:hAnsi="宋体" w:eastAsia="宋体" w:cs="宋体"/>
          <w:sz w:val="21"/>
          <w:szCs w:val="21"/>
        </w:rPr>
      </w:pPr>
      <w:r>
        <w:rPr>
          <w:rFonts w:hint="eastAsia" w:ascii="宋体" w:hAnsi="宋体" w:eastAsia="宋体" w:cs="宋体"/>
          <w:sz w:val="21"/>
          <w:szCs w:val="21"/>
        </w:rPr>
        <w:t>49.1采购人应当按照招标文件和合同规定的标准和方法，及时组织验收。</w:t>
      </w:r>
    </w:p>
    <w:p w14:paraId="170480C4">
      <w:pPr>
        <w:spacing w:line="288" w:lineRule="auto"/>
        <w:rPr>
          <w:rFonts w:ascii="宋体" w:hAnsi="宋体" w:eastAsia="宋体" w:cs="宋体"/>
          <w:b/>
          <w:bCs/>
          <w:sz w:val="21"/>
          <w:szCs w:val="21"/>
        </w:rPr>
      </w:pPr>
      <w:r>
        <w:rPr>
          <w:rFonts w:hint="eastAsia" w:ascii="宋体" w:hAnsi="宋体" w:eastAsia="宋体" w:cs="宋体"/>
          <w:b/>
          <w:bCs/>
          <w:sz w:val="21"/>
          <w:szCs w:val="21"/>
        </w:rPr>
        <w:t>50. 宣传</w:t>
      </w:r>
    </w:p>
    <w:p w14:paraId="22CCABB6">
      <w:pPr>
        <w:spacing w:line="288" w:lineRule="auto"/>
        <w:ind w:left="240" w:leftChars="100" w:firstLine="411" w:firstLineChars="196"/>
        <w:rPr>
          <w:rFonts w:ascii="宋体" w:hAnsi="宋体" w:eastAsia="宋体" w:cs="宋体"/>
          <w:sz w:val="21"/>
          <w:szCs w:val="21"/>
        </w:rPr>
      </w:pPr>
      <w:r>
        <w:rPr>
          <w:rFonts w:hint="eastAsia" w:ascii="宋体" w:hAnsi="宋体" w:eastAsia="宋体" w:cs="宋体"/>
          <w:sz w:val="21"/>
          <w:szCs w:val="21"/>
        </w:rPr>
        <w:t>凡与政府采购活动有关的宣传或广告，若当中提及政府采购，必须事先将具体对外宣传方案报同级财政部门和政府采购代理机构，并征得其同意。对外市场宣传包括但不限于以下形式：</w:t>
      </w:r>
    </w:p>
    <w:p w14:paraId="20E41AB1">
      <w:pPr>
        <w:spacing w:line="288" w:lineRule="auto"/>
        <w:ind w:left="240" w:leftChars="100" w:firstLine="411" w:firstLineChars="196"/>
        <w:rPr>
          <w:rFonts w:ascii="宋体" w:hAnsi="宋体" w:eastAsia="宋体" w:cs="宋体"/>
          <w:sz w:val="21"/>
          <w:szCs w:val="21"/>
        </w:rPr>
      </w:pPr>
      <w:r>
        <w:rPr>
          <w:rFonts w:hint="eastAsia" w:ascii="宋体" w:hAnsi="宋体" w:eastAsia="宋体" w:cs="宋体"/>
          <w:sz w:val="21"/>
          <w:szCs w:val="21"/>
        </w:rPr>
        <w:t>a.名片、宣传册、广告标语等；</w:t>
      </w:r>
    </w:p>
    <w:p w14:paraId="69E0CD44">
      <w:pPr>
        <w:spacing w:line="288" w:lineRule="auto"/>
        <w:ind w:left="240" w:leftChars="100" w:firstLine="411" w:firstLineChars="196"/>
        <w:rPr>
          <w:rFonts w:ascii="宋体" w:hAnsi="宋体" w:eastAsia="宋体" w:cs="宋体"/>
          <w:sz w:val="21"/>
          <w:szCs w:val="21"/>
        </w:rPr>
      </w:pPr>
      <w:r>
        <w:rPr>
          <w:rFonts w:hint="eastAsia" w:ascii="宋体" w:hAnsi="宋体" w:eastAsia="宋体" w:cs="宋体"/>
          <w:sz w:val="21"/>
          <w:szCs w:val="21"/>
        </w:rPr>
        <w:t>b.案例介绍、推广等；</w:t>
      </w:r>
    </w:p>
    <w:p w14:paraId="702FA927">
      <w:pPr>
        <w:spacing w:line="288" w:lineRule="auto"/>
        <w:ind w:left="240" w:leftChars="100" w:firstLine="411" w:firstLineChars="196"/>
        <w:rPr>
          <w:rFonts w:ascii="宋体" w:hAnsi="宋体" w:eastAsia="宋体" w:cs="宋体"/>
          <w:sz w:val="21"/>
          <w:szCs w:val="21"/>
        </w:rPr>
      </w:pPr>
      <w:r>
        <w:rPr>
          <w:rFonts w:hint="eastAsia" w:ascii="宋体" w:hAnsi="宋体" w:eastAsia="宋体" w:cs="宋体"/>
          <w:sz w:val="21"/>
          <w:szCs w:val="21"/>
        </w:rPr>
        <w:t>c.工作人员向其他消费群体宣传。</w:t>
      </w:r>
    </w:p>
    <w:p w14:paraId="6F793C3E">
      <w:pPr>
        <w:spacing w:line="288" w:lineRule="auto"/>
        <w:rPr>
          <w:rFonts w:ascii="宋体" w:hAnsi="宋体" w:eastAsia="宋体" w:cs="宋体"/>
          <w:b/>
          <w:bCs/>
          <w:sz w:val="21"/>
          <w:szCs w:val="21"/>
        </w:rPr>
      </w:pPr>
      <w:r>
        <w:rPr>
          <w:rFonts w:hint="eastAsia" w:ascii="宋体" w:hAnsi="宋体" w:eastAsia="宋体" w:cs="宋体"/>
          <w:b/>
          <w:bCs/>
          <w:sz w:val="21"/>
          <w:szCs w:val="21"/>
        </w:rPr>
        <w:t>51. 供应商违法责任</w:t>
      </w:r>
    </w:p>
    <w:p w14:paraId="19091920">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51.1《深圳经济特区政府采购条例》第五十七条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0D15AB2F">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（1）在采购活动中应当回避而未回避的；</w:t>
      </w:r>
    </w:p>
    <w:p w14:paraId="1354D34A">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（2）未按本条例规定签订、履行采购合同，造成严重后果的；</w:t>
      </w:r>
    </w:p>
    <w:p w14:paraId="383A6D9D">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（3）隐瞒真实情况，提供虚假资料的；</w:t>
      </w:r>
    </w:p>
    <w:p w14:paraId="348BEE90">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（4）以非法手段排斥其他供应商参与竞争的；</w:t>
      </w:r>
    </w:p>
    <w:p w14:paraId="774BCB92">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（5）与其他采购参加人串通投标的；</w:t>
      </w:r>
    </w:p>
    <w:p w14:paraId="31CDA843">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（6）恶意投诉的；</w:t>
      </w:r>
    </w:p>
    <w:p w14:paraId="39BCCE82">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（7）向采购项目相关人行贿或者提供其他不当利益的；</w:t>
      </w:r>
    </w:p>
    <w:p w14:paraId="1B4B2599">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（8）阻碍、抗拒主管部门监督检查的；</w:t>
      </w:r>
    </w:p>
    <w:p w14:paraId="2CEE264A">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（9）其他违反本条例规定的行为。</w:t>
      </w:r>
    </w:p>
    <w:p w14:paraId="473FB834">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51.2 根据《深圳市财政局关于明确政府采购保证金管理工作的通知》（深财购[2019]42号）的要求，供应商在政府采购活动中出现《深圳经济特区政府采购条例实施细则》第八十四条所列情形的，采购人或政府采购代理机构可将有关情况报同级财政部门，由财政部门根据实际情况记入供应商诚信档案，予以通报：</w:t>
      </w:r>
    </w:p>
    <w:p w14:paraId="728A7C21">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（1）投标截止后，撤销投标的；</w:t>
      </w:r>
    </w:p>
    <w:p w14:paraId="45C8E4A4">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（2）中标后无正当理由未在规定期限内签订合同的；</w:t>
      </w:r>
    </w:p>
    <w:p w14:paraId="46F83BB9">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（3）将中标项目转让给他人、或者在投标文件中未说明且未经采购人、采购招标机构同意，将中标项目分包给他人的；</w:t>
      </w:r>
    </w:p>
    <w:p w14:paraId="3C18015F">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（4）拒绝履行合同义务的。</w:t>
      </w:r>
    </w:p>
    <w:p w14:paraId="7FF97931">
      <w:pPr>
        <w:pStyle w:val="3"/>
        <w:rPr>
          <w:szCs w:val="28"/>
        </w:rPr>
      </w:pPr>
      <w:r>
        <w:rPr>
          <w:rFonts w:hint="eastAsia" w:ascii="宋体" w:hAnsi="宋体" w:eastAsia="宋体" w:cs="宋体"/>
          <w:szCs w:val="28"/>
        </w:rPr>
        <w:t>第</w:t>
      </w:r>
      <w:r>
        <w:rPr>
          <w:rFonts w:hint="eastAsia"/>
          <w:szCs w:val="28"/>
        </w:rPr>
        <w:t>十一章  质疑处理</w:t>
      </w:r>
    </w:p>
    <w:p w14:paraId="20AB4B48">
      <w:pPr>
        <w:spacing w:line="288" w:lineRule="auto"/>
        <w:rPr>
          <w:rFonts w:ascii="宋体" w:hAnsi="宋体" w:eastAsia="宋体" w:cs="宋体"/>
          <w:b/>
          <w:bCs/>
          <w:sz w:val="21"/>
          <w:szCs w:val="21"/>
        </w:rPr>
      </w:pPr>
      <w:r>
        <w:rPr>
          <w:rFonts w:hint="eastAsia" w:ascii="宋体" w:hAnsi="宋体" w:eastAsia="宋体" w:cs="宋体"/>
          <w:b/>
          <w:bCs/>
          <w:sz w:val="21"/>
          <w:szCs w:val="21"/>
        </w:rPr>
        <w:t>52.质疑提出与答复</w:t>
      </w:r>
    </w:p>
    <w:p w14:paraId="6673D402">
      <w:pPr>
        <w:spacing w:line="288" w:lineRule="auto"/>
        <w:rPr>
          <w:rFonts w:ascii="宋体" w:hAnsi="宋体" w:eastAsia="宋体" w:cs="宋体"/>
          <w:sz w:val="21"/>
          <w:szCs w:val="21"/>
        </w:rPr>
      </w:pPr>
      <w:r>
        <w:rPr>
          <w:rFonts w:hint="eastAsia" w:ascii="宋体" w:hAnsi="宋体" w:eastAsia="宋体" w:cs="宋体"/>
          <w:sz w:val="21"/>
          <w:szCs w:val="21"/>
        </w:rPr>
        <w:t xml:space="preserve">    52.1提出质疑</w:t>
      </w:r>
    </w:p>
    <w:p w14:paraId="04993C2D">
      <w:pPr>
        <w:spacing w:line="288" w:lineRule="auto"/>
        <w:rPr>
          <w:rFonts w:ascii="宋体" w:hAnsi="宋体" w:eastAsia="宋体" w:cs="宋体"/>
          <w:sz w:val="21"/>
          <w:szCs w:val="21"/>
        </w:rPr>
      </w:pPr>
      <w:r>
        <w:rPr>
          <w:rFonts w:hint="eastAsia" w:ascii="宋体" w:hAnsi="宋体" w:eastAsia="宋体" w:cs="宋体"/>
          <w:sz w:val="21"/>
          <w:szCs w:val="21"/>
        </w:rPr>
        <w:t xml:space="preserve">    参与政府采购活动的供应商认为自己的权益在采购活动中受到损害的，应当自知道或者应当知道其权益受到损害之日起七个工作日内向采购人、政府采购代理机构以书面形式提出质疑。</w:t>
      </w:r>
    </w:p>
    <w:p w14:paraId="05A64FF6">
      <w:pPr>
        <w:spacing w:line="288" w:lineRule="auto"/>
        <w:rPr>
          <w:rFonts w:ascii="宋体" w:hAnsi="宋体" w:eastAsia="宋体" w:cs="宋体"/>
          <w:sz w:val="21"/>
          <w:szCs w:val="21"/>
        </w:rPr>
      </w:pPr>
      <w:r>
        <w:rPr>
          <w:rFonts w:hint="eastAsia" w:ascii="宋体" w:hAnsi="宋体" w:eastAsia="宋体" w:cs="宋体"/>
          <w:sz w:val="21"/>
          <w:szCs w:val="21"/>
        </w:rPr>
        <w:t xml:space="preserve">    52.2法律依据</w:t>
      </w:r>
    </w:p>
    <w:p w14:paraId="58563A07">
      <w:pPr>
        <w:spacing w:line="288" w:lineRule="auto"/>
        <w:rPr>
          <w:rFonts w:ascii="宋体" w:hAnsi="宋体" w:eastAsia="宋体" w:cs="宋体"/>
          <w:sz w:val="21"/>
          <w:szCs w:val="21"/>
        </w:rPr>
      </w:pPr>
      <w:r>
        <w:rPr>
          <w:rFonts w:hint="eastAsia" w:ascii="宋体" w:hAnsi="宋体" w:eastAsia="宋体" w:cs="宋体"/>
          <w:sz w:val="21"/>
          <w:szCs w:val="21"/>
        </w:rPr>
        <w:t xml:space="preserve">    《中华人民共和国政府采购法》《中华人民共和国政府采购法实施条例》《深圳经济特区政府采购条例》《深圳经济特区政府采购条例实施细则》《政府采购质疑和投诉办法》（财政部令第94号）和其他有关法律法规规定。</w:t>
      </w:r>
    </w:p>
    <w:p w14:paraId="7EFCF814">
      <w:pPr>
        <w:spacing w:line="288" w:lineRule="auto"/>
        <w:rPr>
          <w:rFonts w:ascii="宋体" w:hAnsi="宋体" w:eastAsia="宋体" w:cs="宋体"/>
          <w:sz w:val="21"/>
          <w:szCs w:val="21"/>
        </w:rPr>
      </w:pPr>
      <w:r>
        <w:rPr>
          <w:rFonts w:hint="eastAsia" w:ascii="宋体" w:hAnsi="宋体" w:eastAsia="宋体" w:cs="宋体"/>
          <w:sz w:val="21"/>
          <w:szCs w:val="21"/>
        </w:rPr>
        <w:t xml:space="preserve">    52.3质疑条件</w:t>
      </w:r>
    </w:p>
    <w:p w14:paraId="49C619CA">
      <w:pPr>
        <w:spacing w:line="288" w:lineRule="auto"/>
        <w:rPr>
          <w:rFonts w:ascii="宋体" w:hAnsi="宋体" w:eastAsia="宋体" w:cs="宋体"/>
          <w:sz w:val="21"/>
          <w:szCs w:val="21"/>
        </w:rPr>
      </w:pPr>
      <w:r>
        <w:rPr>
          <w:rFonts w:hint="eastAsia" w:ascii="宋体" w:hAnsi="宋体" w:eastAsia="宋体" w:cs="宋体"/>
          <w:sz w:val="21"/>
          <w:szCs w:val="21"/>
        </w:rPr>
        <w:t xml:space="preserve">    52.3.1提出质疑的供应商应当是参与所质疑项目采购活动的供应商；</w:t>
      </w:r>
    </w:p>
    <w:p w14:paraId="4FD84468">
      <w:pPr>
        <w:spacing w:line="288" w:lineRule="auto"/>
        <w:textAlignment w:val="center"/>
        <w:rPr>
          <w:rFonts w:ascii="宋体" w:hAnsi="宋体" w:eastAsia="宋体" w:cs="宋体"/>
          <w:sz w:val="21"/>
          <w:szCs w:val="21"/>
        </w:rPr>
      </w:pPr>
      <w:r>
        <w:rPr>
          <w:rFonts w:hint="eastAsia" w:ascii="宋体" w:hAnsi="宋体" w:eastAsia="宋体" w:cs="宋体"/>
          <w:sz w:val="21"/>
          <w:szCs w:val="21"/>
        </w:rPr>
        <w:t xml:space="preserve">    52.3.2应当在法定质疑期内一次性提出针对同一采购程序环节的质疑，法定质疑期为自知道或应当知道权益受到损害之日起7个工作日内。应当知道其权益受到损害之日是指：对采购文件的质疑，为采购文件公布之日；对采购过程的质疑，为各采购程序环节结束之日；对中标结果以及评审委员会组成人员的质疑，为中标结果公示之日；</w:t>
      </w:r>
    </w:p>
    <w:p w14:paraId="36C52472">
      <w:pPr>
        <w:spacing w:line="288" w:lineRule="auto"/>
        <w:ind w:firstLine="420"/>
        <w:rPr>
          <w:rFonts w:ascii="宋体" w:hAnsi="宋体" w:eastAsia="宋体" w:cs="宋体"/>
          <w:sz w:val="21"/>
          <w:szCs w:val="21"/>
        </w:rPr>
      </w:pPr>
      <w:r>
        <w:rPr>
          <w:rFonts w:hint="eastAsia" w:ascii="宋体" w:hAnsi="宋体" w:eastAsia="宋体" w:cs="宋体"/>
          <w:sz w:val="21"/>
          <w:szCs w:val="21"/>
        </w:rPr>
        <w:t>52.3.3应提交书面质疑函，质疑函应当包括以下内容：</w:t>
      </w:r>
    </w:p>
    <w:p w14:paraId="4413FB03">
      <w:pPr>
        <w:spacing w:line="288" w:lineRule="auto"/>
        <w:ind w:firstLine="420"/>
        <w:rPr>
          <w:rFonts w:ascii="宋体" w:hAnsi="宋体" w:eastAsia="宋体" w:cs="宋体"/>
          <w:sz w:val="21"/>
          <w:szCs w:val="21"/>
        </w:rPr>
      </w:pPr>
      <w:r>
        <w:rPr>
          <w:rFonts w:hint="eastAsia" w:ascii="宋体" w:hAnsi="宋体" w:eastAsia="宋体" w:cs="宋体"/>
          <w:sz w:val="21"/>
          <w:szCs w:val="21"/>
        </w:rPr>
        <w:t>（1）供应商的名称（或者姓名）、地址、邮编、邮箱、联系人及联系电话；</w:t>
      </w:r>
    </w:p>
    <w:p w14:paraId="4D917483">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（2）质疑项目的名称、编号；</w:t>
      </w:r>
    </w:p>
    <w:p w14:paraId="602F97EF">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（3）具体、明确的质疑对象、质疑事项和质疑请求；</w:t>
      </w:r>
    </w:p>
    <w:p w14:paraId="1CE49D91">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（4）因质疑事项而受损害的权益；</w:t>
      </w:r>
    </w:p>
    <w:p w14:paraId="097D932E">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（5）事实依据；</w:t>
      </w:r>
    </w:p>
    <w:p w14:paraId="3183F479">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（6）必要的法律依据；</w:t>
      </w:r>
    </w:p>
    <w:p w14:paraId="2E46989B">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（7）提出质疑的日期。</w:t>
      </w:r>
    </w:p>
    <w:p w14:paraId="65593332">
      <w:pPr>
        <w:spacing w:line="288" w:lineRule="auto"/>
        <w:ind w:firstLine="420"/>
        <w:rPr>
          <w:rFonts w:ascii="宋体" w:hAnsi="宋体" w:eastAsia="宋体" w:cs="宋体"/>
          <w:sz w:val="21"/>
          <w:szCs w:val="21"/>
        </w:rPr>
      </w:pPr>
      <w:r>
        <w:rPr>
          <w:rFonts w:hint="eastAsia" w:ascii="宋体" w:hAnsi="宋体" w:eastAsia="宋体" w:cs="宋体"/>
          <w:sz w:val="21"/>
          <w:szCs w:val="21"/>
        </w:rPr>
        <w:t>注：质疑函范本可按招标公告指引在相关网站下载。供应商为自然人的，应当由本人签字；供应商为法人或者其他组织的，应当由法定代表人（负责人），或者其授权代理人签字或者盖章，并加盖公章。</w:t>
      </w:r>
    </w:p>
    <w:p w14:paraId="2A0DEA8B">
      <w:pPr>
        <w:spacing w:line="288" w:lineRule="auto"/>
        <w:rPr>
          <w:rFonts w:ascii="宋体" w:hAnsi="宋体" w:eastAsia="宋体" w:cs="宋体"/>
          <w:sz w:val="21"/>
          <w:szCs w:val="21"/>
        </w:rPr>
      </w:pPr>
      <w:r>
        <w:rPr>
          <w:rFonts w:hint="eastAsia" w:ascii="宋体" w:hAnsi="宋体" w:eastAsia="宋体" w:cs="宋体"/>
          <w:sz w:val="21"/>
          <w:szCs w:val="21"/>
        </w:rPr>
        <w:t xml:space="preserve">    52.4提交材料</w:t>
      </w:r>
    </w:p>
    <w:p w14:paraId="72EBA71E">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 xml:space="preserve">    供应商质疑实行实名制。供应商为自然人的，应当提交本人身份证复印件；供应商为法人或者其他组织的，应当根据自身性质提交营业执照复印件或者其他证明文件（如事业单位法人证书等）复印件。</w:t>
      </w:r>
    </w:p>
    <w:p w14:paraId="557714D2">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4669DEB">
      <w:pPr>
        <w:spacing w:line="288" w:lineRule="auto"/>
        <w:rPr>
          <w:rFonts w:ascii="宋体" w:hAnsi="宋体" w:eastAsia="宋体" w:cs="宋体"/>
          <w:sz w:val="21"/>
          <w:szCs w:val="21"/>
        </w:rPr>
      </w:pPr>
      <w:r>
        <w:rPr>
          <w:rFonts w:hint="eastAsia" w:ascii="宋体" w:hAnsi="宋体" w:eastAsia="宋体" w:cs="宋体"/>
          <w:sz w:val="21"/>
          <w:szCs w:val="21"/>
        </w:rPr>
        <w:t xml:space="preserve">    52.5提交方式</w:t>
      </w:r>
    </w:p>
    <w:p w14:paraId="7FC53435">
      <w:pPr>
        <w:spacing w:line="288" w:lineRule="auto"/>
        <w:rPr>
          <w:rFonts w:ascii="宋体" w:hAnsi="宋体" w:eastAsia="宋体" w:cs="宋体"/>
          <w:sz w:val="21"/>
          <w:szCs w:val="21"/>
        </w:rPr>
      </w:pPr>
      <w:r>
        <w:rPr>
          <w:rFonts w:hint="eastAsia" w:ascii="宋体" w:hAnsi="宋体" w:eastAsia="宋体" w:cs="宋体"/>
          <w:sz w:val="21"/>
          <w:szCs w:val="21"/>
        </w:rPr>
        <w:t xml:space="preserve">    52.5.1请质疑供应商根据深圳政府采购智慧平台（http://zfcg.szggzy.com:8081/）所发布的质疑指引、质疑函模板填写质疑函并提交质疑材料。地址：中国远东国际招标有限公司（深圳分公司），质疑咨询电话：0755-82078119.82078919。</w:t>
      </w:r>
    </w:p>
    <w:p w14:paraId="4B70CE6A">
      <w:pPr>
        <w:spacing w:line="288" w:lineRule="auto"/>
        <w:rPr>
          <w:rFonts w:ascii="宋体" w:hAnsi="宋体" w:eastAsia="宋体" w:cs="宋体"/>
          <w:sz w:val="21"/>
          <w:szCs w:val="21"/>
        </w:rPr>
      </w:pPr>
      <w:r>
        <w:rPr>
          <w:rFonts w:hint="eastAsia" w:ascii="宋体" w:hAnsi="宋体" w:eastAsia="宋体" w:cs="宋体"/>
          <w:sz w:val="21"/>
          <w:szCs w:val="21"/>
        </w:rPr>
        <w:t xml:space="preserve">    52.6收文办理程序</w:t>
      </w:r>
    </w:p>
    <w:p w14:paraId="41AB8768">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52.6.1供应商提交的质疑符合受理条件的，政府采购代理机构自收到质疑材料之日起即为受理。</w:t>
      </w:r>
    </w:p>
    <w:p w14:paraId="6C7684E2">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52.6.2供应商提交的质疑材料不符合质疑条件的，视情况处理：</w:t>
      </w:r>
    </w:p>
    <w:p w14:paraId="19D4C5B8">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供应商提交的质疑材料不全或者未按要求签字或者盖章的，政府采购代理机构应当一次性告知供应商需补正的内容和补正期限。</w:t>
      </w:r>
    </w:p>
    <w:p w14:paraId="12B1E1D0">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供应商提交的质疑存在下列情形之一的，不予受理：</w:t>
      </w:r>
    </w:p>
    <w:p w14:paraId="4D30A45B">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（1）质疑主体不满足要求的；</w:t>
      </w:r>
    </w:p>
    <w:p w14:paraId="5E1E0EF3">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（2）供应商自身权益未受到损害的；</w:t>
      </w:r>
    </w:p>
    <w:p w14:paraId="42305C97">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（3）供应商未在法定质疑期限内提出质疑的；</w:t>
      </w:r>
    </w:p>
    <w:p w14:paraId="545CDE4D">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（4）质疑材料不全或者未按要求签字或者盖章的情况下，要求补正后，逾期未补正或者补正后仍不符合规定的；</w:t>
      </w:r>
    </w:p>
    <w:p w14:paraId="09C91AD3">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（5）其他不符合受理条件情形的。</w:t>
      </w:r>
    </w:p>
    <w:p w14:paraId="0316C4E2">
      <w:pPr>
        <w:spacing w:line="288" w:lineRule="auto"/>
        <w:ind w:firstLine="420" w:firstLineChars="200"/>
        <w:rPr>
          <w:rFonts w:ascii="宋体" w:hAnsi="宋体" w:eastAsia="宋体" w:cs="宋体"/>
          <w:sz w:val="21"/>
          <w:szCs w:val="21"/>
        </w:rPr>
      </w:pPr>
      <w:r>
        <w:rPr>
          <w:rFonts w:hint="eastAsia" w:ascii="宋体" w:hAnsi="宋体" w:eastAsia="宋体" w:cs="宋体"/>
          <w:sz w:val="21"/>
          <w:szCs w:val="21"/>
        </w:rPr>
        <w:t>质疑事项不予受理的，政府采购代理机构应当向供应商出具不符合质疑条件告知书。</w:t>
      </w:r>
    </w:p>
    <w:p w14:paraId="1B8BB65F">
      <w:pPr>
        <w:spacing w:line="288" w:lineRule="auto"/>
        <w:rPr>
          <w:rFonts w:ascii="宋体" w:hAnsi="宋体" w:eastAsia="宋体" w:cs="宋体"/>
          <w:sz w:val="21"/>
          <w:szCs w:val="21"/>
        </w:rPr>
      </w:pPr>
      <w:r>
        <w:rPr>
          <w:rFonts w:hint="eastAsia" w:ascii="宋体" w:hAnsi="宋体" w:eastAsia="宋体" w:cs="宋体"/>
          <w:sz w:val="21"/>
          <w:szCs w:val="21"/>
        </w:rPr>
        <w:t xml:space="preserve">    52.7质疑答复时限</w:t>
      </w:r>
    </w:p>
    <w:p w14:paraId="59E00AB1">
      <w:pPr>
        <w:spacing w:line="288" w:lineRule="auto"/>
        <w:rPr>
          <w:rFonts w:ascii="宋体" w:hAnsi="宋体" w:eastAsia="宋体" w:cs="宋体"/>
          <w:sz w:val="21"/>
          <w:szCs w:val="21"/>
        </w:rPr>
      </w:pPr>
      <w:r>
        <w:rPr>
          <w:rFonts w:hint="eastAsia" w:ascii="宋体" w:hAnsi="宋体" w:eastAsia="宋体" w:cs="宋体"/>
          <w:sz w:val="21"/>
          <w:szCs w:val="21"/>
        </w:rPr>
        <w:t xml:space="preserve">    自收文之日起七个工作日内。参与供应商应在在法定质疑期内一次性提出针对同一采购程序环节的质疑。</w:t>
      </w:r>
    </w:p>
    <w:p w14:paraId="03071148">
      <w:pPr>
        <w:spacing w:line="288" w:lineRule="auto"/>
        <w:rPr>
          <w:rFonts w:ascii="宋体" w:hAnsi="宋体" w:eastAsia="宋体" w:cs="宋体"/>
          <w:sz w:val="21"/>
          <w:szCs w:val="21"/>
        </w:rPr>
      </w:pPr>
      <w:r>
        <w:rPr>
          <w:rFonts w:hint="eastAsia" w:ascii="宋体" w:hAnsi="宋体" w:eastAsia="宋体" w:cs="宋体"/>
          <w:sz w:val="21"/>
          <w:szCs w:val="21"/>
        </w:rPr>
        <w:t xml:space="preserve">    52.8投诉</w:t>
      </w:r>
    </w:p>
    <w:p w14:paraId="412E96A0">
      <w:pPr>
        <w:spacing w:line="288" w:lineRule="auto"/>
        <w:rPr>
          <w:rFonts w:ascii="宋体" w:hAnsi="宋体" w:eastAsia="宋体" w:cs="宋体"/>
          <w:sz w:val="21"/>
          <w:szCs w:val="21"/>
        </w:rPr>
      </w:pPr>
      <w:r>
        <w:rPr>
          <w:rFonts w:hint="eastAsia" w:ascii="宋体" w:hAnsi="宋体" w:eastAsia="宋体" w:cs="宋体"/>
          <w:sz w:val="21"/>
          <w:szCs w:val="21"/>
        </w:rPr>
        <w:t xml:space="preserve">    对质疑答复不满意或者未在规定时间内答复的，提出质疑的供应商可以在答复期满后15个工作日内向深圳市财政局投诉。</w:t>
      </w:r>
    </w:p>
    <w:p w14:paraId="33555D0F">
      <w:pPr>
        <w:spacing w:line="288" w:lineRule="auto"/>
        <w:ind w:firstLine="422" w:firstLineChars="200"/>
        <w:rPr>
          <w:rFonts w:ascii="宋体" w:hAnsi="宋体" w:eastAsia="宋体" w:cs="宋体"/>
          <w:b/>
          <w:bCs/>
          <w:sz w:val="21"/>
          <w:szCs w:val="21"/>
        </w:rPr>
      </w:pPr>
      <w:r>
        <w:rPr>
          <w:rFonts w:hint="eastAsia" w:ascii="宋体" w:hAnsi="宋体" w:eastAsia="宋体" w:cs="宋体"/>
          <w:b/>
          <w:bCs/>
          <w:sz w:val="21"/>
          <w:szCs w:val="21"/>
        </w:rPr>
        <w:t>53. 质疑后续处理</w:t>
      </w:r>
    </w:p>
    <w:p w14:paraId="6CDFC643">
      <w:pPr>
        <w:spacing w:line="288" w:lineRule="auto"/>
        <w:rPr>
          <w:rFonts w:ascii="宋体" w:hAnsi="宋体" w:eastAsia="宋体" w:cs="宋体"/>
          <w:sz w:val="21"/>
          <w:szCs w:val="21"/>
        </w:rPr>
      </w:pPr>
      <w:r>
        <w:rPr>
          <w:rFonts w:hint="eastAsia" w:ascii="宋体" w:hAnsi="宋体" w:eastAsia="宋体" w:cs="宋体"/>
          <w:sz w:val="21"/>
          <w:szCs w:val="21"/>
        </w:rPr>
        <w:t xml:space="preserve">    53.1供应商质疑不成立，或者成立但未对中标、成交结果构成影响的，继续开展采购活动。</w:t>
      </w:r>
    </w:p>
    <w:p w14:paraId="5FC5F2EC">
      <w:pPr>
        <w:spacing w:line="288" w:lineRule="auto"/>
        <w:ind w:firstLine="411" w:firstLineChars="196"/>
        <w:rPr>
          <w:rFonts w:ascii="宋体" w:hAnsi="宋体" w:eastAsia="宋体" w:cs="宋体"/>
          <w:sz w:val="21"/>
          <w:szCs w:val="21"/>
        </w:rPr>
      </w:pPr>
      <w:r>
        <w:rPr>
          <w:rFonts w:hint="eastAsia" w:ascii="宋体" w:hAnsi="宋体" w:eastAsia="宋体" w:cs="宋体"/>
          <w:sz w:val="21"/>
          <w:szCs w:val="21"/>
        </w:rPr>
        <w:t>53.2供应商质疑成立且影响或者可能影响中标、成交结果的，按照下列情况处理：（1）对采购文件提出的质疑，依法通过澄清或者修改可以继续开展采购活动的，澄清或者修改采购文件后继续开展采购活动；否则应当修改采购文件后重新开展采购活动。（2）对采购过程、中标或者成交结果提出的质疑，合格供应商符合法定数量时，可以从合格的中标或者成交候选人中另行确定中标、成交供应商的，应当依法另行确定中标、成交供应商。否则应当重新开展采购活动。</w:t>
      </w:r>
    </w:p>
    <w:p w14:paraId="480527DE">
      <w:pPr>
        <w:rPr>
          <w:sz w:val="28"/>
          <w:szCs w:val="28"/>
        </w:rPr>
      </w:pPr>
    </w:p>
    <w:p w14:paraId="08D74B37">
      <w:pPr>
        <w:pStyle w:val="3"/>
        <w:rPr>
          <w:szCs w:val="28"/>
        </w:rPr>
      </w:pPr>
      <w:r>
        <w:rPr>
          <w:rFonts w:hint="eastAsia" w:ascii="宋体" w:hAnsi="宋体" w:eastAsia="宋体" w:cs="宋体"/>
          <w:szCs w:val="28"/>
        </w:rPr>
        <w:t>第</w:t>
      </w:r>
      <w:r>
        <w:rPr>
          <w:rFonts w:hint="eastAsia"/>
          <w:szCs w:val="28"/>
        </w:rPr>
        <w:t>十二章  附录（相关政策）</w:t>
      </w:r>
    </w:p>
    <w:tbl>
      <w:tblPr>
        <w:tblStyle w:val="29"/>
        <w:tblW w:w="992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37"/>
        <w:gridCol w:w="8784"/>
      </w:tblGrid>
      <w:tr w14:paraId="5D6E63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110" w:type="dxa"/>
            <w:tcBorders>
              <w:tl2br w:val="nil"/>
              <w:tr2bl w:val="nil"/>
            </w:tcBorders>
            <w:vAlign w:val="center"/>
          </w:tcPr>
          <w:p w14:paraId="460C0309">
            <w:pPr>
              <w:widowControl w:val="0"/>
              <w:jc w:val="center"/>
              <w:outlineLvl w:val="2"/>
              <w:rPr>
                <w:rFonts w:hint="eastAsia" w:ascii="宋体" w:hAnsi="宋体" w:eastAsia="宋体" w:cs="宋体"/>
                <w:b/>
                <w:bCs/>
                <w:sz w:val="21"/>
                <w:szCs w:val="21"/>
              </w:rPr>
            </w:pPr>
            <w:r>
              <w:rPr>
                <w:rFonts w:hint="eastAsia" w:ascii="宋体" w:hAnsi="宋体" w:eastAsia="宋体" w:cs="宋体"/>
                <w:b/>
                <w:bCs/>
                <w:sz w:val="21"/>
                <w:szCs w:val="21"/>
              </w:rPr>
              <w:t>附件1：</w:t>
            </w:r>
          </w:p>
        </w:tc>
        <w:tc>
          <w:tcPr>
            <w:tcW w:w="8575" w:type="dxa"/>
            <w:tcBorders>
              <w:tl2br w:val="nil"/>
              <w:tr2bl w:val="nil"/>
            </w:tcBorders>
            <w:vAlign w:val="center"/>
          </w:tcPr>
          <w:p w14:paraId="539C3C63">
            <w:pPr>
              <w:widowControl w:val="0"/>
              <w:jc w:val="left"/>
              <w:outlineLvl w:val="2"/>
              <w:rPr>
                <w:rFonts w:hint="eastAsia" w:ascii="宋体" w:hAnsi="宋体" w:eastAsia="宋体" w:cs="宋体"/>
                <w:sz w:val="18"/>
                <w:szCs w:val="18"/>
              </w:rPr>
            </w:pPr>
            <w:r>
              <w:rPr>
                <w:rFonts w:hint="eastAsia" w:ascii="宋体" w:hAnsi="宋体" w:eastAsia="宋体" w:cs="宋体"/>
                <w:sz w:val="18"/>
                <w:szCs w:val="18"/>
              </w:rPr>
              <w:t>财政部 工业和信息化部关于印发《政府采购促进中小企业发展管理办法》的通知（财库〔2020〕46 号）</w:t>
            </w:r>
          </w:p>
          <w:p w14:paraId="43102E1C">
            <w:pPr>
              <w:widowControl w:val="0"/>
              <w:jc w:val="both"/>
              <w:outlineLvl w:val="2"/>
              <w:rPr>
                <w:sz w:val="18"/>
                <w:szCs w:val="18"/>
              </w:rPr>
            </w:pPr>
            <w:r>
              <w:fldChar w:fldCharType="begin"/>
            </w:r>
            <w:r>
              <w:instrText xml:space="preserve"> HYPERLINK "https://gks.mof.gov.cn/guizhangzhidu/202012/t20201228_3637419.htm" </w:instrText>
            </w:r>
            <w:r>
              <w:fldChar w:fldCharType="separate"/>
            </w:r>
            <w:r>
              <w:rPr>
                <w:rFonts w:hint="eastAsia" w:ascii="宋体" w:hAnsi="宋体" w:eastAsia="宋体" w:cs="宋体"/>
                <w:sz w:val="18"/>
                <w:szCs w:val="18"/>
              </w:rPr>
              <w:t>https://gks.mof.gov.cn/guizhangzhidu/202012/t20201228_3637419.htm</w:t>
            </w:r>
            <w:r>
              <w:rPr>
                <w:rFonts w:hint="eastAsia" w:ascii="宋体" w:hAnsi="宋体" w:eastAsia="宋体" w:cs="宋体"/>
                <w:sz w:val="18"/>
                <w:szCs w:val="18"/>
              </w:rPr>
              <w:fldChar w:fldCharType="end"/>
            </w:r>
          </w:p>
        </w:tc>
      </w:tr>
      <w:tr w14:paraId="3A53AD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110" w:type="dxa"/>
            <w:tcBorders>
              <w:tl2br w:val="nil"/>
              <w:tr2bl w:val="nil"/>
            </w:tcBorders>
            <w:vAlign w:val="center"/>
          </w:tcPr>
          <w:p w14:paraId="44EDEAD7">
            <w:pPr>
              <w:widowControl w:val="0"/>
              <w:jc w:val="center"/>
              <w:outlineLvl w:val="2"/>
              <w:rPr>
                <w:rFonts w:hint="eastAsia" w:ascii="宋体" w:hAnsi="宋体" w:eastAsia="宋体" w:cs="宋体"/>
                <w:b/>
                <w:bCs/>
                <w:sz w:val="21"/>
                <w:szCs w:val="21"/>
              </w:rPr>
            </w:pPr>
            <w:r>
              <w:rPr>
                <w:rFonts w:hint="eastAsia" w:ascii="宋体" w:hAnsi="宋体" w:eastAsia="宋体" w:cs="宋体"/>
                <w:b/>
                <w:bCs/>
                <w:sz w:val="21"/>
                <w:szCs w:val="21"/>
              </w:rPr>
              <w:t>附件2：</w:t>
            </w:r>
          </w:p>
        </w:tc>
        <w:tc>
          <w:tcPr>
            <w:tcW w:w="8575" w:type="dxa"/>
            <w:tcBorders>
              <w:tl2br w:val="nil"/>
              <w:tr2bl w:val="nil"/>
            </w:tcBorders>
            <w:vAlign w:val="center"/>
          </w:tcPr>
          <w:p w14:paraId="644B8557">
            <w:pPr>
              <w:widowControl w:val="0"/>
              <w:jc w:val="both"/>
              <w:outlineLvl w:val="2"/>
              <w:rPr>
                <w:rFonts w:hint="eastAsia" w:ascii="宋体" w:hAnsi="宋体" w:eastAsia="宋体" w:cs="宋体"/>
                <w:sz w:val="18"/>
                <w:szCs w:val="18"/>
              </w:rPr>
            </w:pPr>
            <w:r>
              <w:rPr>
                <w:rFonts w:hint="eastAsia" w:ascii="宋体" w:hAnsi="宋体" w:eastAsia="宋体" w:cs="宋体"/>
                <w:sz w:val="18"/>
                <w:szCs w:val="18"/>
              </w:rPr>
              <w:t>《金融业企业划型标准规定》（银发〔2015〕309 号）</w:t>
            </w:r>
          </w:p>
          <w:p w14:paraId="0B3996BC">
            <w:pPr>
              <w:widowControl w:val="0"/>
              <w:jc w:val="both"/>
              <w:outlineLvl w:val="2"/>
              <w:rPr>
                <w:rFonts w:hint="eastAsia" w:ascii="宋体" w:hAnsi="宋体" w:eastAsia="宋体" w:cs="宋体"/>
                <w:sz w:val="18"/>
                <w:szCs w:val="18"/>
              </w:rPr>
            </w:pPr>
            <w:r>
              <w:rPr>
                <w:rFonts w:hint="eastAsia" w:ascii="宋体" w:hAnsi="宋体" w:eastAsia="宋体" w:cs="宋体"/>
                <w:sz w:val="18"/>
                <w:szCs w:val="18"/>
              </w:rPr>
              <w:t>https://www.stats.gov.cn/sj/tjbz/gjtjbz/202302/P020230213402684274414.pdf</w:t>
            </w:r>
          </w:p>
        </w:tc>
      </w:tr>
      <w:tr w14:paraId="35F2EE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110" w:type="dxa"/>
            <w:tcBorders>
              <w:tl2br w:val="nil"/>
              <w:tr2bl w:val="nil"/>
            </w:tcBorders>
            <w:vAlign w:val="center"/>
          </w:tcPr>
          <w:p w14:paraId="0D76C480">
            <w:pPr>
              <w:widowControl w:val="0"/>
              <w:jc w:val="center"/>
              <w:outlineLvl w:val="2"/>
              <w:rPr>
                <w:rFonts w:hint="eastAsia" w:ascii="宋体" w:hAnsi="宋体" w:eastAsia="宋体" w:cs="宋体"/>
                <w:b/>
                <w:bCs/>
                <w:sz w:val="21"/>
                <w:szCs w:val="21"/>
              </w:rPr>
            </w:pPr>
            <w:r>
              <w:rPr>
                <w:rFonts w:hint="eastAsia" w:ascii="宋体" w:hAnsi="宋体" w:eastAsia="宋体" w:cs="宋体"/>
                <w:b/>
                <w:bCs/>
                <w:sz w:val="21"/>
                <w:szCs w:val="21"/>
              </w:rPr>
              <w:t>附件3：</w:t>
            </w:r>
          </w:p>
        </w:tc>
        <w:tc>
          <w:tcPr>
            <w:tcW w:w="8575" w:type="dxa"/>
            <w:tcBorders>
              <w:tl2br w:val="nil"/>
              <w:tr2bl w:val="nil"/>
            </w:tcBorders>
            <w:vAlign w:val="center"/>
          </w:tcPr>
          <w:p w14:paraId="706EF1E9">
            <w:pPr>
              <w:widowControl w:val="0"/>
              <w:jc w:val="both"/>
              <w:outlineLvl w:val="2"/>
              <w:rPr>
                <w:rFonts w:hint="eastAsia" w:ascii="宋体" w:hAnsi="宋体" w:eastAsia="宋体" w:cs="宋体"/>
                <w:sz w:val="18"/>
                <w:szCs w:val="18"/>
              </w:rPr>
            </w:pPr>
            <w:r>
              <w:rPr>
                <w:rFonts w:hint="eastAsia" w:ascii="宋体" w:hAnsi="宋体" w:eastAsia="宋体" w:cs="宋体"/>
                <w:sz w:val="18"/>
                <w:szCs w:val="18"/>
              </w:rPr>
              <w:t>工业信息化部、国家统计局、国家发展和改革委员会、财政部《关于印发〈中小企业划型标准规定〉的通知》（工信部联企〔2011〕300 号）</w:t>
            </w:r>
          </w:p>
          <w:p w14:paraId="6412EEB3">
            <w:pPr>
              <w:widowControl w:val="0"/>
              <w:jc w:val="both"/>
              <w:outlineLvl w:val="2"/>
              <w:rPr>
                <w:rFonts w:hint="eastAsia" w:ascii="宋体" w:hAnsi="宋体" w:eastAsia="宋体" w:cs="宋体"/>
                <w:sz w:val="18"/>
                <w:szCs w:val="18"/>
              </w:rPr>
            </w:pPr>
            <w:r>
              <w:fldChar w:fldCharType="begin"/>
            </w:r>
            <w:r>
              <w:instrText xml:space="preserve"> HYPERLINK "https://www.mof.gov.cn/zhengwuxinxi/zhengcefabu/201107/t20110704_570692.htm" </w:instrText>
            </w:r>
            <w:r>
              <w:fldChar w:fldCharType="separate"/>
            </w:r>
            <w:r>
              <w:rPr>
                <w:rFonts w:hint="eastAsia" w:ascii="宋体" w:hAnsi="宋体" w:eastAsia="宋体" w:cs="宋体"/>
                <w:sz w:val="18"/>
                <w:szCs w:val="18"/>
              </w:rPr>
              <w:t>https://www.mof.gov.cn/zhengwuxinxi/zhengcefabu/201107/t20110704_570692.htm</w:t>
            </w:r>
            <w:r>
              <w:rPr>
                <w:rFonts w:hint="eastAsia" w:ascii="宋体" w:hAnsi="宋体" w:eastAsia="宋体" w:cs="宋体"/>
                <w:sz w:val="18"/>
                <w:szCs w:val="18"/>
              </w:rPr>
              <w:fldChar w:fldCharType="end"/>
            </w:r>
          </w:p>
        </w:tc>
      </w:tr>
      <w:tr w14:paraId="68E82C1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110" w:type="dxa"/>
            <w:tcBorders>
              <w:tl2br w:val="nil"/>
              <w:tr2bl w:val="nil"/>
            </w:tcBorders>
            <w:vAlign w:val="center"/>
          </w:tcPr>
          <w:p w14:paraId="7CDDA4A2">
            <w:pPr>
              <w:widowControl w:val="0"/>
              <w:jc w:val="center"/>
              <w:outlineLvl w:val="2"/>
              <w:rPr>
                <w:rFonts w:hint="eastAsia" w:ascii="宋体" w:hAnsi="宋体" w:eastAsia="宋体" w:cs="宋体"/>
                <w:b/>
                <w:bCs/>
                <w:sz w:val="21"/>
                <w:szCs w:val="21"/>
              </w:rPr>
            </w:pPr>
            <w:r>
              <w:rPr>
                <w:rFonts w:hint="eastAsia" w:ascii="宋体" w:hAnsi="宋体" w:eastAsia="宋体" w:cs="宋体"/>
                <w:b/>
                <w:bCs/>
                <w:sz w:val="21"/>
                <w:szCs w:val="21"/>
              </w:rPr>
              <w:t>附件4：</w:t>
            </w:r>
          </w:p>
        </w:tc>
        <w:tc>
          <w:tcPr>
            <w:tcW w:w="8575" w:type="dxa"/>
            <w:tcBorders>
              <w:tl2br w:val="nil"/>
              <w:tr2bl w:val="nil"/>
            </w:tcBorders>
            <w:vAlign w:val="center"/>
          </w:tcPr>
          <w:p w14:paraId="0B6B7B28">
            <w:pPr>
              <w:widowControl w:val="0"/>
              <w:jc w:val="left"/>
              <w:outlineLvl w:val="2"/>
              <w:rPr>
                <w:rFonts w:hint="eastAsia" w:ascii="宋体" w:hAnsi="宋体" w:eastAsia="宋体" w:cs="宋体"/>
                <w:sz w:val="18"/>
                <w:szCs w:val="18"/>
              </w:rPr>
            </w:pPr>
            <w:r>
              <w:rPr>
                <w:rFonts w:hint="eastAsia" w:ascii="宋体" w:hAnsi="宋体" w:eastAsia="宋体" w:cs="宋体"/>
                <w:sz w:val="18"/>
                <w:szCs w:val="18"/>
              </w:rPr>
              <w:t>国家统计局关于印发《统计上大中小微型企业划分办法（2017）》的通知（国统字〔2017〕213 号）</w:t>
            </w:r>
          </w:p>
          <w:p w14:paraId="7B864DDC">
            <w:pPr>
              <w:widowControl w:val="0"/>
              <w:jc w:val="both"/>
              <w:outlineLvl w:val="2"/>
              <w:rPr>
                <w:rFonts w:hint="eastAsia" w:ascii="宋体" w:hAnsi="宋体" w:eastAsia="宋体" w:cs="宋体"/>
                <w:sz w:val="18"/>
                <w:szCs w:val="18"/>
              </w:rPr>
            </w:pPr>
            <w:r>
              <w:fldChar w:fldCharType="begin"/>
            </w:r>
            <w:r>
              <w:instrText xml:space="preserve"> HYPERLINK "https://www.stats.gov.cn/xxgk/tjbz/gjtjbz/202008/t20200811_1782335.html" </w:instrText>
            </w:r>
            <w:r>
              <w:fldChar w:fldCharType="separate"/>
            </w:r>
            <w:r>
              <w:rPr>
                <w:rFonts w:hint="eastAsia" w:ascii="宋体" w:hAnsi="宋体" w:eastAsia="宋体" w:cs="宋体"/>
                <w:sz w:val="18"/>
                <w:szCs w:val="18"/>
              </w:rPr>
              <w:t>https://www.stats.gov.cn/xxgk/tjbz/gjtjbz/202008/t20200811_1782335.html</w:t>
            </w:r>
            <w:r>
              <w:rPr>
                <w:rFonts w:hint="eastAsia" w:ascii="宋体" w:hAnsi="宋体" w:eastAsia="宋体" w:cs="宋体"/>
                <w:sz w:val="18"/>
                <w:szCs w:val="18"/>
              </w:rPr>
              <w:fldChar w:fldCharType="end"/>
            </w:r>
          </w:p>
        </w:tc>
      </w:tr>
      <w:tr w14:paraId="359315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110" w:type="dxa"/>
            <w:tcBorders>
              <w:tl2br w:val="nil"/>
              <w:tr2bl w:val="nil"/>
            </w:tcBorders>
            <w:vAlign w:val="center"/>
          </w:tcPr>
          <w:p w14:paraId="66F5863A">
            <w:pPr>
              <w:widowControl w:val="0"/>
              <w:jc w:val="center"/>
              <w:outlineLvl w:val="2"/>
              <w:rPr>
                <w:rFonts w:hint="eastAsia" w:ascii="宋体" w:hAnsi="宋体" w:eastAsia="宋体" w:cs="宋体"/>
                <w:b/>
                <w:bCs/>
                <w:sz w:val="21"/>
                <w:szCs w:val="21"/>
              </w:rPr>
            </w:pPr>
            <w:r>
              <w:rPr>
                <w:rFonts w:hint="eastAsia" w:ascii="宋体" w:hAnsi="宋体" w:eastAsia="宋体" w:cs="宋体"/>
                <w:b/>
                <w:bCs/>
                <w:sz w:val="21"/>
                <w:szCs w:val="21"/>
              </w:rPr>
              <w:t>附件5：</w:t>
            </w:r>
          </w:p>
        </w:tc>
        <w:tc>
          <w:tcPr>
            <w:tcW w:w="8575" w:type="dxa"/>
            <w:tcBorders>
              <w:tl2br w:val="nil"/>
              <w:tr2bl w:val="nil"/>
            </w:tcBorders>
            <w:vAlign w:val="center"/>
          </w:tcPr>
          <w:p w14:paraId="20DD81AC">
            <w:pPr>
              <w:pStyle w:val="71"/>
              <w:widowControl w:val="0"/>
              <w:jc w:val="both"/>
              <w:rPr>
                <w:rFonts w:hint="eastAsia" w:ascii="宋体" w:hAnsi="宋体" w:eastAsia="宋体" w:cs="宋体"/>
                <w:bCs w:val="0"/>
                <w:sz w:val="18"/>
                <w:szCs w:val="18"/>
              </w:rPr>
            </w:pPr>
            <w:r>
              <w:rPr>
                <w:rFonts w:hint="eastAsia" w:ascii="宋体" w:hAnsi="宋体" w:eastAsia="宋体" w:cs="宋体"/>
                <w:bCs w:val="0"/>
                <w:sz w:val="18"/>
                <w:szCs w:val="18"/>
              </w:rPr>
              <w:t>财政部、民政部、中国残联《关于促进残疾人就业政府采购政策的通知》（财库〔2017〕141号）</w:t>
            </w:r>
          </w:p>
          <w:p w14:paraId="5BA209DE">
            <w:pPr>
              <w:pStyle w:val="71"/>
              <w:widowControl w:val="0"/>
              <w:jc w:val="both"/>
              <w:rPr>
                <w:rFonts w:hint="eastAsia" w:ascii="宋体" w:hAnsi="宋体" w:eastAsia="宋体" w:cs="宋体"/>
                <w:sz w:val="18"/>
                <w:szCs w:val="18"/>
              </w:rPr>
            </w:pPr>
            <w:r>
              <w:fldChar w:fldCharType="begin"/>
            </w:r>
            <w:r>
              <w:instrText xml:space="preserve"> HYPERLINK "https://gks.mof.gov.cn/ztztz/zhengfucaigouguanli/201709/t20170901_2689407.htm" </w:instrText>
            </w:r>
            <w:r>
              <w:fldChar w:fldCharType="separate"/>
            </w:r>
            <w:r>
              <w:rPr>
                <w:rStyle w:val="38"/>
                <w:rFonts w:hint="eastAsia" w:ascii="宋体" w:hAnsi="宋体" w:eastAsia="宋体" w:cs="宋体"/>
                <w:color w:val="auto"/>
                <w:sz w:val="18"/>
                <w:szCs w:val="18"/>
              </w:rPr>
              <w:t>https://gks.mof.gov.cn/ztztz/zhengfucaigouguanli/201709/t20170901_2689407.htm</w:t>
            </w:r>
            <w:r>
              <w:rPr>
                <w:rStyle w:val="38"/>
                <w:rFonts w:hint="eastAsia" w:ascii="宋体" w:hAnsi="宋体" w:eastAsia="宋体" w:cs="宋体"/>
                <w:color w:val="auto"/>
                <w:sz w:val="18"/>
                <w:szCs w:val="18"/>
              </w:rPr>
              <w:fldChar w:fldCharType="end"/>
            </w:r>
          </w:p>
        </w:tc>
      </w:tr>
      <w:tr w14:paraId="6B271A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110" w:type="dxa"/>
            <w:tcBorders>
              <w:tl2br w:val="nil"/>
              <w:tr2bl w:val="nil"/>
            </w:tcBorders>
            <w:vAlign w:val="center"/>
          </w:tcPr>
          <w:p w14:paraId="45FD5C51">
            <w:pPr>
              <w:widowControl w:val="0"/>
              <w:jc w:val="center"/>
              <w:outlineLvl w:val="2"/>
              <w:rPr>
                <w:rFonts w:hint="eastAsia" w:ascii="宋体" w:hAnsi="宋体" w:eastAsia="宋体" w:cs="宋体"/>
                <w:b/>
                <w:bCs/>
                <w:sz w:val="21"/>
                <w:szCs w:val="21"/>
              </w:rPr>
            </w:pPr>
            <w:r>
              <w:rPr>
                <w:rFonts w:hint="eastAsia" w:ascii="宋体" w:hAnsi="宋体" w:eastAsia="宋体" w:cs="宋体"/>
                <w:b/>
                <w:bCs/>
                <w:sz w:val="21"/>
                <w:szCs w:val="21"/>
              </w:rPr>
              <w:t>附件6：</w:t>
            </w:r>
          </w:p>
        </w:tc>
        <w:tc>
          <w:tcPr>
            <w:tcW w:w="8575" w:type="dxa"/>
            <w:tcBorders>
              <w:tl2br w:val="nil"/>
              <w:tr2bl w:val="nil"/>
            </w:tcBorders>
            <w:vAlign w:val="center"/>
          </w:tcPr>
          <w:p w14:paraId="25526226">
            <w:pPr>
              <w:pStyle w:val="71"/>
              <w:widowControl w:val="0"/>
              <w:jc w:val="both"/>
              <w:rPr>
                <w:rFonts w:hint="eastAsia" w:ascii="宋体" w:hAnsi="宋体" w:eastAsia="宋体" w:cs="宋体"/>
                <w:bCs w:val="0"/>
                <w:sz w:val="18"/>
                <w:szCs w:val="18"/>
              </w:rPr>
            </w:pPr>
            <w:r>
              <w:rPr>
                <w:rFonts w:hint="eastAsia" w:ascii="宋体" w:hAnsi="宋体" w:eastAsia="宋体" w:cs="宋体"/>
                <w:bCs w:val="0"/>
                <w:sz w:val="18"/>
                <w:szCs w:val="18"/>
              </w:rPr>
              <w:t>《财政部 司法部关于政府采购支持监狱企业发展有关问题的通知》（财库〔2014〕68号）</w:t>
            </w:r>
          </w:p>
          <w:p w14:paraId="23C16E11">
            <w:pPr>
              <w:pStyle w:val="71"/>
              <w:widowControl w:val="0"/>
              <w:jc w:val="both"/>
              <w:rPr>
                <w:rFonts w:hint="eastAsia" w:ascii="宋体" w:hAnsi="宋体" w:eastAsia="宋体" w:cs="宋体"/>
                <w:sz w:val="18"/>
                <w:szCs w:val="18"/>
              </w:rPr>
            </w:pPr>
            <w:r>
              <w:fldChar w:fldCharType="begin"/>
            </w:r>
            <w:r>
              <w:instrText xml:space="preserve"> HYPERLINK "https://gks.mof.gov.cn/ztztz/zhengfucaigouguanli/201406/t20140617_1100158.htm" </w:instrText>
            </w:r>
            <w:r>
              <w:fldChar w:fldCharType="separate"/>
            </w:r>
            <w:r>
              <w:rPr>
                <w:rStyle w:val="38"/>
                <w:rFonts w:hint="eastAsia" w:ascii="宋体" w:hAnsi="宋体" w:eastAsia="宋体" w:cs="宋体"/>
                <w:color w:val="auto"/>
                <w:sz w:val="18"/>
                <w:szCs w:val="18"/>
              </w:rPr>
              <w:t>https://gks.mof.gov.cn/ztztz/zhengfucaigouguanli/201406/t20140617_1100158.htm</w:t>
            </w:r>
            <w:r>
              <w:rPr>
                <w:rStyle w:val="38"/>
                <w:rFonts w:hint="eastAsia" w:ascii="宋体" w:hAnsi="宋体" w:eastAsia="宋体" w:cs="宋体"/>
                <w:color w:val="auto"/>
                <w:sz w:val="18"/>
                <w:szCs w:val="18"/>
              </w:rPr>
              <w:fldChar w:fldCharType="end"/>
            </w:r>
          </w:p>
        </w:tc>
      </w:tr>
      <w:tr w14:paraId="5EA040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110" w:type="dxa"/>
            <w:tcBorders>
              <w:tl2br w:val="nil"/>
              <w:tr2bl w:val="nil"/>
            </w:tcBorders>
            <w:vAlign w:val="center"/>
          </w:tcPr>
          <w:p w14:paraId="2BCC7A98">
            <w:pPr>
              <w:widowControl w:val="0"/>
              <w:jc w:val="center"/>
              <w:outlineLvl w:val="2"/>
              <w:rPr>
                <w:rFonts w:hint="eastAsia" w:ascii="宋体" w:hAnsi="宋体" w:eastAsia="宋体" w:cs="宋体"/>
                <w:b/>
                <w:bCs/>
                <w:sz w:val="21"/>
                <w:szCs w:val="21"/>
              </w:rPr>
            </w:pPr>
            <w:r>
              <w:rPr>
                <w:rFonts w:hint="eastAsia" w:ascii="宋体" w:hAnsi="宋体" w:eastAsia="宋体" w:cs="宋体"/>
                <w:b/>
                <w:bCs/>
                <w:sz w:val="21"/>
                <w:szCs w:val="21"/>
              </w:rPr>
              <w:t>附件7：</w:t>
            </w:r>
          </w:p>
        </w:tc>
        <w:tc>
          <w:tcPr>
            <w:tcW w:w="8575" w:type="dxa"/>
            <w:tcBorders>
              <w:tl2br w:val="nil"/>
              <w:tr2bl w:val="nil"/>
            </w:tcBorders>
            <w:vAlign w:val="center"/>
          </w:tcPr>
          <w:p w14:paraId="6620F508">
            <w:pPr>
              <w:pStyle w:val="71"/>
              <w:widowControl w:val="0"/>
              <w:jc w:val="both"/>
              <w:rPr>
                <w:rFonts w:hint="eastAsia" w:ascii="宋体" w:hAnsi="宋体" w:eastAsia="宋体" w:cs="宋体"/>
                <w:sz w:val="18"/>
                <w:szCs w:val="18"/>
              </w:rPr>
            </w:pPr>
            <w:r>
              <w:rPr>
                <w:rFonts w:hint="eastAsia" w:ascii="宋体" w:hAnsi="宋体" w:eastAsia="宋体" w:cs="宋体"/>
                <w:sz w:val="18"/>
                <w:szCs w:val="18"/>
              </w:rPr>
              <w:t>《深圳市财政局关于大力推广政府绿色采购有关事项的通知》（深财购〔2023〕49号）</w:t>
            </w:r>
          </w:p>
          <w:p w14:paraId="7FEFB0CB">
            <w:pPr>
              <w:pStyle w:val="71"/>
              <w:widowControl w:val="0"/>
              <w:jc w:val="both"/>
              <w:rPr>
                <w:rFonts w:hint="eastAsia" w:ascii="宋体" w:hAnsi="宋体" w:eastAsia="宋体" w:cs="宋体"/>
                <w:sz w:val="18"/>
                <w:szCs w:val="18"/>
              </w:rPr>
            </w:pPr>
            <w:r>
              <w:fldChar w:fldCharType="begin"/>
            </w:r>
            <w:r>
              <w:instrText xml:space="preserve"> HYPERLINK "http://zfcg.sz.gov.cn/xxgk_64152/zytz/content/post_11080756.html" </w:instrText>
            </w:r>
            <w:r>
              <w:fldChar w:fldCharType="separate"/>
            </w:r>
            <w:r>
              <w:rPr>
                <w:rStyle w:val="38"/>
                <w:rFonts w:hint="eastAsia" w:ascii="宋体" w:hAnsi="宋体" w:eastAsia="宋体" w:cs="宋体"/>
                <w:color w:val="auto"/>
                <w:sz w:val="18"/>
                <w:szCs w:val="18"/>
              </w:rPr>
              <w:t>http://zfcg.sz.gov.cn/xxgk_64152/zytz/content/post_11080756.html</w:t>
            </w:r>
            <w:r>
              <w:rPr>
                <w:rStyle w:val="38"/>
                <w:rFonts w:hint="eastAsia" w:ascii="宋体" w:hAnsi="宋体" w:eastAsia="宋体" w:cs="宋体"/>
                <w:color w:val="auto"/>
                <w:sz w:val="18"/>
                <w:szCs w:val="18"/>
              </w:rPr>
              <w:fldChar w:fldCharType="end"/>
            </w:r>
          </w:p>
        </w:tc>
      </w:tr>
      <w:tr w14:paraId="187D1A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110" w:type="dxa"/>
            <w:tcBorders>
              <w:tl2br w:val="nil"/>
              <w:tr2bl w:val="nil"/>
            </w:tcBorders>
            <w:vAlign w:val="center"/>
          </w:tcPr>
          <w:p w14:paraId="5452549A">
            <w:pPr>
              <w:widowControl w:val="0"/>
              <w:jc w:val="center"/>
              <w:outlineLvl w:val="2"/>
              <w:rPr>
                <w:rFonts w:hint="eastAsia" w:ascii="宋体" w:hAnsi="宋体" w:eastAsia="宋体" w:cs="宋体"/>
                <w:b/>
                <w:bCs/>
                <w:sz w:val="21"/>
                <w:szCs w:val="21"/>
              </w:rPr>
            </w:pPr>
            <w:r>
              <w:rPr>
                <w:rFonts w:hint="eastAsia" w:ascii="宋体" w:hAnsi="宋体" w:eastAsia="宋体" w:cs="宋体"/>
                <w:b/>
                <w:bCs/>
                <w:sz w:val="21"/>
                <w:szCs w:val="21"/>
              </w:rPr>
              <w:t>附件8：</w:t>
            </w:r>
          </w:p>
        </w:tc>
        <w:tc>
          <w:tcPr>
            <w:tcW w:w="8575" w:type="dxa"/>
            <w:tcBorders>
              <w:tl2br w:val="nil"/>
              <w:tr2bl w:val="nil"/>
            </w:tcBorders>
            <w:vAlign w:val="center"/>
          </w:tcPr>
          <w:p w14:paraId="62E47518">
            <w:pPr>
              <w:pStyle w:val="71"/>
              <w:widowControl w:val="0"/>
              <w:jc w:val="both"/>
              <w:rPr>
                <w:rFonts w:hint="eastAsia" w:ascii="宋体" w:hAnsi="宋体" w:eastAsia="宋体" w:cs="宋体"/>
                <w:sz w:val="18"/>
                <w:szCs w:val="18"/>
              </w:rPr>
            </w:pPr>
            <w:r>
              <w:rPr>
                <w:rFonts w:hint="eastAsia" w:ascii="宋体" w:hAnsi="宋体" w:eastAsia="宋体" w:cs="宋体"/>
                <w:sz w:val="18"/>
                <w:szCs w:val="18"/>
              </w:rPr>
              <w:t>《关于印发环境标志产品政府采购品目清单的通知》（财库〔2019〕18号）</w:t>
            </w:r>
          </w:p>
          <w:p w14:paraId="2981BE78">
            <w:pPr>
              <w:pStyle w:val="71"/>
              <w:widowControl w:val="0"/>
              <w:jc w:val="both"/>
              <w:rPr>
                <w:rFonts w:hint="eastAsia" w:ascii="宋体" w:hAnsi="宋体" w:eastAsia="宋体" w:cs="宋体"/>
                <w:sz w:val="18"/>
                <w:szCs w:val="18"/>
              </w:rPr>
            </w:pPr>
            <w:r>
              <w:fldChar w:fldCharType="begin"/>
            </w:r>
            <w:r>
              <w:instrText xml:space="preserve"> HYPERLINK "https://gks.mof.gov.cn/ztztz/zhengfucaigouguanli/201903/t20190329_3209183.htm" </w:instrText>
            </w:r>
            <w:r>
              <w:fldChar w:fldCharType="separate"/>
            </w:r>
            <w:r>
              <w:rPr>
                <w:rStyle w:val="38"/>
                <w:rFonts w:hint="eastAsia" w:ascii="宋体" w:hAnsi="宋体" w:eastAsia="宋体" w:cs="宋体"/>
                <w:color w:val="auto"/>
                <w:sz w:val="18"/>
                <w:szCs w:val="18"/>
              </w:rPr>
              <w:t>https://gks.mof.gov.cn/ztztz/zhengfucaigouguanli/201903/t20190329_3209183.htm</w:t>
            </w:r>
            <w:r>
              <w:rPr>
                <w:rStyle w:val="38"/>
                <w:rFonts w:hint="eastAsia" w:ascii="宋体" w:hAnsi="宋体" w:eastAsia="宋体" w:cs="宋体"/>
                <w:color w:val="auto"/>
                <w:sz w:val="18"/>
                <w:szCs w:val="18"/>
              </w:rPr>
              <w:fldChar w:fldCharType="end"/>
            </w:r>
          </w:p>
        </w:tc>
      </w:tr>
      <w:tr w14:paraId="1685C3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110" w:type="dxa"/>
            <w:tcBorders>
              <w:tl2br w:val="nil"/>
              <w:tr2bl w:val="nil"/>
            </w:tcBorders>
            <w:vAlign w:val="center"/>
          </w:tcPr>
          <w:p w14:paraId="3FA4CD5F">
            <w:pPr>
              <w:widowControl w:val="0"/>
              <w:jc w:val="center"/>
              <w:outlineLvl w:val="2"/>
              <w:rPr>
                <w:rFonts w:hint="eastAsia" w:ascii="宋体" w:hAnsi="宋体" w:eastAsia="宋体" w:cs="宋体"/>
                <w:b/>
                <w:bCs/>
                <w:sz w:val="21"/>
                <w:szCs w:val="21"/>
              </w:rPr>
            </w:pPr>
            <w:r>
              <w:rPr>
                <w:rFonts w:hint="eastAsia" w:ascii="宋体" w:hAnsi="宋体" w:eastAsia="宋体" w:cs="宋体"/>
                <w:b/>
                <w:bCs/>
                <w:sz w:val="21"/>
                <w:szCs w:val="21"/>
              </w:rPr>
              <w:t>附件9：</w:t>
            </w:r>
          </w:p>
        </w:tc>
        <w:tc>
          <w:tcPr>
            <w:tcW w:w="8575" w:type="dxa"/>
            <w:tcBorders>
              <w:tl2br w:val="nil"/>
              <w:tr2bl w:val="nil"/>
            </w:tcBorders>
            <w:vAlign w:val="center"/>
          </w:tcPr>
          <w:p w14:paraId="1E98220D">
            <w:pPr>
              <w:pStyle w:val="71"/>
              <w:widowControl w:val="0"/>
              <w:jc w:val="both"/>
              <w:rPr>
                <w:rFonts w:hint="eastAsia" w:ascii="宋体" w:hAnsi="宋体" w:eastAsia="宋体" w:cs="宋体"/>
                <w:sz w:val="18"/>
                <w:szCs w:val="18"/>
              </w:rPr>
            </w:pPr>
            <w:r>
              <w:rPr>
                <w:rFonts w:hint="eastAsia" w:ascii="宋体" w:hAnsi="宋体" w:eastAsia="宋体" w:cs="宋体"/>
                <w:sz w:val="18"/>
                <w:szCs w:val="18"/>
              </w:rPr>
              <w:t>《关于印发节能产品政府采购品目清单的通知》（财库〔2019〕19号）</w:t>
            </w:r>
          </w:p>
          <w:p w14:paraId="3448575B">
            <w:pPr>
              <w:pStyle w:val="71"/>
              <w:widowControl w:val="0"/>
              <w:jc w:val="both"/>
              <w:rPr>
                <w:rFonts w:hint="eastAsia" w:ascii="宋体" w:hAnsi="宋体" w:eastAsia="宋体" w:cs="宋体"/>
                <w:sz w:val="18"/>
                <w:szCs w:val="18"/>
              </w:rPr>
            </w:pPr>
            <w:r>
              <w:fldChar w:fldCharType="begin"/>
            </w:r>
            <w:r>
              <w:instrText xml:space="preserve"> HYPERLINK "https://gks.mof.gov.cn/ztztz/zhengfucaigouguanli/201904/t20190402_3211404.htm" </w:instrText>
            </w:r>
            <w:r>
              <w:fldChar w:fldCharType="separate"/>
            </w:r>
            <w:r>
              <w:rPr>
                <w:rStyle w:val="38"/>
                <w:rFonts w:hint="eastAsia" w:ascii="宋体" w:hAnsi="宋体" w:eastAsia="宋体" w:cs="宋体"/>
                <w:color w:val="auto"/>
                <w:sz w:val="18"/>
                <w:szCs w:val="18"/>
              </w:rPr>
              <w:t>https://gks.mof.gov.cn/ztztz/zhengfucaigouguanli/201904/t20190402_3211404.htm</w:t>
            </w:r>
            <w:r>
              <w:rPr>
                <w:rStyle w:val="38"/>
                <w:rFonts w:hint="eastAsia" w:ascii="宋体" w:hAnsi="宋体" w:eastAsia="宋体" w:cs="宋体"/>
                <w:color w:val="auto"/>
                <w:sz w:val="18"/>
                <w:szCs w:val="18"/>
              </w:rPr>
              <w:fldChar w:fldCharType="end"/>
            </w:r>
          </w:p>
        </w:tc>
      </w:tr>
      <w:tr w14:paraId="6DD869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110" w:type="dxa"/>
            <w:tcBorders>
              <w:tl2br w:val="nil"/>
              <w:tr2bl w:val="nil"/>
            </w:tcBorders>
            <w:vAlign w:val="center"/>
          </w:tcPr>
          <w:p w14:paraId="7AFBA067">
            <w:pPr>
              <w:widowControl w:val="0"/>
              <w:jc w:val="center"/>
              <w:outlineLvl w:val="2"/>
              <w:rPr>
                <w:rFonts w:hint="eastAsia" w:ascii="宋体" w:hAnsi="宋体" w:eastAsia="宋体" w:cs="宋体"/>
                <w:b/>
                <w:bCs/>
                <w:sz w:val="21"/>
                <w:szCs w:val="21"/>
              </w:rPr>
            </w:pPr>
            <w:r>
              <w:rPr>
                <w:rFonts w:hint="eastAsia" w:ascii="宋体" w:hAnsi="宋体" w:eastAsia="宋体" w:cs="宋体"/>
                <w:b/>
                <w:bCs/>
                <w:sz w:val="21"/>
                <w:szCs w:val="21"/>
              </w:rPr>
              <w:t>附件1</w:t>
            </w:r>
            <w:r>
              <w:rPr>
                <w:rFonts w:hint="eastAsia" w:ascii="宋体" w:hAnsi="宋体" w:eastAsia="宋体" w:cs="宋体"/>
                <w:b/>
                <w:bCs/>
                <w:sz w:val="21"/>
                <w:szCs w:val="21"/>
                <w:lang w:val="en-US" w:eastAsia="zh-CN"/>
              </w:rPr>
              <w:t>0</w:t>
            </w:r>
            <w:r>
              <w:rPr>
                <w:rFonts w:hint="eastAsia" w:ascii="宋体" w:hAnsi="宋体" w:eastAsia="宋体" w:cs="宋体"/>
                <w:b/>
                <w:bCs/>
                <w:sz w:val="21"/>
                <w:szCs w:val="21"/>
              </w:rPr>
              <w:t>：</w:t>
            </w:r>
          </w:p>
        </w:tc>
        <w:tc>
          <w:tcPr>
            <w:tcW w:w="8575" w:type="dxa"/>
            <w:tcBorders>
              <w:tl2br w:val="nil"/>
              <w:tr2bl w:val="nil"/>
            </w:tcBorders>
            <w:vAlign w:val="center"/>
          </w:tcPr>
          <w:p w14:paraId="57F4971F">
            <w:pPr>
              <w:pStyle w:val="71"/>
              <w:widowControl w:val="0"/>
              <w:jc w:val="both"/>
              <w:rPr>
                <w:rStyle w:val="38"/>
                <w:rFonts w:eastAsia="宋体"/>
                <w:color w:val="auto"/>
                <w:sz w:val="18"/>
                <w:szCs w:val="18"/>
              </w:rPr>
            </w:pPr>
            <w:r>
              <w:rPr>
                <w:rStyle w:val="38"/>
                <w:rFonts w:eastAsia="宋体"/>
                <w:color w:val="auto"/>
                <w:sz w:val="18"/>
                <w:szCs w:val="18"/>
              </w:rPr>
              <w:t>《国务院办公厅关于在政府采购中实施本国产品标准及相关政策的通知》（国办发〔2025〕34号）</w:t>
            </w:r>
          </w:p>
          <w:p w14:paraId="55F1BF3E">
            <w:pPr>
              <w:pStyle w:val="71"/>
              <w:widowControl w:val="0"/>
              <w:jc w:val="both"/>
            </w:pPr>
            <w:r>
              <w:rPr>
                <w:rStyle w:val="38"/>
                <w:rFonts w:hint="eastAsia" w:ascii="宋体" w:hAnsi="宋体" w:eastAsia="宋体" w:cs="宋体"/>
                <w:color w:val="auto"/>
                <w:sz w:val="18"/>
                <w:szCs w:val="18"/>
              </w:rPr>
              <w:t>https://www.ccgp.gov.cn/zcfg/gwywj/202510/t20251031_25607985.htm</w:t>
            </w:r>
          </w:p>
        </w:tc>
      </w:tr>
      <w:tr w14:paraId="7C5819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110" w:type="dxa"/>
            <w:tcBorders>
              <w:tl2br w:val="nil"/>
              <w:tr2bl w:val="nil"/>
            </w:tcBorders>
            <w:vAlign w:val="center"/>
          </w:tcPr>
          <w:p w14:paraId="3B8E03EE">
            <w:pPr>
              <w:widowControl w:val="0"/>
              <w:jc w:val="center"/>
              <w:outlineLvl w:val="2"/>
              <w:rPr>
                <w:rFonts w:hint="eastAsia" w:ascii="宋体" w:hAnsi="宋体" w:eastAsia="宋体" w:cs="宋体"/>
                <w:b/>
                <w:bCs/>
                <w:sz w:val="21"/>
                <w:szCs w:val="21"/>
              </w:rPr>
            </w:pPr>
            <w:r>
              <w:rPr>
                <w:rFonts w:hint="eastAsia" w:ascii="宋体" w:hAnsi="宋体" w:eastAsia="宋体" w:cs="宋体"/>
                <w:b/>
                <w:bCs/>
                <w:sz w:val="21"/>
                <w:szCs w:val="21"/>
              </w:rPr>
              <w:t>附件1</w:t>
            </w:r>
            <w:r>
              <w:rPr>
                <w:rFonts w:hint="eastAsia" w:ascii="宋体" w:hAnsi="宋体" w:eastAsia="宋体" w:cs="宋体"/>
                <w:b/>
                <w:bCs/>
                <w:sz w:val="21"/>
                <w:szCs w:val="21"/>
                <w:lang w:val="en-US" w:eastAsia="zh-CN"/>
              </w:rPr>
              <w:t>1</w:t>
            </w:r>
            <w:r>
              <w:rPr>
                <w:rFonts w:hint="eastAsia" w:ascii="宋体" w:hAnsi="宋体" w:eastAsia="宋体" w:cs="宋体"/>
                <w:b/>
                <w:bCs/>
                <w:sz w:val="21"/>
                <w:szCs w:val="21"/>
              </w:rPr>
              <w:t>：</w:t>
            </w:r>
          </w:p>
        </w:tc>
        <w:tc>
          <w:tcPr>
            <w:tcW w:w="8575" w:type="dxa"/>
            <w:tcBorders>
              <w:tl2br w:val="nil"/>
              <w:tr2bl w:val="nil"/>
            </w:tcBorders>
            <w:vAlign w:val="center"/>
          </w:tcPr>
          <w:p w14:paraId="726FBE21">
            <w:pPr>
              <w:pStyle w:val="71"/>
              <w:widowControl w:val="0"/>
              <w:jc w:val="both"/>
              <w:rPr>
                <w:rFonts w:hint="eastAsia" w:ascii="宋体" w:hAnsi="宋体" w:eastAsia="宋体" w:cs="宋体"/>
                <w:sz w:val="18"/>
                <w:szCs w:val="18"/>
              </w:rPr>
            </w:pPr>
            <w:r>
              <w:rPr>
                <w:rFonts w:hint="eastAsia" w:ascii="宋体" w:hAnsi="宋体" w:eastAsia="宋体" w:cs="宋体"/>
                <w:sz w:val="18"/>
                <w:szCs w:val="18"/>
              </w:rPr>
              <w:t>《关于贯彻落实&lt;国务院办公厅关于在政府采购中实施本国产品标准及相关政策的通知&gt;的意见》（财库〔2025〕30号）</w:t>
            </w:r>
          </w:p>
          <w:p w14:paraId="5ED0887F">
            <w:pPr>
              <w:pStyle w:val="71"/>
              <w:widowControl w:val="0"/>
              <w:jc w:val="both"/>
            </w:pPr>
            <w:r>
              <w:rPr>
                <w:rFonts w:hint="eastAsia" w:ascii="宋体" w:hAnsi="宋体" w:eastAsia="宋体" w:cs="宋体"/>
                <w:sz w:val="18"/>
                <w:szCs w:val="18"/>
              </w:rPr>
              <w:t>https://www.ccgp.gov.cn/zcfg/mof/202512/t20251219_25958481.htm</w:t>
            </w:r>
          </w:p>
        </w:tc>
      </w:tr>
      <w:tr w14:paraId="729851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110" w:type="dxa"/>
            <w:tcBorders>
              <w:tl2br w:val="nil"/>
              <w:tr2bl w:val="nil"/>
            </w:tcBorders>
            <w:vAlign w:val="center"/>
          </w:tcPr>
          <w:p w14:paraId="22C12D35">
            <w:pPr>
              <w:widowControl w:val="0"/>
              <w:jc w:val="center"/>
              <w:outlineLvl w:val="2"/>
              <w:rPr>
                <w:rFonts w:hint="eastAsia" w:ascii="宋体" w:hAnsi="宋体" w:eastAsia="宋体" w:cs="宋体"/>
                <w:b/>
                <w:bCs/>
                <w:sz w:val="21"/>
                <w:szCs w:val="21"/>
              </w:rPr>
            </w:pPr>
            <w:r>
              <w:rPr>
                <w:rFonts w:hint="eastAsia" w:ascii="宋体" w:hAnsi="宋体" w:eastAsia="宋体" w:cs="宋体"/>
                <w:b/>
                <w:bCs/>
                <w:sz w:val="21"/>
                <w:szCs w:val="21"/>
              </w:rPr>
              <w:t>附件1</w:t>
            </w:r>
            <w:r>
              <w:rPr>
                <w:rFonts w:hint="eastAsia" w:ascii="宋体" w:hAnsi="宋体" w:eastAsia="宋体" w:cs="宋体"/>
                <w:b/>
                <w:bCs/>
                <w:sz w:val="21"/>
                <w:szCs w:val="21"/>
                <w:lang w:val="en-US" w:eastAsia="zh-CN"/>
              </w:rPr>
              <w:t>2</w:t>
            </w:r>
            <w:r>
              <w:rPr>
                <w:rFonts w:hint="eastAsia" w:ascii="宋体" w:hAnsi="宋体" w:eastAsia="宋体" w:cs="宋体"/>
                <w:b/>
                <w:bCs/>
                <w:sz w:val="21"/>
                <w:szCs w:val="21"/>
              </w:rPr>
              <w:t>：</w:t>
            </w:r>
          </w:p>
        </w:tc>
        <w:tc>
          <w:tcPr>
            <w:tcW w:w="8575" w:type="dxa"/>
            <w:tcBorders>
              <w:tl2br w:val="nil"/>
              <w:tr2bl w:val="nil"/>
            </w:tcBorders>
            <w:vAlign w:val="center"/>
          </w:tcPr>
          <w:p w14:paraId="389E96C1">
            <w:pPr>
              <w:pStyle w:val="71"/>
              <w:widowControl w:val="0"/>
              <w:jc w:val="both"/>
            </w:pPr>
            <w:r>
              <w:rPr>
                <w:rFonts w:hint="eastAsia" w:ascii="宋体" w:hAnsi="宋体" w:eastAsia="宋体" w:cs="宋体"/>
                <w:sz w:val="18"/>
                <w:szCs w:val="18"/>
              </w:rPr>
              <w:t>《深圳市财政局关于贯彻落实政府采购本国产品标准及相关政策的通知》（深财购〔2025〕69号）https://www.sz.gov.cn/szzt2010/wgkzl/jcgk/jcygk/zdzcjc/content/post_12577673.html</w:t>
            </w:r>
          </w:p>
        </w:tc>
      </w:tr>
      <w:tr w14:paraId="6F75EF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110" w:type="dxa"/>
            <w:tcBorders>
              <w:tl2br w:val="nil"/>
              <w:tr2bl w:val="nil"/>
            </w:tcBorders>
            <w:vAlign w:val="center"/>
          </w:tcPr>
          <w:p w14:paraId="3C72233F">
            <w:pPr>
              <w:widowControl w:val="0"/>
              <w:jc w:val="center"/>
              <w:outlineLvl w:val="2"/>
              <w:rPr>
                <w:rFonts w:hint="eastAsia" w:ascii="宋体" w:hAnsi="宋体" w:eastAsia="宋体" w:cs="宋体"/>
                <w:b/>
                <w:bCs/>
                <w:sz w:val="21"/>
                <w:szCs w:val="21"/>
              </w:rPr>
            </w:pPr>
            <w:r>
              <w:rPr>
                <w:rFonts w:hint="eastAsia" w:ascii="宋体" w:hAnsi="宋体" w:eastAsia="宋体" w:cs="宋体"/>
                <w:b/>
                <w:bCs/>
                <w:sz w:val="21"/>
                <w:szCs w:val="21"/>
              </w:rPr>
              <w:t>附件1</w:t>
            </w:r>
            <w:r>
              <w:rPr>
                <w:rFonts w:hint="eastAsia" w:ascii="宋体" w:hAnsi="宋体" w:eastAsia="宋体" w:cs="宋体"/>
                <w:b/>
                <w:bCs/>
                <w:sz w:val="21"/>
                <w:szCs w:val="21"/>
                <w:lang w:val="en-US" w:eastAsia="zh-CN"/>
              </w:rPr>
              <w:t>3</w:t>
            </w:r>
            <w:r>
              <w:rPr>
                <w:rFonts w:hint="eastAsia" w:ascii="宋体" w:hAnsi="宋体" w:eastAsia="宋体" w:cs="宋体"/>
                <w:b/>
                <w:bCs/>
                <w:sz w:val="21"/>
                <w:szCs w:val="21"/>
              </w:rPr>
              <w:t>：</w:t>
            </w:r>
          </w:p>
        </w:tc>
        <w:tc>
          <w:tcPr>
            <w:tcW w:w="8575" w:type="dxa"/>
            <w:tcBorders>
              <w:tl2br w:val="nil"/>
              <w:tr2bl w:val="nil"/>
            </w:tcBorders>
            <w:vAlign w:val="center"/>
          </w:tcPr>
          <w:p w14:paraId="4A1D99BE">
            <w:pPr>
              <w:pStyle w:val="71"/>
              <w:widowControl w:val="0"/>
              <w:jc w:val="both"/>
              <w:rPr>
                <w:rFonts w:hint="eastAsia" w:ascii="宋体" w:hAnsi="宋体" w:eastAsia="宋体" w:cs="宋体"/>
                <w:sz w:val="18"/>
                <w:szCs w:val="18"/>
              </w:rPr>
            </w:pPr>
            <w:r>
              <w:rPr>
                <w:rFonts w:hint="eastAsia" w:ascii="宋体" w:hAnsi="宋体" w:eastAsia="宋体" w:cs="宋体"/>
                <w:sz w:val="18"/>
                <w:szCs w:val="18"/>
              </w:rPr>
              <w:t>《关于推动解决政府采购异常低价问题的通知》（财库〔2026〕2号）</w:t>
            </w:r>
          </w:p>
          <w:p w14:paraId="51A8714B">
            <w:pPr>
              <w:pStyle w:val="71"/>
              <w:widowControl w:val="0"/>
              <w:jc w:val="both"/>
            </w:pPr>
            <w:r>
              <w:rPr>
                <w:rFonts w:hint="eastAsia" w:ascii="宋体" w:hAnsi="宋体" w:eastAsia="宋体" w:cs="宋体"/>
                <w:sz w:val="18"/>
                <w:szCs w:val="18"/>
              </w:rPr>
              <w:t>https://gks.mof.gov.cn/guizhangzhidu/202601/t20260121_3982332.htm</w:t>
            </w:r>
          </w:p>
        </w:tc>
      </w:tr>
    </w:tbl>
    <w:p w14:paraId="45EC2B8B"/>
    <w:sectPr>
      <w:headerReference r:id="rId3" w:type="default"/>
      <w:footerReference r:id="rId4" w:type="default"/>
      <w:pgSz w:w="11906" w:h="16838"/>
      <w:pgMar w:top="1440" w:right="1587" w:bottom="1440" w:left="1587" w:header="720" w:footer="720" w:gutter="0"/>
      <w:pgBorders>
        <w:top w:val="none" w:sz="0" w:space="0"/>
        <w:left w:val="none" w:sz="0" w:space="0"/>
        <w:bottom w:val="none" w:sz="0" w:space="0"/>
        <w:right w:val="none" w:sz="0" w:space="0"/>
      </w:pgBorders>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Arial"/>
    <w:panose1 w:val="00000000000000000000"/>
    <w:charset w:val="00"/>
    <w:family w:val="auto"/>
    <w:pitch w:val="default"/>
    <w:sig w:usb0="00000000" w:usb1="00000000" w:usb2="00000000" w:usb3="00000000" w:csb0="00040001" w:csb1="00000000"/>
  </w:font>
  <w:font w:name="H Yb 2gj">
    <w:altName w:val="黑体"/>
    <w:panose1 w:val="00000000000000000000"/>
    <w:charset w:val="86"/>
    <w:family w:val="auto"/>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Microsoft YaHei UI">
    <w:panose1 w:val="020B0503020204020204"/>
    <w:charset w:val="86"/>
    <w:family w:val="swiss"/>
    <w:pitch w:val="default"/>
    <w:sig w:usb0="80000287" w:usb1="2ACF3C50" w:usb2="00000016" w:usb3="00000000" w:csb0="0004001F" w:csb1="0000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00000000" w:usb1="00000000" w:usb2="0000007F" w:usb3="00000000" w:csb0="203F01FF" w:csb1="DFFF0000"/>
  </w:font>
  <w:font w:name="仿宋_GB2312">
    <w:altName w:val="仿宋"/>
    <w:panose1 w:val="00000000000000000000"/>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Segoe UI Emoji">
    <w:panose1 w:val="020B0502040204020203"/>
    <w:charset w:val="00"/>
    <w:family w:val="swiss"/>
    <w:pitch w:val="default"/>
    <w:sig w:usb0="00000001" w:usb1="02000000" w:usb2="08000000" w:usb3="00000000" w:csb0="0000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21559B">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77825" cy="147955"/>
              <wp:effectExtent l="0" t="0" r="0" b="0"/>
              <wp:wrapNone/>
              <wp:docPr id="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377825" cy="147955"/>
                      </a:xfrm>
                      <a:prstGeom prst="rect">
                        <a:avLst/>
                      </a:prstGeom>
                      <a:noFill/>
                      <a:ln>
                        <a:noFill/>
                      </a:ln>
                    </wps:spPr>
                    <wps:txbx>
                      <w:txbxContent>
                        <w:p w14:paraId="14A392DC">
                          <w:pPr>
                            <w:pStyle w:val="17"/>
                          </w:pPr>
                          <w:r>
                            <w:t xml:space="preserve">第 </w:t>
                          </w:r>
                          <w:r>
                            <w:fldChar w:fldCharType="begin"/>
                          </w:r>
                          <w:r>
                            <w:instrText xml:space="preserve"> PAGE  \* MERGEFORMAT </w:instrText>
                          </w:r>
                          <w:r>
                            <w:fldChar w:fldCharType="separate"/>
                          </w:r>
                          <w:r>
                            <w:t>34</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1.65pt;width:29.75pt;mso-position-horizontal:center;mso-position-horizontal-relative:margin;mso-wrap-style:none;z-index:251659264;mso-width-relative:page;mso-height-relative:page;" filled="f" stroked="f" coordsize="21600,21600" o:gfxdata="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4lElONIAAAADAQAADwAAAAAAAAABACAAAAAiAAAAZHJz&#10;L2Rvd25yZXYueG1sUEsBAhQAFAAAAAgAh07iQGQBW80KAgAAAgQAAA4AAAAAAAAAAQAgAAAAIQEA&#10;AGRycy9lMm9Eb2MueG1sUEsFBgAAAAAGAAYAWQEAAJ0FAAAAAA==&#10;">
              <v:fill on="f" focussize="0,0"/>
              <v:stroke on="f"/>
              <v:imagedata o:title=""/>
              <o:lock v:ext="edit" aspectratio="f"/>
              <v:textbox inset="0mm,0mm,0mm,0mm" style="mso-fit-shape-to-text:t;">
                <w:txbxContent>
                  <w:p w14:paraId="14A392DC">
                    <w:pPr>
                      <w:pStyle w:val="17"/>
                    </w:pPr>
                    <w:r>
                      <w:t xml:space="preserve">第 </w:t>
                    </w:r>
                    <w:r>
                      <w:fldChar w:fldCharType="begin"/>
                    </w:r>
                    <w:r>
                      <w:instrText xml:space="preserve"> PAGE  \* MERGEFORMAT </w:instrText>
                    </w:r>
                    <w:r>
                      <w:fldChar w:fldCharType="separate"/>
                    </w:r>
                    <w:r>
                      <w:t>34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067F3">
    <w:pPr>
      <w:pStyle w:val="1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C92DED"/>
    <w:multiLevelType w:val="multilevel"/>
    <w:tmpl w:val="22C92DED"/>
    <w:lvl w:ilvl="0" w:tentative="0">
      <w:start w:val="1"/>
      <w:numFmt w:val="japaneseCounting"/>
      <w:lvlText w:val="%1、"/>
      <w:lvlJc w:val="left"/>
      <w:pPr>
        <w:ind w:left="945" w:hanging="480"/>
      </w:pPr>
      <w:rPr>
        <w:rFonts w:hint="default"/>
      </w:rPr>
    </w:lvl>
    <w:lvl w:ilvl="1" w:tentative="0">
      <w:start w:val="1"/>
      <w:numFmt w:val="lowerLetter"/>
      <w:lvlText w:val="%2)"/>
      <w:lvlJc w:val="left"/>
      <w:pPr>
        <w:ind w:left="1305" w:hanging="420"/>
      </w:pPr>
    </w:lvl>
    <w:lvl w:ilvl="2" w:tentative="0">
      <w:start w:val="1"/>
      <w:numFmt w:val="lowerRoman"/>
      <w:lvlText w:val="%3."/>
      <w:lvlJc w:val="right"/>
      <w:pPr>
        <w:ind w:left="1725" w:hanging="420"/>
      </w:pPr>
    </w:lvl>
    <w:lvl w:ilvl="3" w:tentative="0">
      <w:start w:val="1"/>
      <w:numFmt w:val="decimal"/>
      <w:lvlText w:val="%4."/>
      <w:lvlJc w:val="left"/>
      <w:pPr>
        <w:ind w:left="2145" w:hanging="420"/>
      </w:pPr>
    </w:lvl>
    <w:lvl w:ilvl="4" w:tentative="0">
      <w:start w:val="1"/>
      <w:numFmt w:val="lowerLetter"/>
      <w:lvlText w:val="%5)"/>
      <w:lvlJc w:val="left"/>
      <w:pPr>
        <w:ind w:left="2565" w:hanging="420"/>
      </w:pPr>
    </w:lvl>
    <w:lvl w:ilvl="5" w:tentative="0">
      <w:start w:val="1"/>
      <w:numFmt w:val="lowerRoman"/>
      <w:lvlText w:val="%6."/>
      <w:lvlJc w:val="right"/>
      <w:pPr>
        <w:ind w:left="2985" w:hanging="420"/>
      </w:pPr>
    </w:lvl>
    <w:lvl w:ilvl="6" w:tentative="0">
      <w:start w:val="1"/>
      <w:numFmt w:val="decimal"/>
      <w:lvlText w:val="%7."/>
      <w:lvlJc w:val="left"/>
      <w:pPr>
        <w:ind w:left="3405" w:hanging="420"/>
      </w:pPr>
    </w:lvl>
    <w:lvl w:ilvl="7" w:tentative="0">
      <w:start w:val="1"/>
      <w:numFmt w:val="lowerLetter"/>
      <w:lvlText w:val="%8)"/>
      <w:lvlJc w:val="left"/>
      <w:pPr>
        <w:ind w:left="3825" w:hanging="420"/>
      </w:pPr>
    </w:lvl>
    <w:lvl w:ilvl="8" w:tentative="0">
      <w:start w:val="1"/>
      <w:numFmt w:val="lowerRoman"/>
      <w:lvlText w:val="%9."/>
      <w:lvlJc w:val="right"/>
      <w:pPr>
        <w:ind w:left="4245"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bordersDoNotSurroundHeader w:val="0"/>
  <w:bordersDoNotSurroundFooter w:val="0"/>
  <w:hideSpellingErrors/>
  <w:trackRevisions w:val="1"/>
  <w:documentProtection w:enforcement="0"/>
  <w:defaultTabStop w:val="720"/>
  <w:drawingGridHorizontalSpacing w:val="120"/>
  <w:drawingGridVerticalSpacing w:val="163"/>
  <w:displayHorizontalDrawingGridEvery w:val="1"/>
  <w:displayVerticalDrawingGridEvery w:val="1"/>
  <w:noPunctuationKerning w:val="1"/>
  <w:characterSpacingControl w:val="doNotCompress"/>
  <w:noLineBreaksAfter w:lang="zh-CN" w:val="([{·‘“〈《「『【〔〖（．［｛￡￥"/>
  <w:noLineBreaksBefore w:lang="zh-CN" w:val="!),.:;?]}¨·ˇˉ―‖’”…∶、。〃々〉》」』】〕〗！＂＇），．：；？］｀｜｝～￠"/>
  <w:compat>
    <w:spaceForUL/>
    <w:balanceSingleByteDoubleByteWidth/>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2sDQ2NrS0MDQ2MzQyNDFQ0lEKTi0uzszPAykwrQUAEYnWdiwAAAA="/>
    <w:docVar w:name="commondata" w:val="eyJoZGlkIjoiNmRhYzAwMzM4Yzg0MWQ3NGYxZThlNzgwMjQ2OWZlNGUifQ=="/>
    <w:docVar w:name="KSO_WPS_MARK_KEY" w:val="5baf2180-7ac1-4ec8-9d50-47ec86e2a009"/>
  </w:docVars>
  <w:rsids>
    <w:rsidRoot w:val="00D5072D"/>
    <w:rsid w:val="000B2CC8"/>
    <w:rsid w:val="000B4526"/>
    <w:rsid w:val="000D1F88"/>
    <w:rsid w:val="001168CF"/>
    <w:rsid w:val="00163366"/>
    <w:rsid w:val="00177BAF"/>
    <w:rsid w:val="001B5BBA"/>
    <w:rsid w:val="00223550"/>
    <w:rsid w:val="00290A6E"/>
    <w:rsid w:val="002C1CC8"/>
    <w:rsid w:val="002D68D4"/>
    <w:rsid w:val="002E17F9"/>
    <w:rsid w:val="002F4966"/>
    <w:rsid w:val="00311EBA"/>
    <w:rsid w:val="00341F16"/>
    <w:rsid w:val="003720A2"/>
    <w:rsid w:val="003B23DB"/>
    <w:rsid w:val="003C126D"/>
    <w:rsid w:val="00456575"/>
    <w:rsid w:val="004C06E4"/>
    <w:rsid w:val="004F0A67"/>
    <w:rsid w:val="004F71D3"/>
    <w:rsid w:val="00542214"/>
    <w:rsid w:val="00561BE0"/>
    <w:rsid w:val="00592F0E"/>
    <w:rsid w:val="005E17B7"/>
    <w:rsid w:val="005E4AE5"/>
    <w:rsid w:val="005E7688"/>
    <w:rsid w:val="00630EDB"/>
    <w:rsid w:val="0064734D"/>
    <w:rsid w:val="00683753"/>
    <w:rsid w:val="006A25B4"/>
    <w:rsid w:val="006E2F6C"/>
    <w:rsid w:val="006E4A62"/>
    <w:rsid w:val="00741E47"/>
    <w:rsid w:val="0077584F"/>
    <w:rsid w:val="007852E2"/>
    <w:rsid w:val="007856FA"/>
    <w:rsid w:val="00792D1D"/>
    <w:rsid w:val="007B3F24"/>
    <w:rsid w:val="007C0333"/>
    <w:rsid w:val="00816B2C"/>
    <w:rsid w:val="008431A2"/>
    <w:rsid w:val="00862061"/>
    <w:rsid w:val="00863BCE"/>
    <w:rsid w:val="00866538"/>
    <w:rsid w:val="00887E06"/>
    <w:rsid w:val="008C4CBD"/>
    <w:rsid w:val="008D2756"/>
    <w:rsid w:val="008E0AB2"/>
    <w:rsid w:val="00907EB6"/>
    <w:rsid w:val="009522B3"/>
    <w:rsid w:val="00957A91"/>
    <w:rsid w:val="009863F6"/>
    <w:rsid w:val="009B1031"/>
    <w:rsid w:val="009C1561"/>
    <w:rsid w:val="009C29B4"/>
    <w:rsid w:val="009E07A2"/>
    <w:rsid w:val="00A366BC"/>
    <w:rsid w:val="00A52059"/>
    <w:rsid w:val="00AA4647"/>
    <w:rsid w:val="00AC368B"/>
    <w:rsid w:val="00AE19A4"/>
    <w:rsid w:val="00AE5308"/>
    <w:rsid w:val="00B01292"/>
    <w:rsid w:val="00B10A0F"/>
    <w:rsid w:val="00B267F8"/>
    <w:rsid w:val="00B609B0"/>
    <w:rsid w:val="00B7302A"/>
    <w:rsid w:val="00B775A0"/>
    <w:rsid w:val="00B8344D"/>
    <w:rsid w:val="00BD0C5D"/>
    <w:rsid w:val="00C05CEE"/>
    <w:rsid w:val="00C12353"/>
    <w:rsid w:val="00C327C5"/>
    <w:rsid w:val="00C34AED"/>
    <w:rsid w:val="00C94875"/>
    <w:rsid w:val="00D068FB"/>
    <w:rsid w:val="00D13831"/>
    <w:rsid w:val="00D249C2"/>
    <w:rsid w:val="00D5072D"/>
    <w:rsid w:val="00DA4CCA"/>
    <w:rsid w:val="00DC77F0"/>
    <w:rsid w:val="00E06DF4"/>
    <w:rsid w:val="00E36924"/>
    <w:rsid w:val="00E50B73"/>
    <w:rsid w:val="00E52AC0"/>
    <w:rsid w:val="00E52D11"/>
    <w:rsid w:val="00EE0E71"/>
    <w:rsid w:val="00EE0F63"/>
    <w:rsid w:val="00EE1185"/>
    <w:rsid w:val="00F043F0"/>
    <w:rsid w:val="00F44710"/>
    <w:rsid w:val="00F726C9"/>
    <w:rsid w:val="00F97298"/>
    <w:rsid w:val="00FB62F5"/>
    <w:rsid w:val="00FC4D9D"/>
    <w:rsid w:val="00FE7311"/>
    <w:rsid w:val="012A0989"/>
    <w:rsid w:val="015226B3"/>
    <w:rsid w:val="016320EC"/>
    <w:rsid w:val="01642258"/>
    <w:rsid w:val="018C753B"/>
    <w:rsid w:val="018D3506"/>
    <w:rsid w:val="018D4066"/>
    <w:rsid w:val="01987FE8"/>
    <w:rsid w:val="01DF79C5"/>
    <w:rsid w:val="02111B48"/>
    <w:rsid w:val="026305F6"/>
    <w:rsid w:val="026C7207"/>
    <w:rsid w:val="02C0622E"/>
    <w:rsid w:val="02C31BCD"/>
    <w:rsid w:val="02ED72BD"/>
    <w:rsid w:val="03031491"/>
    <w:rsid w:val="032340C5"/>
    <w:rsid w:val="033539F3"/>
    <w:rsid w:val="034C32B5"/>
    <w:rsid w:val="038F71C9"/>
    <w:rsid w:val="03A64862"/>
    <w:rsid w:val="03B2751E"/>
    <w:rsid w:val="03CC5D27"/>
    <w:rsid w:val="04660D78"/>
    <w:rsid w:val="04921EC5"/>
    <w:rsid w:val="04B45C0B"/>
    <w:rsid w:val="04E35A1E"/>
    <w:rsid w:val="04EE6171"/>
    <w:rsid w:val="04FC088E"/>
    <w:rsid w:val="050B0AD1"/>
    <w:rsid w:val="0511165B"/>
    <w:rsid w:val="059E1945"/>
    <w:rsid w:val="05DD6BBB"/>
    <w:rsid w:val="0600615C"/>
    <w:rsid w:val="060F639F"/>
    <w:rsid w:val="06110369"/>
    <w:rsid w:val="06907FB4"/>
    <w:rsid w:val="069114AA"/>
    <w:rsid w:val="06A515D9"/>
    <w:rsid w:val="06C4362D"/>
    <w:rsid w:val="06EF6453"/>
    <w:rsid w:val="07097292"/>
    <w:rsid w:val="073836D3"/>
    <w:rsid w:val="075E1D46"/>
    <w:rsid w:val="07666493"/>
    <w:rsid w:val="07704DFD"/>
    <w:rsid w:val="07C02047"/>
    <w:rsid w:val="08000695"/>
    <w:rsid w:val="086D2390"/>
    <w:rsid w:val="08A2174C"/>
    <w:rsid w:val="08D51B22"/>
    <w:rsid w:val="08E54928"/>
    <w:rsid w:val="0963712E"/>
    <w:rsid w:val="09851086"/>
    <w:rsid w:val="098F7B91"/>
    <w:rsid w:val="09903C9B"/>
    <w:rsid w:val="09EE2EE4"/>
    <w:rsid w:val="0A6F565E"/>
    <w:rsid w:val="0A747118"/>
    <w:rsid w:val="0A93759F"/>
    <w:rsid w:val="0AE93662"/>
    <w:rsid w:val="0B2E376B"/>
    <w:rsid w:val="0B633AD9"/>
    <w:rsid w:val="0B64718D"/>
    <w:rsid w:val="0BA466FE"/>
    <w:rsid w:val="0BDA6161"/>
    <w:rsid w:val="0BE0224F"/>
    <w:rsid w:val="0C135FFE"/>
    <w:rsid w:val="0C412CE6"/>
    <w:rsid w:val="0C774C9E"/>
    <w:rsid w:val="0CE9794A"/>
    <w:rsid w:val="0CEF0CD8"/>
    <w:rsid w:val="0D197B03"/>
    <w:rsid w:val="0D411534"/>
    <w:rsid w:val="0E7019A5"/>
    <w:rsid w:val="0EAC110D"/>
    <w:rsid w:val="0EAC16E8"/>
    <w:rsid w:val="0ECE329B"/>
    <w:rsid w:val="0F587009"/>
    <w:rsid w:val="0F6E4252"/>
    <w:rsid w:val="0F87122A"/>
    <w:rsid w:val="0F890A60"/>
    <w:rsid w:val="0F8E2118"/>
    <w:rsid w:val="0FCB77DB"/>
    <w:rsid w:val="0FF30ADF"/>
    <w:rsid w:val="101822F4"/>
    <w:rsid w:val="10744B0C"/>
    <w:rsid w:val="107B2FAF"/>
    <w:rsid w:val="10AB4F16"/>
    <w:rsid w:val="10B62239"/>
    <w:rsid w:val="10C00F74"/>
    <w:rsid w:val="10DD5A17"/>
    <w:rsid w:val="10F71C4D"/>
    <w:rsid w:val="11020AD4"/>
    <w:rsid w:val="1102722C"/>
    <w:rsid w:val="114535BD"/>
    <w:rsid w:val="11B702B9"/>
    <w:rsid w:val="11E84674"/>
    <w:rsid w:val="123833E2"/>
    <w:rsid w:val="12383795"/>
    <w:rsid w:val="126711AC"/>
    <w:rsid w:val="12B207DE"/>
    <w:rsid w:val="12B74046"/>
    <w:rsid w:val="12ED3B3F"/>
    <w:rsid w:val="132D4308"/>
    <w:rsid w:val="134C3FB3"/>
    <w:rsid w:val="134E49AB"/>
    <w:rsid w:val="1383636E"/>
    <w:rsid w:val="13BC4D00"/>
    <w:rsid w:val="13C0517C"/>
    <w:rsid w:val="13E76BAD"/>
    <w:rsid w:val="13EA539B"/>
    <w:rsid w:val="13F144B2"/>
    <w:rsid w:val="1404150D"/>
    <w:rsid w:val="14874690"/>
    <w:rsid w:val="1497412F"/>
    <w:rsid w:val="14AB1D4D"/>
    <w:rsid w:val="155910C9"/>
    <w:rsid w:val="15AE1730"/>
    <w:rsid w:val="15BB5BFB"/>
    <w:rsid w:val="15C727F2"/>
    <w:rsid w:val="15FC769C"/>
    <w:rsid w:val="160E0421"/>
    <w:rsid w:val="16AB3EC2"/>
    <w:rsid w:val="172E6F79"/>
    <w:rsid w:val="17322913"/>
    <w:rsid w:val="17606A5A"/>
    <w:rsid w:val="176C6F9C"/>
    <w:rsid w:val="17A34B99"/>
    <w:rsid w:val="185F31B6"/>
    <w:rsid w:val="185F6D12"/>
    <w:rsid w:val="18AA2E33"/>
    <w:rsid w:val="18EA6F23"/>
    <w:rsid w:val="19202945"/>
    <w:rsid w:val="194B373A"/>
    <w:rsid w:val="195C5947"/>
    <w:rsid w:val="1983012E"/>
    <w:rsid w:val="19932D33"/>
    <w:rsid w:val="1997072D"/>
    <w:rsid w:val="19A52E4A"/>
    <w:rsid w:val="19E27BFB"/>
    <w:rsid w:val="1B59213E"/>
    <w:rsid w:val="1B6A60FA"/>
    <w:rsid w:val="1B7900EB"/>
    <w:rsid w:val="1BAF28E8"/>
    <w:rsid w:val="1BD21EF1"/>
    <w:rsid w:val="1BD9327F"/>
    <w:rsid w:val="1BF73705"/>
    <w:rsid w:val="1C346708"/>
    <w:rsid w:val="1C41471F"/>
    <w:rsid w:val="1CC771BA"/>
    <w:rsid w:val="1D4A1627"/>
    <w:rsid w:val="1D8A11AB"/>
    <w:rsid w:val="1D8D47D9"/>
    <w:rsid w:val="1D920BFF"/>
    <w:rsid w:val="1D9264D1"/>
    <w:rsid w:val="1DAD53ED"/>
    <w:rsid w:val="1DB55626"/>
    <w:rsid w:val="1DBE0372"/>
    <w:rsid w:val="1DBE442F"/>
    <w:rsid w:val="1E0B5406"/>
    <w:rsid w:val="1E94348E"/>
    <w:rsid w:val="1ED01A9E"/>
    <w:rsid w:val="1F443106"/>
    <w:rsid w:val="1F555ECE"/>
    <w:rsid w:val="1F680BA2"/>
    <w:rsid w:val="1FC35DD8"/>
    <w:rsid w:val="1FCC7C5F"/>
    <w:rsid w:val="1FE43FA1"/>
    <w:rsid w:val="200A20F3"/>
    <w:rsid w:val="207B4EEC"/>
    <w:rsid w:val="20B16579"/>
    <w:rsid w:val="20D10651"/>
    <w:rsid w:val="211E2596"/>
    <w:rsid w:val="2165412B"/>
    <w:rsid w:val="21863561"/>
    <w:rsid w:val="21CA5B44"/>
    <w:rsid w:val="21D544E9"/>
    <w:rsid w:val="21DD4C64"/>
    <w:rsid w:val="220F4A09"/>
    <w:rsid w:val="2229540F"/>
    <w:rsid w:val="2259039B"/>
    <w:rsid w:val="22806737"/>
    <w:rsid w:val="231066A0"/>
    <w:rsid w:val="233242A4"/>
    <w:rsid w:val="234A3E8D"/>
    <w:rsid w:val="234A74F6"/>
    <w:rsid w:val="239F6B5C"/>
    <w:rsid w:val="2455546D"/>
    <w:rsid w:val="24585209"/>
    <w:rsid w:val="246102B6"/>
    <w:rsid w:val="248A5117"/>
    <w:rsid w:val="24A07183"/>
    <w:rsid w:val="24B712F6"/>
    <w:rsid w:val="24DE5462"/>
    <w:rsid w:val="25021151"/>
    <w:rsid w:val="258B7398"/>
    <w:rsid w:val="258E6FCF"/>
    <w:rsid w:val="25AC5561"/>
    <w:rsid w:val="25B81B67"/>
    <w:rsid w:val="25BC1C48"/>
    <w:rsid w:val="25CD79B1"/>
    <w:rsid w:val="26393298"/>
    <w:rsid w:val="26BB5A5B"/>
    <w:rsid w:val="26FC7E22"/>
    <w:rsid w:val="27012636"/>
    <w:rsid w:val="27051CAA"/>
    <w:rsid w:val="27574379"/>
    <w:rsid w:val="276278F2"/>
    <w:rsid w:val="277E27EF"/>
    <w:rsid w:val="279D4FC0"/>
    <w:rsid w:val="27C70430"/>
    <w:rsid w:val="27EA5B35"/>
    <w:rsid w:val="28D61D25"/>
    <w:rsid w:val="28D87BAA"/>
    <w:rsid w:val="28DF17A9"/>
    <w:rsid w:val="28E53263"/>
    <w:rsid w:val="291678C1"/>
    <w:rsid w:val="295875E2"/>
    <w:rsid w:val="295B2867"/>
    <w:rsid w:val="296435BF"/>
    <w:rsid w:val="297F5466"/>
    <w:rsid w:val="298E64D0"/>
    <w:rsid w:val="299E3412"/>
    <w:rsid w:val="29AF6F23"/>
    <w:rsid w:val="29DD610F"/>
    <w:rsid w:val="2A021BF3"/>
    <w:rsid w:val="2A1A6F3D"/>
    <w:rsid w:val="2A2878AC"/>
    <w:rsid w:val="2A5E2CB6"/>
    <w:rsid w:val="2A8D5961"/>
    <w:rsid w:val="2AC51DAE"/>
    <w:rsid w:val="2ADC0696"/>
    <w:rsid w:val="2B1166EC"/>
    <w:rsid w:val="2B204A27"/>
    <w:rsid w:val="2B277B63"/>
    <w:rsid w:val="2B522706"/>
    <w:rsid w:val="2B573DC6"/>
    <w:rsid w:val="2B6F5066"/>
    <w:rsid w:val="2B85488A"/>
    <w:rsid w:val="2B9B07B1"/>
    <w:rsid w:val="2BC03B14"/>
    <w:rsid w:val="2BC77676"/>
    <w:rsid w:val="2BE71398"/>
    <w:rsid w:val="2BF13CCD"/>
    <w:rsid w:val="2BF57C61"/>
    <w:rsid w:val="2BFF63EA"/>
    <w:rsid w:val="2C0A2D75"/>
    <w:rsid w:val="2C32534B"/>
    <w:rsid w:val="2C66290D"/>
    <w:rsid w:val="2C9A6113"/>
    <w:rsid w:val="2CCB2762"/>
    <w:rsid w:val="2D6D7CCB"/>
    <w:rsid w:val="2D6F73FF"/>
    <w:rsid w:val="2E156399"/>
    <w:rsid w:val="2E1F45B4"/>
    <w:rsid w:val="2E2A1718"/>
    <w:rsid w:val="2E3C1B78"/>
    <w:rsid w:val="2E5549E7"/>
    <w:rsid w:val="2E787C93"/>
    <w:rsid w:val="2E8D0754"/>
    <w:rsid w:val="2E9C01BA"/>
    <w:rsid w:val="2EA27501"/>
    <w:rsid w:val="2EA4771D"/>
    <w:rsid w:val="2ECB4CA9"/>
    <w:rsid w:val="2ED33B5E"/>
    <w:rsid w:val="2EE67D35"/>
    <w:rsid w:val="2EF266DA"/>
    <w:rsid w:val="2EFF2BA5"/>
    <w:rsid w:val="2F143678"/>
    <w:rsid w:val="2F57478F"/>
    <w:rsid w:val="2F647971"/>
    <w:rsid w:val="2F8310E0"/>
    <w:rsid w:val="2F8649A8"/>
    <w:rsid w:val="2FAA48BF"/>
    <w:rsid w:val="2FAF60CB"/>
    <w:rsid w:val="2FC36C07"/>
    <w:rsid w:val="2FDB317E"/>
    <w:rsid w:val="30032221"/>
    <w:rsid w:val="301D32E3"/>
    <w:rsid w:val="30405223"/>
    <w:rsid w:val="306C7DC6"/>
    <w:rsid w:val="30921001"/>
    <w:rsid w:val="309B2149"/>
    <w:rsid w:val="30DA5678"/>
    <w:rsid w:val="310163D8"/>
    <w:rsid w:val="31157B53"/>
    <w:rsid w:val="313905F0"/>
    <w:rsid w:val="31AB491E"/>
    <w:rsid w:val="31B163D9"/>
    <w:rsid w:val="328F5FEE"/>
    <w:rsid w:val="32B06690"/>
    <w:rsid w:val="32B819E9"/>
    <w:rsid w:val="32E123EE"/>
    <w:rsid w:val="32E620B2"/>
    <w:rsid w:val="32EE7336"/>
    <w:rsid w:val="33423060"/>
    <w:rsid w:val="339A4C4A"/>
    <w:rsid w:val="33A74F5C"/>
    <w:rsid w:val="33BA7921"/>
    <w:rsid w:val="33C120EC"/>
    <w:rsid w:val="33F95E15"/>
    <w:rsid w:val="34117602"/>
    <w:rsid w:val="342125BE"/>
    <w:rsid w:val="34367069"/>
    <w:rsid w:val="345A2F5F"/>
    <w:rsid w:val="347E0FDA"/>
    <w:rsid w:val="3495784E"/>
    <w:rsid w:val="349E076A"/>
    <w:rsid w:val="34AB7B35"/>
    <w:rsid w:val="34B00BC9"/>
    <w:rsid w:val="34DB376C"/>
    <w:rsid w:val="34F30AB6"/>
    <w:rsid w:val="34FA3BF3"/>
    <w:rsid w:val="3558402F"/>
    <w:rsid w:val="35594865"/>
    <w:rsid w:val="35A433C0"/>
    <w:rsid w:val="35A85D44"/>
    <w:rsid w:val="35DC70FD"/>
    <w:rsid w:val="35FA7C22"/>
    <w:rsid w:val="360B1D16"/>
    <w:rsid w:val="361D5196"/>
    <w:rsid w:val="36365807"/>
    <w:rsid w:val="3651478C"/>
    <w:rsid w:val="366869FD"/>
    <w:rsid w:val="36F54FB9"/>
    <w:rsid w:val="37555A58"/>
    <w:rsid w:val="37764803"/>
    <w:rsid w:val="37BA725B"/>
    <w:rsid w:val="37C70D1D"/>
    <w:rsid w:val="37F60F5D"/>
    <w:rsid w:val="380450B5"/>
    <w:rsid w:val="386629C8"/>
    <w:rsid w:val="38DE5A5A"/>
    <w:rsid w:val="38F2407A"/>
    <w:rsid w:val="39166D57"/>
    <w:rsid w:val="39826F7B"/>
    <w:rsid w:val="39A607ED"/>
    <w:rsid w:val="39A60822"/>
    <w:rsid w:val="39BC3B6C"/>
    <w:rsid w:val="39CE1AF2"/>
    <w:rsid w:val="39DC420F"/>
    <w:rsid w:val="3A0A465E"/>
    <w:rsid w:val="3A233BEC"/>
    <w:rsid w:val="3A2D6818"/>
    <w:rsid w:val="3A3951BD"/>
    <w:rsid w:val="3A745E2A"/>
    <w:rsid w:val="3A7601BF"/>
    <w:rsid w:val="3AC56EC7"/>
    <w:rsid w:val="3ACA4067"/>
    <w:rsid w:val="3AD941E6"/>
    <w:rsid w:val="3B0A0908"/>
    <w:rsid w:val="3B854432"/>
    <w:rsid w:val="3BAA12AC"/>
    <w:rsid w:val="3BD333EF"/>
    <w:rsid w:val="3BDA29D0"/>
    <w:rsid w:val="3BE63123"/>
    <w:rsid w:val="3CAD70B3"/>
    <w:rsid w:val="3CD236A7"/>
    <w:rsid w:val="3D191A5A"/>
    <w:rsid w:val="3D270A3F"/>
    <w:rsid w:val="3D4A0D58"/>
    <w:rsid w:val="3D710E89"/>
    <w:rsid w:val="3D7F382F"/>
    <w:rsid w:val="3DA908AC"/>
    <w:rsid w:val="3DE711A5"/>
    <w:rsid w:val="3E173A67"/>
    <w:rsid w:val="3E7E3AE6"/>
    <w:rsid w:val="3ECE641A"/>
    <w:rsid w:val="3EF5367D"/>
    <w:rsid w:val="3F054894"/>
    <w:rsid w:val="3F247041"/>
    <w:rsid w:val="3F297CFD"/>
    <w:rsid w:val="3F2A5A1C"/>
    <w:rsid w:val="3F375A43"/>
    <w:rsid w:val="3F5A01FC"/>
    <w:rsid w:val="3F60143E"/>
    <w:rsid w:val="3F6E3B5B"/>
    <w:rsid w:val="3FC11F30"/>
    <w:rsid w:val="3FF07694"/>
    <w:rsid w:val="3FF54C4F"/>
    <w:rsid w:val="405334D4"/>
    <w:rsid w:val="40B7508E"/>
    <w:rsid w:val="40C61775"/>
    <w:rsid w:val="411E54B6"/>
    <w:rsid w:val="41986C6D"/>
    <w:rsid w:val="41BD66D4"/>
    <w:rsid w:val="422C0AE2"/>
    <w:rsid w:val="429F08C9"/>
    <w:rsid w:val="42B85068"/>
    <w:rsid w:val="42DE4B54"/>
    <w:rsid w:val="43036368"/>
    <w:rsid w:val="433264EC"/>
    <w:rsid w:val="434F77FF"/>
    <w:rsid w:val="43D6135A"/>
    <w:rsid w:val="440700DA"/>
    <w:rsid w:val="44446007"/>
    <w:rsid w:val="44646CEB"/>
    <w:rsid w:val="447A65E5"/>
    <w:rsid w:val="44B042CE"/>
    <w:rsid w:val="44C22253"/>
    <w:rsid w:val="44F13D1E"/>
    <w:rsid w:val="44F33465"/>
    <w:rsid w:val="45447E54"/>
    <w:rsid w:val="45614D46"/>
    <w:rsid w:val="45DB537A"/>
    <w:rsid w:val="45E44034"/>
    <w:rsid w:val="46080139"/>
    <w:rsid w:val="462C3E28"/>
    <w:rsid w:val="46F843FA"/>
    <w:rsid w:val="46FD57C4"/>
    <w:rsid w:val="46FF778E"/>
    <w:rsid w:val="471548BC"/>
    <w:rsid w:val="471A45C8"/>
    <w:rsid w:val="47523D62"/>
    <w:rsid w:val="47583F43"/>
    <w:rsid w:val="476B3044"/>
    <w:rsid w:val="47CC58C3"/>
    <w:rsid w:val="47D023FA"/>
    <w:rsid w:val="47D8797E"/>
    <w:rsid w:val="47E671A2"/>
    <w:rsid w:val="47E86474"/>
    <w:rsid w:val="484D7CA4"/>
    <w:rsid w:val="48920E0D"/>
    <w:rsid w:val="48967C7F"/>
    <w:rsid w:val="48BD459B"/>
    <w:rsid w:val="48D6451F"/>
    <w:rsid w:val="48E24C72"/>
    <w:rsid w:val="498C3436"/>
    <w:rsid w:val="499451CA"/>
    <w:rsid w:val="49E2322A"/>
    <w:rsid w:val="4A474F52"/>
    <w:rsid w:val="4A477482"/>
    <w:rsid w:val="4B6E0D29"/>
    <w:rsid w:val="4BD411EA"/>
    <w:rsid w:val="4BF70A34"/>
    <w:rsid w:val="4C1B17E0"/>
    <w:rsid w:val="4D07114B"/>
    <w:rsid w:val="4D2717ED"/>
    <w:rsid w:val="4E4F2DA9"/>
    <w:rsid w:val="4E8D35B3"/>
    <w:rsid w:val="4EA50C1B"/>
    <w:rsid w:val="4EEE25C2"/>
    <w:rsid w:val="4F0D6614"/>
    <w:rsid w:val="4F3501F1"/>
    <w:rsid w:val="4F477F24"/>
    <w:rsid w:val="4F4D20F6"/>
    <w:rsid w:val="4F580259"/>
    <w:rsid w:val="4F6304D2"/>
    <w:rsid w:val="4FC36798"/>
    <w:rsid w:val="4FCF2ACA"/>
    <w:rsid w:val="4FF77255"/>
    <w:rsid w:val="50071213"/>
    <w:rsid w:val="50096F88"/>
    <w:rsid w:val="50494C57"/>
    <w:rsid w:val="504D50C7"/>
    <w:rsid w:val="508F56DF"/>
    <w:rsid w:val="50B56D76"/>
    <w:rsid w:val="50BC4F4A"/>
    <w:rsid w:val="50DB374F"/>
    <w:rsid w:val="50DC4328"/>
    <w:rsid w:val="51087AA7"/>
    <w:rsid w:val="51181B78"/>
    <w:rsid w:val="511D718F"/>
    <w:rsid w:val="514069D9"/>
    <w:rsid w:val="51477D68"/>
    <w:rsid w:val="51EA49C4"/>
    <w:rsid w:val="52763362"/>
    <w:rsid w:val="529E1FD4"/>
    <w:rsid w:val="52BD1D30"/>
    <w:rsid w:val="52D34600"/>
    <w:rsid w:val="52DC5818"/>
    <w:rsid w:val="532F35A3"/>
    <w:rsid w:val="534704F3"/>
    <w:rsid w:val="535350EA"/>
    <w:rsid w:val="536746F1"/>
    <w:rsid w:val="53C27B7A"/>
    <w:rsid w:val="53FD7330"/>
    <w:rsid w:val="54091C4C"/>
    <w:rsid w:val="54662BFB"/>
    <w:rsid w:val="547855CD"/>
    <w:rsid w:val="55322ADD"/>
    <w:rsid w:val="555D5B92"/>
    <w:rsid w:val="55652EB2"/>
    <w:rsid w:val="556B13F4"/>
    <w:rsid w:val="558027FB"/>
    <w:rsid w:val="55AF05D2"/>
    <w:rsid w:val="55B62931"/>
    <w:rsid w:val="55DC16AB"/>
    <w:rsid w:val="55DD0C9B"/>
    <w:rsid w:val="56040781"/>
    <w:rsid w:val="56066443"/>
    <w:rsid w:val="56116B96"/>
    <w:rsid w:val="5630628A"/>
    <w:rsid w:val="56705FB3"/>
    <w:rsid w:val="56BA5480"/>
    <w:rsid w:val="57173C25"/>
    <w:rsid w:val="571A53C8"/>
    <w:rsid w:val="571C1C97"/>
    <w:rsid w:val="575B456D"/>
    <w:rsid w:val="578A30A4"/>
    <w:rsid w:val="578D049F"/>
    <w:rsid w:val="586E207E"/>
    <w:rsid w:val="5889510A"/>
    <w:rsid w:val="58FD3362"/>
    <w:rsid w:val="58FF1E58"/>
    <w:rsid w:val="591D44E6"/>
    <w:rsid w:val="59232E69"/>
    <w:rsid w:val="5966544B"/>
    <w:rsid w:val="59680B5D"/>
    <w:rsid w:val="59690203"/>
    <w:rsid w:val="597C07CB"/>
    <w:rsid w:val="59883613"/>
    <w:rsid w:val="59C152C0"/>
    <w:rsid w:val="59CC1752"/>
    <w:rsid w:val="59D2488F"/>
    <w:rsid w:val="5A461504"/>
    <w:rsid w:val="5A5F6122"/>
    <w:rsid w:val="5AEA5315"/>
    <w:rsid w:val="5AF45E50"/>
    <w:rsid w:val="5B8147BE"/>
    <w:rsid w:val="5C423F4D"/>
    <w:rsid w:val="5C602626"/>
    <w:rsid w:val="5C891B7C"/>
    <w:rsid w:val="5CDE2275"/>
    <w:rsid w:val="5CF1327E"/>
    <w:rsid w:val="5D1E054E"/>
    <w:rsid w:val="5D1F7DEB"/>
    <w:rsid w:val="5D3A4C25"/>
    <w:rsid w:val="5D455527"/>
    <w:rsid w:val="5D4F249B"/>
    <w:rsid w:val="5D504448"/>
    <w:rsid w:val="5D577585"/>
    <w:rsid w:val="5D6F2B20"/>
    <w:rsid w:val="5DA64068"/>
    <w:rsid w:val="5E1E0AF5"/>
    <w:rsid w:val="5E391F70"/>
    <w:rsid w:val="5EAE7678"/>
    <w:rsid w:val="5ED370DF"/>
    <w:rsid w:val="5EDC2437"/>
    <w:rsid w:val="5EFB2A62"/>
    <w:rsid w:val="5F49401A"/>
    <w:rsid w:val="5F8605F5"/>
    <w:rsid w:val="5F9F3C0D"/>
    <w:rsid w:val="5FE13A7D"/>
    <w:rsid w:val="60234096"/>
    <w:rsid w:val="602D281F"/>
    <w:rsid w:val="60457EDB"/>
    <w:rsid w:val="60814A05"/>
    <w:rsid w:val="60A93BAE"/>
    <w:rsid w:val="60FE6D3A"/>
    <w:rsid w:val="611C2FBF"/>
    <w:rsid w:val="615E35D8"/>
    <w:rsid w:val="62050CD4"/>
    <w:rsid w:val="62740BD9"/>
    <w:rsid w:val="627604AD"/>
    <w:rsid w:val="6292105F"/>
    <w:rsid w:val="63051831"/>
    <w:rsid w:val="631101D6"/>
    <w:rsid w:val="63387E58"/>
    <w:rsid w:val="633D0FCB"/>
    <w:rsid w:val="63957059"/>
    <w:rsid w:val="63C574C8"/>
    <w:rsid w:val="63CE2B24"/>
    <w:rsid w:val="63D0141A"/>
    <w:rsid w:val="63DC4C88"/>
    <w:rsid w:val="64234D29"/>
    <w:rsid w:val="6424218B"/>
    <w:rsid w:val="64B17EC2"/>
    <w:rsid w:val="64C65DD9"/>
    <w:rsid w:val="64DA6F7A"/>
    <w:rsid w:val="64DF75BE"/>
    <w:rsid w:val="64E75692"/>
    <w:rsid w:val="653524C5"/>
    <w:rsid w:val="655F347A"/>
    <w:rsid w:val="65764C68"/>
    <w:rsid w:val="657809E0"/>
    <w:rsid w:val="658B7741"/>
    <w:rsid w:val="658E3CF2"/>
    <w:rsid w:val="65921AA2"/>
    <w:rsid w:val="65B80DDC"/>
    <w:rsid w:val="66050A0E"/>
    <w:rsid w:val="66707FB6"/>
    <w:rsid w:val="66973768"/>
    <w:rsid w:val="66C739CD"/>
    <w:rsid w:val="674943E2"/>
    <w:rsid w:val="6764121C"/>
    <w:rsid w:val="676E209B"/>
    <w:rsid w:val="67AF0263"/>
    <w:rsid w:val="67CA3A17"/>
    <w:rsid w:val="67D71B98"/>
    <w:rsid w:val="67D839B8"/>
    <w:rsid w:val="68057789"/>
    <w:rsid w:val="68CD2DF1"/>
    <w:rsid w:val="68DE601E"/>
    <w:rsid w:val="69041F20"/>
    <w:rsid w:val="6A2E3D63"/>
    <w:rsid w:val="6A6A0C2F"/>
    <w:rsid w:val="6B0F149F"/>
    <w:rsid w:val="6B0F4D73"/>
    <w:rsid w:val="6B4749F0"/>
    <w:rsid w:val="6B713F07"/>
    <w:rsid w:val="6B7C13D5"/>
    <w:rsid w:val="6BB67B6C"/>
    <w:rsid w:val="6C1635D2"/>
    <w:rsid w:val="6C2235AD"/>
    <w:rsid w:val="6C74577D"/>
    <w:rsid w:val="6C9003BD"/>
    <w:rsid w:val="6CB0731E"/>
    <w:rsid w:val="6CE95D1F"/>
    <w:rsid w:val="6D6D67CC"/>
    <w:rsid w:val="6E2F4A28"/>
    <w:rsid w:val="6E8421A4"/>
    <w:rsid w:val="6E9C6318"/>
    <w:rsid w:val="6EC802E2"/>
    <w:rsid w:val="6EDC5B3C"/>
    <w:rsid w:val="6EDD18B4"/>
    <w:rsid w:val="6EFC4430"/>
    <w:rsid w:val="6F750CED"/>
    <w:rsid w:val="6F7A57CB"/>
    <w:rsid w:val="6FB24AEE"/>
    <w:rsid w:val="6FC33CC8"/>
    <w:rsid w:val="6FD26F3F"/>
    <w:rsid w:val="702C4F8F"/>
    <w:rsid w:val="704020FA"/>
    <w:rsid w:val="70406785"/>
    <w:rsid w:val="7047792D"/>
    <w:rsid w:val="704E2A69"/>
    <w:rsid w:val="706A55E4"/>
    <w:rsid w:val="70730722"/>
    <w:rsid w:val="70B30B1E"/>
    <w:rsid w:val="70CB5E68"/>
    <w:rsid w:val="70EB650A"/>
    <w:rsid w:val="712E4649"/>
    <w:rsid w:val="71633397"/>
    <w:rsid w:val="71645721"/>
    <w:rsid w:val="718A5D23"/>
    <w:rsid w:val="71AD37BF"/>
    <w:rsid w:val="71AD7C63"/>
    <w:rsid w:val="71B20DD6"/>
    <w:rsid w:val="72037883"/>
    <w:rsid w:val="72084E9A"/>
    <w:rsid w:val="72712A3F"/>
    <w:rsid w:val="727A7B45"/>
    <w:rsid w:val="728004B5"/>
    <w:rsid w:val="729E35B5"/>
    <w:rsid w:val="73530396"/>
    <w:rsid w:val="73784963"/>
    <w:rsid w:val="737A1DC7"/>
    <w:rsid w:val="737F73DD"/>
    <w:rsid w:val="73DA4614"/>
    <w:rsid w:val="73F87172"/>
    <w:rsid w:val="74322621"/>
    <w:rsid w:val="74393A30"/>
    <w:rsid w:val="74424693"/>
    <w:rsid w:val="74813B84"/>
    <w:rsid w:val="74820F33"/>
    <w:rsid w:val="74AC204F"/>
    <w:rsid w:val="74B44F63"/>
    <w:rsid w:val="74BD7F66"/>
    <w:rsid w:val="74C652C4"/>
    <w:rsid w:val="74CC0760"/>
    <w:rsid w:val="750E5906"/>
    <w:rsid w:val="758F1B5A"/>
    <w:rsid w:val="75D879C0"/>
    <w:rsid w:val="75FE6807"/>
    <w:rsid w:val="76053BCA"/>
    <w:rsid w:val="761F3452"/>
    <w:rsid w:val="765B5EE0"/>
    <w:rsid w:val="766905FD"/>
    <w:rsid w:val="769211D6"/>
    <w:rsid w:val="76BA4D87"/>
    <w:rsid w:val="76D44085"/>
    <w:rsid w:val="76DE7C58"/>
    <w:rsid w:val="76F4013C"/>
    <w:rsid w:val="77022CF5"/>
    <w:rsid w:val="770F17B3"/>
    <w:rsid w:val="775748F9"/>
    <w:rsid w:val="777A05E8"/>
    <w:rsid w:val="77BE6726"/>
    <w:rsid w:val="77C3055A"/>
    <w:rsid w:val="78007167"/>
    <w:rsid w:val="7866166D"/>
    <w:rsid w:val="787800F4"/>
    <w:rsid w:val="78947598"/>
    <w:rsid w:val="78FF0DA4"/>
    <w:rsid w:val="79501600"/>
    <w:rsid w:val="79575162"/>
    <w:rsid w:val="795804B5"/>
    <w:rsid w:val="79952DB7"/>
    <w:rsid w:val="79D73ACF"/>
    <w:rsid w:val="7A23757C"/>
    <w:rsid w:val="7A3D2163"/>
    <w:rsid w:val="7A3E58FC"/>
    <w:rsid w:val="7A574C79"/>
    <w:rsid w:val="7A8A161B"/>
    <w:rsid w:val="7AAA11E4"/>
    <w:rsid w:val="7AEF2FB9"/>
    <w:rsid w:val="7B5178B1"/>
    <w:rsid w:val="7B8437E3"/>
    <w:rsid w:val="7BA414CE"/>
    <w:rsid w:val="7BAB5214"/>
    <w:rsid w:val="7BB340C8"/>
    <w:rsid w:val="7C1E43FE"/>
    <w:rsid w:val="7C2E374F"/>
    <w:rsid w:val="7C4D62CB"/>
    <w:rsid w:val="7C5E448C"/>
    <w:rsid w:val="7C66113B"/>
    <w:rsid w:val="7C7E3176"/>
    <w:rsid w:val="7C991510"/>
    <w:rsid w:val="7CEC5AE4"/>
    <w:rsid w:val="7D1172F8"/>
    <w:rsid w:val="7DBB4C2E"/>
    <w:rsid w:val="7DBD2FDC"/>
    <w:rsid w:val="7E8165B2"/>
    <w:rsid w:val="7E957AB5"/>
    <w:rsid w:val="7E9E639D"/>
    <w:rsid w:val="7EB26329"/>
    <w:rsid w:val="7EFF1C16"/>
    <w:rsid w:val="7F0F5AB9"/>
    <w:rsid w:val="7F151F4C"/>
    <w:rsid w:val="7F173C4C"/>
    <w:rsid w:val="7F343EA9"/>
    <w:rsid w:val="7F4B34D6"/>
    <w:rsid w:val="7F6A1EDE"/>
    <w:rsid w:val="7F9B10FB"/>
    <w:rsid w:val="7F9E2999"/>
    <w:rsid w:val="7FAB66C0"/>
    <w:rsid w:val="7FE42A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qFormat="1" w:unhideWhenUsed="0" w:uiPriority="0" w:semiHidden="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qFormat="1" w:unhideWhenUsed="0" w:uiPriority="99" w:semiHidden="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qFormat="1" w:unhideWhenUsed="0" w:uiPriority="0" w:semiHidden="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imes New Roman"/>
      <w:sz w:val="24"/>
      <w:szCs w:val="24"/>
      <w:lang w:val="en-US" w:eastAsia="zh-CN" w:bidi="ar-SA"/>
    </w:rPr>
  </w:style>
  <w:style w:type="paragraph" w:styleId="2">
    <w:name w:val="heading 1"/>
    <w:basedOn w:val="1"/>
    <w:next w:val="1"/>
    <w:qFormat/>
    <w:uiPriority w:val="0"/>
    <w:pPr>
      <w:spacing w:before="340" w:after="330" w:line="360" w:lineRule="auto"/>
      <w:jc w:val="center"/>
      <w:outlineLvl w:val="0"/>
    </w:pPr>
    <w:rPr>
      <w:rFonts w:eastAsia="黑体"/>
      <w:kern w:val="44"/>
      <w:szCs w:val="44"/>
    </w:rPr>
  </w:style>
  <w:style w:type="paragraph" w:styleId="3">
    <w:name w:val="heading 2"/>
    <w:basedOn w:val="1"/>
    <w:next w:val="1"/>
    <w:qFormat/>
    <w:uiPriority w:val="0"/>
    <w:pPr>
      <w:adjustRightInd w:val="0"/>
      <w:jc w:val="center"/>
      <w:textAlignment w:val="baseline"/>
      <w:outlineLvl w:val="1"/>
    </w:pPr>
    <w:rPr>
      <w:szCs w:val="20"/>
    </w:rPr>
  </w:style>
  <w:style w:type="paragraph" w:styleId="4">
    <w:name w:val="heading 3"/>
    <w:basedOn w:val="5"/>
    <w:next w:val="1"/>
    <w:qFormat/>
    <w:uiPriority w:val="0"/>
    <w:pPr>
      <w:spacing w:before="260" w:after="260"/>
      <w:outlineLvl w:val="2"/>
    </w:pPr>
    <w:rPr>
      <w:rFonts w:ascii="宋体" w:hAnsi="宋体"/>
      <w:szCs w:val="32"/>
    </w:rPr>
  </w:style>
  <w:style w:type="paragraph" w:styleId="5">
    <w:name w:val="heading 4"/>
    <w:basedOn w:val="1"/>
    <w:next w:val="1"/>
    <w:qFormat/>
    <w:uiPriority w:val="0"/>
    <w:pPr>
      <w:keepNext/>
      <w:keepLines/>
      <w:spacing w:before="280" w:after="290" w:line="377" w:lineRule="auto"/>
      <w:outlineLvl w:val="3"/>
    </w:pPr>
    <w:rPr>
      <w:rFonts w:ascii="Arial" w:hAnsi="Arial" w:eastAsia="黑体"/>
      <w:b/>
      <w:bCs/>
      <w:sz w:val="28"/>
      <w:szCs w:val="28"/>
    </w:rPr>
  </w:style>
  <w:style w:type="paragraph" w:styleId="6">
    <w:name w:val="heading 6"/>
    <w:basedOn w:val="1"/>
    <w:next w:val="7"/>
    <w:qFormat/>
    <w:uiPriority w:val="0"/>
    <w:pPr>
      <w:keepNext/>
      <w:keepLines/>
      <w:spacing w:before="240" w:after="64" w:line="319" w:lineRule="auto"/>
      <w:outlineLvl w:val="5"/>
    </w:pPr>
    <w:rPr>
      <w:rFonts w:ascii="Arial" w:hAnsi="Arial" w:eastAsia="黑体"/>
      <w:b/>
      <w:szCs w:val="20"/>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8"/>
    <w:autoRedefine/>
    <w:qFormat/>
    <w:uiPriority w:val="0"/>
    <w:pPr>
      <w:ind w:firstLine="420"/>
    </w:pPr>
    <w:rPr>
      <w:szCs w:val="20"/>
    </w:rPr>
  </w:style>
  <w:style w:type="paragraph" w:styleId="8">
    <w:name w:val="Body Text"/>
    <w:basedOn w:val="1"/>
    <w:next w:val="1"/>
    <w:autoRedefine/>
    <w:qFormat/>
    <w:uiPriority w:val="0"/>
    <w:pPr>
      <w:spacing w:line="360" w:lineRule="auto"/>
    </w:pPr>
    <w:rPr>
      <w:b/>
      <w:bCs/>
    </w:rPr>
  </w:style>
  <w:style w:type="paragraph" w:styleId="9">
    <w:name w:val="toa heading"/>
    <w:basedOn w:val="1"/>
    <w:next w:val="1"/>
    <w:autoRedefine/>
    <w:qFormat/>
    <w:uiPriority w:val="0"/>
    <w:rPr>
      <w:rFonts w:ascii="Arial" w:hAnsi="Arial"/>
      <w:szCs w:val="20"/>
    </w:rPr>
  </w:style>
  <w:style w:type="paragraph" w:styleId="10">
    <w:name w:val="annotation text"/>
    <w:basedOn w:val="1"/>
    <w:autoRedefine/>
    <w:qFormat/>
    <w:uiPriority w:val="0"/>
  </w:style>
  <w:style w:type="paragraph" w:styleId="11">
    <w:name w:val="Body Text 3"/>
    <w:basedOn w:val="1"/>
    <w:autoRedefine/>
    <w:qFormat/>
    <w:uiPriority w:val="0"/>
    <w:pPr>
      <w:spacing w:after="120"/>
    </w:pPr>
    <w:rPr>
      <w:sz w:val="16"/>
      <w:szCs w:val="16"/>
    </w:rPr>
  </w:style>
  <w:style w:type="paragraph" w:styleId="12">
    <w:name w:val="Body Text Indent"/>
    <w:basedOn w:val="1"/>
    <w:autoRedefine/>
    <w:qFormat/>
    <w:uiPriority w:val="0"/>
    <w:pPr>
      <w:spacing w:line="360" w:lineRule="auto"/>
      <w:ind w:firstLine="200" w:firstLineChars="200"/>
    </w:pPr>
  </w:style>
  <w:style w:type="paragraph" w:styleId="13">
    <w:name w:val="toc 5"/>
    <w:basedOn w:val="1"/>
    <w:next w:val="1"/>
    <w:autoRedefine/>
    <w:qFormat/>
    <w:uiPriority w:val="0"/>
    <w:pPr>
      <w:ind w:left="840"/>
    </w:pPr>
    <w:rPr>
      <w:szCs w:val="21"/>
    </w:rPr>
  </w:style>
  <w:style w:type="paragraph" w:styleId="14">
    <w:name w:val="Plain Text"/>
    <w:basedOn w:val="1"/>
    <w:autoRedefine/>
    <w:qFormat/>
    <w:uiPriority w:val="0"/>
    <w:rPr>
      <w:rFonts w:ascii="宋体" w:hAnsi="Courier New"/>
      <w:sz w:val="20"/>
      <w:szCs w:val="20"/>
    </w:rPr>
  </w:style>
  <w:style w:type="paragraph" w:styleId="15">
    <w:name w:val="Body Text Indent 2"/>
    <w:basedOn w:val="1"/>
    <w:autoRedefine/>
    <w:qFormat/>
    <w:uiPriority w:val="0"/>
    <w:pPr>
      <w:ind w:left="735"/>
    </w:pPr>
    <w:rPr>
      <w:sz w:val="20"/>
      <w:szCs w:val="20"/>
    </w:rPr>
  </w:style>
  <w:style w:type="paragraph" w:styleId="16">
    <w:name w:val="Balloon Text"/>
    <w:basedOn w:val="1"/>
    <w:autoRedefine/>
    <w:qFormat/>
    <w:uiPriority w:val="0"/>
    <w:rPr>
      <w:sz w:val="18"/>
      <w:szCs w:val="18"/>
    </w:rPr>
  </w:style>
  <w:style w:type="paragraph" w:styleId="17">
    <w:name w:val="footer"/>
    <w:basedOn w:val="1"/>
    <w:autoRedefine/>
    <w:qFormat/>
    <w:uiPriority w:val="0"/>
    <w:pPr>
      <w:tabs>
        <w:tab w:val="center" w:pos="4153"/>
        <w:tab w:val="right" w:pos="8306"/>
      </w:tabs>
      <w:snapToGrid w:val="0"/>
    </w:pPr>
    <w:rPr>
      <w:sz w:val="18"/>
      <w:szCs w:val="18"/>
    </w:rPr>
  </w:style>
  <w:style w:type="paragraph" w:styleId="18">
    <w:name w:val="envelope return"/>
    <w:basedOn w:val="1"/>
    <w:autoRedefine/>
    <w:qFormat/>
    <w:uiPriority w:val="99"/>
    <w:pPr>
      <w:snapToGrid w:val="0"/>
    </w:pPr>
    <w:rPr>
      <w:rFonts w:ascii="Arial" w:hAnsi="Arial"/>
    </w:rPr>
  </w:style>
  <w:style w:type="paragraph" w:styleId="19">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20">
    <w:name w:val="Subtitle"/>
    <w:basedOn w:val="1"/>
    <w:next w:val="1"/>
    <w:autoRedefine/>
    <w:qFormat/>
    <w:uiPriority w:val="0"/>
    <w:pPr>
      <w:spacing w:before="240" w:after="60" w:line="312" w:lineRule="auto"/>
      <w:jc w:val="center"/>
      <w:outlineLvl w:val="1"/>
    </w:pPr>
    <w:rPr>
      <w:rFonts w:ascii="Arial" w:hAnsi="Arial" w:cs="Arial"/>
      <w:b/>
      <w:bCs/>
      <w:kern w:val="28"/>
      <w:sz w:val="32"/>
      <w:szCs w:val="32"/>
    </w:rPr>
  </w:style>
  <w:style w:type="paragraph" w:styleId="21">
    <w:name w:val="Body Text 2"/>
    <w:basedOn w:val="1"/>
    <w:autoRedefine/>
    <w:qFormat/>
    <w:uiPriority w:val="0"/>
    <w:pPr>
      <w:spacing w:line="360" w:lineRule="auto"/>
    </w:pPr>
  </w:style>
  <w:style w:type="paragraph" w:styleId="22">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rPr>
  </w:style>
  <w:style w:type="paragraph" w:styleId="23">
    <w:name w:val="Normal (Web)"/>
    <w:basedOn w:val="1"/>
    <w:autoRedefine/>
    <w:qFormat/>
    <w:uiPriority w:val="0"/>
    <w:pPr>
      <w:spacing w:before="100" w:beforeAutospacing="1" w:after="100" w:afterAutospacing="1"/>
    </w:pPr>
  </w:style>
  <w:style w:type="paragraph" w:styleId="24">
    <w:name w:val="Title"/>
    <w:basedOn w:val="1"/>
    <w:next w:val="1"/>
    <w:qFormat/>
    <w:uiPriority w:val="0"/>
    <w:pPr>
      <w:widowControl w:val="0"/>
      <w:spacing w:before="240" w:after="60" w:line="276" w:lineRule="auto"/>
      <w:jc w:val="center"/>
      <w:outlineLvl w:val="0"/>
    </w:pPr>
    <w:rPr>
      <w:rFonts w:ascii="Cambria" w:hAnsi="Cambria"/>
      <w:b/>
      <w:bCs/>
      <w:kern w:val="2"/>
      <w:sz w:val="32"/>
      <w:szCs w:val="32"/>
    </w:rPr>
  </w:style>
  <w:style w:type="paragraph" w:styleId="25">
    <w:name w:val="annotation subject"/>
    <w:basedOn w:val="10"/>
    <w:next w:val="10"/>
    <w:autoRedefine/>
    <w:qFormat/>
    <w:uiPriority w:val="0"/>
    <w:rPr>
      <w:b/>
      <w:bCs/>
    </w:rPr>
  </w:style>
  <w:style w:type="paragraph" w:styleId="26">
    <w:name w:val="Body Text First Indent"/>
    <w:basedOn w:val="8"/>
    <w:autoRedefine/>
    <w:qFormat/>
    <w:uiPriority w:val="0"/>
    <w:pPr>
      <w:spacing w:after="120"/>
      <w:ind w:firstLine="100" w:firstLineChars="100"/>
      <w:jc w:val="both"/>
    </w:pPr>
    <w:rPr>
      <w:sz w:val="21"/>
    </w:rPr>
  </w:style>
  <w:style w:type="paragraph" w:styleId="27">
    <w:name w:val="Body Text First Indent 2"/>
    <w:basedOn w:val="12"/>
    <w:autoRedefine/>
    <w:qFormat/>
    <w:uiPriority w:val="0"/>
  </w:style>
  <w:style w:type="table" w:styleId="29">
    <w:name w:val="Table Grid"/>
    <w:basedOn w:val="2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autoRedefine/>
    <w:qFormat/>
    <w:uiPriority w:val="0"/>
    <w:rPr>
      <w:b/>
      <w:bCs/>
    </w:rPr>
  </w:style>
  <w:style w:type="character" w:styleId="32">
    <w:name w:val="FollowedHyperlink"/>
    <w:autoRedefine/>
    <w:qFormat/>
    <w:uiPriority w:val="0"/>
    <w:rPr>
      <w:color w:val="5C5C5C"/>
      <w:u w:val="none"/>
    </w:rPr>
  </w:style>
  <w:style w:type="character" w:styleId="33">
    <w:name w:val="Emphasis"/>
    <w:autoRedefine/>
    <w:qFormat/>
    <w:uiPriority w:val="0"/>
    <w:rPr>
      <w:b/>
      <w:bCs/>
    </w:rPr>
  </w:style>
  <w:style w:type="character" w:styleId="34">
    <w:name w:val="HTML Definition"/>
    <w:autoRedefine/>
    <w:qFormat/>
    <w:uiPriority w:val="0"/>
  </w:style>
  <w:style w:type="character" w:styleId="35">
    <w:name w:val="HTML Typewriter"/>
    <w:autoRedefine/>
    <w:qFormat/>
    <w:uiPriority w:val="0"/>
    <w:rPr>
      <w:rFonts w:ascii="monospace" w:hAnsi="monospace" w:eastAsia="monospace" w:cs="monospace"/>
      <w:sz w:val="20"/>
    </w:rPr>
  </w:style>
  <w:style w:type="character" w:styleId="36">
    <w:name w:val="HTML Acronym"/>
    <w:basedOn w:val="30"/>
    <w:autoRedefine/>
    <w:qFormat/>
    <w:uiPriority w:val="0"/>
  </w:style>
  <w:style w:type="character" w:styleId="37">
    <w:name w:val="HTML Variable"/>
    <w:autoRedefine/>
    <w:qFormat/>
    <w:uiPriority w:val="0"/>
  </w:style>
  <w:style w:type="character" w:styleId="38">
    <w:name w:val="Hyperlink"/>
    <w:basedOn w:val="30"/>
    <w:autoRedefine/>
    <w:qFormat/>
    <w:uiPriority w:val="0"/>
    <w:rPr>
      <w:color w:val="5C5C5C"/>
      <w:u w:val="none"/>
    </w:rPr>
  </w:style>
  <w:style w:type="character" w:styleId="39">
    <w:name w:val="HTML Code"/>
    <w:autoRedefine/>
    <w:qFormat/>
    <w:uiPriority w:val="0"/>
    <w:rPr>
      <w:rFonts w:ascii="monospace" w:hAnsi="monospace" w:eastAsia="monospace" w:cs="monospace"/>
      <w:sz w:val="20"/>
    </w:rPr>
  </w:style>
  <w:style w:type="character" w:styleId="40">
    <w:name w:val="annotation reference"/>
    <w:basedOn w:val="30"/>
    <w:autoRedefine/>
    <w:qFormat/>
    <w:uiPriority w:val="0"/>
    <w:rPr>
      <w:sz w:val="21"/>
      <w:szCs w:val="21"/>
    </w:rPr>
  </w:style>
  <w:style w:type="character" w:styleId="41">
    <w:name w:val="HTML Cite"/>
    <w:autoRedefine/>
    <w:qFormat/>
    <w:uiPriority w:val="0"/>
  </w:style>
  <w:style w:type="character" w:styleId="42">
    <w:name w:val="HTML Keyboard"/>
    <w:autoRedefine/>
    <w:qFormat/>
    <w:uiPriority w:val="0"/>
    <w:rPr>
      <w:rFonts w:ascii="monospace" w:hAnsi="monospace" w:eastAsia="monospace" w:cs="monospace"/>
      <w:sz w:val="20"/>
    </w:rPr>
  </w:style>
  <w:style w:type="character" w:styleId="43">
    <w:name w:val="HTML Sample"/>
    <w:autoRedefine/>
    <w:qFormat/>
    <w:uiPriority w:val="0"/>
    <w:rPr>
      <w:rFonts w:ascii="monospace" w:hAnsi="monospace" w:eastAsia="monospace" w:cs="monospace"/>
    </w:rPr>
  </w:style>
  <w:style w:type="paragraph" w:customStyle="1" w:styleId="44">
    <w:name w:val="Default"/>
    <w:autoRedefine/>
    <w:qFormat/>
    <w:uiPriority w:val="0"/>
    <w:pPr>
      <w:widowControl w:val="0"/>
      <w:autoSpaceDE w:val="0"/>
      <w:autoSpaceDN w:val="0"/>
      <w:adjustRightInd w:val="0"/>
    </w:pPr>
    <w:rPr>
      <w:rFonts w:ascii="H Yb 2gj" w:hAnsi="H Yb 2gj" w:eastAsia="H Yb 2gj" w:cs="H Yb 2gj"/>
      <w:color w:val="000000"/>
      <w:sz w:val="24"/>
      <w:szCs w:val="24"/>
      <w:lang w:val="en-US" w:eastAsia="zh-CN" w:bidi="ar-SA"/>
    </w:rPr>
  </w:style>
  <w:style w:type="paragraph" w:styleId="45">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46">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47">
    <w:name w:val="cf01"/>
    <w:autoRedefine/>
    <w:qFormat/>
    <w:uiPriority w:val="0"/>
    <w:rPr>
      <w:rFonts w:hint="eastAsia" w:ascii="Microsoft YaHei UI" w:hAnsi="Microsoft YaHei UI" w:eastAsia="Microsoft YaHei UI"/>
      <w:sz w:val="18"/>
      <w:szCs w:val="18"/>
    </w:rPr>
  </w:style>
  <w:style w:type="character" w:customStyle="1" w:styleId="48">
    <w:name w:val="fontstyle01"/>
    <w:autoRedefine/>
    <w:qFormat/>
    <w:uiPriority w:val="0"/>
    <w:rPr>
      <w:rFonts w:hint="eastAsia" w:ascii="宋体" w:hAnsi="宋体" w:eastAsia="宋体"/>
      <w:color w:val="000000"/>
      <w:sz w:val="32"/>
      <w:szCs w:val="32"/>
    </w:rPr>
  </w:style>
  <w:style w:type="character" w:customStyle="1" w:styleId="49">
    <w:name w:val="hover3"/>
    <w:autoRedefine/>
    <w:qFormat/>
    <w:uiPriority w:val="0"/>
    <w:rPr>
      <w:color w:val="2590EB"/>
      <w:shd w:val="clear" w:color="auto" w:fill="E9F4FD"/>
    </w:rPr>
  </w:style>
  <w:style w:type="character" w:customStyle="1" w:styleId="50">
    <w:name w:val="hover4"/>
    <w:autoRedefine/>
    <w:qFormat/>
    <w:uiPriority w:val="0"/>
    <w:rPr>
      <w:color w:val="2590EB"/>
      <w:shd w:val="clear" w:color="auto" w:fill="E9F4FD"/>
    </w:rPr>
  </w:style>
  <w:style w:type="character" w:customStyle="1" w:styleId="51">
    <w:name w:val="NormalCharacter"/>
    <w:autoRedefine/>
    <w:qFormat/>
    <w:uiPriority w:val="0"/>
    <w:rPr>
      <w:rFonts w:ascii="Calibri" w:hAnsi="Calibri" w:eastAsia="宋体" w:cs="Times New Roman"/>
      <w:kern w:val="2"/>
      <w:sz w:val="21"/>
      <w:szCs w:val="24"/>
      <w:lang w:val="en-US" w:eastAsia="zh-CN" w:bidi="ar-SA"/>
    </w:rPr>
  </w:style>
  <w:style w:type="character" w:customStyle="1" w:styleId="52">
    <w:name w:val="hover2"/>
    <w:autoRedefine/>
    <w:qFormat/>
    <w:uiPriority w:val="0"/>
    <w:rPr>
      <w:color w:val="2590EB"/>
    </w:rPr>
  </w:style>
  <w:style w:type="character" w:customStyle="1" w:styleId="53">
    <w:name w:val="hover"/>
    <w:autoRedefine/>
    <w:qFormat/>
    <w:uiPriority w:val="0"/>
  </w:style>
  <w:style w:type="character" w:customStyle="1" w:styleId="54">
    <w:name w:val="font152"/>
    <w:autoRedefine/>
    <w:qFormat/>
    <w:uiPriority w:val="0"/>
    <w:rPr>
      <w:rFonts w:hint="eastAsia" w:ascii="宋体" w:hAnsi="宋体" w:eastAsia="宋体" w:cs="宋体"/>
      <w:color w:val="0000FF"/>
      <w:sz w:val="18"/>
      <w:szCs w:val="18"/>
      <w:u w:val="none"/>
    </w:rPr>
  </w:style>
  <w:style w:type="character" w:customStyle="1" w:styleId="55">
    <w:name w:val="fontstyle21"/>
    <w:autoRedefine/>
    <w:qFormat/>
    <w:uiPriority w:val="0"/>
    <w:rPr>
      <w:rFonts w:hint="eastAsia" w:ascii="宋体" w:hAnsi="宋体" w:eastAsia="宋体"/>
      <w:color w:val="000000"/>
      <w:sz w:val="22"/>
      <w:szCs w:val="22"/>
    </w:rPr>
  </w:style>
  <w:style w:type="character" w:customStyle="1" w:styleId="56">
    <w:name w:val="hover1"/>
    <w:autoRedefine/>
    <w:qFormat/>
    <w:uiPriority w:val="0"/>
    <w:rPr>
      <w:color w:val="2590EB"/>
    </w:rPr>
  </w:style>
  <w:style w:type="character" w:customStyle="1" w:styleId="57">
    <w:name w:val="mini-outputtext1"/>
    <w:autoRedefine/>
    <w:qFormat/>
    <w:uiPriority w:val="0"/>
  </w:style>
  <w:style w:type="character" w:customStyle="1" w:styleId="58">
    <w:name w:val="15"/>
    <w:autoRedefine/>
    <w:qFormat/>
    <w:uiPriority w:val="0"/>
    <w:rPr>
      <w:rFonts w:hint="default" w:ascii="Times New Roman" w:hAnsi="Times New Roman" w:cs="Times New Roman"/>
      <w:sz w:val="21"/>
      <w:szCs w:val="21"/>
    </w:rPr>
  </w:style>
  <w:style w:type="character" w:customStyle="1" w:styleId="59">
    <w:name w:val="qowt-font5-gb2312"/>
    <w:autoRedefine/>
    <w:qFormat/>
    <w:uiPriority w:val="0"/>
  </w:style>
  <w:style w:type="character" w:customStyle="1" w:styleId="60">
    <w:name w:val="标题 3 Char"/>
    <w:autoRedefine/>
    <w:qFormat/>
    <w:uiPriority w:val="0"/>
    <w:rPr>
      <w:rFonts w:ascii="黑体" w:eastAsia="黑体"/>
      <w:bCs/>
      <w:sz w:val="30"/>
    </w:rPr>
  </w:style>
  <w:style w:type="character" w:customStyle="1" w:styleId="61">
    <w:name w:val="font15"/>
    <w:autoRedefine/>
    <w:qFormat/>
    <w:uiPriority w:val="0"/>
    <w:rPr>
      <w:rFonts w:hint="eastAsia" w:ascii="宋体" w:hAnsi="宋体" w:eastAsia="宋体" w:cs="宋体"/>
      <w:color w:val="000000"/>
      <w:sz w:val="18"/>
      <w:szCs w:val="18"/>
      <w:u w:val="none"/>
    </w:rPr>
  </w:style>
  <w:style w:type="character" w:customStyle="1" w:styleId="62">
    <w:name w:val="font121"/>
    <w:autoRedefine/>
    <w:qFormat/>
    <w:uiPriority w:val="0"/>
    <w:rPr>
      <w:rFonts w:hint="eastAsia" w:ascii="宋体" w:hAnsi="宋体" w:eastAsia="宋体" w:cs="宋体"/>
      <w:b/>
      <w:bCs/>
      <w:color w:val="000000"/>
      <w:sz w:val="18"/>
      <w:szCs w:val="18"/>
      <w:u w:val="none"/>
    </w:rPr>
  </w:style>
  <w:style w:type="paragraph" w:customStyle="1" w:styleId="63">
    <w:name w:val="trs_editor"/>
    <w:basedOn w:val="1"/>
    <w:autoRedefine/>
    <w:qFormat/>
    <w:uiPriority w:val="0"/>
    <w:pPr>
      <w:spacing w:before="100" w:beforeAutospacing="1" w:after="100" w:afterAutospacing="1"/>
    </w:pPr>
    <w:rPr>
      <w:rFonts w:ascii="宋体" w:hAnsi="宋体" w:cs="宋体"/>
    </w:rPr>
  </w:style>
  <w:style w:type="paragraph" w:customStyle="1" w:styleId="64">
    <w:name w:val="样式 样式 行距: 1.5 倍行距 + 首行缩进:  2 字符"/>
    <w:next w:val="8"/>
    <w:autoRedefine/>
    <w:qFormat/>
    <w:uiPriority w:val="0"/>
    <w:pPr>
      <w:widowControl w:val="0"/>
      <w:spacing w:line="360" w:lineRule="auto"/>
      <w:ind w:firstLine="200" w:firstLineChars="200"/>
      <w:jc w:val="both"/>
    </w:pPr>
    <w:rPr>
      <w:rFonts w:ascii="Times New Roman" w:hAnsi="Times New Roman" w:eastAsia="宋体" w:cs="宋体"/>
      <w:kern w:val="2"/>
      <w:sz w:val="24"/>
      <w:szCs w:val="21"/>
      <w:lang w:val="en-US" w:eastAsia="zh-CN" w:bidi="ar-SA"/>
    </w:rPr>
  </w:style>
  <w:style w:type="paragraph" w:customStyle="1" w:styleId="65">
    <w:name w:val="修订2"/>
    <w:autoRedefine/>
    <w:unhideWhenUsed/>
    <w:qFormat/>
    <w:uiPriority w:val="99"/>
    <w:rPr>
      <w:rFonts w:ascii="Times New Roman" w:hAnsi="Times New Roman" w:eastAsia="Times New Roman" w:cs="Times New Roman"/>
      <w:sz w:val="24"/>
      <w:szCs w:val="24"/>
      <w:lang w:val="en-US" w:eastAsia="zh-CN" w:bidi="ar-SA"/>
    </w:rPr>
  </w:style>
  <w:style w:type="paragraph" w:styleId="66">
    <w:name w:val="List Paragraph"/>
    <w:basedOn w:val="1"/>
    <w:autoRedefine/>
    <w:qFormat/>
    <w:uiPriority w:val="0"/>
    <w:pPr>
      <w:widowControl w:val="0"/>
      <w:ind w:firstLine="200" w:firstLineChars="200"/>
      <w:jc w:val="both"/>
    </w:pPr>
    <w:rPr>
      <w:rFonts w:eastAsia="宋体"/>
      <w:kern w:val="2"/>
      <w:sz w:val="21"/>
    </w:rPr>
  </w:style>
  <w:style w:type="paragraph" w:customStyle="1" w:styleId="67">
    <w:name w:val="文档正文"/>
    <w:basedOn w:val="1"/>
    <w:autoRedefine/>
    <w:qFormat/>
    <w:uiPriority w:val="0"/>
    <w:pPr>
      <w:adjustRightInd w:val="0"/>
      <w:spacing w:line="480" w:lineRule="atLeast"/>
      <w:ind w:firstLine="200" w:firstLineChars="200"/>
      <w:textAlignment w:val="baseline"/>
    </w:pPr>
    <w:rPr>
      <w:rFonts w:ascii="长城仿宋" w:hAnsi="长城仿宋"/>
      <w:szCs w:val="20"/>
    </w:rPr>
  </w:style>
  <w:style w:type="paragraph" w:customStyle="1" w:styleId="68">
    <w:name w:val="修订1"/>
    <w:autoRedefine/>
    <w:semiHidden/>
    <w:qFormat/>
    <w:uiPriority w:val="99"/>
    <w:rPr>
      <w:rFonts w:ascii="Times New Roman" w:hAnsi="Times New Roman" w:eastAsia="Times New Roman" w:cs="Times New Roman"/>
      <w:sz w:val="24"/>
      <w:szCs w:val="24"/>
      <w:lang w:val="en-US" w:eastAsia="zh-CN" w:bidi="ar-SA"/>
    </w:rPr>
  </w:style>
  <w:style w:type="paragraph" w:customStyle="1" w:styleId="69">
    <w:name w:val="x-scope"/>
    <w:basedOn w:val="1"/>
    <w:autoRedefine/>
    <w:qFormat/>
    <w:uiPriority w:val="0"/>
    <w:pPr>
      <w:spacing w:before="100" w:beforeAutospacing="1" w:after="100" w:afterAutospacing="1"/>
    </w:pPr>
    <w:rPr>
      <w:rFonts w:ascii="宋体" w:hAnsi="宋体" w:cs="宋体"/>
    </w:rPr>
  </w:style>
  <w:style w:type="paragraph" w:customStyle="1" w:styleId="70">
    <w:name w:val="Table Paragraph"/>
    <w:basedOn w:val="1"/>
    <w:autoRedefine/>
    <w:qFormat/>
    <w:uiPriority w:val="0"/>
    <w:pPr>
      <w:autoSpaceDE w:val="0"/>
      <w:autoSpaceDN w:val="0"/>
      <w:adjustRightInd w:val="0"/>
    </w:pPr>
    <w:rPr>
      <w:rFonts w:eastAsia="等线"/>
    </w:rPr>
  </w:style>
  <w:style w:type="paragraph" w:customStyle="1" w:styleId="71">
    <w:name w:val="表格文字"/>
    <w:basedOn w:val="1"/>
    <w:autoRedefine/>
    <w:qFormat/>
    <w:uiPriority w:val="0"/>
    <w:pPr>
      <w:spacing w:before="25" w:after="25"/>
    </w:pPr>
    <w:rPr>
      <w:bCs/>
      <w:spacing w:val="10"/>
      <w:szCs w:val="20"/>
    </w:rPr>
  </w:style>
  <w:style w:type="paragraph" w:customStyle="1" w:styleId="72">
    <w:name w:val="修订3"/>
    <w:autoRedefine/>
    <w:semiHidden/>
    <w:qFormat/>
    <w:uiPriority w:val="99"/>
    <w:rPr>
      <w:rFonts w:ascii="Times New Roman" w:hAnsi="Times New Roman" w:eastAsia="Times New Roman" w:cs="Times New Roman"/>
      <w:sz w:val="24"/>
      <w:szCs w:val="24"/>
      <w:lang w:val="en-US" w:eastAsia="zh-CN" w:bidi="ar-SA"/>
    </w:rPr>
  </w:style>
  <w:style w:type="paragraph" w:customStyle="1" w:styleId="73">
    <w:name w:val="列出段落1"/>
    <w:basedOn w:val="1"/>
    <w:autoRedefine/>
    <w:qFormat/>
    <w:uiPriority w:val="0"/>
    <w:pPr>
      <w:ind w:firstLine="420" w:firstLineChars="200"/>
    </w:pPr>
    <w:rPr>
      <w:szCs w:val="21"/>
    </w:rPr>
  </w:style>
  <w:style w:type="paragraph" w:customStyle="1" w:styleId="74">
    <w:name w:val="样式 首行缩进:  2 字符"/>
    <w:basedOn w:val="1"/>
    <w:autoRedefine/>
    <w:qFormat/>
    <w:uiPriority w:val="0"/>
    <w:pPr>
      <w:ind w:firstLine="200" w:firstLineChars="200"/>
    </w:pPr>
    <w:rPr>
      <w:rFonts w:ascii="Calibri" w:hAnsi="Calibri" w:cs="宋体"/>
      <w:color w:val="000000"/>
      <w:szCs w:val="20"/>
    </w:rPr>
  </w:style>
  <w:style w:type="paragraph" w:customStyle="1" w:styleId="75">
    <w:name w:val="NormalIndent"/>
    <w:autoRedefine/>
    <w:qFormat/>
    <w:uiPriority w:val="0"/>
    <w:pPr>
      <w:ind w:firstLine="420" w:firstLineChars="200"/>
      <w:jc w:val="both"/>
    </w:pPr>
    <w:rPr>
      <w:rFonts w:ascii="Times New Roman" w:hAnsi="Times New Roman" w:eastAsia="宋体" w:cs="Times New Roman"/>
      <w:kern w:val="2"/>
      <w:sz w:val="21"/>
      <w:szCs w:val="24"/>
      <w:lang w:val="en-US" w:eastAsia="zh-CN" w:bidi="ar-SA"/>
    </w:rPr>
  </w:style>
  <w:style w:type="paragraph" w:customStyle="1" w:styleId="76">
    <w:name w:val="表格"/>
    <w:basedOn w:val="1"/>
    <w:autoRedefine/>
    <w:qFormat/>
    <w:uiPriority w:val="8"/>
    <w:pPr>
      <w:adjustRightInd w:val="0"/>
      <w:snapToGrid w:val="0"/>
      <w:jc w:val="center"/>
    </w:pPr>
    <w:rPr>
      <w:rFonts w:ascii="等线" w:hAnsi="等线" w:cs="宋体"/>
      <w:sz w:val="15"/>
      <w:szCs w:val="22"/>
    </w:rPr>
  </w:style>
  <w:style w:type="table" w:customStyle="1" w:styleId="77">
    <w:name w:val="网格型1"/>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8">
    <w:name w:val="BodyTextIndent2"/>
    <w:basedOn w:val="1"/>
    <w:qFormat/>
    <w:uiPriority w:val="0"/>
    <w:pPr>
      <w:snapToGrid w:val="0"/>
      <w:spacing w:after="120" w:line="480" w:lineRule="auto"/>
      <w:ind w:left="420" w:leftChars="200"/>
      <w:textAlignment w:val="baseline"/>
    </w:pPr>
  </w:style>
  <w:style w:type="character" w:customStyle="1" w:styleId="79">
    <w:name w:val="font61"/>
    <w:qFormat/>
    <w:uiPriority w:val="0"/>
    <w:rPr>
      <w:rFonts w:ascii="宋体" w:hAnsi="宋体" w:eastAsia="宋体"/>
      <w:b/>
      <w:color w:val="000000"/>
      <w:sz w:val="24"/>
      <w:u w:val="none"/>
    </w:rPr>
  </w:style>
  <w:style w:type="paragraph" w:customStyle="1" w:styleId="80">
    <w:name w:val="p9"/>
    <w:basedOn w:val="1"/>
    <w:qFormat/>
    <w:uiPriority w:val="0"/>
    <w:pPr>
      <w:tabs>
        <w:tab w:val="left" w:pos="426"/>
      </w:tabs>
      <w:spacing w:before="100" w:beforeAutospacing="1" w:after="100" w:afterAutospacing="1"/>
    </w:pPr>
    <w:rPr>
      <w:rFonts w:ascii="Calibri" w:hAnsi="Calibri" w:eastAsia="Arial Unicode MS" w:cs="Arial Unicode MS"/>
      <w:color w:val="000000"/>
      <w:sz w:val="18"/>
      <w:szCs w:val="18"/>
    </w:rPr>
  </w:style>
  <w:style w:type="character" w:customStyle="1" w:styleId="81">
    <w:name w:val="font31"/>
    <w:qFormat/>
    <w:uiPriority w:val="0"/>
    <w:rPr>
      <w:rFonts w:hint="eastAsia" w:ascii="宋体" w:hAnsi="宋体" w:eastAsia="宋体" w:cs="宋体"/>
      <w:color w:val="000000"/>
      <w:sz w:val="20"/>
      <w:szCs w:val="20"/>
      <w:u w:val="none"/>
    </w:rPr>
  </w:style>
  <w:style w:type="character" w:customStyle="1" w:styleId="82">
    <w:name w:val="font21"/>
    <w:qFormat/>
    <w:uiPriority w:val="0"/>
    <w:rPr>
      <w:rFonts w:hint="default" w:ascii="Symbol" w:hAnsi="Symbol" w:cs="Symbol"/>
      <w:color w:val="000000"/>
      <w:sz w:val="20"/>
      <w:szCs w:val="20"/>
      <w:u w:val="none"/>
    </w:rPr>
  </w:style>
  <w:style w:type="character" w:customStyle="1" w:styleId="83">
    <w:name w:val="font71"/>
    <w:basedOn w:val="30"/>
    <w:autoRedefine/>
    <w:qFormat/>
    <w:uiPriority w:val="0"/>
    <w:rPr>
      <w:rFonts w:hint="default" w:ascii="仿宋_GB2312" w:eastAsia="仿宋_GB2312" w:cs="仿宋_GB2312"/>
      <w:b/>
      <w:bCs/>
      <w:color w:val="000000"/>
      <w:sz w:val="32"/>
      <w:szCs w:val="32"/>
      <w:u w:val="none"/>
    </w:rPr>
  </w:style>
  <w:style w:type="paragraph" w:customStyle="1" w:styleId="84">
    <w:name w:val="修订4"/>
    <w:hidden/>
    <w:unhideWhenUsed/>
    <w:qFormat/>
    <w:uiPriority w:val="99"/>
    <w:rPr>
      <w:rFonts w:ascii="Times New Roman" w:hAnsi="Times New Roman" w:eastAsia="Times New Roman" w:cs="Times New Roman"/>
      <w:sz w:val="24"/>
      <w:szCs w:val="24"/>
      <w:lang w:val="en-US" w:eastAsia="zh-CN" w:bidi="ar-SA"/>
    </w:rPr>
  </w:style>
  <w:style w:type="paragraph" w:customStyle="1" w:styleId="85">
    <w:name w:val="修订5"/>
    <w:hidden/>
    <w:unhideWhenUsed/>
    <w:qFormat/>
    <w:uiPriority w:val="99"/>
    <w:rPr>
      <w:rFonts w:ascii="Times New Roman" w:hAnsi="Times New Roman" w:eastAsia="Times New Roman" w:cs="Times New Roman"/>
      <w:sz w:val="24"/>
      <w:szCs w:val="24"/>
      <w:lang w:val="en-US" w:eastAsia="zh-CN" w:bidi="ar-SA"/>
    </w:rPr>
  </w:style>
  <w:style w:type="paragraph" w:customStyle="1" w:styleId="86">
    <w:name w:val="修订6"/>
    <w:hidden/>
    <w:unhideWhenUsed/>
    <w:qFormat/>
    <w:uiPriority w:val="99"/>
    <w:rPr>
      <w:rFonts w:ascii="Times New Roman" w:hAnsi="Times New Roman" w:eastAsia="Times New Roman" w:cs="Times New Roman"/>
      <w:sz w:val="24"/>
      <w:szCs w:val="24"/>
      <w:lang w:val="en-US" w:eastAsia="zh-CN" w:bidi="ar-SA"/>
    </w:rPr>
  </w:style>
  <w:style w:type="paragraph" w:customStyle="1" w:styleId="87">
    <w:name w:val="修订7"/>
    <w:hidden/>
    <w:semiHidden/>
    <w:qFormat/>
    <w:uiPriority w:val="99"/>
    <w:rPr>
      <w:rFonts w:ascii="Times New Roman" w:hAnsi="Times New Roman" w:eastAsia="Times New Roman" w:cs="Times New Roman"/>
      <w:sz w:val="24"/>
      <w:szCs w:val="24"/>
      <w:lang w:val="en-US" w:eastAsia="zh-CN" w:bidi="ar-SA"/>
    </w:rPr>
  </w:style>
  <w:style w:type="paragraph" w:customStyle="1" w:styleId="88">
    <w:name w:val="p0"/>
    <w:basedOn w:val="1"/>
    <w:qFormat/>
    <w:uiPriority w:val="0"/>
    <w:pPr>
      <w:widowControl/>
    </w:pPr>
    <w:rPr>
      <w:kern w:val="0"/>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E380622-75F1-494E-B5DC-67DEC231BDF6}">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88</Pages>
  <Words>8369</Words>
  <Characters>8588</Characters>
  <Lines>497</Lines>
  <Paragraphs>140</Paragraphs>
  <TotalTime>121</TotalTime>
  <ScaleCrop>false</ScaleCrop>
  <LinksUpToDate>false</LinksUpToDate>
  <CharactersWithSpaces>8655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2026-01-04T03:17:00Z</dcterms:created>
  <dc:creator>林兆武</dc:creator>
  <cp:lastModifiedBy>钟工</cp:lastModifiedBy>
  <dcterms:modified xsi:type="dcterms:W3CDTF">2026-11-02T06:43:48Z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070773FAE5D7492B84208E76CAEF4531_13</vt:lpwstr>
  </property>
  <property fmtid="{D5CDD505-2E9C-101B-9397-08002B2CF9AE}" pid="3" name="KSOProductBuildVer">
    <vt:lpwstr>2052-12.1.0.25225</vt:lpwstr>
  </property>
  <property fmtid="{D5CDD505-2E9C-101B-9397-08002B2CF9AE}" pid="4" name="KSOTemplateDocerSaveRecord">
    <vt:lpwstr>eyJoZGlkIjoiNzliYjM5OWVjMmI3MjRhZmQ0YWYxYzVlMDJlZTkwOTciLCJ1c2VySWQiOiI4NjYxNzE4MzIifQ==</vt:lpwstr>
  </property>
</Properties>
</file>